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AB982" w14:textId="025D174B" w:rsidR="0096792B" w:rsidRPr="00893E6D" w:rsidRDefault="009D79C4" w:rsidP="00A1062B">
      <w:pPr>
        <w:spacing w:line="480" w:lineRule="auto"/>
        <w:jc w:val="center"/>
        <w:rPr>
          <w:rFonts w:ascii="Times New Roman" w:hAnsi="Times New Roman" w:cs="Times New Roman"/>
          <w:b/>
          <w:sz w:val="24"/>
          <w:szCs w:val="24"/>
        </w:rPr>
      </w:pPr>
      <w:bookmarkStart w:id="0" w:name="_Hlk32774147"/>
      <w:bookmarkStart w:id="1" w:name="_GoBack"/>
      <w:r w:rsidRPr="00C13044">
        <w:rPr>
          <w:rFonts w:ascii="Times New Roman" w:hAnsi="Times New Roman" w:cs="Times New Roman"/>
          <w:b/>
          <w:sz w:val="24"/>
          <w:szCs w:val="24"/>
        </w:rPr>
        <w:t>Non</w:t>
      </w:r>
      <w:r w:rsidR="0096792B" w:rsidRPr="00C13044">
        <w:rPr>
          <w:rFonts w:ascii="Times New Roman" w:hAnsi="Times New Roman" w:cs="Times New Roman"/>
          <w:b/>
          <w:sz w:val="24"/>
          <w:szCs w:val="24"/>
        </w:rPr>
        <w:t>-</w:t>
      </w:r>
      <w:r w:rsidRPr="00C13044">
        <w:rPr>
          <w:rFonts w:ascii="Times New Roman" w:hAnsi="Times New Roman" w:cs="Times New Roman"/>
          <w:b/>
          <w:sz w:val="24"/>
          <w:szCs w:val="24"/>
        </w:rPr>
        <w:t>operating earnings and firm risk</w:t>
      </w:r>
      <w:bookmarkEnd w:id="1"/>
      <w:r w:rsidR="00592C3D" w:rsidRPr="00636C4A">
        <w:rPr>
          <w:rStyle w:val="FootnoteReference"/>
          <w:rFonts w:ascii="Times New Roman" w:hAnsi="Times New Roman" w:cs="Times New Roman"/>
          <w:b/>
          <w:sz w:val="24"/>
          <w:szCs w:val="24"/>
        </w:rPr>
        <w:footnoteReference w:id="1"/>
      </w:r>
    </w:p>
    <w:bookmarkEnd w:id="0"/>
    <w:p w14:paraId="02CA8433" w14:textId="77777777" w:rsidR="00E66C6C" w:rsidRDefault="00E66C6C" w:rsidP="00A1062B">
      <w:pPr>
        <w:jc w:val="both"/>
        <w:rPr>
          <w:rFonts w:ascii="Times New Roman" w:hAnsi="Times New Roman" w:cs="Times New Roman"/>
          <w:sz w:val="24"/>
          <w:szCs w:val="24"/>
        </w:rPr>
      </w:pPr>
    </w:p>
    <w:p w14:paraId="182C0B61" w14:textId="77777777" w:rsidR="0085740C" w:rsidRPr="00893E6D" w:rsidRDefault="0085740C" w:rsidP="00A1062B">
      <w:pPr>
        <w:spacing w:line="240" w:lineRule="auto"/>
        <w:contextualSpacing/>
        <w:jc w:val="both"/>
        <w:rPr>
          <w:rFonts w:ascii="Times New Roman" w:hAnsi="Times New Roman" w:cs="Times New Roman"/>
          <w:sz w:val="24"/>
          <w:szCs w:val="24"/>
        </w:rPr>
      </w:pPr>
    </w:p>
    <w:p w14:paraId="21239E51" w14:textId="77777777" w:rsidR="007A04F9" w:rsidRPr="00893E6D" w:rsidRDefault="007A04F9" w:rsidP="00A1062B">
      <w:pPr>
        <w:spacing w:line="240" w:lineRule="auto"/>
        <w:contextualSpacing/>
        <w:jc w:val="center"/>
        <w:rPr>
          <w:rFonts w:ascii="Times New Roman" w:hAnsi="Times New Roman" w:cs="Times New Roman"/>
          <w:b/>
          <w:sz w:val="24"/>
          <w:szCs w:val="24"/>
        </w:rPr>
      </w:pPr>
      <w:r w:rsidRPr="00893E6D">
        <w:rPr>
          <w:rFonts w:ascii="Times New Roman" w:hAnsi="Times New Roman" w:cs="Times New Roman"/>
          <w:b/>
          <w:sz w:val="24"/>
          <w:szCs w:val="24"/>
        </w:rPr>
        <w:t>Abstract</w:t>
      </w:r>
    </w:p>
    <w:p w14:paraId="1AB6B957" w14:textId="77777777" w:rsidR="009312A6" w:rsidRPr="00893E6D" w:rsidRDefault="009312A6" w:rsidP="00A1062B">
      <w:pPr>
        <w:spacing w:line="240" w:lineRule="auto"/>
        <w:contextualSpacing/>
        <w:jc w:val="both"/>
        <w:rPr>
          <w:rFonts w:ascii="Times New Roman" w:hAnsi="Times New Roman" w:cs="Times New Roman"/>
          <w:sz w:val="24"/>
          <w:szCs w:val="24"/>
        </w:rPr>
      </w:pPr>
    </w:p>
    <w:p w14:paraId="4C54DAEB" w14:textId="4373FE0A" w:rsidR="008F6E16" w:rsidRDefault="007618A6" w:rsidP="00A1062B">
      <w:pPr>
        <w:spacing w:after="0" w:line="240" w:lineRule="auto"/>
        <w:jc w:val="both"/>
        <w:rPr>
          <w:rFonts w:ascii="Times New Roman" w:hAnsi="Times New Roman" w:cs="Times New Roman"/>
          <w:sz w:val="24"/>
          <w:szCs w:val="24"/>
        </w:rPr>
      </w:pPr>
      <w:bookmarkStart w:id="2" w:name="_Hlk3186996"/>
      <w:bookmarkStart w:id="3" w:name="_Hlk32774580"/>
      <w:r w:rsidRPr="00884B29">
        <w:rPr>
          <w:rFonts w:ascii="Times New Roman" w:hAnsi="Times New Roman" w:cs="Times New Roman"/>
          <w:sz w:val="24"/>
          <w:szCs w:val="24"/>
        </w:rPr>
        <w:t xml:space="preserve">We find that non-operating earnings </w:t>
      </w:r>
      <w:r w:rsidR="009C0BE8" w:rsidRPr="00884B29">
        <w:rPr>
          <w:rFonts w:ascii="Times New Roman" w:hAnsi="Times New Roman" w:cs="Times New Roman"/>
          <w:sz w:val="24"/>
          <w:szCs w:val="24"/>
        </w:rPr>
        <w:t>reduce</w:t>
      </w:r>
      <w:r w:rsidRPr="00884B29">
        <w:rPr>
          <w:rFonts w:ascii="Times New Roman" w:hAnsi="Times New Roman" w:cs="Times New Roman"/>
          <w:sz w:val="24"/>
          <w:szCs w:val="24"/>
        </w:rPr>
        <w:t xml:space="preserve"> total earnings volatility, stock price volatility, idiosyncratic risk, and crash risk. The risk-reducing effects of non-operating earnings are </w:t>
      </w:r>
      <w:r w:rsidR="00A24E17" w:rsidRPr="00884B29">
        <w:rPr>
          <w:rFonts w:ascii="Times New Roman" w:hAnsi="Times New Roman" w:cs="Times New Roman"/>
          <w:sz w:val="24"/>
          <w:szCs w:val="24"/>
        </w:rPr>
        <w:t>higher</w:t>
      </w:r>
      <w:r w:rsidRPr="00884B29">
        <w:rPr>
          <w:rFonts w:ascii="Times New Roman" w:hAnsi="Times New Roman" w:cs="Times New Roman"/>
          <w:sz w:val="24"/>
          <w:szCs w:val="24"/>
        </w:rPr>
        <w:t xml:space="preserve"> than those of operating earnings for risk measures based on stock market data. Non-operating earnings serve to mitigate risks among firms with operating losses, high financial leverage, high growth uncertainty, and low-ability managers.</w:t>
      </w:r>
      <w:r w:rsidR="00BA0CF8">
        <w:rPr>
          <w:rFonts w:ascii="Times New Roman" w:hAnsi="Times New Roman" w:cs="Times New Roman"/>
          <w:sz w:val="24"/>
          <w:szCs w:val="24"/>
        </w:rPr>
        <w:t xml:space="preserve"> </w:t>
      </w:r>
    </w:p>
    <w:p w14:paraId="647B1235" w14:textId="082BCD33" w:rsidR="005D48DC" w:rsidRDefault="005D48DC" w:rsidP="00A1062B">
      <w:pPr>
        <w:spacing w:after="0" w:line="240" w:lineRule="auto"/>
        <w:jc w:val="both"/>
        <w:rPr>
          <w:rFonts w:ascii="Times New Roman" w:hAnsi="Times New Roman" w:cs="Times New Roman"/>
          <w:sz w:val="24"/>
          <w:szCs w:val="24"/>
        </w:rPr>
      </w:pPr>
    </w:p>
    <w:p w14:paraId="136BBFB3" w14:textId="29912BC4" w:rsidR="005D48DC" w:rsidRDefault="005D48DC" w:rsidP="00A1062B">
      <w:pPr>
        <w:spacing w:after="0" w:line="240" w:lineRule="auto"/>
        <w:jc w:val="both"/>
        <w:rPr>
          <w:rFonts w:ascii="Times New Roman" w:hAnsi="Times New Roman" w:cs="Times New Roman"/>
          <w:sz w:val="24"/>
          <w:szCs w:val="24"/>
        </w:rPr>
      </w:pPr>
    </w:p>
    <w:p w14:paraId="33BAF5A4" w14:textId="77777777" w:rsidR="005D48DC" w:rsidRPr="0078514F" w:rsidRDefault="005D48DC" w:rsidP="005D48DC">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JEL</w:t>
      </w:r>
      <w:r w:rsidRPr="0078514F">
        <w:rPr>
          <w:rFonts w:ascii="Times New Roman" w:hAnsi="Times New Roman" w:cs="Times New Roman"/>
          <w:sz w:val="24"/>
          <w:szCs w:val="24"/>
        </w:rPr>
        <w:t>: G30; G32</w:t>
      </w:r>
    </w:p>
    <w:p w14:paraId="266E6175" w14:textId="77777777" w:rsidR="005D48DC" w:rsidRDefault="005D48DC" w:rsidP="005D48DC">
      <w:pPr>
        <w:spacing w:line="240" w:lineRule="auto"/>
        <w:contextualSpacing/>
        <w:jc w:val="both"/>
        <w:rPr>
          <w:rFonts w:ascii="Times New Roman" w:hAnsi="Times New Roman" w:cs="Times New Roman"/>
          <w:b/>
          <w:sz w:val="24"/>
          <w:szCs w:val="24"/>
        </w:rPr>
      </w:pPr>
    </w:p>
    <w:p w14:paraId="739D86EA" w14:textId="77777777" w:rsidR="005D48DC" w:rsidRDefault="005D48DC" w:rsidP="005D48DC">
      <w:pPr>
        <w:spacing w:line="240" w:lineRule="auto"/>
        <w:contextualSpacing/>
        <w:jc w:val="both"/>
        <w:rPr>
          <w:rFonts w:ascii="Times New Roman" w:hAnsi="Times New Roman" w:cs="Times New Roman"/>
          <w:b/>
          <w:sz w:val="24"/>
          <w:szCs w:val="24"/>
        </w:rPr>
      </w:pPr>
    </w:p>
    <w:p w14:paraId="7D4DAECC" w14:textId="258CE521" w:rsidR="005D48DC" w:rsidRPr="00893E6D" w:rsidRDefault="005D48DC" w:rsidP="005D48DC">
      <w:pPr>
        <w:spacing w:line="240" w:lineRule="auto"/>
        <w:contextualSpacing/>
        <w:jc w:val="both"/>
        <w:rPr>
          <w:rFonts w:ascii="Times New Roman" w:hAnsi="Times New Roman" w:cs="Times New Roman"/>
          <w:sz w:val="24"/>
          <w:szCs w:val="24"/>
        </w:rPr>
      </w:pPr>
      <w:r w:rsidRPr="00893E6D">
        <w:rPr>
          <w:rFonts w:ascii="Times New Roman" w:hAnsi="Times New Roman" w:cs="Times New Roman"/>
          <w:b/>
          <w:sz w:val="24"/>
          <w:szCs w:val="24"/>
        </w:rPr>
        <w:t>Keywords</w:t>
      </w:r>
      <w:r w:rsidRPr="00893E6D">
        <w:rPr>
          <w:rFonts w:ascii="Times New Roman" w:hAnsi="Times New Roman" w:cs="Times New Roman"/>
          <w:sz w:val="24"/>
          <w:szCs w:val="24"/>
        </w:rPr>
        <w:t xml:space="preserve">: </w:t>
      </w:r>
      <w:r w:rsidR="00AD2320">
        <w:rPr>
          <w:rFonts w:ascii="Times New Roman" w:hAnsi="Times New Roman" w:cs="Times New Roman"/>
          <w:sz w:val="24"/>
          <w:szCs w:val="24"/>
        </w:rPr>
        <w:t>n</w:t>
      </w:r>
      <w:r w:rsidR="00AD2320" w:rsidRPr="00893E6D">
        <w:rPr>
          <w:rFonts w:ascii="Times New Roman" w:hAnsi="Times New Roman" w:cs="Times New Roman"/>
          <w:sz w:val="24"/>
          <w:szCs w:val="24"/>
        </w:rPr>
        <w:t>on</w:t>
      </w:r>
      <w:r w:rsidRPr="00893E6D">
        <w:rPr>
          <w:rFonts w:ascii="Times New Roman" w:hAnsi="Times New Roman" w:cs="Times New Roman"/>
          <w:sz w:val="24"/>
          <w:szCs w:val="24"/>
        </w:rPr>
        <w:t xml:space="preserve">-operating </w:t>
      </w:r>
      <w:r w:rsidR="009D79C4">
        <w:rPr>
          <w:rFonts w:ascii="Times New Roman" w:hAnsi="Times New Roman" w:cs="Times New Roman"/>
          <w:sz w:val="24"/>
          <w:szCs w:val="24"/>
        </w:rPr>
        <w:t>e</w:t>
      </w:r>
      <w:r w:rsidR="009D79C4" w:rsidRPr="00893E6D">
        <w:rPr>
          <w:rFonts w:ascii="Times New Roman" w:hAnsi="Times New Roman" w:cs="Times New Roman"/>
          <w:sz w:val="24"/>
          <w:szCs w:val="24"/>
        </w:rPr>
        <w:t>arnings</w:t>
      </w:r>
      <w:r w:rsidR="00AD2320">
        <w:rPr>
          <w:rFonts w:ascii="Times New Roman" w:hAnsi="Times New Roman" w:cs="Times New Roman"/>
          <w:sz w:val="24"/>
          <w:szCs w:val="24"/>
        </w:rPr>
        <w:t xml:space="preserve">, earnings volatility, stock price </w:t>
      </w:r>
      <w:r w:rsidR="00692EEC">
        <w:rPr>
          <w:rFonts w:ascii="Times New Roman" w:hAnsi="Times New Roman" w:cs="Times New Roman"/>
          <w:sz w:val="24"/>
          <w:szCs w:val="24"/>
        </w:rPr>
        <w:t>volatility</w:t>
      </w:r>
      <w:r w:rsidR="008B40F9">
        <w:rPr>
          <w:rFonts w:ascii="Times New Roman" w:hAnsi="Times New Roman" w:cs="Times New Roman"/>
          <w:sz w:val="24"/>
          <w:szCs w:val="24"/>
        </w:rPr>
        <w:t>, stock price crash risk</w:t>
      </w:r>
      <w:r w:rsidRPr="00893E6D">
        <w:rPr>
          <w:rFonts w:ascii="Times New Roman" w:hAnsi="Times New Roman" w:cs="Times New Roman"/>
          <w:sz w:val="24"/>
          <w:szCs w:val="24"/>
        </w:rPr>
        <w:t xml:space="preserve">  </w:t>
      </w:r>
    </w:p>
    <w:p w14:paraId="2837C89D" w14:textId="77777777" w:rsidR="005D48DC" w:rsidRDefault="005D48DC" w:rsidP="005D48DC">
      <w:pPr>
        <w:spacing w:line="240" w:lineRule="auto"/>
        <w:contextualSpacing/>
        <w:jc w:val="both"/>
        <w:rPr>
          <w:rFonts w:ascii="Times New Roman" w:hAnsi="Times New Roman" w:cs="Times New Roman"/>
          <w:sz w:val="24"/>
          <w:szCs w:val="24"/>
        </w:rPr>
      </w:pPr>
    </w:p>
    <w:p w14:paraId="4148D07A" w14:textId="77777777" w:rsidR="005D48DC" w:rsidRDefault="005D48DC" w:rsidP="00A1062B">
      <w:pPr>
        <w:spacing w:after="0" w:line="240" w:lineRule="auto"/>
        <w:jc w:val="both"/>
        <w:rPr>
          <w:rFonts w:ascii="Times New Roman" w:hAnsi="Times New Roman" w:cs="Times New Roman"/>
          <w:sz w:val="24"/>
          <w:szCs w:val="24"/>
        </w:rPr>
        <w:sectPr w:rsidR="005D48DC" w:rsidSect="00A87484">
          <w:pgSz w:w="12240" w:h="15840"/>
          <w:pgMar w:top="1440" w:right="1440" w:bottom="1440" w:left="1440" w:header="720" w:footer="720" w:gutter="0"/>
          <w:cols w:space="720"/>
          <w:docGrid w:linePitch="360"/>
        </w:sectPr>
      </w:pPr>
    </w:p>
    <w:bookmarkEnd w:id="2"/>
    <w:bookmarkEnd w:id="3"/>
    <w:p w14:paraId="35223301" w14:textId="77777777" w:rsidR="004368D0" w:rsidRPr="00893E6D" w:rsidRDefault="004368D0" w:rsidP="00A1062B">
      <w:pPr>
        <w:pStyle w:val="ListParagraph"/>
        <w:numPr>
          <w:ilvl w:val="0"/>
          <w:numId w:val="1"/>
        </w:numPr>
        <w:spacing w:line="480" w:lineRule="auto"/>
        <w:jc w:val="both"/>
        <w:rPr>
          <w:rFonts w:ascii="Times New Roman" w:hAnsi="Times New Roman" w:cs="Times New Roman"/>
          <w:b/>
          <w:sz w:val="24"/>
          <w:szCs w:val="24"/>
        </w:rPr>
      </w:pPr>
      <w:r w:rsidRPr="00893E6D">
        <w:rPr>
          <w:rFonts w:ascii="Times New Roman" w:hAnsi="Times New Roman" w:cs="Times New Roman"/>
          <w:b/>
          <w:sz w:val="24"/>
          <w:szCs w:val="24"/>
        </w:rPr>
        <w:lastRenderedPageBreak/>
        <w:t>Introduction</w:t>
      </w:r>
    </w:p>
    <w:p w14:paraId="1C7A3B08" w14:textId="334ADFB8" w:rsidR="00897447" w:rsidRPr="00AC0D8E" w:rsidRDefault="00F53F24" w:rsidP="00A1062B">
      <w:pPr>
        <w:spacing w:line="480" w:lineRule="auto"/>
        <w:ind w:firstLine="720"/>
        <w:contextualSpacing/>
        <w:jc w:val="both"/>
        <w:rPr>
          <w:rFonts w:ascii="Times New Roman" w:hAnsi="Times New Roman" w:cs="Times New Roman"/>
          <w:sz w:val="24"/>
          <w:szCs w:val="24"/>
        </w:rPr>
      </w:pPr>
      <w:r w:rsidRPr="00893E6D">
        <w:rPr>
          <w:rFonts w:ascii="Times New Roman" w:hAnsi="Times New Roman" w:cs="Times New Roman"/>
          <w:sz w:val="24"/>
          <w:szCs w:val="24"/>
        </w:rPr>
        <w:t xml:space="preserve">Reported earnings are composed of operating earnings and non-operating earnings. While </w:t>
      </w:r>
      <w:r w:rsidRPr="00AC0D8E">
        <w:rPr>
          <w:rFonts w:ascii="Times New Roman" w:hAnsi="Times New Roman" w:cs="Times New Roman"/>
          <w:sz w:val="24"/>
          <w:szCs w:val="24"/>
        </w:rPr>
        <w:t xml:space="preserve">investors, analysts, and </w:t>
      </w:r>
      <w:r w:rsidR="00197B3E" w:rsidRPr="00AC0D8E">
        <w:rPr>
          <w:rFonts w:ascii="Times New Roman" w:hAnsi="Times New Roman" w:cs="Times New Roman"/>
          <w:sz w:val="24"/>
          <w:szCs w:val="24"/>
        </w:rPr>
        <w:t>academics</w:t>
      </w:r>
      <w:r w:rsidR="00F41C5C" w:rsidRPr="00AC0D8E">
        <w:rPr>
          <w:rFonts w:ascii="Times New Roman" w:hAnsi="Times New Roman" w:cs="Times New Roman"/>
          <w:sz w:val="24"/>
          <w:szCs w:val="24"/>
        </w:rPr>
        <w:t xml:space="preserve"> </w:t>
      </w:r>
      <w:r w:rsidRPr="00AC0D8E">
        <w:rPr>
          <w:rFonts w:ascii="Times New Roman" w:hAnsi="Times New Roman" w:cs="Times New Roman"/>
          <w:sz w:val="24"/>
          <w:szCs w:val="24"/>
        </w:rPr>
        <w:t xml:space="preserve">closely follow operating earnings, non-operating earnings </w:t>
      </w:r>
      <w:r w:rsidR="00197B3E" w:rsidRPr="00AC0D8E">
        <w:rPr>
          <w:rFonts w:ascii="Times New Roman" w:hAnsi="Times New Roman" w:cs="Times New Roman"/>
          <w:sz w:val="24"/>
          <w:szCs w:val="24"/>
        </w:rPr>
        <w:t>are growing in importance</w:t>
      </w:r>
      <w:r w:rsidRPr="00AC0D8E">
        <w:rPr>
          <w:rFonts w:ascii="Times New Roman" w:hAnsi="Times New Roman" w:cs="Times New Roman"/>
          <w:sz w:val="24"/>
          <w:szCs w:val="24"/>
        </w:rPr>
        <w:t xml:space="preserve">. </w:t>
      </w:r>
      <w:r w:rsidR="008E0481" w:rsidRPr="00AC0D8E">
        <w:rPr>
          <w:rFonts w:ascii="Times New Roman" w:hAnsi="Times New Roman" w:cs="Times New Roman"/>
          <w:sz w:val="24"/>
          <w:szCs w:val="24"/>
        </w:rPr>
        <w:t xml:space="preserve">Non-operating income </w:t>
      </w:r>
      <w:r w:rsidR="000F7A1B" w:rsidRPr="00AC0D8E">
        <w:rPr>
          <w:rFonts w:ascii="Times New Roman" w:hAnsi="Times New Roman" w:cs="Times New Roman"/>
          <w:sz w:val="24"/>
          <w:szCs w:val="24"/>
        </w:rPr>
        <w:t>and</w:t>
      </w:r>
      <w:r w:rsidR="000F7A1B" w:rsidRPr="00893E6D">
        <w:rPr>
          <w:rFonts w:ascii="Times New Roman" w:hAnsi="Times New Roman" w:cs="Times New Roman"/>
          <w:sz w:val="24"/>
          <w:szCs w:val="24"/>
        </w:rPr>
        <w:t xml:space="preserve"> </w:t>
      </w:r>
      <w:r w:rsidR="008E0481" w:rsidRPr="00893E6D">
        <w:rPr>
          <w:rFonts w:ascii="Times New Roman" w:hAnsi="Times New Roman" w:cs="Times New Roman"/>
          <w:sz w:val="24"/>
          <w:szCs w:val="24"/>
        </w:rPr>
        <w:t>expenses are defined as income and expense items resulting from secondary business-related activities in COMPUSTAT</w:t>
      </w:r>
      <w:r w:rsidR="003A24E6" w:rsidRPr="00893E6D">
        <w:rPr>
          <w:rStyle w:val="FootnoteReference"/>
          <w:rFonts w:ascii="Times New Roman" w:hAnsi="Times New Roman" w:cs="Times New Roman"/>
          <w:sz w:val="24"/>
          <w:szCs w:val="24"/>
        </w:rPr>
        <w:footnoteReference w:id="2"/>
      </w:r>
      <w:r w:rsidR="008E0481" w:rsidRPr="00893E6D">
        <w:rPr>
          <w:rFonts w:ascii="Times New Roman" w:hAnsi="Times New Roman" w:cs="Times New Roman"/>
          <w:sz w:val="24"/>
          <w:szCs w:val="24"/>
        </w:rPr>
        <w:t xml:space="preserve">. </w:t>
      </w:r>
      <w:r w:rsidR="003A24E6" w:rsidRPr="00893E6D">
        <w:rPr>
          <w:rFonts w:ascii="Times New Roman" w:hAnsi="Times New Roman" w:cs="Times New Roman"/>
          <w:sz w:val="24"/>
          <w:szCs w:val="24"/>
        </w:rPr>
        <w:t xml:space="preserve">Firms establish non-core </w:t>
      </w:r>
      <w:r w:rsidR="00001371">
        <w:rPr>
          <w:rFonts w:ascii="Times New Roman" w:hAnsi="Times New Roman" w:cs="Times New Roman"/>
          <w:sz w:val="24"/>
          <w:szCs w:val="24"/>
        </w:rPr>
        <w:t>business</w:t>
      </w:r>
      <w:r w:rsidR="00001371" w:rsidRPr="00893E6D">
        <w:rPr>
          <w:rFonts w:ascii="Times New Roman" w:hAnsi="Times New Roman" w:cs="Times New Roman"/>
          <w:sz w:val="24"/>
          <w:szCs w:val="24"/>
        </w:rPr>
        <w:t xml:space="preserve"> </w:t>
      </w:r>
      <w:r w:rsidR="003A24E6" w:rsidRPr="00893E6D">
        <w:rPr>
          <w:rFonts w:ascii="Times New Roman" w:hAnsi="Times New Roman" w:cs="Times New Roman"/>
          <w:sz w:val="24"/>
          <w:szCs w:val="24"/>
        </w:rPr>
        <w:t>units to diversify their business exposure and hence</w:t>
      </w:r>
      <w:r w:rsidR="009B46CB" w:rsidRPr="00893E6D">
        <w:rPr>
          <w:rFonts w:ascii="Times New Roman" w:hAnsi="Times New Roman" w:cs="Times New Roman"/>
          <w:sz w:val="24"/>
          <w:szCs w:val="24"/>
        </w:rPr>
        <w:t xml:space="preserve"> reduce </w:t>
      </w:r>
      <w:r w:rsidR="00001371">
        <w:rPr>
          <w:rFonts w:ascii="Times New Roman" w:hAnsi="Times New Roman" w:cs="Times New Roman"/>
          <w:sz w:val="24"/>
          <w:szCs w:val="24"/>
        </w:rPr>
        <w:t>their</w:t>
      </w:r>
      <w:r w:rsidR="00001371" w:rsidRPr="00893E6D">
        <w:rPr>
          <w:rFonts w:ascii="Times New Roman" w:hAnsi="Times New Roman" w:cs="Times New Roman"/>
          <w:sz w:val="24"/>
          <w:szCs w:val="24"/>
        </w:rPr>
        <w:t xml:space="preserve"> </w:t>
      </w:r>
      <w:r w:rsidR="003A24E6" w:rsidRPr="00893E6D">
        <w:rPr>
          <w:rFonts w:ascii="Times New Roman" w:hAnsi="Times New Roman" w:cs="Times New Roman"/>
          <w:sz w:val="24"/>
          <w:szCs w:val="24"/>
        </w:rPr>
        <w:t>risk. According to the 2015 McKinsey Global Survey by McKinsey &amp; Company</w:t>
      </w:r>
      <w:r w:rsidR="003339A0" w:rsidRPr="00893E6D">
        <w:rPr>
          <w:rStyle w:val="FootnoteReference"/>
          <w:rFonts w:ascii="Times New Roman" w:hAnsi="Times New Roman" w:cs="Times New Roman"/>
          <w:sz w:val="24"/>
          <w:szCs w:val="24"/>
        </w:rPr>
        <w:footnoteReference w:id="3"/>
      </w:r>
      <w:r w:rsidR="003A24E6" w:rsidRPr="00893E6D">
        <w:rPr>
          <w:rFonts w:ascii="Times New Roman" w:hAnsi="Times New Roman" w:cs="Times New Roman"/>
          <w:sz w:val="24"/>
          <w:szCs w:val="24"/>
        </w:rPr>
        <w:t xml:space="preserve">, most companies seek growth outside their core business </w:t>
      </w:r>
      <w:r w:rsidR="00386511" w:rsidRPr="00893E6D">
        <w:rPr>
          <w:rFonts w:ascii="Times New Roman" w:hAnsi="Times New Roman" w:cs="Times New Roman"/>
          <w:sz w:val="24"/>
          <w:szCs w:val="24"/>
        </w:rPr>
        <w:t>and s</w:t>
      </w:r>
      <w:r w:rsidR="003A24E6" w:rsidRPr="00893E6D">
        <w:rPr>
          <w:rFonts w:ascii="Times New Roman" w:hAnsi="Times New Roman" w:cs="Times New Roman"/>
          <w:sz w:val="24"/>
          <w:szCs w:val="24"/>
        </w:rPr>
        <w:t xml:space="preserve">eventy-five percent of the respondents have pursued at least one non-core activity while an additional fifteen percent planned to do so between 2010 and 2015. </w:t>
      </w:r>
      <w:r w:rsidR="00A72693" w:rsidRPr="00893E6D">
        <w:rPr>
          <w:rFonts w:ascii="Times New Roman" w:hAnsi="Times New Roman" w:cs="Times New Roman"/>
          <w:sz w:val="24"/>
          <w:szCs w:val="24"/>
        </w:rPr>
        <w:t xml:space="preserve">A third of the respondents state that they generate more than 10% of their annual revenues from non-core operations. </w:t>
      </w:r>
      <w:r w:rsidR="00197B3E">
        <w:rPr>
          <w:rFonts w:ascii="Times New Roman" w:hAnsi="Times New Roman" w:cs="Times New Roman"/>
          <w:sz w:val="24"/>
          <w:szCs w:val="24"/>
        </w:rPr>
        <w:t>Participants in the survey</w:t>
      </w:r>
      <w:r w:rsidR="006935DE" w:rsidRPr="00893E6D">
        <w:rPr>
          <w:rFonts w:ascii="Times New Roman" w:hAnsi="Times New Roman" w:cs="Times New Roman"/>
          <w:sz w:val="24"/>
          <w:szCs w:val="24"/>
        </w:rPr>
        <w:t xml:space="preserve"> </w:t>
      </w:r>
      <w:r w:rsidR="00197B3E">
        <w:rPr>
          <w:rFonts w:ascii="Times New Roman" w:hAnsi="Times New Roman" w:cs="Times New Roman"/>
          <w:sz w:val="24"/>
          <w:szCs w:val="24"/>
        </w:rPr>
        <w:t>report</w:t>
      </w:r>
      <w:r w:rsidR="00197B3E" w:rsidRPr="00893E6D">
        <w:rPr>
          <w:rFonts w:ascii="Times New Roman" w:hAnsi="Times New Roman" w:cs="Times New Roman"/>
          <w:sz w:val="24"/>
          <w:szCs w:val="24"/>
        </w:rPr>
        <w:t xml:space="preserve"> </w:t>
      </w:r>
      <w:r w:rsidR="009B46CB" w:rsidRPr="00893E6D">
        <w:rPr>
          <w:rFonts w:ascii="Times New Roman" w:hAnsi="Times New Roman" w:cs="Times New Roman"/>
          <w:sz w:val="24"/>
          <w:szCs w:val="24"/>
        </w:rPr>
        <w:t xml:space="preserve">that they </w:t>
      </w:r>
      <w:r w:rsidR="004B7759" w:rsidRPr="00893E6D">
        <w:rPr>
          <w:rFonts w:ascii="Times New Roman" w:hAnsi="Times New Roman" w:cs="Times New Roman"/>
          <w:sz w:val="24"/>
          <w:szCs w:val="24"/>
        </w:rPr>
        <w:t>engage</w:t>
      </w:r>
      <w:r w:rsidR="003A24E6" w:rsidRPr="00893E6D">
        <w:rPr>
          <w:rFonts w:ascii="Times New Roman" w:hAnsi="Times New Roman" w:cs="Times New Roman"/>
          <w:sz w:val="24"/>
          <w:szCs w:val="24"/>
        </w:rPr>
        <w:t xml:space="preserve"> in non-core activities </w:t>
      </w:r>
      <w:r w:rsidR="007F4C96" w:rsidRPr="00893E6D">
        <w:rPr>
          <w:rFonts w:ascii="Times New Roman" w:hAnsi="Times New Roman" w:cs="Times New Roman"/>
          <w:sz w:val="24"/>
          <w:szCs w:val="24"/>
        </w:rPr>
        <w:t>to diversify risk</w:t>
      </w:r>
      <w:r w:rsidR="00983889" w:rsidRPr="00893E6D">
        <w:rPr>
          <w:rFonts w:ascii="Times New Roman" w:hAnsi="Times New Roman" w:cs="Times New Roman"/>
          <w:sz w:val="24"/>
          <w:szCs w:val="24"/>
        </w:rPr>
        <w:t>, increase</w:t>
      </w:r>
      <w:r w:rsidR="007F4C96" w:rsidRPr="00893E6D">
        <w:rPr>
          <w:rFonts w:ascii="Times New Roman" w:hAnsi="Times New Roman" w:cs="Times New Roman"/>
          <w:sz w:val="24"/>
          <w:szCs w:val="24"/>
        </w:rPr>
        <w:t xml:space="preserve"> </w:t>
      </w:r>
      <w:r w:rsidR="004B7759" w:rsidRPr="00893E6D">
        <w:rPr>
          <w:rFonts w:ascii="Times New Roman" w:hAnsi="Times New Roman" w:cs="Times New Roman"/>
          <w:sz w:val="24"/>
          <w:szCs w:val="24"/>
        </w:rPr>
        <w:t>profit pools</w:t>
      </w:r>
      <w:r w:rsidR="00983889" w:rsidRPr="00893E6D">
        <w:rPr>
          <w:rFonts w:ascii="Times New Roman" w:hAnsi="Times New Roman" w:cs="Times New Roman"/>
          <w:sz w:val="24"/>
          <w:szCs w:val="24"/>
        </w:rPr>
        <w:t xml:space="preserve">, </w:t>
      </w:r>
      <w:r w:rsidR="003A24E6" w:rsidRPr="00893E6D">
        <w:rPr>
          <w:rFonts w:ascii="Times New Roman" w:hAnsi="Times New Roman" w:cs="Times New Roman"/>
          <w:sz w:val="24"/>
          <w:szCs w:val="24"/>
        </w:rPr>
        <w:t xml:space="preserve">and strengthen their existing business. </w:t>
      </w:r>
      <w:r w:rsidR="00983889" w:rsidRPr="00893E6D">
        <w:rPr>
          <w:rFonts w:ascii="Times New Roman" w:hAnsi="Times New Roman" w:cs="Times New Roman"/>
          <w:sz w:val="24"/>
          <w:szCs w:val="24"/>
        </w:rPr>
        <w:t xml:space="preserve">Our sample shows that </w:t>
      </w:r>
      <w:r w:rsidRPr="00893E6D">
        <w:rPr>
          <w:rFonts w:ascii="Times New Roman" w:hAnsi="Times New Roman" w:cs="Times New Roman"/>
          <w:sz w:val="24"/>
          <w:szCs w:val="24"/>
        </w:rPr>
        <w:t xml:space="preserve">operating earnings-to-asset ratio </w:t>
      </w:r>
      <w:r w:rsidR="007F4C96" w:rsidRPr="00893E6D">
        <w:rPr>
          <w:rFonts w:ascii="Times New Roman" w:hAnsi="Times New Roman" w:cs="Times New Roman"/>
          <w:sz w:val="24"/>
          <w:szCs w:val="24"/>
        </w:rPr>
        <w:t>from 1990 to 2016</w:t>
      </w:r>
      <w:r w:rsidR="00983889" w:rsidRPr="00893E6D">
        <w:rPr>
          <w:rFonts w:ascii="Times New Roman" w:hAnsi="Times New Roman" w:cs="Times New Roman"/>
          <w:sz w:val="24"/>
          <w:szCs w:val="24"/>
        </w:rPr>
        <w:t xml:space="preserve"> in the US </w:t>
      </w:r>
      <w:r w:rsidRPr="00893E6D">
        <w:rPr>
          <w:rFonts w:ascii="Times New Roman" w:hAnsi="Times New Roman" w:cs="Times New Roman"/>
          <w:sz w:val="24"/>
          <w:szCs w:val="24"/>
        </w:rPr>
        <w:t>averages 3.8</w:t>
      </w:r>
      <w:r w:rsidR="0023772D" w:rsidRPr="00893E6D">
        <w:rPr>
          <w:rFonts w:ascii="Times New Roman" w:hAnsi="Times New Roman" w:cs="Times New Roman"/>
          <w:sz w:val="24"/>
          <w:szCs w:val="24"/>
        </w:rPr>
        <w:t>%, while</w:t>
      </w:r>
      <w:r w:rsidRPr="00893E6D">
        <w:rPr>
          <w:rFonts w:ascii="Times New Roman" w:hAnsi="Times New Roman" w:cs="Times New Roman"/>
          <w:sz w:val="24"/>
          <w:szCs w:val="24"/>
        </w:rPr>
        <w:t xml:space="preserve"> non-operating-earnings-to-asset ratio averages 0.8%</w:t>
      </w:r>
      <w:r w:rsidR="00983889" w:rsidRPr="00893E6D">
        <w:rPr>
          <w:rFonts w:ascii="Times New Roman" w:hAnsi="Times New Roman" w:cs="Times New Roman"/>
          <w:sz w:val="24"/>
          <w:szCs w:val="24"/>
        </w:rPr>
        <w:t>, indicating that</w:t>
      </w:r>
      <w:r w:rsidRPr="00893E6D">
        <w:rPr>
          <w:rFonts w:ascii="Times New Roman" w:hAnsi="Times New Roman" w:cs="Times New Roman"/>
          <w:sz w:val="24"/>
          <w:szCs w:val="24"/>
        </w:rPr>
        <w:t xml:space="preserve"> non-operating earnings are as significant as </w:t>
      </w:r>
      <w:r w:rsidR="0031299B">
        <w:rPr>
          <w:rFonts w:ascii="Times New Roman" w:hAnsi="Times New Roman" w:cs="Times New Roman"/>
          <w:sz w:val="24"/>
          <w:szCs w:val="24"/>
        </w:rPr>
        <w:t xml:space="preserve">about </w:t>
      </w:r>
      <w:r w:rsidR="001A025D" w:rsidRPr="00893E6D">
        <w:rPr>
          <w:rFonts w:ascii="Times New Roman" w:hAnsi="Times New Roman" w:cs="Times New Roman"/>
          <w:sz w:val="24"/>
          <w:szCs w:val="24"/>
        </w:rPr>
        <w:t xml:space="preserve">one </w:t>
      </w:r>
      <w:r w:rsidRPr="00893E6D">
        <w:rPr>
          <w:rFonts w:ascii="Times New Roman" w:hAnsi="Times New Roman" w:cs="Times New Roman"/>
          <w:sz w:val="24"/>
          <w:szCs w:val="24"/>
        </w:rPr>
        <w:t xml:space="preserve">fifth of operating earnings. </w:t>
      </w:r>
      <w:r w:rsidR="007F4C96" w:rsidRPr="00893E6D">
        <w:rPr>
          <w:rFonts w:ascii="Times New Roman" w:hAnsi="Times New Roman" w:cs="Times New Roman"/>
          <w:sz w:val="24"/>
          <w:szCs w:val="24"/>
        </w:rPr>
        <w:t xml:space="preserve">Given the </w:t>
      </w:r>
      <w:r w:rsidR="0059042A">
        <w:rPr>
          <w:rFonts w:ascii="Times New Roman" w:hAnsi="Times New Roman" w:cs="Times New Roman"/>
          <w:sz w:val="24"/>
          <w:szCs w:val="24"/>
        </w:rPr>
        <w:t>growing</w:t>
      </w:r>
      <w:r w:rsidR="00197B3E" w:rsidRPr="00893E6D">
        <w:rPr>
          <w:rFonts w:ascii="Times New Roman" w:hAnsi="Times New Roman" w:cs="Times New Roman"/>
          <w:sz w:val="24"/>
          <w:szCs w:val="24"/>
        </w:rPr>
        <w:t xml:space="preserve"> </w:t>
      </w:r>
      <w:r w:rsidR="007F4C96" w:rsidRPr="00893E6D">
        <w:rPr>
          <w:rFonts w:ascii="Times New Roman" w:hAnsi="Times New Roman" w:cs="Times New Roman"/>
          <w:sz w:val="24"/>
          <w:szCs w:val="24"/>
        </w:rPr>
        <w:t xml:space="preserve">use of non-operating activities, </w:t>
      </w:r>
      <w:r w:rsidR="009411DC" w:rsidRPr="00893E6D">
        <w:rPr>
          <w:rFonts w:ascii="Times New Roman" w:hAnsi="Times New Roman" w:cs="Times New Roman"/>
          <w:sz w:val="24"/>
          <w:szCs w:val="24"/>
        </w:rPr>
        <w:t xml:space="preserve">we examine </w:t>
      </w:r>
      <w:r w:rsidR="008C62B4" w:rsidRPr="00893E6D">
        <w:rPr>
          <w:rFonts w:ascii="Times New Roman" w:hAnsi="Times New Roman" w:cs="Times New Roman"/>
          <w:sz w:val="24"/>
          <w:szCs w:val="24"/>
        </w:rPr>
        <w:t xml:space="preserve">the </w:t>
      </w:r>
      <w:r w:rsidR="004C1989">
        <w:rPr>
          <w:rFonts w:ascii="Times New Roman" w:hAnsi="Times New Roman" w:cs="Times New Roman"/>
          <w:sz w:val="24"/>
          <w:szCs w:val="24"/>
        </w:rPr>
        <w:t>effects</w:t>
      </w:r>
      <w:r w:rsidR="004C1989" w:rsidRPr="00893E6D">
        <w:rPr>
          <w:rFonts w:ascii="Times New Roman" w:hAnsi="Times New Roman" w:cs="Times New Roman"/>
          <w:sz w:val="24"/>
          <w:szCs w:val="24"/>
        </w:rPr>
        <w:t xml:space="preserve"> </w:t>
      </w:r>
      <w:r w:rsidR="008C62B4" w:rsidRPr="00893E6D">
        <w:rPr>
          <w:rFonts w:ascii="Times New Roman" w:hAnsi="Times New Roman" w:cs="Times New Roman"/>
          <w:sz w:val="24"/>
          <w:szCs w:val="24"/>
        </w:rPr>
        <w:t>of</w:t>
      </w:r>
      <w:r w:rsidRPr="00893E6D">
        <w:rPr>
          <w:rFonts w:ascii="Times New Roman" w:hAnsi="Times New Roman" w:cs="Times New Roman"/>
          <w:sz w:val="24"/>
          <w:szCs w:val="24"/>
        </w:rPr>
        <w:t xml:space="preserve"> non-operating earnings </w:t>
      </w:r>
      <w:r w:rsidR="008C62B4" w:rsidRPr="00893E6D">
        <w:rPr>
          <w:rFonts w:ascii="Times New Roman" w:hAnsi="Times New Roman" w:cs="Times New Roman"/>
          <w:sz w:val="24"/>
          <w:szCs w:val="24"/>
        </w:rPr>
        <w:t xml:space="preserve">on </w:t>
      </w:r>
      <w:r w:rsidRPr="00893E6D">
        <w:rPr>
          <w:rFonts w:ascii="Times New Roman" w:hAnsi="Times New Roman" w:cs="Times New Roman"/>
          <w:sz w:val="24"/>
          <w:szCs w:val="24"/>
        </w:rPr>
        <w:t xml:space="preserve">the volatility of total earnings, stock price volatility, idiosyncratic risk, and </w:t>
      </w:r>
      <w:r w:rsidR="007529B2" w:rsidRPr="00AC0D8E">
        <w:rPr>
          <w:rFonts w:ascii="Times New Roman" w:hAnsi="Times New Roman" w:cs="Times New Roman"/>
          <w:sz w:val="24"/>
          <w:szCs w:val="24"/>
        </w:rPr>
        <w:t xml:space="preserve">stock price </w:t>
      </w:r>
      <w:r w:rsidRPr="00AC0D8E">
        <w:rPr>
          <w:rFonts w:ascii="Times New Roman" w:hAnsi="Times New Roman" w:cs="Times New Roman"/>
          <w:sz w:val="24"/>
          <w:szCs w:val="24"/>
        </w:rPr>
        <w:t>crash risk</w:t>
      </w:r>
      <w:r w:rsidR="00897447" w:rsidRPr="00AC0D8E">
        <w:rPr>
          <w:rFonts w:ascii="Times New Roman" w:hAnsi="Times New Roman" w:cs="Times New Roman"/>
          <w:sz w:val="24"/>
          <w:szCs w:val="24"/>
        </w:rPr>
        <w:t xml:space="preserve"> </w:t>
      </w:r>
      <w:r w:rsidR="00197B3E" w:rsidRPr="00AC0D8E">
        <w:rPr>
          <w:rFonts w:ascii="Times New Roman" w:hAnsi="Times New Roman" w:cs="Times New Roman"/>
          <w:sz w:val="24"/>
          <w:szCs w:val="24"/>
        </w:rPr>
        <w:t xml:space="preserve">after </w:t>
      </w:r>
      <w:r w:rsidR="00897447" w:rsidRPr="00AC0D8E">
        <w:rPr>
          <w:rFonts w:ascii="Times New Roman" w:hAnsi="Times New Roman" w:cs="Times New Roman"/>
          <w:sz w:val="24"/>
          <w:szCs w:val="24"/>
        </w:rPr>
        <w:t xml:space="preserve">controlling for the </w:t>
      </w:r>
      <w:r w:rsidR="00D45DC2" w:rsidRPr="00AC0D8E">
        <w:rPr>
          <w:rFonts w:ascii="Times New Roman" w:hAnsi="Times New Roman" w:cs="Times New Roman"/>
          <w:sz w:val="24"/>
          <w:szCs w:val="24"/>
        </w:rPr>
        <w:t xml:space="preserve">effects </w:t>
      </w:r>
      <w:r w:rsidR="00897447" w:rsidRPr="00AC0D8E">
        <w:rPr>
          <w:rFonts w:ascii="Times New Roman" w:hAnsi="Times New Roman" w:cs="Times New Roman"/>
          <w:sz w:val="24"/>
          <w:szCs w:val="24"/>
        </w:rPr>
        <w:t>of operating earnings</w:t>
      </w:r>
      <w:r w:rsidR="00112831" w:rsidRPr="00AC0D8E">
        <w:rPr>
          <w:rFonts w:ascii="Times New Roman" w:hAnsi="Times New Roman" w:cs="Times New Roman"/>
          <w:sz w:val="24"/>
          <w:szCs w:val="24"/>
        </w:rPr>
        <w:t xml:space="preserve"> and other firm characteristics</w:t>
      </w:r>
      <w:r w:rsidRPr="00AC0D8E">
        <w:rPr>
          <w:rFonts w:ascii="Times New Roman" w:hAnsi="Times New Roman" w:cs="Times New Roman"/>
          <w:sz w:val="24"/>
          <w:szCs w:val="24"/>
        </w:rPr>
        <w:t>.</w:t>
      </w:r>
      <w:r w:rsidR="008F7715" w:rsidRPr="00AC0D8E">
        <w:rPr>
          <w:rFonts w:ascii="Times New Roman" w:hAnsi="Times New Roman" w:cs="Times New Roman"/>
          <w:sz w:val="24"/>
          <w:szCs w:val="24"/>
        </w:rPr>
        <w:t xml:space="preserve"> </w:t>
      </w:r>
    </w:p>
    <w:p w14:paraId="0640CB51" w14:textId="18E82A5F" w:rsidR="00112831" w:rsidRPr="00AC0D8E" w:rsidRDefault="00D45DC2" w:rsidP="00A1062B">
      <w:pPr>
        <w:spacing w:line="480" w:lineRule="auto"/>
        <w:ind w:firstLine="720"/>
        <w:contextualSpacing/>
        <w:jc w:val="both"/>
        <w:rPr>
          <w:rFonts w:ascii="Times New Roman" w:hAnsi="Times New Roman" w:cs="Times New Roman"/>
          <w:sz w:val="24"/>
          <w:szCs w:val="24"/>
        </w:rPr>
      </w:pPr>
      <w:r w:rsidRPr="00AC0D8E">
        <w:rPr>
          <w:rFonts w:ascii="Times New Roman" w:hAnsi="Times New Roman" w:cs="Times New Roman"/>
          <w:sz w:val="24"/>
          <w:szCs w:val="24"/>
        </w:rPr>
        <w:t>Treating</w:t>
      </w:r>
      <w:r w:rsidR="00F53F24" w:rsidRPr="00AC0D8E">
        <w:rPr>
          <w:rFonts w:ascii="Times New Roman" w:hAnsi="Times New Roman" w:cs="Times New Roman"/>
          <w:sz w:val="24"/>
          <w:szCs w:val="24"/>
        </w:rPr>
        <w:t xml:space="preserve"> a firm as a portfolio of revenue streams with operating revenue representing </w:t>
      </w:r>
      <w:r w:rsidR="00C83F82" w:rsidRPr="00AC0D8E">
        <w:rPr>
          <w:rFonts w:ascii="Times New Roman" w:hAnsi="Times New Roman" w:cs="Times New Roman"/>
          <w:sz w:val="24"/>
          <w:szCs w:val="24"/>
        </w:rPr>
        <w:t xml:space="preserve">its </w:t>
      </w:r>
      <w:r w:rsidR="00F53F24" w:rsidRPr="00AC0D8E">
        <w:rPr>
          <w:rFonts w:ascii="Times New Roman" w:hAnsi="Times New Roman" w:cs="Times New Roman"/>
          <w:sz w:val="24"/>
          <w:szCs w:val="24"/>
        </w:rPr>
        <w:t xml:space="preserve">core </w:t>
      </w:r>
      <w:r w:rsidR="00C83F82" w:rsidRPr="00AC0D8E">
        <w:rPr>
          <w:rFonts w:ascii="Times New Roman" w:hAnsi="Times New Roman" w:cs="Times New Roman"/>
          <w:sz w:val="24"/>
          <w:szCs w:val="24"/>
        </w:rPr>
        <w:t>income</w:t>
      </w:r>
      <w:r w:rsidR="00EB2B52" w:rsidRPr="00AC0D8E">
        <w:rPr>
          <w:rFonts w:ascii="Times New Roman" w:hAnsi="Times New Roman" w:cs="Times New Roman"/>
          <w:sz w:val="24"/>
          <w:szCs w:val="24"/>
        </w:rPr>
        <w:t>,</w:t>
      </w:r>
      <w:r w:rsidR="0088182E" w:rsidRPr="00AC0D8E">
        <w:rPr>
          <w:rFonts w:ascii="Times New Roman" w:hAnsi="Times New Roman" w:cs="Times New Roman"/>
          <w:sz w:val="24"/>
          <w:szCs w:val="24"/>
        </w:rPr>
        <w:t xml:space="preserve"> </w:t>
      </w:r>
      <w:r w:rsidR="00EB2B52" w:rsidRPr="00AC0D8E">
        <w:rPr>
          <w:rFonts w:ascii="Times New Roman" w:hAnsi="Times New Roman" w:cs="Times New Roman"/>
          <w:sz w:val="24"/>
          <w:szCs w:val="24"/>
        </w:rPr>
        <w:t xml:space="preserve">we propose that </w:t>
      </w:r>
      <w:r w:rsidR="0088182E" w:rsidRPr="00AC0D8E">
        <w:rPr>
          <w:rFonts w:ascii="Times New Roman" w:hAnsi="Times New Roman" w:cs="Times New Roman"/>
          <w:sz w:val="24"/>
          <w:szCs w:val="24"/>
        </w:rPr>
        <w:t>non-operating revenue</w:t>
      </w:r>
      <w:r w:rsidR="00AA1E29">
        <w:rPr>
          <w:rFonts w:ascii="Times New Roman" w:hAnsi="Times New Roman" w:cs="Times New Roman"/>
          <w:sz w:val="24"/>
          <w:szCs w:val="24"/>
        </w:rPr>
        <w:t>s</w:t>
      </w:r>
      <w:r w:rsidR="0088182E" w:rsidRPr="00AC0D8E">
        <w:rPr>
          <w:rFonts w:ascii="Times New Roman" w:hAnsi="Times New Roman" w:cs="Times New Roman"/>
          <w:sz w:val="24"/>
          <w:szCs w:val="24"/>
        </w:rPr>
        <w:t xml:space="preserve"> from </w:t>
      </w:r>
      <w:r w:rsidR="00C83F82" w:rsidRPr="00AC0D8E">
        <w:rPr>
          <w:rFonts w:ascii="Times New Roman" w:hAnsi="Times New Roman" w:cs="Times New Roman"/>
          <w:sz w:val="24"/>
          <w:szCs w:val="24"/>
        </w:rPr>
        <w:t>n</w:t>
      </w:r>
      <w:r w:rsidR="00F53F24" w:rsidRPr="00AC0D8E">
        <w:rPr>
          <w:rFonts w:ascii="Times New Roman" w:hAnsi="Times New Roman" w:cs="Times New Roman"/>
          <w:sz w:val="24"/>
          <w:szCs w:val="24"/>
        </w:rPr>
        <w:t xml:space="preserve">on-core </w:t>
      </w:r>
      <w:r w:rsidR="00001371" w:rsidRPr="00AC0D8E">
        <w:rPr>
          <w:rFonts w:ascii="Times New Roman" w:hAnsi="Times New Roman" w:cs="Times New Roman"/>
          <w:sz w:val="24"/>
          <w:szCs w:val="24"/>
        </w:rPr>
        <w:t xml:space="preserve">undertakings </w:t>
      </w:r>
      <w:r w:rsidR="00F53F24" w:rsidRPr="00AC0D8E">
        <w:rPr>
          <w:rFonts w:ascii="Times New Roman" w:hAnsi="Times New Roman" w:cs="Times New Roman"/>
          <w:sz w:val="24"/>
          <w:szCs w:val="24"/>
        </w:rPr>
        <w:t xml:space="preserve">benefit </w:t>
      </w:r>
      <w:r w:rsidR="00C83F82" w:rsidRPr="00AC0D8E">
        <w:rPr>
          <w:rFonts w:ascii="Times New Roman" w:hAnsi="Times New Roman" w:cs="Times New Roman"/>
          <w:sz w:val="24"/>
          <w:szCs w:val="24"/>
        </w:rPr>
        <w:t xml:space="preserve">a </w:t>
      </w:r>
      <w:r w:rsidR="00F53F24" w:rsidRPr="00AC0D8E">
        <w:rPr>
          <w:rFonts w:ascii="Times New Roman" w:hAnsi="Times New Roman" w:cs="Times New Roman"/>
          <w:sz w:val="24"/>
          <w:szCs w:val="24"/>
        </w:rPr>
        <w:t xml:space="preserve">firm </w:t>
      </w:r>
      <w:r w:rsidRPr="00AC0D8E">
        <w:rPr>
          <w:rFonts w:ascii="Times New Roman" w:hAnsi="Times New Roman" w:cs="Times New Roman"/>
          <w:sz w:val="24"/>
          <w:szCs w:val="24"/>
        </w:rPr>
        <w:lastRenderedPageBreak/>
        <w:t xml:space="preserve">to the extent that </w:t>
      </w:r>
      <w:r w:rsidR="00653859">
        <w:rPr>
          <w:rFonts w:ascii="Times New Roman" w:hAnsi="Times New Roman" w:cs="Times New Roman"/>
          <w:sz w:val="24"/>
          <w:szCs w:val="24"/>
        </w:rPr>
        <w:t>the</w:t>
      </w:r>
      <w:r w:rsidR="006F606A" w:rsidRPr="00AC0D8E">
        <w:rPr>
          <w:rFonts w:ascii="Times New Roman" w:hAnsi="Times New Roman" w:cs="Times New Roman"/>
          <w:sz w:val="24"/>
          <w:szCs w:val="24"/>
        </w:rPr>
        <w:t xml:space="preserve"> </w:t>
      </w:r>
      <w:r w:rsidR="00F53F24" w:rsidRPr="00AC0D8E">
        <w:rPr>
          <w:rFonts w:ascii="Times New Roman" w:hAnsi="Times New Roman" w:cs="Times New Roman"/>
          <w:sz w:val="24"/>
          <w:szCs w:val="24"/>
        </w:rPr>
        <w:t>revenue</w:t>
      </w:r>
      <w:r w:rsidR="00001371" w:rsidRPr="00AC0D8E">
        <w:rPr>
          <w:rFonts w:ascii="Times New Roman" w:hAnsi="Times New Roman" w:cs="Times New Roman"/>
          <w:sz w:val="24"/>
          <w:szCs w:val="24"/>
        </w:rPr>
        <w:t>s</w:t>
      </w:r>
      <w:r w:rsidR="00F53F24" w:rsidRPr="00AC0D8E">
        <w:rPr>
          <w:rFonts w:ascii="Times New Roman" w:hAnsi="Times New Roman" w:cs="Times New Roman"/>
          <w:sz w:val="24"/>
          <w:szCs w:val="24"/>
        </w:rPr>
        <w:t xml:space="preserve"> exceed </w:t>
      </w:r>
      <w:r w:rsidR="000D1227" w:rsidRPr="00AC0D8E">
        <w:rPr>
          <w:rFonts w:ascii="Times New Roman" w:hAnsi="Times New Roman" w:cs="Times New Roman"/>
          <w:sz w:val="24"/>
          <w:szCs w:val="24"/>
        </w:rPr>
        <w:t xml:space="preserve">the </w:t>
      </w:r>
      <w:r w:rsidRPr="00AC0D8E">
        <w:rPr>
          <w:rFonts w:ascii="Times New Roman" w:hAnsi="Times New Roman" w:cs="Times New Roman"/>
          <w:sz w:val="24"/>
          <w:szCs w:val="24"/>
        </w:rPr>
        <w:t xml:space="preserve">associated </w:t>
      </w:r>
      <w:r w:rsidR="00F53F24" w:rsidRPr="00AC0D8E">
        <w:rPr>
          <w:rFonts w:ascii="Times New Roman" w:hAnsi="Times New Roman" w:cs="Times New Roman"/>
          <w:sz w:val="24"/>
          <w:szCs w:val="24"/>
        </w:rPr>
        <w:t>cost</w:t>
      </w:r>
      <w:r w:rsidR="000D1227" w:rsidRPr="00AC0D8E">
        <w:rPr>
          <w:rFonts w:ascii="Times New Roman" w:hAnsi="Times New Roman" w:cs="Times New Roman"/>
          <w:sz w:val="24"/>
          <w:szCs w:val="24"/>
        </w:rPr>
        <w:t>s</w:t>
      </w:r>
      <w:r w:rsidR="00F53F24" w:rsidRPr="00AC0D8E">
        <w:rPr>
          <w:rFonts w:ascii="Times New Roman" w:hAnsi="Times New Roman" w:cs="Times New Roman"/>
          <w:sz w:val="24"/>
          <w:szCs w:val="24"/>
        </w:rPr>
        <w:t>. Non-core</w:t>
      </w:r>
      <w:r w:rsidR="00F53F24" w:rsidRPr="00893E6D">
        <w:rPr>
          <w:rFonts w:ascii="Times New Roman" w:hAnsi="Times New Roman" w:cs="Times New Roman"/>
          <w:sz w:val="24"/>
          <w:szCs w:val="24"/>
        </w:rPr>
        <w:t xml:space="preserve"> revenues reduce a firm's susceptibility to downturns in its core business and, consequently, reduce </w:t>
      </w:r>
      <w:r>
        <w:rPr>
          <w:rFonts w:ascii="Times New Roman" w:hAnsi="Times New Roman" w:cs="Times New Roman"/>
          <w:sz w:val="24"/>
          <w:szCs w:val="24"/>
        </w:rPr>
        <w:t>its</w:t>
      </w:r>
      <w:r w:rsidR="00F53F24" w:rsidRPr="00893E6D">
        <w:rPr>
          <w:rFonts w:ascii="Times New Roman" w:hAnsi="Times New Roman" w:cs="Times New Roman"/>
          <w:sz w:val="24"/>
          <w:szCs w:val="24"/>
        </w:rPr>
        <w:t xml:space="preserve"> vulnerability to economic shocks</w:t>
      </w:r>
      <w:r w:rsidR="00DD7D99" w:rsidRPr="00893E6D">
        <w:rPr>
          <w:rFonts w:ascii="Times New Roman" w:hAnsi="Times New Roman" w:cs="Times New Roman"/>
          <w:sz w:val="24"/>
          <w:szCs w:val="24"/>
        </w:rPr>
        <w:t xml:space="preserve"> (also see </w:t>
      </w:r>
      <w:proofErr w:type="spellStart"/>
      <w:r w:rsidR="00DD7D99" w:rsidRPr="00893E6D">
        <w:rPr>
          <w:rFonts w:ascii="Times New Roman" w:hAnsi="Times New Roman" w:cs="Times New Roman"/>
          <w:sz w:val="24"/>
          <w:szCs w:val="24"/>
        </w:rPr>
        <w:t>Eldenburg</w:t>
      </w:r>
      <w:proofErr w:type="spellEnd"/>
      <w:r w:rsidR="00DD7D99" w:rsidRPr="00893E6D">
        <w:rPr>
          <w:rFonts w:ascii="Times New Roman" w:hAnsi="Times New Roman" w:cs="Times New Roman"/>
          <w:sz w:val="24"/>
          <w:szCs w:val="24"/>
        </w:rPr>
        <w:t xml:space="preserve">, Gunny, </w:t>
      </w:r>
      <w:proofErr w:type="spellStart"/>
      <w:r w:rsidR="00DD7D99" w:rsidRPr="00893E6D">
        <w:rPr>
          <w:rFonts w:ascii="Times New Roman" w:hAnsi="Times New Roman" w:cs="Times New Roman"/>
          <w:sz w:val="24"/>
          <w:szCs w:val="24"/>
        </w:rPr>
        <w:t>Hee</w:t>
      </w:r>
      <w:proofErr w:type="spellEnd"/>
      <w:r w:rsidR="00DD7D99" w:rsidRPr="00893E6D">
        <w:rPr>
          <w:rFonts w:ascii="Times New Roman" w:hAnsi="Times New Roman" w:cs="Times New Roman"/>
          <w:sz w:val="24"/>
          <w:szCs w:val="24"/>
        </w:rPr>
        <w:t xml:space="preserve">, and </w:t>
      </w:r>
      <w:proofErr w:type="spellStart"/>
      <w:r w:rsidR="00DD7D99" w:rsidRPr="00893E6D">
        <w:rPr>
          <w:rFonts w:ascii="Times New Roman" w:hAnsi="Times New Roman" w:cs="Times New Roman"/>
          <w:sz w:val="24"/>
          <w:szCs w:val="24"/>
        </w:rPr>
        <w:t>Soderstrom</w:t>
      </w:r>
      <w:proofErr w:type="spellEnd"/>
      <w:r w:rsidR="00DD7D99" w:rsidRPr="00893E6D">
        <w:rPr>
          <w:rFonts w:ascii="Times New Roman" w:hAnsi="Times New Roman" w:cs="Times New Roman"/>
          <w:sz w:val="24"/>
          <w:szCs w:val="24"/>
        </w:rPr>
        <w:t xml:space="preserve">, 2011; Singh and Song, 2013; Curtis, </w:t>
      </w:r>
      <w:proofErr w:type="spellStart"/>
      <w:r w:rsidR="00DD7D99" w:rsidRPr="00893E6D">
        <w:rPr>
          <w:rFonts w:ascii="Times New Roman" w:hAnsi="Times New Roman" w:cs="Times New Roman"/>
          <w:sz w:val="24"/>
          <w:szCs w:val="24"/>
        </w:rPr>
        <w:t>McVay</w:t>
      </w:r>
      <w:proofErr w:type="spellEnd"/>
      <w:r w:rsidR="00DD7D99" w:rsidRPr="00893E6D">
        <w:rPr>
          <w:rFonts w:ascii="Times New Roman" w:hAnsi="Times New Roman" w:cs="Times New Roman"/>
          <w:sz w:val="24"/>
          <w:szCs w:val="24"/>
        </w:rPr>
        <w:t>, and Whipple, 2014)</w:t>
      </w:r>
      <w:r w:rsidR="00F53F24" w:rsidRPr="00893E6D">
        <w:rPr>
          <w:rFonts w:ascii="Times New Roman" w:hAnsi="Times New Roman" w:cs="Times New Roman"/>
          <w:sz w:val="24"/>
          <w:szCs w:val="24"/>
        </w:rPr>
        <w:t>.</w:t>
      </w:r>
      <w:r w:rsidR="008C62B4" w:rsidRPr="00893E6D">
        <w:rPr>
          <w:rFonts w:ascii="Times New Roman" w:hAnsi="Times New Roman" w:cs="Times New Roman"/>
          <w:sz w:val="24"/>
          <w:szCs w:val="24"/>
        </w:rPr>
        <w:t xml:space="preserve"> </w:t>
      </w:r>
      <w:r>
        <w:rPr>
          <w:rFonts w:ascii="Times New Roman" w:hAnsi="Times New Roman" w:cs="Times New Roman"/>
          <w:sz w:val="24"/>
          <w:szCs w:val="24"/>
        </w:rPr>
        <w:t>Besides</w:t>
      </w:r>
      <w:r w:rsidR="003B235A" w:rsidRPr="00893E6D">
        <w:rPr>
          <w:rFonts w:ascii="Times New Roman" w:hAnsi="Times New Roman" w:cs="Times New Roman"/>
          <w:sz w:val="24"/>
          <w:szCs w:val="24"/>
        </w:rPr>
        <w:t xml:space="preserve">, firms pursue non-operating activities </w:t>
      </w:r>
      <w:r w:rsidR="00353594" w:rsidRPr="00893E6D">
        <w:rPr>
          <w:rFonts w:ascii="Times New Roman" w:hAnsi="Times New Roman" w:cs="Times New Roman"/>
          <w:sz w:val="24"/>
          <w:szCs w:val="24"/>
        </w:rPr>
        <w:t>to support rather than replace some of their core business</w:t>
      </w:r>
      <w:r w:rsidR="003B235A" w:rsidRPr="00893E6D">
        <w:rPr>
          <w:rFonts w:ascii="Times New Roman" w:hAnsi="Times New Roman" w:cs="Times New Roman"/>
          <w:sz w:val="24"/>
          <w:szCs w:val="24"/>
        </w:rPr>
        <w:t xml:space="preserve"> </w:t>
      </w:r>
      <w:r w:rsidR="005A366F">
        <w:rPr>
          <w:rFonts w:ascii="Times New Roman" w:hAnsi="Times New Roman" w:cs="Times New Roman"/>
          <w:sz w:val="24"/>
          <w:szCs w:val="24"/>
        </w:rPr>
        <w:t xml:space="preserve">by </w:t>
      </w:r>
      <w:r w:rsidR="00AA1E29">
        <w:rPr>
          <w:rFonts w:ascii="Times New Roman" w:hAnsi="Times New Roman" w:cs="Times New Roman"/>
          <w:sz w:val="24"/>
          <w:szCs w:val="24"/>
        </w:rPr>
        <w:t>acquiring</w:t>
      </w:r>
      <w:r w:rsidR="00AA1E29" w:rsidRPr="00893E6D">
        <w:rPr>
          <w:rFonts w:ascii="Times New Roman" w:hAnsi="Times New Roman" w:cs="Times New Roman"/>
          <w:sz w:val="24"/>
          <w:szCs w:val="24"/>
        </w:rPr>
        <w:t xml:space="preserve"> </w:t>
      </w:r>
      <w:r w:rsidR="00353594" w:rsidRPr="00893E6D">
        <w:rPr>
          <w:rFonts w:ascii="Times New Roman" w:hAnsi="Times New Roman" w:cs="Times New Roman"/>
          <w:sz w:val="24"/>
          <w:szCs w:val="24"/>
        </w:rPr>
        <w:t>skills lacking in the</w:t>
      </w:r>
      <w:r w:rsidR="00764372" w:rsidRPr="00893E6D">
        <w:rPr>
          <w:rFonts w:ascii="Times New Roman" w:hAnsi="Times New Roman" w:cs="Times New Roman"/>
          <w:sz w:val="24"/>
          <w:szCs w:val="24"/>
        </w:rPr>
        <w:t>ir</w:t>
      </w:r>
      <w:r w:rsidR="00353594" w:rsidRPr="00893E6D">
        <w:rPr>
          <w:rFonts w:ascii="Times New Roman" w:hAnsi="Times New Roman" w:cs="Times New Roman"/>
          <w:sz w:val="24"/>
          <w:szCs w:val="24"/>
        </w:rPr>
        <w:t xml:space="preserve"> core </w:t>
      </w:r>
      <w:r w:rsidR="0023772D" w:rsidRPr="00893E6D">
        <w:rPr>
          <w:rFonts w:ascii="Times New Roman" w:hAnsi="Times New Roman" w:cs="Times New Roman"/>
          <w:sz w:val="24"/>
          <w:szCs w:val="24"/>
        </w:rPr>
        <w:t>business, learning</w:t>
      </w:r>
      <w:r w:rsidR="00353594" w:rsidRPr="00893E6D">
        <w:rPr>
          <w:rFonts w:ascii="Times New Roman" w:hAnsi="Times New Roman" w:cs="Times New Roman"/>
          <w:sz w:val="24"/>
          <w:szCs w:val="24"/>
        </w:rPr>
        <w:t xml:space="preserve"> </w:t>
      </w:r>
      <w:r w:rsidR="003F0DB2" w:rsidRPr="00893E6D">
        <w:rPr>
          <w:rFonts w:ascii="Times New Roman" w:hAnsi="Times New Roman" w:cs="Times New Roman"/>
          <w:sz w:val="24"/>
          <w:szCs w:val="24"/>
        </w:rPr>
        <w:t xml:space="preserve">critical </w:t>
      </w:r>
      <w:r w:rsidR="00353594" w:rsidRPr="00893E6D">
        <w:rPr>
          <w:rFonts w:ascii="Times New Roman" w:hAnsi="Times New Roman" w:cs="Times New Roman"/>
          <w:sz w:val="24"/>
          <w:szCs w:val="24"/>
        </w:rPr>
        <w:t xml:space="preserve">technology or </w:t>
      </w:r>
      <w:r w:rsidR="00001371">
        <w:rPr>
          <w:rFonts w:ascii="Times New Roman" w:hAnsi="Times New Roman" w:cs="Times New Roman"/>
          <w:sz w:val="24"/>
          <w:szCs w:val="24"/>
        </w:rPr>
        <w:t>research and development (</w:t>
      </w:r>
      <w:r w:rsidR="00353594" w:rsidRPr="00893E6D">
        <w:rPr>
          <w:rFonts w:ascii="Times New Roman" w:hAnsi="Times New Roman" w:cs="Times New Roman"/>
          <w:sz w:val="24"/>
          <w:szCs w:val="24"/>
        </w:rPr>
        <w:t>R&amp;D</w:t>
      </w:r>
      <w:r w:rsidR="00001371">
        <w:rPr>
          <w:rFonts w:ascii="Times New Roman" w:hAnsi="Times New Roman" w:cs="Times New Roman"/>
          <w:sz w:val="24"/>
          <w:szCs w:val="24"/>
        </w:rPr>
        <w:t>)</w:t>
      </w:r>
      <w:r w:rsidR="001D56E3" w:rsidRPr="00893E6D">
        <w:rPr>
          <w:rFonts w:ascii="Times New Roman" w:hAnsi="Times New Roman" w:cs="Times New Roman"/>
          <w:sz w:val="24"/>
          <w:szCs w:val="24"/>
        </w:rPr>
        <w:t xml:space="preserve">, </w:t>
      </w:r>
      <w:r w:rsidR="00BC5186" w:rsidRPr="00893E6D">
        <w:rPr>
          <w:rFonts w:ascii="Times New Roman" w:hAnsi="Times New Roman" w:cs="Times New Roman"/>
          <w:sz w:val="24"/>
          <w:szCs w:val="24"/>
        </w:rPr>
        <w:t>seek</w:t>
      </w:r>
      <w:r w:rsidR="00791BE9" w:rsidRPr="00893E6D">
        <w:rPr>
          <w:rFonts w:ascii="Times New Roman" w:hAnsi="Times New Roman" w:cs="Times New Roman"/>
          <w:sz w:val="24"/>
          <w:szCs w:val="24"/>
        </w:rPr>
        <w:t>ing</w:t>
      </w:r>
      <w:r w:rsidR="00353594" w:rsidRPr="00893E6D">
        <w:rPr>
          <w:rFonts w:ascii="Times New Roman" w:hAnsi="Times New Roman" w:cs="Times New Roman"/>
          <w:sz w:val="24"/>
          <w:szCs w:val="24"/>
        </w:rPr>
        <w:t xml:space="preserve"> new </w:t>
      </w:r>
      <w:r w:rsidR="001A7529">
        <w:rPr>
          <w:rFonts w:ascii="Times New Roman" w:hAnsi="Times New Roman" w:cs="Times New Roman"/>
          <w:sz w:val="24"/>
          <w:szCs w:val="24"/>
        </w:rPr>
        <w:t>avenues</w:t>
      </w:r>
      <w:r w:rsidR="00353594" w:rsidRPr="00893E6D">
        <w:rPr>
          <w:rFonts w:ascii="Times New Roman" w:hAnsi="Times New Roman" w:cs="Times New Roman"/>
          <w:sz w:val="24"/>
          <w:szCs w:val="24"/>
        </w:rPr>
        <w:t xml:space="preserve"> of short-term </w:t>
      </w:r>
      <w:r w:rsidR="001A7529" w:rsidRPr="00AC0D8E">
        <w:rPr>
          <w:rFonts w:ascii="Times New Roman" w:hAnsi="Times New Roman" w:cs="Times New Roman"/>
          <w:sz w:val="24"/>
          <w:szCs w:val="24"/>
        </w:rPr>
        <w:t>profit</w:t>
      </w:r>
      <w:r w:rsidR="00112831" w:rsidRPr="00AC0D8E">
        <w:rPr>
          <w:rFonts w:ascii="Times New Roman" w:hAnsi="Times New Roman" w:cs="Times New Roman"/>
          <w:sz w:val="24"/>
          <w:szCs w:val="24"/>
        </w:rPr>
        <w:t xml:space="preserve"> (2015 McKinsey Global Survey)</w:t>
      </w:r>
      <w:r w:rsidRPr="00AC0D8E">
        <w:rPr>
          <w:rFonts w:ascii="Times New Roman" w:hAnsi="Times New Roman" w:cs="Times New Roman"/>
          <w:sz w:val="24"/>
          <w:szCs w:val="24"/>
        </w:rPr>
        <w:t>, among others</w:t>
      </w:r>
      <w:r w:rsidR="00353594" w:rsidRPr="00AC0D8E">
        <w:rPr>
          <w:rFonts w:ascii="Times New Roman" w:hAnsi="Times New Roman" w:cs="Times New Roman"/>
          <w:sz w:val="24"/>
          <w:szCs w:val="24"/>
        </w:rPr>
        <w:t>.</w:t>
      </w:r>
      <w:r w:rsidR="00791BE9" w:rsidRPr="00AC0D8E">
        <w:rPr>
          <w:rFonts w:ascii="Times New Roman" w:hAnsi="Times New Roman" w:cs="Times New Roman"/>
          <w:sz w:val="24"/>
          <w:szCs w:val="24"/>
        </w:rPr>
        <w:t xml:space="preserve"> </w:t>
      </w:r>
      <w:r w:rsidR="00001371" w:rsidRPr="00AC0D8E">
        <w:rPr>
          <w:rFonts w:ascii="Times New Roman" w:hAnsi="Times New Roman" w:cs="Times New Roman"/>
          <w:sz w:val="24"/>
          <w:szCs w:val="24"/>
        </w:rPr>
        <w:t xml:space="preserve">Decomposing </w:t>
      </w:r>
      <w:r w:rsidR="00791BE9" w:rsidRPr="00AC0D8E">
        <w:rPr>
          <w:rFonts w:ascii="Times New Roman" w:hAnsi="Times New Roman" w:cs="Times New Roman"/>
          <w:sz w:val="24"/>
          <w:szCs w:val="24"/>
        </w:rPr>
        <w:t xml:space="preserve">a firm’s </w:t>
      </w:r>
      <w:r w:rsidR="00D770B5" w:rsidRPr="00AC0D8E">
        <w:rPr>
          <w:rFonts w:ascii="Times New Roman" w:hAnsi="Times New Roman" w:cs="Times New Roman"/>
          <w:sz w:val="24"/>
          <w:szCs w:val="24"/>
        </w:rPr>
        <w:t xml:space="preserve">non-operating activities from </w:t>
      </w:r>
      <w:r w:rsidR="00791BE9" w:rsidRPr="00AC0D8E">
        <w:rPr>
          <w:rFonts w:ascii="Times New Roman" w:hAnsi="Times New Roman" w:cs="Times New Roman"/>
          <w:sz w:val="24"/>
          <w:szCs w:val="24"/>
        </w:rPr>
        <w:t xml:space="preserve">operating activities </w:t>
      </w:r>
      <w:r w:rsidR="00001371" w:rsidRPr="00AC0D8E">
        <w:rPr>
          <w:rFonts w:ascii="Times New Roman" w:hAnsi="Times New Roman" w:cs="Times New Roman"/>
          <w:sz w:val="24"/>
          <w:szCs w:val="24"/>
        </w:rPr>
        <w:t xml:space="preserve">also </w:t>
      </w:r>
      <w:r w:rsidR="00D770B5" w:rsidRPr="00AC0D8E">
        <w:rPr>
          <w:rFonts w:ascii="Times New Roman" w:hAnsi="Times New Roman" w:cs="Times New Roman"/>
          <w:sz w:val="24"/>
          <w:szCs w:val="24"/>
        </w:rPr>
        <w:t>improve</w:t>
      </w:r>
      <w:r w:rsidR="00001371" w:rsidRPr="00AC0D8E">
        <w:rPr>
          <w:rFonts w:ascii="Times New Roman" w:hAnsi="Times New Roman" w:cs="Times New Roman"/>
          <w:sz w:val="24"/>
          <w:szCs w:val="24"/>
        </w:rPr>
        <w:t>s</w:t>
      </w:r>
      <w:r w:rsidR="00791BE9" w:rsidRPr="00AC0D8E">
        <w:rPr>
          <w:rFonts w:ascii="Times New Roman" w:hAnsi="Times New Roman" w:cs="Times New Roman"/>
          <w:sz w:val="24"/>
          <w:szCs w:val="24"/>
        </w:rPr>
        <w:t xml:space="preserve"> firm transparency</w:t>
      </w:r>
      <w:r w:rsidR="00D770B5" w:rsidRPr="00AC0D8E">
        <w:rPr>
          <w:rFonts w:ascii="Times New Roman" w:hAnsi="Times New Roman" w:cs="Times New Roman"/>
          <w:sz w:val="24"/>
          <w:szCs w:val="24"/>
        </w:rPr>
        <w:t>, reduce</w:t>
      </w:r>
      <w:r w:rsidRPr="00AC0D8E">
        <w:rPr>
          <w:rFonts w:ascii="Times New Roman" w:hAnsi="Times New Roman" w:cs="Times New Roman"/>
          <w:sz w:val="24"/>
          <w:szCs w:val="24"/>
        </w:rPr>
        <w:t>s</w:t>
      </w:r>
      <w:r w:rsidR="00D770B5" w:rsidRPr="00AC0D8E">
        <w:rPr>
          <w:rFonts w:ascii="Times New Roman" w:hAnsi="Times New Roman" w:cs="Times New Roman"/>
          <w:sz w:val="24"/>
          <w:szCs w:val="24"/>
        </w:rPr>
        <w:t xml:space="preserve"> uncertainty and risk</w:t>
      </w:r>
      <w:r w:rsidRPr="00AC0D8E">
        <w:rPr>
          <w:rFonts w:ascii="Times New Roman" w:hAnsi="Times New Roman" w:cs="Times New Roman"/>
          <w:sz w:val="24"/>
          <w:szCs w:val="24"/>
        </w:rPr>
        <w:t>,</w:t>
      </w:r>
      <w:r w:rsidR="00BC5186" w:rsidRPr="00AC0D8E">
        <w:rPr>
          <w:rFonts w:ascii="Times New Roman" w:hAnsi="Times New Roman" w:cs="Times New Roman"/>
          <w:sz w:val="24"/>
          <w:szCs w:val="24"/>
        </w:rPr>
        <w:t xml:space="preserve"> and help</w:t>
      </w:r>
      <w:r w:rsidRPr="00AC0D8E">
        <w:rPr>
          <w:rFonts w:ascii="Times New Roman" w:hAnsi="Times New Roman" w:cs="Times New Roman"/>
          <w:sz w:val="24"/>
          <w:szCs w:val="24"/>
        </w:rPr>
        <w:t xml:space="preserve">s </w:t>
      </w:r>
      <w:r w:rsidR="00EA6B10" w:rsidRPr="00AC0D8E">
        <w:rPr>
          <w:rFonts w:ascii="Times New Roman" w:hAnsi="Times New Roman" w:cs="Times New Roman"/>
          <w:sz w:val="24"/>
          <w:szCs w:val="24"/>
        </w:rPr>
        <w:t xml:space="preserve">the firm </w:t>
      </w:r>
      <w:r w:rsidR="00BC5186" w:rsidRPr="00AC0D8E">
        <w:rPr>
          <w:rFonts w:ascii="Times New Roman" w:hAnsi="Times New Roman" w:cs="Times New Roman"/>
          <w:sz w:val="24"/>
          <w:szCs w:val="24"/>
        </w:rPr>
        <w:t>stabilize its market value</w:t>
      </w:r>
      <w:r w:rsidR="00D770B5" w:rsidRPr="00AC0D8E">
        <w:rPr>
          <w:rFonts w:ascii="Times New Roman" w:hAnsi="Times New Roman" w:cs="Times New Roman"/>
          <w:sz w:val="24"/>
          <w:szCs w:val="24"/>
        </w:rPr>
        <w:t>.</w:t>
      </w:r>
    </w:p>
    <w:p w14:paraId="306D90D3" w14:textId="1DAE4FA9" w:rsidR="00193DDA" w:rsidRPr="00AC0D8E" w:rsidRDefault="00347B59" w:rsidP="00A1062B">
      <w:pPr>
        <w:spacing w:line="480" w:lineRule="auto"/>
        <w:ind w:firstLine="720"/>
        <w:contextualSpacing/>
        <w:jc w:val="both"/>
        <w:rPr>
          <w:rFonts w:ascii="Times New Roman" w:hAnsi="Times New Roman" w:cs="Times New Roman"/>
          <w:sz w:val="24"/>
          <w:szCs w:val="24"/>
        </w:rPr>
      </w:pPr>
      <w:r w:rsidRPr="00AC0D8E">
        <w:t xml:space="preserve"> </w:t>
      </w:r>
      <w:r w:rsidR="00001371" w:rsidRPr="00AC0D8E">
        <w:rPr>
          <w:rFonts w:ascii="Times New Roman" w:hAnsi="Times New Roman" w:cs="Times New Roman"/>
          <w:sz w:val="24"/>
          <w:szCs w:val="24"/>
        </w:rPr>
        <w:t>At the other end</w:t>
      </w:r>
      <w:r w:rsidRPr="00AC0D8E">
        <w:rPr>
          <w:rFonts w:ascii="Times New Roman" w:hAnsi="Times New Roman" w:cs="Times New Roman"/>
          <w:sz w:val="24"/>
          <w:szCs w:val="24"/>
        </w:rPr>
        <w:t xml:space="preserve">, engaging in non-operating activities is not all </w:t>
      </w:r>
      <w:r w:rsidR="00EB2B52" w:rsidRPr="00AC0D8E">
        <w:rPr>
          <w:rFonts w:ascii="Times New Roman" w:hAnsi="Times New Roman" w:cs="Times New Roman"/>
          <w:sz w:val="24"/>
          <w:szCs w:val="24"/>
        </w:rPr>
        <w:t>advantageous</w:t>
      </w:r>
      <w:r w:rsidRPr="00AC0D8E">
        <w:rPr>
          <w:rFonts w:ascii="Times New Roman" w:hAnsi="Times New Roman" w:cs="Times New Roman"/>
          <w:sz w:val="24"/>
          <w:szCs w:val="24"/>
        </w:rPr>
        <w:t xml:space="preserve"> if </w:t>
      </w:r>
      <w:r w:rsidR="00001371" w:rsidRPr="00AC0D8E">
        <w:rPr>
          <w:rFonts w:ascii="Times New Roman" w:hAnsi="Times New Roman" w:cs="Times New Roman"/>
          <w:sz w:val="24"/>
          <w:szCs w:val="24"/>
        </w:rPr>
        <w:t>it distracts the business from its</w:t>
      </w:r>
      <w:r w:rsidRPr="00AC0D8E">
        <w:rPr>
          <w:rFonts w:ascii="Times New Roman" w:hAnsi="Times New Roman" w:cs="Times New Roman"/>
          <w:sz w:val="24"/>
          <w:szCs w:val="24"/>
        </w:rPr>
        <w:t xml:space="preserve"> core </w:t>
      </w:r>
      <w:r w:rsidR="00EB2B52" w:rsidRPr="00AC0D8E">
        <w:rPr>
          <w:rFonts w:ascii="Times New Roman" w:hAnsi="Times New Roman" w:cs="Times New Roman"/>
          <w:sz w:val="24"/>
          <w:szCs w:val="24"/>
        </w:rPr>
        <w:t>mission</w:t>
      </w:r>
      <w:r w:rsidRPr="00AC0D8E">
        <w:rPr>
          <w:rFonts w:ascii="Times New Roman" w:hAnsi="Times New Roman" w:cs="Times New Roman"/>
          <w:sz w:val="24"/>
          <w:szCs w:val="24"/>
        </w:rPr>
        <w:t xml:space="preserve">. Diverting resources to non-core businesses adversely affects the resource pool available to core operations. </w:t>
      </w:r>
      <w:r w:rsidR="00001371" w:rsidRPr="00AC0D8E">
        <w:rPr>
          <w:rFonts w:ascii="Times New Roman" w:hAnsi="Times New Roman" w:cs="Times New Roman"/>
          <w:sz w:val="24"/>
          <w:szCs w:val="24"/>
        </w:rPr>
        <w:t>A</w:t>
      </w:r>
      <w:r w:rsidRPr="00AC0D8E">
        <w:rPr>
          <w:rFonts w:ascii="Times New Roman" w:hAnsi="Times New Roman" w:cs="Times New Roman"/>
          <w:sz w:val="24"/>
          <w:szCs w:val="24"/>
        </w:rPr>
        <w:t xml:space="preserve"> lack of expertise </w:t>
      </w:r>
      <w:r w:rsidR="00B059D8">
        <w:rPr>
          <w:rFonts w:ascii="Times New Roman" w:hAnsi="Times New Roman" w:cs="Times New Roman"/>
          <w:sz w:val="24"/>
          <w:szCs w:val="24"/>
        </w:rPr>
        <w:t>i</w:t>
      </w:r>
      <w:r w:rsidR="005A366F">
        <w:rPr>
          <w:rFonts w:ascii="Times New Roman" w:hAnsi="Times New Roman" w:cs="Times New Roman"/>
          <w:sz w:val="24"/>
          <w:szCs w:val="24"/>
        </w:rPr>
        <w:t>n</w:t>
      </w:r>
      <w:r w:rsidR="005A366F" w:rsidRPr="00AC0D8E">
        <w:rPr>
          <w:rFonts w:ascii="Times New Roman" w:hAnsi="Times New Roman" w:cs="Times New Roman"/>
          <w:sz w:val="24"/>
          <w:szCs w:val="24"/>
        </w:rPr>
        <w:t xml:space="preserve"> </w:t>
      </w:r>
      <w:r w:rsidRPr="00AC0D8E">
        <w:rPr>
          <w:rFonts w:ascii="Times New Roman" w:hAnsi="Times New Roman" w:cs="Times New Roman"/>
          <w:sz w:val="24"/>
          <w:szCs w:val="24"/>
        </w:rPr>
        <w:t xml:space="preserve">non-core operations may lead to </w:t>
      </w:r>
      <w:r w:rsidR="00001371" w:rsidRPr="00AC0D8E">
        <w:rPr>
          <w:rFonts w:ascii="Times New Roman" w:hAnsi="Times New Roman" w:cs="Times New Roman"/>
          <w:sz w:val="24"/>
          <w:szCs w:val="24"/>
        </w:rPr>
        <w:t>projects that destroy shareholders’ wealth</w:t>
      </w:r>
      <w:r w:rsidRPr="00AC0D8E">
        <w:rPr>
          <w:rFonts w:ascii="Times New Roman" w:hAnsi="Times New Roman" w:cs="Times New Roman"/>
          <w:sz w:val="24"/>
          <w:szCs w:val="24"/>
        </w:rPr>
        <w:t xml:space="preserve">. </w:t>
      </w:r>
      <w:r w:rsidR="00001371" w:rsidRPr="00AC0D8E">
        <w:rPr>
          <w:rFonts w:ascii="Times New Roman" w:hAnsi="Times New Roman" w:cs="Times New Roman"/>
          <w:sz w:val="24"/>
          <w:szCs w:val="24"/>
        </w:rPr>
        <w:t>Consequently</w:t>
      </w:r>
      <w:r w:rsidRPr="00AC0D8E">
        <w:rPr>
          <w:rFonts w:ascii="Times New Roman" w:hAnsi="Times New Roman" w:cs="Times New Roman"/>
          <w:sz w:val="24"/>
          <w:szCs w:val="24"/>
        </w:rPr>
        <w:t xml:space="preserve">, there are both benefits and drawbacks </w:t>
      </w:r>
      <w:r w:rsidR="00740FAC">
        <w:rPr>
          <w:rFonts w:ascii="Times New Roman" w:hAnsi="Times New Roman" w:cs="Times New Roman"/>
          <w:sz w:val="24"/>
          <w:szCs w:val="24"/>
        </w:rPr>
        <w:t>in</w:t>
      </w:r>
      <w:r w:rsidR="00740FAC" w:rsidRPr="00AC0D8E">
        <w:rPr>
          <w:rFonts w:ascii="Times New Roman" w:hAnsi="Times New Roman" w:cs="Times New Roman"/>
          <w:sz w:val="24"/>
          <w:szCs w:val="24"/>
        </w:rPr>
        <w:t xml:space="preserve"> </w:t>
      </w:r>
      <w:r w:rsidRPr="00AC0D8E">
        <w:rPr>
          <w:rFonts w:ascii="Times New Roman" w:hAnsi="Times New Roman" w:cs="Times New Roman"/>
          <w:sz w:val="24"/>
          <w:szCs w:val="24"/>
        </w:rPr>
        <w:t xml:space="preserve">pursuing non-core </w:t>
      </w:r>
      <w:r w:rsidR="00001371" w:rsidRPr="00AC0D8E">
        <w:rPr>
          <w:rFonts w:ascii="Times New Roman" w:hAnsi="Times New Roman" w:cs="Times New Roman"/>
          <w:sz w:val="24"/>
          <w:szCs w:val="24"/>
        </w:rPr>
        <w:t>activities</w:t>
      </w:r>
      <w:r w:rsidRPr="00AC0D8E">
        <w:rPr>
          <w:rFonts w:ascii="Times New Roman" w:hAnsi="Times New Roman" w:cs="Times New Roman"/>
          <w:sz w:val="24"/>
          <w:szCs w:val="24"/>
        </w:rPr>
        <w:t>. Empirical tests would assist corporations in understanding the impact</w:t>
      </w:r>
      <w:r w:rsidR="00653859">
        <w:rPr>
          <w:rFonts w:ascii="Times New Roman" w:hAnsi="Times New Roman" w:cs="Times New Roman"/>
          <w:sz w:val="24"/>
          <w:szCs w:val="24"/>
        </w:rPr>
        <w:t>s</w:t>
      </w:r>
      <w:r w:rsidRPr="00AC0D8E">
        <w:rPr>
          <w:rFonts w:ascii="Times New Roman" w:hAnsi="Times New Roman" w:cs="Times New Roman"/>
          <w:sz w:val="24"/>
          <w:szCs w:val="24"/>
        </w:rPr>
        <w:t xml:space="preserve"> of non-operating earnings, and the current study considers the risk effects of </w:t>
      </w:r>
      <w:r w:rsidR="00653859">
        <w:rPr>
          <w:rFonts w:ascii="Times New Roman" w:hAnsi="Times New Roman" w:cs="Times New Roman"/>
          <w:sz w:val="24"/>
          <w:szCs w:val="24"/>
        </w:rPr>
        <w:t>non-operating</w:t>
      </w:r>
      <w:r w:rsidR="00CF4214" w:rsidRPr="00AC0D8E">
        <w:rPr>
          <w:rFonts w:ascii="Times New Roman" w:hAnsi="Times New Roman" w:cs="Times New Roman"/>
          <w:sz w:val="24"/>
          <w:szCs w:val="24"/>
        </w:rPr>
        <w:t xml:space="preserve"> </w:t>
      </w:r>
      <w:r w:rsidRPr="00AC0D8E">
        <w:rPr>
          <w:rFonts w:ascii="Times New Roman" w:hAnsi="Times New Roman" w:cs="Times New Roman"/>
          <w:sz w:val="24"/>
          <w:szCs w:val="24"/>
        </w:rPr>
        <w:t>earnings.</w:t>
      </w:r>
    </w:p>
    <w:p w14:paraId="3C7AA2FC" w14:textId="05F6639C" w:rsidR="00833188" w:rsidRPr="00AC0D8E" w:rsidRDefault="0098639F" w:rsidP="0098639F">
      <w:pPr>
        <w:spacing w:line="480" w:lineRule="auto"/>
        <w:ind w:firstLine="720"/>
        <w:contextualSpacing/>
        <w:jc w:val="both"/>
        <w:rPr>
          <w:rFonts w:ascii="Times New Roman" w:hAnsi="Times New Roman" w:cs="Times New Roman"/>
          <w:sz w:val="24"/>
          <w:szCs w:val="24"/>
        </w:rPr>
      </w:pPr>
      <w:r w:rsidRPr="00AC0D8E">
        <w:rPr>
          <w:rFonts w:ascii="Times New Roman" w:hAnsi="Times New Roman" w:cs="Times New Roman"/>
          <w:sz w:val="24"/>
          <w:szCs w:val="24"/>
        </w:rPr>
        <w:t xml:space="preserve">Based on </w:t>
      </w:r>
      <w:r w:rsidR="0006665E" w:rsidRPr="00AC0D8E">
        <w:rPr>
          <w:rFonts w:ascii="Times New Roman" w:hAnsi="Times New Roman" w:cs="Times New Roman"/>
          <w:sz w:val="24"/>
          <w:szCs w:val="24"/>
        </w:rPr>
        <w:t xml:space="preserve">a sample of </w:t>
      </w:r>
      <w:r w:rsidR="0006463D" w:rsidRPr="00AC0D8E">
        <w:rPr>
          <w:rFonts w:ascii="Times New Roman" w:hAnsi="Times New Roman" w:cs="Times New Roman"/>
          <w:sz w:val="24"/>
          <w:szCs w:val="24"/>
        </w:rPr>
        <w:t>72,100</w:t>
      </w:r>
      <w:r w:rsidR="00D6419E" w:rsidRPr="00AC0D8E">
        <w:rPr>
          <w:rFonts w:ascii="Times New Roman" w:hAnsi="Times New Roman" w:cs="Times New Roman"/>
          <w:sz w:val="24"/>
          <w:szCs w:val="24"/>
        </w:rPr>
        <w:t xml:space="preserve"> firm-year observations </w:t>
      </w:r>
      <w:r w:rsidRPr="00AC0D8E">
        <w:rPr>
          <w:rFonts w:ascii="Times New Roman" w:hAnsi="Times New Roman" w:cs="Times New Roman"/>
          <w:sz w:val="24"/>
          <w:szCs w:val="24"/>
        </w:rPr>
        <w:t xml:space="preserve">representing </w:t>
      </w:r>
      <w:r w:rsidR="000F0228" w:rsidRPr="00AC0D8E">
        <w:rPr>
          <w:rFonts w:ascii="Times New Roman" w:hAnsi="Times New Roman" w:cs="Times New Roman"/>
          <w:sz w:val="24"/>
          <w:szCs w:val="24"/>
        </w:rPr>
        <w:t>9,659</w:t>
      </w:r>
      <w:r w:rsidR="00D6419E" w:rsidRPr="00AC0D8E">
        <w:rPr>
          <w:rFonts w:ascii="Times New Roman" w:hAnsi="Times New Roman" w:cs="Times New Roman"/>
          <w:sz w:val="24"/>
          <w:szCs w:val="24"/>
        </w:rPr>
        <w:t xml:space="preserve"> U</w:t>
      </w:r>
      <w:r w:rsidR="00306DF5" w:rsidRPr="00AC0D8E">
        <w:rPr>
          <w:rFonts w:ascii="Times New Roman" w:hAnsi="Times New Roman" w:cs="Times New Roman"/>
          <w:sz w:val="24"/>
          <w:szCs w:val="24"/>
        </w:rPr>
        <w:t>.S. publicly-traded</w:t>
      </w:r>
      <w:r w:rsidR="009B6D99" w:rsidRPr="00AC0D8E">
        <w:rPr>
          <w:rFonts w:ascii="Times New Roman" w:hAnsi="Times New Roman" w:cs="Times New Roman"/>
          <w:sz w:val="24"/>
          <w:szCs w:val="24"/>
        </w:rPr>
        <w:t xml:space="preserve"> </w:t>
      </w:r>
      <w:r w:rsidR="00306DF5" w:rsidRPr="00AC0D8E">
        <w:rPr>
          <w:rFonts w:ascii="Times New Roman" w:hAnsi="Times New Roman" w:cs="Times New Roman"/>
          <w:sz w:val="24"/>
          <w:szCs w:val="24"/>
        </w:rPr>
        <w:t>non</w:t>
      </w:r>
      <w:r w:rsidR="003B0A26" w:rsidRPr="00AC0D8E">
        <w:rPr>
          <w:rFonts w:ascii="Times New Roman" w:hAnsi="Times New Roman" w:cs="Times New Roman"/>
          <w:sz w:val="24"/>
          <w:szCs w:val="24"/>
        </w:rPr>
        <w:t>-</w:t>
      </w:r>
      <w:r w:rsidR="00306DF5" w:rsidRPr="00AC0D8E">
        <w:rPr>
          <w:rFonts w:ascii="Times New Roman" w:hAnsi="Times New Roman" w:cs="Times New Roman"/>
          <w:sz w:val="24"/>
          <w:szCs w:val="24"/>
        </w:rPr>
        <w:t>financial and non-utilit</w:t>
      </w:r>
      <w:r w:rsidR="00833F77" w:rsidRPr="00AC0D8E">
        <w:rPr>
          <w:rFonts w:ascii="Times New Roman" w:hAnsi="Times New Roman" w:cs="Times New Roman"/>
          <w:sz w:val="24"/>
          <w:szCs w:val="24"/>
        </w:rPr>
        <w:t>y</w:t>
      </w:r>
      <w:r w:rsidR="00306DF5" w:rsidRPr="00AC0D8E">
        <w:rPr>
          <w:rFonts w:ascii="Times New Roman" w:hAnsi="Times New Roman" w:cs="Times New Roman"/>
          <w:sz w:val="24"/>
          <w:szCs w:val="24"/>
        </w:rPr>
        <w:t xml:space="preserve"> </w:t>
      </w:r>
      <w:r w:rsidR="005F0087" w:rsidRPr="00AC0D8E">
        <w:rPr>
          <w:rFonts w:ascii="Times New Roman" w:hAnsi="Times New Roman" w:cs="Times New Roman"/>
          <w:sz w:val="24"/>
          <w:szCs w:val="24"/>
        </w:rPr>
        <w:t>firms</w:t>
      </w:r>
      <w:r w:rsidR="00E037F9" w:rsidRPr="00AC0D8E">
        <w:rPr>
          <w:rFonts w:ascii="Times New Roman" w:hAnsi="Times New Roman" w:cs="Times New Roman"/>
          <w:sz w:val="24"/>
          <w:szCs w:val="24"/>
        </w:rPr>
        <w:t xml:space="preserve"> </w:t>
      </w:r>
      <w:r w:rsidRPr="00AC0D8E">
        <w:rPr>
          <w:rFonts w:ascii="Times New Roman" w:hAnsi="Times New Roman" w:cs="Times New Roman"/>
          <w:sz w:val="24"/>
          <w:szCs w:val="24"/>
        </w:rPr>
        <w:t xml:space="preserve">over the sample period </w:t>
      </w:r>
      <w:r w:rsidR="00E037F9" w:rsidRPr="00AC0D8E">
        <w:rPr>
          <w:rFonts w:ascii="Times New Roman" w:hAnsi="Times New Roman" w:cs="Times New Roman"/>
          <w:sz w:val="24"/>
          <w:szCs w:val="24"/>
        </w:rPr>
        <w:t>1990</w:t>
      </w:r>
      <w:r w:rsidRPr="00AC0D8E">
        <w:rPr>
          <w:rFonts w:ascii="Times New Roman" w:hAnsi="Times New Roman" w:cs="Times New Roman"/>
          <w:sz w:val="24"/>
          <w:szCs w:val="24"/>
        </w:rPr>
        <w:t>-</w:t>
      </w:r>
      <w:r w:rsidR="005F620A" w:rsidRPr="00AC0D8E">
        <w:rPr>
          <w:rFonts w:ascii="Times New Roman" w:hAnsi="Times New Roman" w:cs="Times New Roman"/>
          <w:sz w:val="24"/>
          <w:szCs w:val="24"/>
        </w:rPr>
        <w:t>2016</w:t>
      </w:r>
      <w:r w:rsidR="00EC4F29" w:rsidRPr="00AC0D8E">
        <w:rPr>
          <w:rFonts w:ascii="Times New Roman" w:hAnsi="Times New Roman" w:cs="Times New Roman"/>
          <w:sz w:val="24"/>
          <w:szCs w:val="24"/>
        </w:rPr>
        <w:t xml:space="preserve">, </w:t>
      </w:r>
      <w:r w:rsidR="003B0A26" w:rsidRPr="00AC0D8E">
        <w:rPr>
          <w:rFonts w:ascii="Times New Roman" w:hAnsi="Times New Roman" w:cs="Times New Roman"/>
          <w:sz w:val="24"/>
          <w:szCs w:val="24"/>
        </w:rPr>
        <w:t xml:space="preserve">we </w:t>
      </w:r>
      <w:r w:rsidR="00EC4F29" w:rsidRPr="00AC0D8E">
        <w:rPr>
          <w:rFonts w:ascii="Times New Roman" w:hAnsi="Times New Roman" w:cs="Times New Roman"/>
          <w:sz w:val="24"/>
          <w:szCs w:val="24"/>
        </w:rPr>
        <w:t xml:space="preserve">document </w:t>
      </w:r>
      <w:r w:rsidR="00C06ACD" w:rsidRPr="00AC0D8E">
        <w:rPr>
          <w:rFonts w:ascii="Times New Roman" w:hAnsi="Times New Roman" w:cs="Times New Roman"/>
          <w:sz w:val="24"/>
          <w:szCs w:val="24"/>
        </w:rPr>
        <w:t xml:space="preserve">strong and consistent </w:t>
      </w:r>
      <w:r w:rsidR="00F1404F" w:rsidRPr="00AC0D8E">
        <w:rPr>
          <w:rFonts w:ascii="Times New Roman" w:hAnsi="Times New Roman" w:cs="Times New Roman"/>
          <w:sz w:val="24"/>
          <w:szCs w:val="24"/>
        </w:rPr>
        <w:t xml:space="preserve">evidence </w:t>
      </w:r>
      <w:r w:rsidR="00EB0C23" w:rsidRPr="00AC0D8E">
        <w:rPr>
          <w:rFonts w:ascii="Times New Roman" w:hAnsi="Times New Roman" w:cs="Times New Roman"/>
          <w:sz w:val="24"/>
          <w:szCs w:val="24"/>
        </w:rPr>
        <w:t>that</w:t>
      </w:r>
      <w:r w:rsidR="00C06ACD" w:rsidRPr="00AC0D8E">
        <w:rPr>
          <w:rFonts w:ascii="Times New Roman" w:hAnsi="Times New Roman" w:cs="Times New Roman"/>
          <w:sz w:val="24"/>
          <w:szCs w:val="24"/>
        </w:rPr>
        <w:t xml:space="preserve"> return on asset volatility</w:t>
      </w:r>
      <w:r w:rsidR="00F1404F" w:rsidRPr="00AC0D8E">
        <w:rPr>
          <w:rFonts w:ascii="Times New Roman" w:hAnsi="Times New Roman" w:cs="Times New Roman"/>
          <w:sz w:val="24"/>
          <w:szCs w:val="24"/>
        </w:rPr>
        <w:t xml:space="preserve">, </w:t>
      </w:r>
      <w:r w:rsidR="00C06ACD" w:rsidRPr="00AC0D8E">
        <w:rPr>
          <w:rFonts w:ascii="Times New Roman" w:hAnsi="Times New Roman" w:cs="Times New Roman"/>
          <w:sz w:val="24"/>
          <w:szCs w:val="24"/>
        </w:rPr>
        <w:t xml:space="preserve">stock price </w:t>
      </w:r>
      <w:r w:rsidR="00F1404F" w:rsidRPr="00AC0D8E">
        <w:rPr>
          <w:rFonts w:ascii="Times New Roman" w:hAnsi="Times New Roman" w:cs="Times New Roman"/>
          <w:sz w:val="24"/>
          <w:szCs w:val="24"/>
        </w:rPr>
        <w:t>volatility</w:t>
      </w:r>
      <w:r w:rsidR="00BC0B34" w:rsidRPr="00AC0D8E">
        <w:rPr>
          <w:rFonts w:ascii="Times New Roman" w:hAnsi="Times New Roman" w:cs="Times New Roman"/>
          <w:sz w:val="24"/>
          <w:szCs w:val="24"/>
        </w:rPr>
        <w:t>,</w:t>
      </w:r>
      <w:r w:rsidR="00F1404F" w:rsidRPr="00AC0D8E">
        <w:rPr>
          <w:rFonts w:ascii="Times New Roman" w:hAnsi="Times New Roman" w:cs="Times New Roman"/>
          <w:sz w:val="24"/>
          <w:szCs w:val="24"/>
        </w:rPr>
        <w:t xml:space="preserve"> </w:t>
      </w:r>
      <w:r w:rsidR="00541F63" w:rsidRPr="00893E6D">
        <w:rPr>
          <w:rFonts w:ascii="Times New Roman" w:hAnsi="Times New Roman" w:cs="Times New Roman"/>
          <w:sz w:val="24"/>
          <w:szCs w:val="24"/>
        </w:rPr>
        <w:t>idiosyncratic risk</w:t>
      </w:r>
      <w:r w:rsidR="00541F63">
        <w:rPr>
          <w:rFonts w:ascii="Times New Roman" w:hAnsi="Times New Roman" w:cs="Times New Roman"/>
          <w:sz w:val="24"/>
          <w:szCs w:val="24"/>
        </w:rPr>
        <w:t xml:space="preserve">, </w:t>
      </w:r>
      <w:r w:rsidR="00F1404F" w:rsidRPr="00AC0D8E">
        <w:rPr>
          <w:rFonts w:ascii="Times New Roman" w:hAnsi="Times New Roman" w:cs="Times New Roman"/>
          <w:sz w:val="24"/>
          <w:szCs w:val="24"/>
        </w:rPr>
        <w:t xml:space="preserve">and </w:t>
      </w:r>
      <w:r w:rsidR="002E3F08" w:rsidRPr="00AC0D8E">
        <w:rPr>
          <w:rFonts w:ascii="Times New Roman" w:hAnsi="Times New Roman" w:cs="Times New Roman"/>
          <w:sz w:val="24"/>
          <w:szCs w:val="24"/>
        </w:rPr>
        <w:t xml:space="preserve">stock price </w:t>
      </w:r>
      <w:r w:rsidR="00C06ACD" w:rsidRPr="00AC0D8E">
        <w:rPr>
          <w:rFonts w:ascii="Times New Roman" w:hAnsi="Times New Roman" w:cs="Times New Roman"/>
          <w:sz w:val="24"/>
          <w:szCs w:val="24"/>
        </w:rPr>
        <w:t xml:space="preserve">crash risk </w:t>
      </w:r>
      <w:r w:rsidRPr="00AC0D8E">
        <w:rPr>
          <w:rFonts w:ascii="Times New Roman" w:hAnsi="Times New Roman" w:cs="Times New Roman"/>
          <w:sz w:val="24"/>
          <w:szCs w:val="24"/>
        </w:rPr>
        <w:t xml:space="preserve">are inversely related to the ratio of non-operating earnings-to-total assets. Our findings are robust to the effects of </w:t>
      </w:r>
      <w:r w:rsidR="0013451E" w:rsidRPr="00AC0D8E">
        <w:rPr>
          <w:rFonts w:ascii="Times New Roman" w:hAnsi="Times New Roman" w:cs="Times New Roman"/>
          <w:sz w:val="24"/>
          <w:szCs w:val="24"/>
        </w:rPr>
        <w:t>operating earnings</w:t>
      </w:r>
      <w:r w:rsidR="0014677D" w:rsidRPr="00AC0D8E">
        <w:rPr>
          <w:rFonts w:ascii="Times New Roman" w:hAnsi="Times New Roman" w:cs="Times New Roman"/>
          <w:sz w:val="24"/>
          <w:szCs w:val="24"/>
        </w:rPr>
        <w:t xml:space="preserve">, </w:t>
      </w:r>
      <w:r w:rsidR="00001371" w:rsidRPr="00AC0D8E">
        <w:rPr>
          <w:rFonts w:ascii="Times New Roman" w:hAnsi="Times New Roman" w:cs="Times New Roman"/>
          <w:sz w:val="24"/>
          <w:szCs w:val="24"/>
        </w:rPr>
        <w:t>several</w:t>
      </w:r>
      <w:r w:rsidRPr="00AC0D8E">
        <w:rPr>
          <w:rFonts w:ascii="Times New Roman" w:hAnsi="Times New Roman" w:cs="Times New Roman"/>
          <w:sz w:val="24"/>
          <w:szCs w:val="24"/>
        </w:rPr>
        <w:t xml:space="preserve"> </w:t>
      </w:r>
      <w:r w:rsidR="00A601C1" w:rsidRPr="00AC0D8E">
        <w:rPr>
          <w:rFonts w:ascii="Times New Roman" w:hAnsi="Times New Roman" w:cs="Times New Roman"/>
          <w:sz w:val="24"/>
          <w:szCs w:val="24"/>
        </w:rPr>
        <w:t xml:space="preserve">firm characteristics, classification shifting, </w:t>
      </w:r>
      <w:r w:rsidR="004B2CFF" w:rsidRPr="00AC0D8E">
        <w:rPr>
          <w:rFonts w:ascii="Times New Roman" w:hAnsi="Times New Roman" w:cs="Times New Roman"/>
          <w:sz w:val="24"/>
          <w:szCs w:val="24"/>
        </w:rPr>
        <w:t xml:space="preserve">and </w:t>
      </w:r>
      <w:r w:rsidR="00833188" w:rsidRPr="00AC0D8E">
        <w:rPr>
          <w:rFonts w:ascii="Times New Roman" w:hAnsi="Times New Roman" w:cs="Times New Roman"/>
          <w:sz w:val="24"/>
          <w:szCs w:val="24"/>
        </w:rPr>
        <w:t>model specifications</w:t>
      </w:r>
      <w:r w:rsidR="00A601C1" w:rsidRPr="00AC0D8E">
        <w:rPr>
          <w:rFonts w:ascii="Times New Roman" w:hAnsi="Times New Roman" w:cs="Times New Roman"/>
          <w:sz w:val="24"/>
          <w:szCs w:val="24"/>
        </w:rPr>
        <w:t>.</w:t>
      </w:r>
      <w:r w:rsidR="00C5025D" w:rsidRPr="00AC0D8E">
        <w:rPr>
          <w:rFonts w:ascii="Times New Roman" w:hAnsi="Times New Roman" w:cs="Times New Roman"/>
          <w:sz w:val="24"/>
          <w:szCs w:val="24"/>
        </w:rPr>
        <w:t xml:space="preserve"> </w:t>
      </w:r>
    </w:p>
    <w:p w14:paraId="0F3E9DD6" w14:textId="76320916" w:rsidR="00C152D9" w:rsidRPr="00893E6D" w:rsidRDefault="004B2CFF" w:rsidP="0098639F">
      <w:pPr>
        <w:spacing w:line="480" w:lineRule="auto"/>
        <w:ind w:firstLine="720"/>
        <w:contextualSpacing/>
        <w:jc w:val="both"/>
        <w:rPr>
          <w:rFonts w:ascii="Times New Roman" w:hAnsi="Times New Roman" w:cs="Times New Roman"/>
          <w:sz w:val="24"/>
          <w:szCs w:val="24"/>
        </w:rPr>
      </w:pPr>
      <w:r w:rsidRPr="00AC0D8E">
        <w:rPr>
          <w:rFonts w:ascii="Times New Roman" w:hAnsi="Times New Roman" w:cs="Times New Roman"/>
          <w:sz w:val="24"/>
          <w:szCs w:val="24"/>
        </w:rPr>
        <w:lastRenderedPageBreak/>
        <w:t>Based on our empirical finding</w:t>
      </w:r>
      <w:r w:rsidR="0031299B">
        <w:rPr>
          <w:rFonts w:ascii="Times New Roman" w:hAnsi="Times New Roman" w:cs="Times New Roman"/>
          <w:sz w:val="24"/>
          <w:szCs w:val="24"/>
        </w:rPr>
        <w:t>s</w:t>
      </w:r>
      <w:r w:rsidRPr="00AC0D8E">
        <w:rPr>
          <w:rFonts w:ascii="Times New Roman" w:hAnsi="Times New Roman" w:cs="Times New Roman"/>
          <w:sz w:val="24"/>
          <w:szCs w:val="24"/>
        </w:rPr>
        <w:t xml:space="preserve">, </w:t>
      </w:r>
      <w:r w:rsidR="00AC0D8E" w:rsidRPr="00AC0D8E">
        <w:rPr>
          <w:rFonts w:ascii="Times New Roman" w:hAnsi="Times New Roman" w:cs="Times New Roman"/>
          <w:sz w:val="24"/>
          <w:szCs w:val="24"/>
        </w:rPr>
        <w:t>the risk</w:t>
      </w:r>
      <w:r w:rsidR="00833188" w:rsidRPr="00AC0D8E">
        <w:rPr>
          <w:rFonts w:ascii="Times New Roman" w:hAnsi="Times New Roman" w:cs="Times New Roman"/>
          <w:sz w:val="24"/>
          <w:szCs w:val="24"/>
        </w:rPr>
        <w:t xml:space="preserve"> reducing effect </w:t>
      </w:r>
      <w:r w:rsidR="00C5025D" w:rsidRPr="00AC0D8E">
        <w:rPr>
          <w:rFonts w:ascii="Times New Roman" w:hAnsi="Times New Roman" w:cs="Times New Roman"/>
          <w:sz w:val="24"/>
          <w:szCs w:val="24"/>
        </w:rPr>
        <w:t xml:space="preserve">of </w:t>
      </w:r>
      <w:r w:rsidR="00AB2468" w:rsidRPr="00AC0D8E">
        <w:rPr>
          <w:rFonts w:ascii="Times New Roman" w:hAnsi="Times New Roman" w:cs="Times New Roman"/>
          <w:sz w:val="24"/>
          <w:szCs w:val="24"/>
        </w:rPr>
        <w:t>non-operating</w:t>
      </w:r>
      <w:r w:rsidR="00C5025D" w:rsidRPr="00AC0D8E">
        <w:rPr>
          <w:rFonts w:ascii="Times New Roman" w:hAnsi="Times New Roman" w:cs="Times New Roman"/>
          <w:sz w:val="24"/>
          <w:szCs w:val="24"/>
        </w:rPr>
        <w:t xml:space="preserve"> earnings on </w:t>
      </w:r>
      <w:r w:rsidR="007618A6" w:rsidRPr="00AC0D8E">
        <w:rPr>
          <w:rFonts w:ascii="Times New Roman" w:hAnsi="Times New Roman" w:cs="Times New Roman"/>
          <w:sz w:val="24"/>
          <w:szCs w:val="24"/>
        </w:rPr>
        <w:t>the volatility of return on assets (ROA)</w:t>
      </w:r>
      <w:r w:rsidR="00C5025D" w:rsidRPr="00AC0D8E">
        <w:rPr>
          <w:rFonts w:ascii="Times New Roman" w:hAnsi="Times New Roman" w:cs="Times New Roman"/>
          <w:sz w:val="24"/>
          <w:szCs w:val="24"/>
        </w:rPr>
        <w:t xml:space="preserve"> is half </w:t>
      </w:r>
      <w:r w:rsidR="004C2BC2" w:rsidRPr="00AC0D8E">
        <w:rPr>
          <w:rFonts w:ascii="Times New Roman" w:hAnsi="Times New Roman" w:cs="Times New Roman"/>
          <w:sz w:val="24"/>
          <w:szCs w:val="24"/>
        </w:rPr>
        <w:t>the</w:t>
      </w:r>
      <w:r w:rsidR="004C2BC2">
        <w:rPr>
          <w:rFonts w:ascii="Times New Roman" w:hAnsi="Times New Roman" w:cs="Times New Roman"/>
          <w:sz w:val="24"/>
          <w:szCs w:val="24"/>
        </w:rPr>
        <w:t xml:space="preserve"> </w:t>
      </w:r>
      <w:r w:rsidR="00833188">
        <w:rPr>
          <w:rFonts w:ascii="Times New Roman" w:hAnsi="Times New Roman" w:cs="Times New Roman"/>
          <w:sz w:val="24"/>
          <w:szCs w:val="24"/>
        </w:rPr>
        <w:t>effect</w:t>
      </w:r>
      <w:r w:rsidR="00833188" w:rsidRPr="00893E6D">
        <w:rPr>
          <w:rFonts w:ascii="Times New Roman" w:hAnsi="Times New Roman" w:cs="Times New Roman"/>
          <w:sz w:val="24"/>
          <w:szCs w:val="24"/>
        </w:rPr>
        <w:t xml:space="preserve"> </w:t>
      </w:r>
      <w:r w:rsidR="00C5025D" w:rsidRPr="00893E6D">
        <w:rPr>
          <w:rFonts w:ascii="Times New Roman" w:hAnsi="Times New Roman" w:cs="Times New Roman"/>
          <w:sz w:val="24"/>
          <w:szCs w:val="24"/>
        </w:rPr>
        <w:t>of operating earnings</w:t>
      </w:r>
      <w:r w:rsidR="003B0A26" w:rsidRPr="00893E6D">
        <w:rPr>
          <w:rFonts w:ascii="Times New Roman" w:hAnsi="Times New Roman" w:cs="Times New Roman"/>
          <w:sz w:val="24"/>
          <w:szCs w:val="24"/>
        </w:rPr>
        <w:t xml:space="preserve">. Specifically, </w:t>
      </w:r>
      <w:r w:rsidR="00C5025D" w:rsidRPr="00893E6D">
        <w:rPr>
          <w:rFonts w:ascii="Times New Roman" w:hAnsi="Times New Roman" w:cs="Times New Roman"/>
          <w:sz w:val="24"/>
          <w:szCs w:val="24"/>
        </w:rPr>
        <w:t xml:space="preserve">a 1% </w:t>
      </w:r>
      <w:r w:rsidR="00C5025D" w:rsidRPr="00AC0D8E">
        <w:rPr>
          <w:rFonts w:ascii="Times New Roman" w:hAnsi="Times New Roman" w:cs="Times New Roman"/>
          <w:sz w:val="24"/>
          <w:szCs w:val="24"/>
        </w:rPr>
        <w:t xml:space="preserve">increase in </w:t>
      </w:r>
      <w:r w:rsidR="00DE563E" w:rsidRPr="00AC0D8E">
        <w:rPr>
          <w:rFonts w:ascii="Times New Roman" w:hAnsi="Times New Roman" w:cs="Times New Roman"/>
          <w:sz w:val="24"/>
          <w:szCs w:val="24"/>
        </w:rPr>
        <w:t>non-</w:t>
      </w:r>
      <w:r w:rsidR="003E723E" w:rsidRPr="00AC0D8E">
        <w:rPr>
          <w:rFonts w:ascii="Times New Roman" w:hAnsi="Times New Roman" w:cs="Times New Roman"/>
          <w:sz w:val="24"/>
          <w:szCs w:val="24"/>
        </w:rPr>
        <w:t>o</w:t>
      </w:r>
      <w:r w:rsidR="00AB2468" w:rsidRPr="00AC0D8E">
        <w:rPr>
          <w:rFonts w:ascii="Times New Roman" w:hAnsi="Times New Roman" w:cs="Times New Roman"/>
          <w:sz w:val="24"/>
          <w:szCs w:val="24"/>
        </w:rPr>
        <w:t>perating</w:t>
      </w:r>
      <w:r w:rsidR="00C5025D" w:rsidRPr="00AC0D8E">
        <w:rPr>
          <w:rFonts w:ascii="Times New Roman" w:hAnsi="Times New Roman" w:cs="Times New Roman"/>
          <w:sz w:val="24"/>
          <w:szCs w:val="24"/>
        </w:rPr>
        <w:t xml:space="preserve"> earnings reduces </w:t>
      </w:r>
      <w:r w:rsidR="007618A6" w:rsidRPr="00AC0D8E">
        <w:rPr>
          <w:rFonts w:ascii="Times New Roman" w:hAnsi="Times New Roman" w:cs="Times New Roman"/>
          <w:sz w:val="24"/>
          <w:szCs w:val="24"/>
        </w:rPr>
        <w:t xml:space="preserve">ROA </w:t>
      </w:r>
      <w:r w:rsidR="00C5025D" w:rsidRPr="00AC0D8E">
        <w:rPr>
          <w:rFonts w:ascii="Times New Roman" w:hAnsi="Times New Roman" w:cs="Times New Roman"/>
          <w:sz w:val="24"/>
          <w:szCs w:val="24"/>
        </w:rPr>
        <w:t>volatility</w:t>
      </w:r>
      <w:r w:rsidR="00DE563E" w:rsidRPr="00AC0D8E">
        <w:rPr>
          <w:rFonts w:ascii="Times New Roman" w:hAnsi="Times New Roman" w:cs="Times New Roman"/>
          <w:sz w:val="24"/>
          <w:szCs w:val="24"/>
        </w:rPr>
        <w:t xml:space="preserve"> </w:t>
      </w:r>
      <w:r w:rsidR="00C5025D" w:rsidRPr="00AC0D8E">
        <w:rPr>
          <w:rFonts w:ascii="Times New Roman" w:hAnsi="Times New Roman" w:cs="Times New Roman"/>
          <w:sz w:val="24"/>
          <w:szCs w:val="24"/>
        </w:rPr>
        <w:t>by 0.059%</w:t>
      </w:r>
      <w:r w:rsidR="003B0A26" w:rsidRPr="00AC0D8E">
        <w:rPr>
          <w:rFonts w:ascii="Times New Roman" w:hAnsi="Times New Roman" w:cs="Times New Roman"/>
          <w:sz w:val="24"/>
          <w:szCs w:val="24"/>
        </w:rPr>
        <w:t>,</w:t>
      </w:r>
      <w:r w:rsidR="00C5025D" w:rsidRPr="00AC0D8E">
        <w:rPr>
          <w:rFonts w:ascii="Times New Roman" w:hAnsi="Times New Roman" w:cs="Times New Roman"/>
          <w:sz w:val="24"/>
          <w:szCs w:val="24"/>
        </w:rPr>
        <w:t xml:space="preserve"> while </w:t>
      </w:r>
      <w:r w:rsidR="008A60CC" w:rsidRPr="00AC0D8E">
        <w:rPr>
          <w:rFonts w:ascii="Times New Roman" w:hAnsi="Times New Roman" w:cs="Times New Roman"/>
          <w:sz w:val="24"/>
          <w:szCs w:val="24"/>
        </w:rPr>
        <w:t xml:space="preserve">a </w:t>
      </w:r>
      <w:r w:rsidR="00C5025D" w:rsidRPr="00AC0D8E">
        <w:rPr>
          <w:rFonts w:ascii="Times New Roman" w:hAnsi="Times New Roman" w:cs="Times New Roman"/>
          <w:sz w:val="24"/>
          <w:szCs w:val="24"/>
        </w:rPr>
        <w:t xml:space="preserve">1% increase in </w:t>
      </w:r>
      <w:r w:rsidR="00DE563E" w:rsidRPr="00AC0D8E">
        <w:rPr>
          <w:rFonts w:ascii="Times New Roman" w:hAnsi="Times New Roman" w:cs="Times New Roman"/>
          <w:sz w:val="24"/>
          <w:szCs w:val="24"/>
        </w:rPr>
        <w:t>o</w:t>
      </w:r>
      <w:r w:rsidR="00C5025D" w:rsidRPr="00AC0D8E">
        <w:rPr>
          <w:rFonts w:ascii="Times New Roman" w:hAnsi="Times New Roman" w:cs="Times New Roman"/>
          <w:sz w:val="24"/>
          <w:szCs w:val="24"/>
        </w:rPr>
        <w:t xml:space="preserve">perating earnings </w:t>
      </w:r>
      <w:r w:rsidR="00945987" w:rsidRPr="00AC0D8E">
        <w:rPr>
          <w:rFonts w:ascii="Times New Roman" w:hAnsi="Times New Roman" w:cs="Times New Roman"/>
          <w:sz w:val="24"/>
          <w:szCs w:val="24"/>
        </w:rPr>
        <w:t xml:space="preserve">reduces </w:t>
      </w:r>
      <w:r w:rsidR="007618A6" w:rsidRPr="00AC0D8E">
        <w:rPr>
          <w:rFonts w:ascii="Times New Roman" w:hAnsi="Times New Roman" w:cs="Times New Roman"/>
          <w:sz w:val="24"/>
          <w:szCs w:val="24"/>
        </w:rPr>
        <w:t xml:space="preserve">ROA </w:t>
      </w:r>
      <w:r w:rsidR="00945987" w:rsidRPr="00AC0D8E">
        <w:rPr>
          <w:rFonts w:ascii="Times New Roman" w:hAnsi="Times New Roman" w:cs="Times New Roman"/>
          <w:sz w:val="24"/>
          <w:szCs w:val="24"/>
        </w:rPr>
        <w:t>volatility by 0.119%</w:t>
      </w:r>
      <w:r w:rsidR="00833188" w:rsidRPr="00AC0D8E">
        <w:rPr>
          <w:rFonts w:ascii="Times New Roman" w:hAnsi="Times New Roman" w:cs="Times New Roman"/>
          <w:sz w:val="24"/>
          <w:szCs w:val="24"/>
        </w:rPr>
        <w:t>.</w:t>
      </w:r>
      <w:r w:rsidR="008A60CC" w:rsidRPr="00AC0D8E">
        <w:rPr>
          <w:rFonts w:ascii="Times New Roman" w:hAnsi="Times New Roman" w:cs="Times New Roman"/>
          <w:sz w:val="24"/>
          <w:szCs w:val="24"/>
        </w:rPr>
        <w:t xml:space="preserve"> </w:t>
      </w:r>
      <w:r w:rsidR="00705EB4" w:rsidRPr="00AC0D8E">
        <w:rPr>
          <w:rFonts w:ascii="Times New Roman" w:hAnsi="Times New Roman" w:cs="Times New Roman"/>
          <w:sz w:val="24"/>
          <w:szCs w:val="24"/>
        </w:rPr>
        <w:t xml:space="preserve">The </w:t>
      </w:r>
      <w:r w:rsidR="008A60CC" w:rsidRPr="00AC0D8E">
        <w:rPr>
          <w:rFonts w:ascii="Times New Roman" w:hAnsi="Times New Roman" w:cs="Times New Roman"/>
          <w:sz w:val="24"/>
          <w:szCs w:val="24"/>
        </w:rPr>
        <w:t xml:space="preserve">impact </w:t>
      </w:r>
      <w:r w:rsidR="00945987" w:rsidRPr="00AC0D8E">
        <w:rPr>
          <w:rFonts w:ascii="Times New Roman" w:hAnsi="Times New Roman" w:cs="Times New Roman"/>
          <w:sz w:val="24"/>
          <w:szCs w:val="24"/>
        </w:rPr>
        <w:t xml:space="preserve">of </w:t>
      </w:r>
      <w:r w:rsidR="00AB2468" w:rsidRPr="00AC0D8E">
        <w:rPr>
          <w:rFonts w:ascii="Times New Roman" w:hAnsi="Times New Roman" w:cs="Times New Roman"/>
          <w:sz w:val="24"/>
          <w:szCs w:val="24"/>
        </w:rPr>
        <w:t>non-operating</w:t>
      </w:r>
      <w:r w:rsidR="00945987" w:rsidRPr="00AC0D8E">
        <w:rPr>
          <w:rFonts w:ascii="Times New Roman" w:hAnsi="Times New Roman" w:cs="Times New Roman"/>
          <w:sz w:val="24"/>
          <w:szCs w:val="24"/>
        </w:rPr>
        <w:t xml:space="preserve"> earnings on stock price </w:t>
      </w:r>
      <w:r w:rsidR="008A60CC" w:rsidRPr="00AC0D8E">
        <w:rPr>
          <w:rFonts w:ascii="Times New Roman" w:hAnsi="Times New Roman" w:cs="Times New Roman"/>
          <w:sz w:val="24"/>
          <w:szCs w:val="24"/>
        </w:rPr>
        <w:t>volatility is</w:t>
      </w:r>
      <w:r w:rsidR="00945987" w:rsidRPr="00AC0D8E">
        <w:rPr>
          <w:rFonts w:ascii="Times New Roman" w:hAnsi="Times New Roman" w:cs="Times New Roman"/>
          <w:sz w:val="24"/>
          <w:szCs w:val="24"/>
        </w:rPr>
        <w:t xml:space="preserve"> </w:t>
      </w:r>
      <w:r w:rsidR="0069455B" w:rsidRPr="00AC0D8E">
        <w:rPr>
          <w:rFonts w:ascii="Times New Roman" w:hAnsi="Times New Roman" w:cs="Times New Roman"/>
          <w:sz w:val="24"/>
          <w:szCs w:val="24"/>
        </w:rPr>
        <w:t xml:space="preserve">of </w:t>
      </w:r>
      <w:r w:rsidR="008A60CC" w:rsidRPr="00AC0D8E">
        <w:rPr>
          <w:rFonts w:ascii="Times New Roman" w:hAnsi="Times New Roman" w:cs="Times New Roman"/>
          <w:sz w:val="24"/>
          <w:szCs w:val="24"/>
        </w:rPr>
        <w:t xml:space="preserve">a </w:t>
      </w:r>
      <w:r w:rsidRPr="00AC0D8E">
        <w:rPr>
          <w:rFonts w:ascii="Times New Roman" w:hAnsi="Times New Roman" w:cs="Times New Roman"/>
          <w:sz w:val="24"/>
          <w:szCs w:val="24"/>
        </w:rPr>
        <w:t>greater magnitude</w:t>
      </w:r>
      <w:r w:rsidR="00DE563E" w:rsidRPr="00AC0D8E">
        <w:rPr>
          <w:rFonts w:ascii="Times New Roman" w:hAnsi="Times New Roman" w:cs="Times New Roman"/>
          <w:sz w:val="24"/>
          <w:szCs w:val="24"/>
        </w:rPr>
        <w:t xml:space="preserve"> than</w:t>
      </w:r>
      <w:r w:rsidR="0069455B" w:rsidRPr="00AC0D8E">
        <w:rPr>
          <w:rFonts w:ascii="Times New Roman" w:hAnsi="Times New Roman" w:cs="Times New Roman"/>
          <w:sz w:val="24"/>
          <w:szCs w:val="24"/>
        </w:rPr>
        <w:t xml:space="preserve"> </w:t>
      </w:r>
      <w:r w:rsidR="004C2BC2" w:rsidRPr="00AC0D8E">
        <w:rPr>
          <w:rFonts w:ascii="Times New Roman" w:hAnsi="Times New Roman" w:cs="Times New Roman"/>
          <w:sz w:val="24"/>
          <w:szCs w:val="24"/>
        </w:rPr>
        <w:t xml:space="preserve">the impact </w:t>
      </w:r>
      <w:r w:rsidR="00945987" w:rsidRPr="00AC0D8E">
        <w:rPr>
          <w:rFonts w:ascii="Times New Roman" w:hAnsi="Times New Roman" w:cs="Times New Roman"/>
          <w:sz w:val="24"/>
          <w:szCs w:val="24"/>
        </w:rPr>
        <w:t>of operating earnings</w:t>
      </w:r>
      <w:r w:rsidR="00DE563E" w:rsidRPr="00AC0D8E">
        <w:rPr>
          <w:rFonts w:ascii="Times New Roman" w:hAnsi="Times New Roman" w:cs="Times New Roman"/>
          <w:sz w:val="24"/>
          <w:szCs w:val="24"/>
        </w:rPr>
        <w:t xml:space="preserve">. </w:t>
      </w:r>
      <w:r w:rsidR="003B0A26" w:rsidRPr="00AC0D8E">
        <w:rPr>
          <w:rFonts w:ascii="Times New Roman" w:hAnsi="Times New Roman" w:cs="Times New Roman"/>
          <w:sz w:val="24"/>
          <w:szCs w:val="24"/>
        </w:rPr>
        <w:t xml:space="preserve">A </w:t>
      </w:r>
      <w:r w:rsidR="0069455B" w:rsidRPr="00AC0D8E">
        <w:rPr>
          <w:rFonts w:ascii="Times New Roman" w:hAnsi="Times New Roman" w:cs="Times New Roman"/>
          <w:sz w:val="24"/>
          <w:szCs w:val="24"/>
        </w:rPr>
        <w:t xml:space="preserve">1% increase in </w:t>
      </w:r>
      <w:r w:rsidR="00AB2468" w:rsidRPr="00AC0D8E">
        <w:rPr>
          <w:rFonts w:ascii="Times New Roman" w:hAnsi="Times New Roman" w:cs="Times New Roman"/>
          <w:sz w:val="24"/>
          <w:szCs w:val="24"/>
        </w:rPr>
        <w:t>non-operating</w:t>
      </w:r>
      <w:r w:rsidR="0069455B" w:rsidRPr="00AC0D8E">
        <w:rPr>
          <w:rFonts w:ascii="Times New Roman" w:hAnsi="Times New Roman" w:cs="Times New Roman"/>
          <w:sz w:val="24"/>
          <w:szCs w:val="24"/>
        </w:rPr>
        <w:t xml:space="preserve"> earnings (operating earnings) is associated with </w:t>
      </w:r>
      <w:r w:rsidR="00C367AF" w:rsidRPr="00AC0D8E">
        <w:rPr>
          <w:rFonts w:ascii="Times New Roman" w:hAnsi="Times New Roman" w:cs="Times New Roman"/>
          <w:sz w:val="24"/>
          <w:szCs w:val="24"/>
        </w:rPr>
        <w:t xml:space="preserve">a </w:t>
      </w:r>
      <w:r w:rsidR="0069455B" w:rsidRPr="00AC0D8E">
        <w:rPr>
          <w:rFonts w:ascii="Times New Roman" w:hAnsi="Times New Roman" w:cs="Times New Roman"/>
          <w:sz w:val="24"/>
          <w:szCs w:val="24"/>
        </w:rPr>
        <w:t xml:space="preserve">0.376% (0.374%) decrease in stock price </w:t>
      </w:r>
      <w:r w:rsidR="00964732" w:rsidRPr="00AC0D8E">
        <w:rPr>
          <w:rFonts w:ascii="Times New Roman" w:hAnsi="Times New Roman" w:cs="Times New Roman"/>
          <w:sz w:val="24"/>
          <w:szCs w:val="24"/>
        </w:rPr>
        <w:t xml:space="preserve">total </w:t>
      </w:r>
      <w:r w:rsidR="0069455B" w:rsidRPr="00AC0D8E">
        <w:rPr>
          <w:rFonts w:ascii="Times New Roman" w:hAnsi="Times New Roman" w:cs="Times New Roman"/>
          <w:sz w:val="24"/>
          <w:szCs w:val="24"/>
        </w:rPr>
        <w:t>volatility</w:t>
      </w:r>
      <w:r w:rsidR="003339A0" w:rsidRPr="00AC0D8E">
        <w:rPr>
          <w:rFonts w:ascii="Times New Roman" w:hAnsi="Times New Roman" w:cs="Times New Roman"/>
          <w:sz w:val="24"/>
          <w:szCs w:val="24"/>
        </w:rPr>
        <w:t>.</w:t>
      </w:r>
      <w:r w:rsidR="00EB0C23" w:rsidRPr="00AC0D8E">
        <w:rPr>
          <w:rFonts w:ascii="Times New Roman" w:hAnsi="Times New Roman" w:cs="Times New Roman"/>
          <w:sz w:val="24"/>
          <w:szCs w:val="24"/>
        </w:rPr>
        <w:t xml:space="preserve"> </w:t>
      </w:r>
      <w:r w:rsidRPr="00AC0D8E">
        <w:rPr>
          <w:rFonts w:ascii="Times New Roman" w:hAnsi="Times New Roman" w:cs="Times New Roman"/>
          <w:sz w:val="24"/>
          <w:szCs w:val="24"/>
        </w:rPr>
        <w:t>Likewise</w:t>
      </w:r>
      <w:r w:rsidR="007618A6" w:rsidRPr="00AC0D8E">
        <w:rPr>
          <w:rFonts w:ascii="Times New Roman" w:hAnsi="Times New Roman" w:cs="Times New Roman"/>
          <w:sz w:val="24"/>
          <w:szCs w:val="24"/>
        </w:rPr>
        <w:t>,</w:t>
      </w:r>
      <w:r w:rsidR="00EB0C23" w:rsidRPr="00AC0D8E">
        <w:rPr>
          <w:rFonts w:ascii="Times New Roman" w:hAnsi="Times New Roman" w:cs="Times New Roman"/>
          <w:sz w:val="24"/>
          <w:szCs w:val="24"/>
        </w:rPr>
        <w:t xml:space="preserve"> </w:t>
      </w:r>
      <w:r w:rsidR="003E723E" w:rsidRPr="00AC0D8E">
        <w:rPr>
          <w:rFonts w:ascii="Times New Roman" w:hAnsi="Times New Roman" w:cs="Times New Roman"/>
          <w:sz w:val="24"/>
          <w:szCs w:val="24"/>
        </w:rPr>
        <w:t>a 1% increase in non-operating earnings (operating earnings</w:t>
      </w:r>
      <w:r w:rsidR="003E723E" w:rsidRPr="00893E6D">
        <w:rPr>
          <w:rFonts w:ascii="Times New Roman" w:hAnsi="Times New Roman" w:cs="Times New Roman"/>
          <w:sz w:val="24"/>
          <w:szCs w:val="24"/>
        </w:rPr>
        <w:t>) reduces stock price idiosyncratic risk by 0.435% (0.355%)</w:t>
      </w:r>
      <w:r w:rsidR="00833188">
        <w:rPr>
          <w:rFonts w:ascii="Times New Roman" w:hAnsi="Times New Roman" w:cs="Times New Roman"/>
          <w:sz w:val="24"/>
          <w:szCs w:val="24"/>
        </w:rPr>
        <w:t>.</w:t>
      </w:r>
      <w:r w:rsidR="00705EB4" w:rsidRPr="00893E6D">
        <w:rPr>
          <w:rFonts w:ascii="Times New Roman" w:hAnsi="Times New Roman" w:cs="Times New Roman"/>
          <w:sz w:val="24"/>
          <w:szCs w:val="24"/>
        </w:rPr>
        <w:t xml:space="preserve"> </w:t>
      </w:r>
      <w:r>
        <w:rPr>
          <w:rFonts w:ascii="Times New Roman" w:hAnsi="Times New Roman" w:cs="Times New Roman"/>
          <w:sz w:val="24"/>
          <w:szCs w:val="24"/>
        </w:rPr>
        <w:t>Lastly</w:t>
      </w:r>
      <w:r w:rsidR="007618A6">
        <w:rPr>
          <w:rFonts w:ascii="Times New Roman" w:hAnsi="Times New Roman" w:cs="Times New Roman"/>
          <w:sz w:val="24"/>
          <w:szCs w:val="24"/>
        </w:rPr>
        <w:t>,</w:t>
      </w:r>
      <w:r w:rsidR="003E723E" w:rsidRPr="00893E6D">
        <w:rPr>
          <w:rFonts w:ascii="Times New Roman" w:hAnsi="Times New Roman" w:cs="Times New Roman"/>
          <w:sz w:val="24"/>
          <w:szCs w:val="24"/>
        </w:rPr>
        <w:t xml:space="preserve"> a 1% increase in non-operating earnings (operating earnings) reduces </w:t>
      </w:r>
      <w:r w:rsidR="00DE563E" w:rsidRPr="00893E6D">
        <w:rPr>
          <w:rFonts w:ascii="Times New Roman" w:hAnsi="Times New Roman" w:cs="Times New Roman"/>
          <w:sz w:val="24"/>
          <w:szCs w:val="24"/>
        </w:rPr>
        <w:t>stock price crash risk</w:t>
      </w:r>
      <w:r w:rsidR="003E723E" w:rsidRPr="00893E6D">
        <w:rPr>
          <w:rFonts w:ascii="Times New Roman" w:hAnsi="Times New Roman" w:cs="Times New Roman"/>
          <w:sz w:val="24"/>
          <w:szCs w:val="24"/>
        </w:rPr>
        <w:t xml:space="preserve"> by 0.697% (0.197%). </w:t>
      </w:r>
      <w:r w:rsidR="00833188">
        <w:rPr>
          <w:rFonts w:ascii="Times New Roman" w:hAnsi="Times New Roman" w:cs="Times New Roman"/>
          <w:sz w:val="24"/>
          <w:szCs w:val="24"/>
        </w:rPr>
        <w:t>W</w:t>
      </w:r>
      <w:r w:rsidR="00C152D9" w:rsidRPr="00893E6D">
        <w:rPr>
          <w:rFonts w:ascii="Times New Roman" w:hAnsi="Times New Roman" w:cs="Times New Roman"/>
          <w:sz w:val="24"/>
          <w:szCs w:val="24"/>
        </w:rPr>
        <w:t xml:space="preserve">e find that the risk-reducing effects of non-operating income are more pronounced in firms with operating losses, growth uncertainty, high financial leverage, </w:t>
      </w:r>
      <w:r w:rsidR="00833188">
        <w:rPr>
          <w:rFonts w:ascii="Times New Roman" w:hAnsi="Times New Roman" w:cs="Times New Roman"/>
          <w:sz w:val="24"/>
          <w:szCs w:val="24"/>
        </w:rPr>
        <w:t>and/</w:t>
      </w:r>
      <w:r w:rsidR="00C152D9" w:rsidRPr="00893E6D">
        <w:rPr>
          <w:rFonts w:ascii="Times New Roman" w:hAnsi="Times New Roman" w:cs="Times New Roman"/>
          <w:sz w:val="24"/>
          <w:szCs w:val="24"/>
        </w:rPr>
        <w:t xml:space="preserve">or low-ability managers. </w:t>
      </w:r>
    </w:p>
    <w:p w14:paraId="2C16B983" w14:textId="69DCF433" w:rsidR="00C82E9F" w:rsidRPr="00893E6D" w:rsidRDefault="00833188" w:rsidP="00496962">
      <w:pPr>
        <w:spacing w:line="480" w:lineRule="auto"/>
        <w:ind w:firstLine="720"/>
        <w:contextualSpacing/>
        <w:jc w:val="both"/>
        <w:rPr>
          <w:rFonts w:ascii="Times New Roman" w:hAnsi="Times New Roman" w:cs="Times New Roman"/>
          <w:sz w:val="24"/>
          <w:szCs w:val="24"/>
        </w:rPr>
      </w:pPr>
      <w:r w:rsidRPr="00496962">
        <w:rPr>
          <w:rFonts w:ascii="Times New Roman" w:hAnsi="Times New Roman" w:cs="Times New Roman"/>
          <w:sz w:val="24"/>
          <w:szCs w:val="24"/>
        </w:rPr>
        <w:t>We contribute to the emerging literature on non-operating earnings as well as the literature on equity volatility and crash risk. The empirical findings bear important implications for both investors and managers. Factoring non-operating earnings allow</w:t>
      </w:r>
      <w:r w:rsidR="00B3602F">
        <w:rPr>
          <w:rFonts w:ascii="Times New Roman" w:hAnsi="Times New Roman" w:cs="Times New Roman"/>
          <w:sz w:val="24"/>
          <w:szCs w:val="24"/>
        </w:rPr>
        <w:t>s</w:t>
      </w:r>
      <w:r w:rsidRPr="00496962">
        <w:rPr>
          <w:rFonts w:ascii="Times New Roman" w:hAnsi="Times New Roman" w:cs="Times New Roman"/>
          <w:sz w:val="24"/>
          <w:szCs w:val="24"/>
        </w:rPr>
        <w:t xml:space="preserve"> a comprehensive assessment of the overall riskiness of the portfolio of operations. Non-core operating units that complement existing business operations and provide the firm with an additional revenue stream to counter cyclical effects </w:t>
      </w:r>
      <w:r w:rsidR="00173260" w:rsidRPr="00496962">
        <w:rPr>
          <w:rFonts w:ascii="Times New Roman" w:hAnsi="Times New Roman" w:cs="Times New Roman"/>
          <w:sz w:val="24"/>
          <w:szCs w:val="24"/>
        </w:rPr>
        <w:t xml:space="preserve">on </w:t>
      </w:r>
      <w:r w:rsidRPr="00496962">
        <w:rPr>
          <w:rFonts w:ascii="Times New Roman" w:hAnsi="Times New Roman" w:cs="Times New Roman"/>
          <w:sz w:val="24"/>
          <w:szCs w:val="24"/>
        </w:rPr>
        <w:t xml:space="preserve">the core operations are </w:t>
      </w:r>
      <w:r w:rsidR="00173260" w:rsidRPr="00496962">
        <w:rPr>
          <w:rFonts w:ascii="Times New Roman" w:hAnsi="Times New Roman" w:cs="Times New Roman"/>
          <w:sz w:val="24"/>
          <w:szCs w:val="24"/>
        </w:rPr>
        <w:t>valuable</w:t>
      </w:r>
      <w:r w:rsidRPr="00496962">
        <w:rPr>
          <w:rFonts w:ascii="Times New Roman" w:hAnsi="Times New Roman" w:cs="Times New Roman"/>
          <w:sz w:val="24"/>
          <w:szCs w:val="24"/>
        </w:rPr>
        <w:t xml:space="preserve">. </w:t>
      </w:r>
      <w:r w:rsidR="00173260" w:rsidRPr="00496962">
        <w:rPr>
          <w:rFonts w:ascii="Times New Roman" w:hAnsi="Times New Roman" w:cs="Times New Roman"/>
          <w:sz w:val="24"/>
          <w:szCs w:val="24"/>
        </w:rPr>
        <w:t>Finally</w:t>
      </w:r>
      <w:r w:rsidRPr="00496962">
        <w:rPr>
          <w:rFonts w:ascii="Times New Roman" w:hAnsi="Times New Roman" w:cs="Times New Roman"/>
          <w:sz w:val="24"/>
          <w:szCs w:val="24"/>
        </w:rPr>
        <w:t xml:space="preserve">, analyzing the effects of non-operating earnings </w:t>
      </w:r>
      <w:r w:rsidR="004B2CFF">
        <w:rPr>
          <w:rFonts w:ascii="Times New Roman" w:hAnsi="Times New Roman" w:cs="Times New Roman"/>
          <w:sz w:val="24"/>
          <w:szCs w:val="24"/>
        </w:rPr>
        <w:t>distinct</w:t>
      </w:r>
      <w:r w:rsidR="004B2CFF" w:rsidRPr="00496962">
        <w:rPr>
          <w:rFonts w:ascii="Times New Roman" w:hAnsi="Times New Roman" w:cs="Times New Roman"/>
          <w:sz w:val="24"/>
          <w:szCs w:val="24"/>
        </w:rPr>
        <w:t xml:space="preserve"> </w:t>
      </w:r>
      <w:r w:rsidRPr="00496962">
        <w:rPr>
          <w:rFonts w:ascii="Times New Roman" w:hAnsi="Times New Roman" w:cs="Times New Roman"/>
          <w:sz w:val="24"/>
          <w:szCs w:val="24"/>
        </w:rPr>
        <w:t>from operating earnings increases transparency in the firm operations</w:t>
      </w:r>
      <w:r w:rsidR="00C82E9F" w:rsidRPr="00496962">
        <w:rPr>
          <w:rFonts w:ascii="Times New Roman" w:hAnsi="Times New Roman" w:cs="Times New Roman"/>
          <w:sz w:val="24"/>
          <w:szCs w:val="24"/>
        </w:rPr>
        <w:t>.</w:t>
      </w:r>
    </w:p>
    <w:p w14:paraId="66F2D7F8" w14:textId="76F0BA60" w:rsidR="00A55B0C" w:rsidRPr="00AC0D8E" w:rsidRDefault="00A55B0C" w:rsidP="00496962">
      <w:pPr>
        <w:spacing w:line="480" w:lineRule="auto"/>
        <w:ind w:firstLine="450"/>
        <w:jc w:val="both"/>
        <w:rPr>
          <w:rFonts w:ascii="Times New Roman" w:hAnsi="Times New Roman" w:cs="Times New Roman"/>
          <w:sz w:val="24"/>
          <w:szCs w:val="24"/>
        </w:rPr>
      </w:pPr>
      <w:r w:rsidRPr="00893E6D">
        <w:rPr>
          <w:rFonts w:ascii="Times New Roman" w:hAnsi="Times New Roman" w:cs="Times New Roman"/>
          <w:sz w:val="24"/>
          <w:szCs w:val="24"/>
        </w:rPr>
        <w:t xml:space="preserve">The </w:t>
      </w:r>
      <w:r w:rsidR="00FA7BA0">
        <w:rPr>
          <w:rFonts w:ascii="Times New Roman" w:hAnsi="Times New Roman" w:cs="Times New Roman"/>
          <w:sz w:val="24"/>
          <w:szCs w:val="24"/>
        </w:rPr>
        <w:t>remainder</w:t>
      </w:r>
      <w:r w:rsidR="00FA7BA0" w:rsidRPr="00893E6D">
        <w:rPr>
          <w:rFonts w:ascii="Times New Roman" w:hAnsi="Times New Roman" w:cs="Times New Roman"/>
          <w:sz w:val="24"/>
          <w:szCs w:val="24"/>
        </w:rPr>
        <w:t xml:space="preserve"> </w:t>
      </w:r>
      <w:r w:rsidRPr="00893E6D">
        <w:rPr>
          <w:rFonts w:ascii="Times New Roman" w:hAnsi="Times New Roman" w:cs="Times New Roman"/>
          <w:sz w:val="24"/>
          <w:szCs w:val="24"/>
        </w:rPr>
        <w:t xml:space="preserve">of the paper is organized as follows. Section 2 </w:t>
      </w:r>
      <w:r w:rsidR="00FA7BA0">
        <w:rPr>
          <w:rFonts w:ascii="Times New Roman" w:hAnsi="Times New Roman" w:cs="Times New Roman"/>
          <w:sz w:val="24"/>
          <w:szCs w:val="24"/>
        </w:rPr>
        <w:t>reviews the literature</w:t>
      </w:r>
      <w:r w:rsidRPr="00893E6D">
        <w:rPr>
          <w:rFonts w:ascii="Times New Roman" w:hAnsi="Times New Roman" w:cs="Times New Roman"/>
          <w:sz w:val="24"/>
          <w:szCs w:val="24"/>
        </w:rPr>
        <w:t xml:space="preserve"> and develops </w:t>
      </w:r>
      <w:r w:rsidR="00FA7BA0">
        <w:rPr>
          <w:rFonts w:ascii="Times New Roman" w:hAnsi="Times New Roman" w:cs="Times New Roman"/>
          <w:sz w:val="24"/>
          <w:szCs w:val="24"/>
        </w:rPr>
        <w:t>the</w:t>
      </w:r>
      <w:r w:rsidR="00FA7BA0" w:rsidRPr="00893E6D">
        <w:rPr>
          <w:rFonts w:ascii="Times New Roman" w:hAnsi="Times New Roman" w:cs="Times New Roman"/>
          <w:sz w:val="24"/>
          <w:szCs w:val="24"/>
        </w:rPr>
        <w:t xml:space="preserve"> </w:t>
      </w:r>
      <w:r w:rsidRPr="00893E6D">
        <w:rPr>
          <w:rFonts w:ascii="Times New Roman" w:hAnsi="Times New Roman" w:cs="Times New Roman"/>
          <w:sz w:val="24"/>
          <w:szCs w:val="24"/>
        </w:rPr>
        <w:t xml:space="preserve">hypotheses. </w:t>
      </w:r>
      <w:r w:rsidRPr="00AC0D8E">
        <w:rPr>
          <w:rFonts w:ascii="Times New Roman" w:hAnsi="Times New Roman" w:cs="Times New Roman"/>
          <w:sz w:val="24"/>
          <w:szCs w:val="24"/>
        </w:rPr>
        <w:t xml:space="preserve">Section 3 describes the sample and methodology. Section 4 </w:t>
      </w:r>
      <w:r w:rsidR="00FA7BA0" w:rsidRPr="00AC0D8E">
        <w:rPr>
          <w:rFonts w:ascii="Times New Roman" w:hAnsi="Times New Roman" w:cs="Times New Roman"/>
          <w:sz w:val="24"/>
          <w:szCs w:val="24"/>
        </w:rPr>
        <w:t xml:space="preserve">presents and discusses </w:t>
      </w:r>
      <w:r w:rsidRPr="00AC0D8E">
        <w:rPr>
          <w:rFonts w:ascii="Times New Roman" w:hAnsi="Times New Roman" w:cs="Times New Roman"/>
          <w:sz w:val="24"/>
          <w:szCs w:val="24"/>
        </w:rPr>
        <w:t xml:space="preserve">the empirical </w:t>
      </w:r>
      <w:r w:rsidR="00FA7BA0" w:rsidRPr="00AC0D8E">
        <w:rPr>
          <w:rFonts w:ascii="Times New Roman" w:hAnsi="Times New Roman" w:cs="Times New Roman"/>
          <w:sz w:val="24"/>
          <w:szCs w:val="24"/>
        </w:rPr>
        <w:t xml:space="preserve">findings, </w:t>
      </w:r>
      <w:r w:rsidRPr="00AC0D8E">
        <w:rPr>
          <w:rFonts w:ascii="Times New Roman" w:hAnsi="Times New Roman" w:cs="Times New Roman"/>
          <w:sz w:val="24"/>
          <w:szCs w:val="24"/>
        </w:rPr>
        <w:t xml:space="preserve">and Section 5 </w:t>
      </w:r>
      <w:r w:rsidR="00FA7BA0" w:rsidRPr="00AC0D8E">
        <w:rPr>
          <w:rFonts w:ascii="Times New Roman" w:hAnsi="Times New Roman" w:cs="Times New Roman"/>
          <w:sz w:val="24"/>
          <w:szCs w:val="24"/>
        </w:rPr>
        <w:t>concludes the paper</w:t>
      </w:r>
      <w:r w:rsidRPr="00AC0D8E">
        <w:rPr>
          <w:rFonts w:ascii="Times New Roman" w:hAnsi="Times New Roman" w:cs="Times New Roman"/>
          <w:sz w:val="24"/>
          <w:szCs w:val="24"/>
        </w:rPr>
        <w:t>.</w:t>
      </w:r>
    </w:p>
    <w:p w14:paraId="45E9D356" w14:textId="056C11E5" w:rsidR="000E06C7" w:rsidRPr="00AC0D8E" w:rsidRDefault="008355A3" w:rsidP="00A1062B">
      <w:pPr>
        <w:pStyle w:val="ListParagraph"/>
        <w:numPr>
          <w:ilvl w:val="0"/>
          <w:numId w:val="1"/>
        </w:numPr>
        <w:spacing w:line="480" w:lineRule="auto"/>
        <w:jc w:val="both"/>
        <w:rPr>
          <w:rFonts w:ascii="Times New Roman" w:hAnsi="Times New Roman" w:cs="Times New Roman"/>
          <w:b/>
          <w:sz w:val="24"/>
          <w:szCs w:val="24"/>
        </w:rPr>
      </w:pPr>
      <w:r w:rsidRPr="00AC0D8E">
        <w:rPr>
          <w:rFonts w:ascii="Times New Roman" w:hAnsi="Times New Roman" w:cs="Times New Roman"/>
          <w:b/>
          <w:sz w:val="24"/>
          <w:szCs w:val="24"/>
        </w:rPr>
        <w:t xml:space="preserve">Literature </w:t>
      </w:r>
      <w:r w:rsidR="00D2441F" w:rsidRPr="00AC0D8E">
        <w:rPr>
          <w:rFonts w:ascii="Times New Roman" w:hAnsi="Times New Roman" w:cs="Times New Roman"/>
          <w:b/>
          <w:sz w:val="24"/>
          <w:szCs w:val="24"/>
        </w:rPr>
        <w:t>r</w:t>
      </w:r>
      <w:r w:rsidR="0076652A" w:rsidRPr="00AC0D8E">
        <w:rPr>
          <w:rFonts w:ascii="Times New Roman" w:hAnsi="Times New Roman" w:cs="Times New Roman"/>
          <w:b/>
          <w:sz w:val="24"/>
          <w:szCs w:val="24"/>
        </w:rPr>
        <w:t xml:space="preserve">eview and </w:t>
      </w:r>
      <w:r w:rsidR="00D2441F" w:rsidRPr="00AC0D8E">
        <w:rPr>
          <w:rFonts w:ascii="Times New Roman" w:hAnsi="Times New Roman" w:cs="Times New Roman"/>
          <w:b/>
          <w:sz w:val="24"/>
          <w:szCs w:val="24"/>
        </w:rPr>
        <w:t>h</w:t>
      </w:r>
      <w:r w:rsidRPr="00AC0D8E">
        <w:rPr>
          <w:rFonts w:ascii="Times New Roman" w:hAnsi="Times New Roman" w:cs="Times New Roman"/>
          <w:b/>
          <w:sz w:val="24"/>
          <w:szCs w:val="24"/>
        </w:rPr>
        <w:t xml:space="preserve">ypothesis </w:t>
      </w:r>
      <w:r w:rsidR="00D2441F" w:rsidRPr="00AC0D8E">
        <w:rPr>
          <w:rFonts w:ascii="Times New Roman" w:hAnsi="Times New Roman" w:cs="Times New Roman"/>
          <w:b/>
          <w:sz w:val="24"/>
          <w:szCs w:val="24"/>
        </w:rPr>
        <w:t>d</w:t>
      </w:r>
      <w:r w:rsidRPr="00AC0D8E">
        <w:rPr>
          <w:rFonts w:ascii="Times New Roman" w:hAnsi="Times New Roman" w:cs="Times New Roman"/>
          <w:b/>
          <w:sz w:val="24"/>
          <w:szCs w:val="24"/>
        </w:rPr>
        <w:t>evelopment</w:t>
      </w:r>
    </w:p>
    <w:p w14:paraId="463A9800" w14:textId="202A1049" w:rsidR="005000C7" w:rsidRPr="00AC0D8E" w:rsidRDefault="00692EEC" w:rsidP="00A1062B">
      <w:pPr>
        <w:pStyle w:val="ListParagraph"/>
        <w:numPr>
          <w:ilvl w:val="1"/>
          <w:numId w:val="1"/>
        </w:numPr>
        <w:spacing w:line="480" w:lineRule="auto"/>
        <w:jc w:val="both"/>
        <w:rPr>
          <w:rFonts w:ascii="Times New Roman" w:hAnsi="Times New Roman" w:cs="Times New Roman"/>
          <w:b/>
          <w:i/>
          <w:sz w:val="24"/>
          <w:szCs w:val="24"/>
        </w:rPr>
      </w:pPr>
      <w:r w:rsidRPr="00AC0D8E">
        <w:rPr>
          <w:rFonts w:ascii="Times New Roman" w:hAnsi="Times New Roman" w:cs="Times New Roman"/>
          <w:b/>
          <w:i/>
          <w:sz w:val="24"/>
          <w:szCs w:val="24"/>
        </w:rPr>
        <w:t xml:space="preserve"> </w:t>
      </w:r>
      <w:r w:rsidR="005000C7" w:rsidRPr="00AC0D8E">
        <w:rPr>
          <w:rFonts w:ascii="Times New Roman" w:hAnsi="Times New Roman" w:cs="Times New Roman"/>
          <w:b/>
          <w:i/>
          <w:sz w:val="24"/>
          <w:szCs w:val="24"/>
        </w:rPr>
        <w:t xml:space="preserve">Earnings </w:t>
      </w:r>
      <w:r w:rsidR="00D2441F" w:rsidRPr="00AC0D8E">
        <w:rPr>
          <w:rFonts w:ascii="Times New Roman" w:hAnsi="Times New Roman" w:cs="Times New Roman"/>
          <w:b/>
          <w:i/>
          <w:sz w:val="24"/>
          <w:szCs w:val="24"/>
        </w:rPr>
        <w:t>c</w:t>
      </w:r>
      <w:r w:rsidR="0076652A" w:rsidRPr="00AC0D8E">
        <w:rPr>
          <w:rFonts w:ascii="Times New Roman" w:hAnsi="Times New Roman" w:cs="Times New Roman"/>
          <w:b/>
          <w:i/>
          <w:sz w:val="24"/>
          <w:szCs w:val="24"/>
        </w:rPr>
        <w:t xml:space="preserve">omponents and </w:t>
      </w:r>
      <w:r w:rsidR="00D2441F" w:rsidRPr="00AC0D8E">
        <w:rPr>
          <w:rFonts w:ascii="Times New Roman" w:hAnsi="Times New Roman" w:cs="Times New Roman"/>
          <w:b/>
          <w:i/>
          <w:sz w:val="24"/>
          <w:szCs w:val="24"/>
        </w:rPr>
        <w:t>f</w:t>
      </w:r>
      <w:r w:rsidR="0076652A" w:rsidRPr="00AC0D8E">
        <w:rPr>
          <w:rFonts w:ascii="Times New Roman" w:hAnsi="Times New Roman" w:cs="Times New Roman"/>
          <w:b/>
          <w:i/>
          <w:sz w:val="24"/>
          <w:szCs w:val="24"/>
        </w:rPr>
        <w:t xml:space="preserve">irm </w:t>
      </w:r>
      <w:r w:rsidR="00D2441F" w:rsidRPr="00AC0D8E">
        <w:rPr>
          <w:rFonts w:ascii="Times New Roman" w:hAnsi="Times New Roman" w:cs="Times New Roman"/>
          <w:b/>
          <w:i/>
          <w:sz w:val="24"/>
          <w:szCs w:val="24"/>
        </w:rPr>
        <w:t>v</w:t>
      </w:r>
      <w:r w:rsidR="0076652A" w:rsidRPr="00AC0D8E">
        <w:rPr>
          <w:rFonts w:ascii="Times New Roman" w:hAnsi="Times New Roman" w:cs="Times New Roman"/>
          <w:b/>
          <w:i/>
          <w:sz w:val="24"/>
          <w:szCs w:val="24"/>
        </w:rPr>
        <w:t>aluation</w:t>
      </w:r>
    </w:p>
    <w:p w14:paraId="22A64966" w14:textId="5294FCAC" w:rsidR="00AF785D" w:rsidRPr="00893E6D" w:rsidRDefault="00503618" w:rsidP="00A1062B">
      <w:pPr>
        <w:autoSpaceDE w:val="0"/>
        <w:autoSpaceDN w:val="0"/>
        <w:adjustRightInd w:val="0"/>
        <w:spacing w:after="0" w:line="480" w:lineRule="auto"/>
        <w:ind w:firstLine="720"/>
        <w:jc w:val="both"/>
        <w:rPr>
          <w:rFonts w:ascii="Times New Roman" w:hAnsi="Times New Roman" w:cs="Times New Roman"/>
          <w:sz w:val="24"/>
          <w:szCs w:val="24"/>
        </w:rPr>
      </w:pPr>
      <w:r w:rsidRPr="00AC0D8E">
        <w:rPr>
          <w:rFonts w:ascii="Times New Roman" w:hAnsi="Times New Roman" w:cs="Times New Roman"/>
          <w:sz w:val="24"/>
          <w:szCs w:val="24"/>
        </w:rPr>
        <w:lastRenderedPageBreak/>
        <w:t>Non-operating earnings are a function of exception</w:t>
      </w:r>
      <w:r w:rsidR="00417E09" w:rsidRPr="00AC0D8E">
        <w:rPr>
          <w:rFonts w:ascii="Times New Roman" w:hAnsi="Times New Roman" w:cs="Times New Roman"/>
          <w:sz w:val="24"/>
          <w:szCs w:val="24"/>
        </w:rPr>
        <w:t>al</w:t>
      </w:r>
      <w:r w:rsidRPr="00AC0D8E">
        <w:rPr>
          <w:rFonts w:ascii="Times New Roman" w:hAnsi="Times New Roman" w:cs="Times New Roman"/>
          <w:sz w:val="24"/>
          <w:szCs w:val="24"/>
        </w:rPr>
        <w:t xml:space="preserve"> activities as well as short- and long-term engagements in operations that fall outside the firms’ core activities. Dissecting earnings into various components improves both managers’ and investors’ understanding of the value effects of earnings (</w:t>
      </w:r>
      <w:r w:rsidR="00417E09" w:rsidRPr="00AC0D8E">
        <w:rPr>
          <w:rFonts w:ascii="Times New Roman" w:hAnsi="Times New Roman" w:cs="Times New Roman"/>
          <w:sz w:val="24"/>
          <w:szCs w:val="24"/>
        </w:rPr>
        <w:t xml:space="preserve">Bowen, 1981; </w:t>
      </w:r>
      <w:r w:rsidRPr="00AC0D8E">
        <w:rPr>
          <w:rFonts w:ascii="Times New Roman" w:hAnsi="Times New Roman" w:cs="Times New Roman"/>
          <w:sz w:val="24"/>
          <w:szCs w:val="24"/>
        </w:rPr>
        <w:t>Sloan, 1996).</w:t>
      </w:r>
      <w:r w:rsidR="004C2BC2" w:rsidRPr="00AC0D8E">
        <w:rPr>
          <w:rFonts w:ascii="Times New Roman" w:hAnsi="Times New Roman" w:cs="Times New Roman"/>
          <w:sz w:val="24"/>
          <w:szCs w:val="24"/>
        </w:rPr>
        <w:t xml:space="preserve"> </w:t>
      </w:r>
      <w:r w:rsidR="00417E09" w:rsidRPr="00AC0D8E">
        <w:rPr>
          <w:rFonts w:ascii="Times New Roman" w:hAnsi="Times New Roman" w:cs="Times New Roman"/>
          <w:sz w:val="24"/>
          <w:szCs w:val="24"/>
        </w:rPr>
        <w:t>Cheng and Cheung (1993) find that non-operating credits or charges contain incremental information, and decomposing earnings into operating and non-operating ones reduce</w:t>
      </w:r>
      <w:r w:rsidR="00B3602F">
        <w:rPr>
          <w:rFonts w:ascii="Times New Roman" w:hAnsi="Times New Roman" w:cs="Times New Roman"/>
          <w:sz w:val="24"/>
          <w:szCs w:val="24"/>
        </w:rPr>
        <w:t>s</w:t>
      </w:r>
      <w:r w:rsidR="00417E09" w:rsidRPr="00AC0D8E">
        <w:rPr>
          <w:rFonts w:ascii="Times New Roman" w:hAnsi="Times New Roman" w:cs="Times New Roman"/>
          <w:sz w:val="24"/>
          <w:szCs w:val="24"/>
        </w:rPr>
        <w:t xml:space="preserve"> specification errors in return-earnings equations</w:t>
      </w:r>
      <w:r w:rsidR="00417E09" w:rsidRPr="00811D08">
        <w:rPr>
          <w:rFonts w:ascii="Times New Roman" w:hAnsi="Times New Roman" w:cs="Times New Roman"/>
          <w:sz w:val="24"/>
          <w:szCs w:val="24"/>
        </w:rPr>
        <w:t>.</w:t>
      </w:r>
      <w:r w:rsidR="00417E09" w:rsidRPr="00811D08">
        <w:t xml:space="preserve"> </w:t>
      </w:r>
      <w:r w:rsidR="00417E09" w:rsidRPr="00811D08">
        <w:rPr>
          <w:rFonts w:ascii="Times New Roman" w:hAnsi="Times New Roman" w:cs="Times New Roman"/>
          <w:sz w:val="24"/>
          <w:szCs w:val="24"/>
        </w:rPr>
        <w:t xml:space="preserve">Fairfield, Sweeney, and </w:t>
      </w:r>
      <w:proofErr w:type="spellStart"/>
      <w:r w:rsidR="00417E09" w:rsidRPr="00811D08">
        <w:rPr>
          <w:rFonts w:ascii="Times New Roman" w:hAnsi="Times New Roman" w:cs="Times New Roman"/>
          <w:sz w:val="24"/>
          <w:szCs w:val="24"/>
        </w:rPr>
        <w:t>Yohn</w:t>
      </w:r>
      <w:proofErr w:type="spellEnd"/>
      <w:r w:rsidR="00417E09" w:rsidRPr="00811D08">
        <w:rPr>
          <w:rFonts w:ascii="Times New Roman" w:hAnsi="Times New Roman" w:cs="Times New Roman"/>
          <w:sz w:val="24"/>
          <w:szCs w:val="24"/>
        </w:rPr>
        <w:t xml:space="preserve"> (1996) illustrate how the disaggregation of earnings into operating earnings, non-operating earnings, and special items improves forecasts of return on equity.</w:t>
      </w:r>
    </w:p>
    <w:p w14:paraId="4DD778F9" w14:textId="10C979BD" w:rsidR="00203364" w:rsidRPr="00AC0D8E" w:rsidRDefault="00417E09" w:rsidP="00A1062B">
      <w:pPr>
        <w:autoSpaceDE w:val="0"/>
        <w:autoSpaceDN w:val="0"/>
        <w:adjustRightInd w:val="0"/>
        <w:spacing w:after="0" w:line="480" w:lineRule="auto"/>
        <w:ind w:firstLine="720"/>
        <w:jc w:val="both"/>
        <w:rPr>
          <w:rFonts w:ascii="Times New Roman" w:hAnsi="Times New Roman" w:cs="Times New Roman"/>
          <w:sz w:val="24"/>
          <w:szCs w:val="24"/>
        </w:rPr>
      </w:pPr>
      <w:r w:rsidRPr="00496962">
        <w:rPr>
          <w:rFonts w:ascii="Times New Roman" w:hAnsi="Times New Roman" w:cs="Times New Roman"/>
          <w:sz w:val="24"/>
          <w:szCs w:val="24"/>
        </w:rPr>
        <w:t>Existing studies have documented consistent value-relevant evidence of non-operating earnings. Using a sample of electric utility firms from 1962 to 1975, Bowen (1981) finds that non-operating earnings contribute positively to firm value. Bao and Bao (2004) find that Taiwanese firms have a higher proportion of non-operating earnings than their U.S. and U.K</w:t>
      </w:r>
      <w:r w:rsidR="00692EEC" w:rsidRPr="00811D08">
        <w:rPr>
          <w:rFonts w:ascii="Times New Roman" w:hAnsi="Times New Roman" w:cs="Times New Roman"/>
          <w:sz w:val="24"/>
          <w:szCs w:val="24"/>
        </w:rPr>
        <w:t>.</w:t>
      </w:r>
      <w:r w:rsidRPr="00811D08">
        <w:rPr>
          <w:rFonts w:ascii="Times New Roman" w:hAnsi="Times New Roman" w:cs="Times New Roman"/>
          <w:sz w:val="24"/>
          <w:szCs w:val="24"/>
        </w:rPr>
        <w:t xml:space="preserve"> counterparts, which illustrates the importance of such </w:t>
      </w:r>
      <w:r w:rsidR="00B3602F">
        <w:rPr>
          <w:rFonts w:ascii="Times New Roman" w:hAnsi="Times New Roman" w:cs="Times New Roman"/>
          <w:sz w:val="24"/>
          <w:szCs w:val="24"/>
        </w:rPr>
        <w:t>income</w:t>
      </w:r>
      <w:r w:rsidR="00B3602F" w:rsidRPr="00811D08">
        <w:rPr>
          <w:rFonts w:ascii="Times New Roman" w:hAnsi="Times New Roman" w:cs="Times New Roman"/>
          <w:sz w:val="24"/>
          <w:szCs w:val="24"/>
        </w:rPr>
        <w:t xml:space="preserve"> </w:t>
      </w:r>
      <w:r w:rsidRPr="00811D08">
        <w:rPr>
          <w:rFonts w:ascii="Times New Roman" w:hAnsi="Times New Roman" w:cs="Times New Roman"/>
          <w:sz w:val="24"/>
          <w:szCs w:val="24"/>
        </w:rPr>
        <w:t>avenues in Taiwan. Managers and analysts provide estimates of both operating and non-operating earnings</w:t>
      </w:r>
      <w:r w:rsidR="009818A9">
        <w:rPr>
          <w:rFonts w:ascii="Times New Roman" w:hAnsi="Times New Roman" w:cs="Times New Roman"/>
          <w:sz w:val="24"/>
          <w:szCs w:val="24"/>
        </w:rPr>
        <w:t>;</w:t>
      </w:r>
      <w:r w:rsidRPr="00811D08">
        <w:rPr>
          <w:rFonts w:ascii="Times New Roman" w:hAnsi="Times New Roman" w:cs="Times New Roman"/>
          <w:sz w:val="24"/>
          <w:szCs w:val="24"/>
        </w:rPr>
        <w:t xml:space="preserve"> </w:t>
      </w:r>
      <w:r w:rsidR="009818A9">
        <w:rPr>
          <w:rFonts w:ascii="Times New Roman" w:hAnsi="Times New Roman" w:cs="Times New Roman"/>
          <w:sz w:val="24"/>
          <w:szCs w:val="24"/>
        </w:rPr>
        <w:t>their action</w:t>
      </w:r>
      <w:r w:rsidR="009818A9" w:rsidRPr="00811D08">
        <w:rPr>
          <w:rFonts w:ascii="Times New Roman" w:hAnsi="Times New Roman" w:cs="Times New Roman"/>
          <w:sz w:val="24"/>
          <w:szCs w:val="24"/>
        </w:rPr>
        <w:t xml:space="preserve"> </w:t>
      </w:r>
      <w:r w:rsidRPr="00811D08">
        <w:rPr>
          <w:rFonts w:ascii="Times New Roman" w:hAnsi="Times New Roman" w:cs="Times New Roman"/>
          <w:sz w:val="24"/>
          <w:szCs w:val="24"/>
        </w:rPr>
        <w:t xml:space="preserve">underlines the informative and value-relevant aspects of non-operating earnings (Brown and Sivakumar, 2003). Taken together, the evidence </w:t>
      </w:r>
      <w:r w:rsidRPr="00AC0D8E">
        <w:rPr>
          <w:rFonts w:ascii="Times New Roman" w:hAnsi="Times New Roman" w:cs="Times New Roman"/>
          <w:sz w:val="24"/>
          <w:szCs w:val="24"/>
        </w:rPr>
        <w:t>suggests that non-operating earnings play a contributing role alongside operating earnings in determining value.</w:t>
      </w:r>
    </w:p>
    <w:p w14:paraId="72551BB0" w14:textId="05EEB535" w:rsidR="0054690D" w:rsidRPr="00AC0D8E" w:rsidRDefault="0054690D" w:rsidP="00A1062B">
      <w:pPr>
        <w:pStyle w:val="ListParagraph"/>
        <w:numPr>
          <w:ilvl w:val="1"/>
          <w:numId w:val="1"/>
        </w:numPr>
        <w:spacing w:line="480" w:lineRule="auto"/>
        <w:jc w:val="both"/>
        <w:rPr>
          <w:rFonts w:ascii="Times New Roman" w:hAnsi="Times New Roman" w:cs="Times New Roman"/>
          <w:b/>
          <w:i/>
          <w:sz w:val="24"/>
          <w:szCs w:val="24"/>
        </w:rPr>
      </w:pPr>
      <w:r w:rsidRPr="00AC0D8E">
        <w:rPr>
          <w:rFonts w:ascii="Times New Roman" w:hAnsi="Times New Roman" w:cs="Times New Roman"/>
          <w:b/>
          <w:i/>
          <w:sz w:val="24"/>
          <w:szCs w:val="24"/>
        </w:rPr>
        <w:t>Non</w:t>
      </w:r>
      <w:r w:rsidR="0076652A" w:rsidRPr="00AC0D8E">
        <w:rPr>
          <w:rFonts w:ascii="Times New Roman" w:hAnsi="Times New Roman" w:cs="Times New Roman"/>
          <w:b/>
          <w:i/>
          <w:sz w:val="24"/>
          <w:szCs w:val="24"/>
        </w:rPr>
        <w:t>-</w:t>
      </w:r>
      <w:r w:rsidR="00D2441F" w:rsidRPr="00AC0D8E">
        <w:rPr>
          <w:rFonts w:ascii="Times New Roman" w:hAnsi="Times New Roman" w:cs="Times New Roman"/>
          <w:b/>
          <w:i/>
          <w:sz w:val="24"/>
          <w:szCs w:val="24"/>
        </w:rPr>
        <w:t>o</w:t>
      </w:r>
      <w:r w:rsidR="0076652A" w:rsidRPr="00AC0D8E">
        <w:rPr>
          <w:rFonts w:ascii="Times New Roman" w:hAnsi="Times New Roman" w:cs="Times New Roman"/>
          <w:b/>
          <w:i/>
          <w:sz w:val="24"/>
          <w:szCs w:val="24"/>
        </w:rPr>
        <w:t xml:space="preserve">perating </w:t>
      </w:r>
      <w:r w:rsidR="00D2441F" w:rsidRPr="00AC0D8E">
        <w:rPr>
          <w:rFonts w:ascii="Times New Roman" w:hAnsi="Times New Roman" w:cs="Times New Roman"/>
          <w:b/>
          <w:i/>
          <w:sz w:val="24"/>
          <w:szCs w:val="24"/>
        </w:rPr>
        <w:t>e</w:t>
      </w:r>
      <w:r w:rsidR="0023772D" w:rsidRPr="00AC0D8E">
        <w:rPr>
          <w:rFonts w:ascii="Times New Roman" w:hAnsi="Times New Roman" w:cs="Times New Roman"/>
          <w:b/>
          <w:i/>
          <w:sz w:val="24"/>
          <w:szCs w:val="24"/>
        </w:rPr>
        <w:t>arnings,</w:t>
      </w:r>
      <w:r w:rsidR="00DA4E08" w:rsidRPr="00AC0D8E">
        <w:rPr>
          <w:rFonts w:ascii="Times New Roman" w:hAnsi="Times New Roman" w:cs="Times New Roman"/>
          <w:b/>
          <w:i/>
          <w:sz w:val="24"/>
          <w:szCs w:val="24"/>
        </w:rPr>
        <w:t xml:space="preserve"> </w:t>
      </w:r>
      <w:r w:rsidR="00D2441F" w:rsidRPr="00AC0D8E">
        <w:rPr>
          <w:rFonts w:ascii="Times New Roman" w:hAnsi="Times New Roman" w:cs="Times New Roman"/>
          <w:b/>
          <w:i/>
          <w:sz w:val="24"/>
          <w:szCs w:val="24"/>
        </w:rPr>
        <w:t>t</w:t>
      </w:r>
      <w:r w:rsidR="0076652A" w:rsidRPr="00AC0D8E">
        <w:rPr>
          <w:rFonts w:ascii="Times New Roman" w:hAnsi="Times New Roman" w:cs="Times New Roman"/>
          <w:b/>
          <w:i/>
          <w:sz w:val="24"/>
          <w:szCs w:val="24"/>
        </w:rPr>
        <w:t xml:space="preserve">otal </w:t>
      </w:r>
      <w:r w:rsidR="00D2441F" w:rsidRPr="00AC0D8E">
        <w:rPr>
          <w:rFonts w:ascii="Times New Roman" w:hAnsi="Times New Roman" w:cs="Times New Roman"/>
          <w:b/>
          <w:i/>
          <w:sz w:val="24"/>
          <w:szCs w:val="24"/>
        </w:rPr>
        <w:t>e</w:t>
      </w:r>
      <w:r w:rsidR="0076652A" w:rsidRPr="00AC0D8E">
        <w:rPr>
          <w:rFonts w:ascii="Times New Roman" w:hAnsi="Times New Roman" w:cs="Times New Roman"/>
          <w:b/>
          <w:i/>
          <w:sz w:val="24"/>
          <w:szCs w:val="24"/>
        </w:rPr>
        <w:t>arnings</w:t>
      </w:r>
      <w:r w:rsidR="008D2F89" w:rsidRPr="00AC0D8E">
        <w:rPr>
          <w:rFonts w:ascii="Times New Roman" w:hAnsi="Times New Roman" w:cs="Times New Roman"/>
          <w:b/>
          <w:i/>
          <w:sz w:val="24"/>
          <w:szCs w:val="24"/>
        </w:rPr>
        <w:t xml:space="preserve"> </w:t>
      </w:r>
      <w:r w:rsidR="00D2441F" w:rsidRPr="00AC0D8E">
        <w:rPr>
          <w:rFonts w:ascii="Times New Roman" w:hAnsi="Times New Roman" w:cs="Times New Roman"/>
          <w:b/>
          <w:i/>
          <w:sz w:val="24"/>
          <w:szCs w:val="24"/>
        </w:rPr>
        <w:t>v</w:t>
      </w:r>
      <w:r w:rsidR="008D2F89" w:rsidRPr="00AC0D8E">
        <w:rPr>
          <w:rFonts w:ascii="Times New Roman" w:hAnsi="Times New Roman" w:cs="Times New Roman"/>
          <w:b/>
          <w:i/>
          <w:sz w:val="24"/>
          <w:szCs w:val="24"/>
        </w:rPr>
        <w:t>olatility</w:t>
      </w:r>
      <w:r w:rsidR="00DA4E08" w:rsidRPr="00AC0D8E">
        <w:rPr>
          <w:rFonts w:ascii="Times New Roman" w:hAnsi="Times New Roman" w:cs="Times New Roman"/>
          <w:b/>
          <w:i/>
          <w:sz w:val="24"/>
          <w:szCs w:val="24"/>
        </w:rPr>
        <w:t xml:space="preserve">, and </w:t>
      </w:r>
      <w:r w:rsidR="00D2441F" w:rsidRPr="00AC0D8E">
        <w:rPr>
          <w:rFonts w:ascii="Times New Roman" w:hAnsi="Times New Roman" w:cs="Times New Roman"/>
          <w:b/>
          <w:i/>
          <w:sz w:val="24"/>
          <w:szCs w:val="24"/>
        </w:rPr>
        <w:t>f</w:t>
      </w:r>
      <w:r w:rsidR="00DA4E08" w:rsidRPr="00AC0D8E">
        <w:rPr>
          <w:rFonts w:ascii="Times New Roman" w:hAnsi="Times New Roman" w:cs="Times New Roman"/>
          <w:b/>
          <w:i/>
          <w:sz w:val="24"/>
          <w:szCs w:val="24"/>
        </w:rPr>
        <w:t xml:space="preserve">irm </w:t>
      </w:r>
      <w:r w:rsidR="00D2441F" w:rsidRPr="00AC0D8E">
        <w:rPr>
          <w:rFonts w:ascii="Times New Roman" w:hAnsi="Times New Roman" w:cs="Times New Roman"/>
          <w:b/>
          <w:i/>
          <w:sz w:val="24"/>
          <w:szCs w:val="24"/>
        </w:rPr>
        <w:t>r</w:t>
      </w:r>
      <w:r w:rsidR="00DA4E08" w:rsidRPr="00AC0D8E">
        <w:rPr>
          <w:rFonts w:ascii="Times New Roman" w:hAnsi="Times New Roman" w:cs="Times New Roman"/>
          <w:b/>
          <w:i/>
          <w:sz w:val="24"/>
          <w:szCs w:val="24"/>
        </w:rPr>
        <w:t>isk</w:t>
      </w:r>
    </w:p>
    <w:p w14:paraId="66A202B3" w14:textId="1AF688FE" w:rsidR="00CA4A05" w:rsidRPr="00AC0D8E" w:rsidRDefault="00CA4A05" w:rsidP="00A1062B">
      <w:pPr>
        <w:spacing w:line="480" w:lineRule="auto"/>
        <w:ind w:firstLine="720"/>
        <w:contextualSpacing/>
        <w:jc w:val="both"/>
        <w:rPr>
          <w:rFonts w:ascii="Times New Roman" w:hAnsi="Times New Roman" w:cs="Times New Roman"/>
          <w:sz w:val="24"/>
          <w:szCs w:val="24"/>
        </w:rPr>
      </w:pPr>
      <w:r w:rsidRPr="00AC0D8E">
        <w:rPr>
          <w:rFonts w:ascii="Times New Roman" w:hAnsi="Times New Roman" w:cs="Times New Roman"/>
          <w:sz w:val="24"/>
          <w:szCs w:val="24"/>
        </w:rPr>
        <w:t xml:space="preserve">Differentiating </w:t>
      </w:r>
      <w:r w:rsidR="00810465" w:rsidRPr="00AC0D8E">
        <w:rPr>
          <w:rFonts w:ascii="Times New Roman" w:hAnsi="Times New Roman" w:cs="Times New Roman"/>
          <w:sz w:val="24"/>
          <w:szCs w:val="24"/>
        </w:rPr>
        <w:t>a firm's core operations from its non-core activities improves the accuracy of prediction models of its future earnings, hence the stock price. Cheng and Hollie (</w:t>
      </w:r>
      <w:r w:rsidR="00AB0AA7" w:rsidRPr="00AC0D8E">
        <w:rPr>
          <w:rFonts w:ascii="Times New Roman" w:hAnsi="Times New Roman" w:cs="Times New Roman"/>
          <w:sz w:val="24"/>
          <w:szCs w:val="24"/>
        </w:rPr>
        <w:t>200</w:t>
      </w:r>
      <w:r w:rsidR="00AB0AA7">
        <w:rPr>
          <w:rFonts w:ascii="Times New Roman" w:hAnsi="Times New Roman" w:cs="Times New Roman"/>
          <w:sz w:val="24"/>
          <w:szCs w:val="24"/>
        </w:rPr>
        <w:t>8</w:t>
      </w:r>
      <w:r w:rsidR="00810465" w:rsidRPr="00AC0D8E">
        <w:rPr>
          <w:rFonts w:ascii="Times New Roman" w:hAnsi="Times New Roman" w:cs="Times New Roman"/>
          <w:sz w:val="24"/>
          <w:szCs w:val="24"/>
        </w:rPr>
        <w:t>) find that disaggregating cash flows from operations into core and non-core cash flow components improve</w:t>
      </w:r>
      <w:r w:rsidR="00B3602F">
        <w:rPr>
          <w:rFonts w:ascii="Times New Roman" w:hAnsi="Times New Roman" w:cs="Times New Roman"/>
          <w:sz w:val="24"/>
          <w:szCs w:val="24"/>
        </w:rPr>
        <w:t>s</w:t>
      </w:r>
      <w:r w:rsidR="00810465" w:rsidRPr="00AC0D8E">
        <w:rPr>
          <w:rFonts w:ascii="Times New Roman" w:hAnsi="Times New Roman" w:cs="Times New Roman"/>
          <w:sz w:val="24"/>
          <w:szCs w:val="24"/>
        </w:rPr>
        <w:t xml:space="preserve"> in-sample prediction. Similarly, Arthur, Cheng, and </w:t>
      </w:r>
      <w:proofErr w:type="spellStart"/>
      <w:r w:rsidR="00810465" w:rsidRPr="00AC0D8E">
        <w:rPr>
          <w:rFonts w:ascii="Times New Roman" w:hAnsi="Times New Roman" w:cs="Times New Roman"/>
          <w:sz w:val="24"/>
          <w:szCs w:val="24"/>
        </w:rPr>
        <w:t>Czernkowski</w:t>
      </w:r>
      <w:proofErr w:type="spellEnd"/>
      <w:r w:rsidR="00810465" w:rsidRPr="00AC0D8E">
        <w:rPr>
          <w:rFonts w:ascii="Times New Roman" w:hAnsi="Times New Roman" w:cs="Times New Roman"/>
          <w:sz w:val="24"/>
          <w:szCs w:val="24"/>
        </w:rPr>
        <w:t xml:space="preserve"> (2010) find that the cash flow component model is superior to an aggregate cash flow model in terms of explanatory </w:t>
      </w:r>
      <w:r w:rsidR="00810465" w:rsidRPr="00AC0D8E">
        <w:rPr>
          <w:rFonts w:ascii="Times New Roman" w:hAnsi="Times New Roman" w:cs="Times New Roman"/>
          <w:sz w:val="24"/>
          <w:szCs w:val="24"/>
        </w:rPr>
        <w:lastRenderedPageBreak/>
        <w:t xml:space="preserve">power and predictive ability of future earnings. </w:t>
      </w:r>
      <w:r w:rsidR="00B276E3" w:rsidRPr="00AC0D8E">
        <w:rPr>
          <w:rFonts w:ascii="Times New Roman" w:hAnsi="Times New Roman" w:cs="Times New Roman"/>
          <w:sz w:val="24"/>
          <w:szCs w:val="24"/>
        </w:rPr>
        <w:t>The practice of r</w:t>
      </w:r>
      <w:r w:rsidR="00810465" w:rsidRPr="00AC0D8E">
        <w:rPr>
          <w:rFonts w:ascii="Times New Roman" w:hAnsi="Times New Roman" w:cs="Times New Roman"/>
          <w:sz w:val="24"/>
          <w:szCs w:val="24"/>
        </w:rPr>
        <w:t xml:space="preserve">eporting non-core earnings is </w:t>
      </w:r>
      <w:r w:rsidR="00B276E3" w:rsidRPr="00AC0D8E">
        <w:rPr>
          <w:rFonts w:ascii="Times New Roman" w:hAnsi="Times New Roman" w:cs="Times New Roman"/>
          <w:sz w:val="24"/>
          <w:szCs w:val="24"/>
        </w:rPr>
        <w:t xml:space="preserve">more in line with the component model than the aggregate one and is, therefore, </w:t>
      </w:r>
      <w:r w:rsidR="00810465" w:rsidRPr="00AC0D8E">
        <w:rPr>
          <w:rFonts w:ascii="Times New Roman" w:hAnsi="Times New Roman" w:cs="Times New Roman"/>
          <w:sz w:val="24"/>
          <w:szCs w:val="24"/>
        </w:rPr>
        <w:t>value relevant (Chen, Firth, and Gao, 2011)</w:t>
      </w:r>
      <w:r w:rsidR="00B276E3" w:rsidRPr="00AC0D8E">
        <w:rPr>
          <w:rFonts w:ascii="Times New Roman" w:hAnsi="Times New Roman" w:cs="Times New Roman"/>
          <w:sz w:val="24"/>
          <w:szCs w:val="24"/>
        </w:rPr>
        <w:t>;</w:t>
      </w:r>
      <w:r w:rsidR="00810465" w:rsidRPr="00AC0D8E">
        <w:rPr>
          <w:rFonts w:ascii="Times New Roman" w:hAnsi="Times New Roman" w:cs="Times New Roman"/>
          <w:sz w:val="24"/>
          <w:szCs w:val="24"/>
        </w:rPr>
        <w:t xml:space="preserve"> </w:t>
      </w:r>
      <w:r w:rsidR="00B3602F">
        <w:rPr>
          <w:rFonts w:ascii="Times New Roman" w:hAnsi="Times New Roman" w:cs="Times New Roman"/>
          <w:sz w:val="24"/>
          <w:szCs w:val="24"/>
        </w:rPr>
        <w:t xml:space="preserve">Such </w:t>
      </w:r>
      <w:r w:rsidR="00B276E3" w:rsidRPr="00AC0D8E">
        <w:rPr>
          <w:rFonts w:ascii="Times New Roman" w:hAnsi="Times New Roman" w:cs="Times New Roman"/>
          <w:sz w:val="24"/>
          <w:szCs w:val="24"/>
        </w:rPr>
        <w:t xml:space="preserve">a practice </w:t>
      </w:r>
      <w:r w:rsidR="00810465" w:rsidRPr="00AC0D8E">
        <w:rPr>
          <w:rFonts w:ascii="Times New Roman" w:hAnsi="Times New Roman" w:cs="Times New Roman"/>
          <w:sz w:val="24"/>
          <w:szCs w:val="24"/>
        </w:rPr>
        <w:t xml:space="preserve">enhances the accuracy of valuation </w:t>
      </w:r>
      <w:r w:rsidR="00B276E3" w:rsidRPr="00AC0D8E">
        <w:rPr>
          <w:rFonts w:ascii="Times New Roman" w:hAnsi="Times New Roman" w:cs="Times New Roman"/>
          <w:sz w:val="24"/>
          <w:szCs w:val="24"/>
        </w:rPr>
        <w:t xml:space="preserve">tasks </w:t>
      </w:r>
      <w:r w:rsidR="00810465" w:rsidRPr="00AC0D8E">
        <w:rPr>
          <w:rFonts w:ascii="Times New Roman" w:hAnsi="Times New Roman" w:cs="Times New Roman"/>
          <w:sz w:val="24"/>
          <w:szCs w:val="24"/>
        </w:rPr>
        <w:t xml:space="preserve">and lessens guesswork. Breaking down a firm's business activities and their associated revenues and expenses into core and non-core components </w:t>
      </w:r>
      <w:r w:rsidR="00B276E3" w:rsidRPr="00AC0D8E">
        <w:rPr>
          <w:rFonts w:ascii="Times New Roman" w:hAnsi="Times New Roman" w:cs="Times New Roman"/>
          <w:sz w:val="24"/>
          <w:szCs w:val="24"/>
        </w:rPr>
        <w:t>further improves</w:t>
      </w:r>
      <w:r w:rsidR="00810465" w:rsidRPr="00AC0D8E">
        <w:rPr>
          <w:rFonts w:ascii="Times New Roman" w:hAnsi="Times New Roman" w:cs="Times New Roman"/>
          <w:sz w:val="24"/>
          <w:szCs w:val="24"/>
        </w:rPr>
        <w:t xml:space="preserve"> investors' visualization of </w:t>
      </w:r>
      <w:r w:rsidR="00B276E3" w:rsidRPr="00AC0D8E">
        <w:rPr>
          <w:rFonts w:ascii="Times New Roman" w:hAnsi="Times New Roman" w:cs="Times New Roman"/>
          <w:sz w:val="24"/>
          <w:szCs w:val="24"/>
        </w:rPr>
        <w:t>the</w:t>
      </w:r>
      <w:r w:rsidR="00810465" w:rsidRPr="00AC0D8E">
        <w:rPr>
          <w:rFonts w:ascii="Times New Roman" w:hAnsi="Times New Roman" w:cs="Times New Roman"/>
          <w:sz w:val="24"/>
          <w:szCs w:val="24"/>
        </w:rPr>
        <w:t xml:space="preserve"> operations. </w:t>
      </w:r>
      <w:r w:rsidRPr="00AC0D8E">
        <w:rPr>
          <w:rFonts w:ascii="Times New Roman" w:hAnsi="Times New Roman" w:cs="Times New Roman"/>
          <w:sz w:val="24"/>
          <w:szCs w:val="24"/>
        </w:rPr>
        <w:t xml:space="preserve"> </w:t>
      </w:r>
    </w:p>
    <w:p w14:paraId="0BA30C72" w14:textId="014BCAC8" w:rsidR="00810465" w:rsidRPr="00AC0D8E" w:rsidRDefault="00D668F1" w:rsidP="00810465">
      <w:pPr>
        <w:spacing w:line="480" w:lineRule="auto"/>
        <w:ind w:firstLine="720"/>
        <w:contextualSpacing/>
        <w:jc w:val="both"/>
        <w:rPr>
          <w:rFonts w:ascii="Times New Roman" w:hAnsi="Times New Roman" w:cs="Times New Roman"/>
          <w:bCs/>
          <w:iCs/>
          <w:sz w:val="24"/>
          <w:szCs w:val="24"/>
        </w:rPr>
      </w:pPr>
      <w:r w:rsidRPr="00AC0D8E">
        <w:rPr>
          <w:rFonts w:ascii="Times New Roman" w:hAnsi="Times New Roman" w:cs="Times New Roman"/>
          <w:bCs/>
          <w:iCs/>
          <w:sz w:val="24"/>
          <w:szCs w:val="24"/>
        </w:rPr>
        <w:t>There is evidence on earnings' mitigating effects on business risk (see Francis, Hasan, and</w:t>
      </w:r>
      <w:r w:rsidRPr="00D668F1">
        <w:rPr>
          <w:rFonts w:ascii="Times New Roman" w:hAnsi="Times New Roman" w:cs="Times New Roman"/>
          <w:bCs/>
          <w:iCs/>
          <w:sz w:val="24"/>
          <w:szCs w:val="24"/>
        </w:rPr>
        <w:t xml:space="preserve"> Li, </w:t>
      </w:r>
      <w:r w:rsidR="009F5208" w:rsidRPr="00D668F1">
        <w:rPr>
          <w:rFonts w:ascii="Times New Roman" w:hAnsi="Times New Roman" w:cs="Times New Roman"/>
          <w:bCs/>
          <w:iCs/>
          <w:sz w:val="24"/>
          <w:szCs w:val="24"/>
        </w:rPr>
        <w:t>201</w:t>
      </w:r>
      <w:r w:rsidR="009F5208">
        <w:rPr>
          <w:rFonts w:ascii="Times New Roman" w:hAnsi="Times New Roman" w:cs="Times New Roman"/>
          <w:bCs/>
          <w:iCs/>
          <w:sz w:val="24"/>
          <w:szCs w:val="24"/>
        </w:rPr>
        <w:t>6</w:t>
      </w:r>
      <w:r w:rsidRPr="00D668F1">
        <w:rPr>
          <w:rFonts w:ascii="Times New Roman" w:hAnsi="Times New Roman" w:cs="Times New Roman"/>
          <w:bCs/>
          <w:iCs/>
          <w:sz w:val="24"/>
          <w:szCs w:val="24"/>
        </w:rPr>
        <w:t xml:space="preserve">); however, the role of non-operating earnings in that process remains to be established. To the extent that managers make strategic use of non-operating earnings (for example, to meet analysts' forecasts), their use affects the firm's earnings distribution and stock price. Smith, </w:t>
      </w:r>
      <w:proofErr w:type="spellStart"/>
      <w:r w:rsidRPr="00D668F1">
        <w:rPr>
          <w:rFonts w:ascii="Times New Roman" w:hAnsi="Times New Roman" w:cs="Times New Roman"/>
          <w:bCs/>
          <w:iCs/>
          <w:sz w:val="24"/>
          <w:szCs w:val="24"/>
        </w:rPr>
        <w:t>Staikouras</w:t>
      </w:r>
      <w:proofErr w:type="spellEnd"/>
      <w:r w:rsidRPr="00D668F1">
        <w:rPr>
          <w:rFonts w:ascii="Times New Roman" w:hAnsi="Times New Roman" w:cs="Times New Roman"/>
          <w:bCs/>
          <w:iCs/>
          <w:sz w:val="24"/>
          <w:szCs w:val="24"/>
        </w:rPr>
        <w:t xml:space="preserve">, and </w:t>
      </w:r>
      <w:r w:rsidR="00DA2366">
        <w:rPr>
          <w:rFonts w:ascii="Times New Roman" w:hAnsi="Times New Roman" w:cs="Times New Roman"/>
          <w:bCs/>
          <w:iCs/>
          <w:sz w:val="24"/>
          <w:szCs w:val="24"/>
        </w:rPr>
        <w:t>Wood</w:t>
      </w:r>
      <w:r w:rsidR="00DA2366" w:rsidRPr="00D668F1">
        <w:rPr>
          <w:rFonts w:ascii="Times New Roman" w:hAnsi="Times New Roman" w:cs="Times New Roman"/>
          <w:bCs/>
          <w:iCs/>
          <w:sz w:val="24"/>
          <w:szCs w:val="24"/>
        </w:rPr>
        <w:t xml:space="preserve"> </w:t>
      </w:r>
      <w:r w:rsidRPr="00D668F1">
        <w:rPr>
          <w:rFonts w:ascii="Times New Roman" w:hAnsi="Times New Roman" w:cs="Times New Roman"/>
          <w:bCs/>
          <w:iCs/>
          <w:sz w:val="24"/>
          <w:szCs w:val="24"/>
        </w:rPr>
        <w:t xml:space="preserve">(2003) find that various sources of income help stabilize banks' total income, implying that variability in earnings distribution is reduced with varied income sources. To show the stabilization process, we graph </w:t>
      </w:r>
      <w:r>
        <w:rPr>
          <w:rFonts w:ascii="Times New Roman" w:hAnsi="Times New Roman" w:cs="Times New Roman"/>
          <w:bCs/>
          <w:iCs/>
          <w:sz w:val="24"/>
          <w:szCs w:val="24"/>
        </w:rPr>
        <w:t>the</w:t>
      </w:r>
      <w:r w:rsidRPr="00D668F1">
        <w:rPr>
          <w:rFonts w:ascii="Times New Roman" w:hAnsi="Times New Roman" w:cs="Times New Roman"/>
          <w:bCs/>
          <w:iCs/>
          <w:sz w:val="24"/>
          <w:szCs w:val="24"/>
        </w:rPr>
        <w:t xml:space="preserve"> distribution of the mean sample return on assets (ROA)</w:t>
      </w:r>
      <w:r>
        <w:rPr>
          <w:rFonts w:ascii="Times New Roman" w:hAnsi="Times New Roman" w:cs="Times New Roman"/>
          <w:bCs/>
          <w:iCs/>
          <w:sz w:val="24"/>
          <w:szCs w:val="24"/>
        </w:rPr>
        <w:t xml:space="preserve"> over the sample period. ROA is</w:t>
      </w:r>
      <w:r w:rsidRPr="00D668F1">
        <w:rPr>
          <w:rFonts w:ascii="Times New Roman" w:hAnsi="Times New Roman" w:cs="Times New Roman"/>
          <w:bCs/>
          <w:iCs/>
          <w:sz w:val="24"/>
          <w:szCs w:val="24"/>
        </w:rPr>
        <w:t xml:space="preserve"> defined in terms of its constituents, i.e., operating income-to-total assets and non-operating income-to-total assets. In Figure 1, the ratio of operating income-to-total assets is more volatile, while non-operating income-to-total assets </w:t>
      </w:r>
      <w:r w:rsidR="00B3602F">
        <w:rPr>
          <w:rFonts w:ascii="Times New Roman" w:hAnsi="Times New Roman" w:cs="Times New Roman"/>
          <w:bCs/>
          <w:iCs/>
          <w:sz w:val="24"/>
          <w:szCs w:val="24"/>
        </w:rPr>
        <w:t xml:space="preserve">ratio </w:t>
      </w:r>
      <w:r w:rsidRPr="00D668F1">
        <w:rPr>
          <w:rFonts w:ascii="Times New Roman" w:hAnsi="Times New Roman" w:cs="Times New Roman"/>
          <w:bCs/>
          <w:iCs/>
          <w:sz w:val="24"/>
          <w:szCs w:val="24"/>
        </w:rPr>
        <w:t xml:space="preserve">is more stable over time. Consequently, </w:t>
      </w:r>
      <w:r w:rsidRPr="00AC0D8E">
        <w:rPr>
          <w:rFonts w:ascii="Times New Roman" w:hAnsi="Times New Roman" w:cs="Times New Roman"/>
          <w:bCs/>
          <w:iCs/>
          <w:sz w:val="24"/>
          <w:szCs w:val="24"/>
        </w:rPr>
        <w:t xml:space="preserve">treating ROA as a portfolio of a volatile income stream (i.e., operating income) and a steady income stream (i.e., non-operating income) suggests that non-operating income helps reduce the volatility in ROA, and conceivably, the volatility of the stock price. </w:t>
      </w:r>
      <w:r w:rsidR="00810465" w:rsidRPr="00AC0D8E">
        <w:rPr>
          <w:rFonts w:ascii="Times New Roman" w:hAnsi="Times New Roman" w:cs="Times New Roman"/>
          <w:bCs/>
          <w:iCs/>
          <w:sz w:val="24"/>
          <w:szCs w:val="24"/>
        </w:rPr>
        <w:t xml:space="preserve"> </w:t>
      </w:r>
    </w:p>
    <w:p w14:paraId="4D075264" w14:textId="38E9CD84" w:rsidR="002F22B5" w:rsidRPr="00AC0D8E" w:rsidRDefault="00810465" w:rsidP="007D0DE1">
      <w:pPr>
        <w:spacing w:line="480" w:lineRule="auto"/>
        <w:contextualSpacing/>
        <w:jc w:val="center"/>
        <w:rPr>
          <w:rFonts w:ascii="Times New Roman" w:hAnsi="Times New Roman" w:cs="Times New Roman"/>
          <w:bCs/>
          <w:iCs/>
          <w:sz w:val="24"/>
          <w:szCs w:val="24"/>
        </w:rPr>
      </w:pPr>
      <w:r w:rsidRPr="00AC0D8E">
        <w:rPr>
          <w:rFonts w:ascii="Times New Roman" w:hAnsi="Times New Roman" w:cs="Times New Roman"/>
          <w:bCs/>
          <w:iCs/>
          <w:sz w:val="24"/>
          <w:szCs w:val="24"/>
        </w:rPr>
        <w:t>[INSERT FIGURE 1 ABOUT HERE]</w:t>
      </w:r>
    </w:p>
    <w:p w14:paraId="3A3E36D9" w14:textId="4CD74644" w:rsidR="00521908" w:rsidRPr="00AC0D8E" w:rsidRDefault="00096319" w:rsidP="00A1062B">
      <w:pPr>
        <w:spacing w:before="240" w:after="0" w:line="480" w:lineRule="auto"/>
        <w:ind w:firstLine="720"/>
        <w:contextualSpacing/>
        <w:jc w:val="both"/>
        <w:rPr>
          <w:rFonts w:ascii="Times New Roman" w:hAnsi="Times New Roman" w:cs="Times New Roman"/>
          <w:sz w:val="24"/>
          <w:szCs w:val="24"/>
        </w:rPr>
      </w:pPr>
      <w:r w:rsidRPr="00AC0D8E">
        <w:rPr>
          <w:rFonts w:ascii="Times New Roman" w:hAnsi="Times New Roman" w:cs="Times New Roman"/>
          <w:bCs/>
          <w:iCs/>
          <w:sz w:val="24"/>
          <w:szCs w:val="24"/>
        </w:rPr>
        <w:t xml:space="preserve">The information ability of earnings in reducing uncertainties related to a firm's business operations is improved by decomposing them into core and non-core. In so doing, firms bring clarity to what constitutes their core operating performance, which is highly relevant in decreasing idiosyncratic risk. From a behavioral perspective, the decomposition of total earnings into </w:t>
      </w:r>
      <w:r w:rsidRPr="00AC0D8E">
        <w:rPr>
          <w:rFonts w:ascii="Times New Roman" w:hAnsi="Times New Roman" w:cs="Times New Roman"/>
          <w:bCs/>
          <w:iCs/>
          <w:sz w:val="24"/>
          <w:szCs w:val="24"/>
        </w:rPr>
        <w:lastRenderedPageBreak/>
        <w:t>operating and non-operating provides managers with more clarity</w:t>
      </w:r>
      <w:r w:rsidRPr="00096319">
        <w:rPr>
          <w:rFonts w:ascii="Times New Roman" w:hAnsi="Times New Roman" w:cs="Times New Roman"/>
          <w:bCs/>
          <w:iCs/>
          <w:sz w:val="24"/>
          <w:szCs w:val="24"/>
        </w:rPr>
        <w:t xml:space="preserve"> on what constitutes core and non-core activities, allowing </w:t>
      </w:r>
      <w:r w:rsidR="000D13FB">
        <w:rPr>
          <w:rFonts w:ascii="Times New Roman" w:hAnsi="Times New Roman" w:cs="Times New Roman"/>
          <w:bCs/>
          <w:iCs/>
          <w:sz w:val="24"/>
          <w:szCs w:val="24"/>
        </w:rPr>
        <w:t>them</w:t>
      </w:r>
      <w:r w:rsidRPr="00096319">
        <w:rPr>
          <w:rFonts w:ascii="Times New Roman" w:hAnsi="Times New Roman" w:cs="Times New Roman"/>
          <w:bCs/>
          <w:iCs/>
          <w:sz w:val="24"/>
          <w:szCs w:val="24"/>
        </w:rPr>
        <w:t xml:space="preserve"> to focus on core activities to become more efficient and to explore non-core activities </w:t>
      </w:r>
      <w:r w:rsidR="00D668F1">
        <w:rPr>
          <w:rFonts w:ascii="Times New Roman" w:hAnsi="Times New Roman" w:cs="Times New Roman"/>
          <w:bCs/>
          <w:iCs/>
          <w:sz w:val="24"/>
          <w:szCs w:val="24"/>
        </w:rPr>
        <w:t>as a means to</w:t>
      </w:r>
      <w:r w:rsidR="00D668F1" w:rsidRPr="00096319">
        <w:rPr>
          <w:rFonts w:ascii="Times New Roman" w:hAnsi="Times New Roman" w:cs="Times New Roman"/>
          <w:bCs/>
          <w:iCs/>
          <w:sz w:val="24"/>
          <w:szCs w:val="24"/>
        </w:rPr>
        <w:t xml:space="preserve"> </w:t>
      </w:r>
      <w:r w:rsidRPr="00096319">
        <w:rPr>
          <w:rFonts w:ascii="Times New Roman" w:hAnsi="Times New Roman" w:cs="Times New Roman"/>
          <w:bCs/>
          <w:iCs/>
          <w:sz w:val="24"/>
          <w:szCs w:val="24"/>
        </w:rPr>
        <w:t xml:space="preserve">diversify their revenue base. Such transparency and renewed focus serve to reduce the </w:t>
      </w:r>
      <w:r w:rsidRPr="00AC0D8E">
        <w:rPr>
          <w:rFonts w:ascii="Times New Roman" w:hAnsi="Times New Roman" w:cs="Times New Roman"/>
          <w:bCs/>
          <w:iCs/>
          <w:sz w:val="24"/>
          <w:szCs w:val="24"/>
        </w:rPr>
        <w:t xml:space="preserve">volatility in total earnings and hence firm value. Under the premise that managers classify all secondary business-related activities accurately as non-operating items, then firms are apt to report non-operating income since managers now account for both non-operating revenues and losses as opposed to non-operating losses alone. </w:t>
      </w:r>
      <w:r w:rsidR="000D13FB" w:rsidRPr="00AC0D8E">
        <w:rPr>
          <w:rFonts w:ascii="Times New Roman" w:hAnsi="Times New Roman" w:cs="Times New Roman"/>
          <w:bCs/>
          <w:iCs/>
          <w:sz w:val="24"/>
          <w:szCs w:val="24"/>
        </w:rPr>
        <w:t>We explain later how earnings manipulating firms attempt to lump non-operating earnings with core earnings while</w:t>
      </w:r>
      <w:r w:rsidR="00653859">
        <w:rPr>
          <w:rFonts w:ascii="Times New Roman" w:hAnsi="Times New Roman" w:cs="Times New Roman"/>
          <w:bCs/>
          <w:iCs/>
          <w:sz w:val="24"/>
          <w:szCs w:val="24"/>
        </w:rPr>
        <w:t xml:space="preserve"> </w:t>
      </w:r>
      <w:r w:rsidR="000D13FB" w:rsidRPr="00AC0D8E">
        <w:rPr>
          <w:rFonts w:ascii="Times New Roman" w:hAnsi="Times New Roman" w:cs="Times New Roman"/>
          <w:bCs/>
          <w:iCs/>
          <w:sz w:val="24"/>
          <w:szCs w:val="24"/>
        </w:rPr>
        <w:t>reporting non-operating losses separate</w:t>
      </w:r>
      <w:r w:rsidR="00816847">
        <w:rPr>
          <w:rFonts w:ascii="Times New Roman" w:hAnsi="Times New Roman" w:cs="Times New Roman"/>
          <w:bCs/>
          <w:iCs/>
          <w:sz w:val="24"/>
          <w:szCs w:val="24"/>
        </w:rPr>
        <w:t>ly</w:t>
      </w:r>
      <w:r w:rsidR="000D13FB" w:rsidRPr="00AC0D8E">
        <w:rPr>
          <w:rFonts w:ascii="Times New Roman" w:hAnsi="Times New Roman" w:cs="Times New Roman"/>
          <w:bCs/>
          <w:iCs/>
          <w:sz w:val="24"/>
          <w:szCs w:val="24"/>
        </w:rPr>
        <w:t xml:space="preserve"> from operating losses. For the time being</w:t>
      </w:r>
      <w:r w:rsidRPr="00AC0D8E">
        <w:rPr>
          <w:rFonts w:ascii="Times New Roman" w:hAnsi="Times New Roman" w:cs="Times New Roman"/>
          <w:bCs/>
          <w:iCs/>
          <w:sz w:val="24"/>
          <w:szCs w:val="24"/>
        </w:rPr>
        <w:t>, we hypothesize that uncertainty in pricing and valuations decreases with the reporting of non-operating income.</w:t>
      </w:r>
    </w:p>
    <w:p w14:paraId="74CE4F3B" w14:textId="79AF75E8" w:rsidR="00621CDC" w:rsidRPr="00893E6D" w:rsidRDefault="000850D4" w:rsidP="00A1062B">
      <w:pPr>
        <w:spacing w:before="240" w:after="0" w:line="480" w:lineRule="auto"/>
        <w:ind w:firstLine="720"/>
        <w:contextualSpacing/>
        <w:jc w:val="both"/>
        <w:rPr>
          <w:rFonts w:ascii="Times New Roman" w:hAnsi="Times New Roman" w:cs="Times New Roman"/>
          <w:sz w:val="24"/>
          <w:szCs w:val="24"/>
        </w:rPr>
      </w:pPr>
      <w:r w:rsidRPr="00AC0D8E">
        <w:t xml:space="preserve"> </w:t>
      </w:r>
      <w:r w:rsidR="00CC1E91" w:rsidRPr="00AC0D8E">
        <w:rPr>
          <w:rFonts w:ascii="Times New Roman" w:hAnsi="Times New Roman" w:cs="Times New Roman"/>
          <w:sz w:val="24"/>
          <w:szCs w:val="24"/>
        </w:rPr>
        <w:t>Pursuing non-operating activities, though, diverts firms' resources from their core activities. Emphasis on non-core activities will cost a firm valuable resources that could have been deployed on core operations. The firm may also be operating at the point where the incremental benefits of using resources toward non-core operations cost the firm more than what is brought in</w:t>
      </w:r>
      <w:r w:rsidR="00920C64">
        <w:rPr>
          <w:rFonts w:ascii="Times New Roman" w:hAnsi="Times New Roman" w:cs="Times New Roman"/>
          <w:sz w:val="24"/>
          <w:szCs w:val="24"/>
        </w:rPr>
        <w:t>.</w:t>
      </w:r>
      <w:r w:rsidR="00920C64">
        <w:rPr>
          <w:rStyle w:val="FootnoteReference"/>
          <w:rFonts w:ascii="Times New Roman" w:hAnsi="Times New Roman" w:cs="Times New Roman"/>
          <w:sz w:val="24"/>
          <w:szCs w:val="24"/>
        </w:rPr>
        <w:footnoteReference w:id="4"/>
      </w:r>
      <w:r w:rsidR="00CC1E91" w:rsidRPr="00AC0D8E">
        <w:rPr>
          <w:rFonts w:ascii="Times New Roman" w:hAnsi="Times New Roman" w:cs="Times New Roman"/>
          <w:sz w:val="24"/>
          <w:szCs w:val="24"/>
        </w:rPr>
        <w:t xml:space="preserve"> To the extent that non-core activities are competing for resources with the core activities, this tension can translate into higher earnings volatility, which, in turn, leads to higher stock market volatility. Given that there are both advantages and disadvantages in pursuing non-core business operations, we rely on empirical evidence to settle the issue and test the following null hypotheses.</w:t>
      </w:r>
    </w:p>
    <w:p w14:paraId="0324C006" w14:textId="037DB27C" w:rsidR="00C8385F" w:rsidRPr="00893E6D" w:rsidRDefault="0070120C" w:rsidP="00FC3235">
      <w:pPr>
        <w:spacing w:line="480" w:lineRule="auto"/>
        <w:contextualSpacing/>
        <w:jc w:val="both"/>
        <w:rPr>
          <w:rFonts w:ascii="Times New Roman" w:hAnsi="Times New Roman" w:cs="Times New Roman"/>
          <w:i/>
          <w:sz w:val="24"/>
          <w:szCs w:val="24"/>
        </w:rPr>
      </w:pPr>
      <w:r w:rsidRPr="00893E6D">
        <w:rPr>
          <w:rFonts w:ascii="Times New Roman" w:hAnsi="Times New Roman" w:cs="Times New Roman"/>
          <w:sz w:val="24"/>
          <w:szCs w:val="24"/>
        </w:rPr>
        <w:tab/>
      </w:r>
      <w:r w:rsidR="00621CDC" w:rsidRPr="00893E6D">
        <w:rPr>
          <w:rFonts w:ascii="Times New Roman" w:hAnsi="Times New Roman" w:cs="Times New Roman"/>
          <w:i/>
          <w:sz w:val="24"/>
          <w:szCs w:val="24"/>
        </w:rPr>
        <w:t>H</w:t>
      </w:r>
      <w:r w:rsidR="00621CDC" w:rsidRPr="00893E6D">
        <w:rPr>
          <w:rFonts w:ascii="Times New Roman" w:hAnsi="Times New Roman" w:cs="Times New Roman"/>
          <w:i/>
          <w:sz w:val="24"/>
          <w:szCs w:val="24"/>
          <w:vertAlign w:val="subscript"/>
        </w:rPr>
        <w:t>1</w:t>
      </w:r>
      <w:r w:rsidR="005E016A" w:rsidRPr="00893E6D">
        <w:rPr>
          <w:rFonts w:ascii="Times New Roman" w:hAnsi="Times New Roman" w:cs="Times New Roman"/>
          <w:i/>
          <w:sz w:val="24"/>
          <w:szCs w:val="24"/>
          <w:vertAlign w:val="subscript"/>
        </w:rPr>
        <w:t>a</w:t>
      </w:r>
      <w:r w:rsidR="00621CDC" w:rsidRPr="00893E6D">
        <w:rPr>
          <w:rFonts w:ascii="Times New Roman" w:hAnsi="Times New Roman" w:cs="Times New Roman"/>
          <w:i/>
          <w:sz w:val="24"/>
          <w:szCs w:val="24"/>
        </w:rPr>
        <w:t xml:space="preserve">: There is no </w:t>
      </w:r>
      <w:r w:rsidR="003B7149" w:rsidRPr="00893E6D">
        <w:rPr>
          <w:rFonts w:ascii="Times New Roman" w:hAnsi="Times New Roman" w:cs="Times New Roman"/>
          <w:i/>
          <w:sz w:val="24"/>
          <w:szCs w:val="24"/>
        </w:rPr>
        <w:t xml:space="preserve">significant </w:t>
      </w:r>
      <w:r w:rsidR="00621CDC" w:rsidRPr="00893E6D">
        <w:rPr>
          <w:rFonts w:ascii="Times New Roman" w:hAnsi="Times New Roman" w:cs="Times New Roman"/>
          <w:i/>
          <w:sz w:val="24"/>
          <w:szCs w:val="24"/>
        </w:rPr>
        <w:t xml:space="preserve">association between </w:t>
      </w:r>
      <w:r w:rsidR="002F22B5" w:rsidRPr="00893E6D">
        <w:rPr>
          <w:rFonts w:ascii="Times New Roman" w:hAnsi="Times New Roman" w:cs="Times New Roman"/>
          <w:i/>
          <w:sz w:val="24"/>
          <w:szCs w:val="24"/>
        </w:rPr>
        <w:t>non-operating</w:t>
      </w:r>
      <w:r w:rsidR="00193DDA" w:rsidRPr="00893E6D">
        <w:rPr>
          <w:rFonts w:ascii="Times New Roman" w:hAnsi="Times New Roman" w:cs="Times New Roman"/>
          <w:i/>
          <w:sz w:val="24"/>
          <w:szCs w:val="24"/>
        </w:rPr>
        <w:t xml:space="preserve"> earnings</w:t>
      </w:r>
      <w:r w:rsidR="00621CDC" w:rsidRPr="00893E6D">
        <w:rPr>
          <w:rFonts w:ascii="Times New Roman" w:hAnsi="Times New Roman" w:cs="Times New Roman"/>
          <w:i/>
          <w:sz w:val="24"/>
          <w:szCs w:val="24"/>
        </w:rPr>
        <w:t xml:space="preserve"> and </w:t>
      </w:r>
      <w:r w:rsidR="002F22B5" w:rsidRPr="00893E6D">
        <w:rPr>
          <w:rFonts w:ascii="Times New Roman" w:hAnsi="Times New Roman" w:cs="Times New Roman"/>
          <w:i/>
          <w:sz w:val="24"/>
          <w:szCs w:val="24"/>
        </w:rPr>
        <w:t xml:space="preserve">total </w:t>
      </w:r>
      <w:r w:rsidR="005E016A" w:rsidRPr="00893E6D">
        <w:rPr>
          <w:rFonts w:ascii="Times New Roman" w:hAnsi="Times New Roman" w:cs="Times New Roman"/>
          <w:i/>
          <w:sz w:val="24"/>
          <w:szCs w:val="24"/>
        </w:rPr>
        <w:t xml:space="preserve">earnings </w:t>
      </w:r>
      <w:r w:rsidR="00621CDC" w:rsidRPr="00893E6D">
        <w:rPr>
          <w:rFonts w:ascii="Times New Roman" w:hAnsi="Times New Roman" w:cs="Times New Roman"/>
          <w:i/>
          <w:sz w:val="24"/>
          <w:szCs w:val="24"/>
        </w:rPr>
        <w:t>volatility.</w:t>
      </w:r>
    </w:p>
    <w:p w14:paraId="62D20AA9" w14:textId="03A2D9D8" w:rsidR="005E016A" w:rsidRPr="00893E6D" w:rsidRDefault="005E016A" w:rsidP="00FC3235">
      <w:pPr>
        <w:spacing w:after="120" w:line="480" w:lineRule="auto"/>
        <w:ind w:firstLine="720"/>
        <w:contextualSpacing/>
        <w:jc w:val="both"/>
        <w:rPr>
          <w:rFonts w:ascii="Times New Roman" w:hAnsi="Times New Roman" w:cs="Times New Roman"/>
          <w:i/>
          <w:sz w:val="24"/>
          <w:szCs w:val="24"/>
        </w:rPr>
      </w:pPr>
      <w:r w:rsidRPr="00893E6D">
        <w:rPr>
          <w:rFonts w:ascii="Times New Roman" w:hAnsi="Times New Roman" w:cs="Times New Roman"/>
          <w:i/>
          <w:sz w:val="24"/>
          <w:szCs w:val="24"/>
        </w:rPr>
        <w:lastRenderedPageBreak/>
        <w:t>H</w:t>
      </w:r>
      <w:r w:rsidRPr="00893E6D">
        <w:rPr>
          <w:rFonts w:ascii="Times New Roman" w:hAnsi="Times New Roman" w:cs="Times New Roman"/>
          <w:i/>
          <w:sz w:val="24"/>
          <w:szCs w:val="24"/>
          <w:vertAlign w:val="subscript"/>
        </w:rPr>
        <w:t>1b</w:t>
      </w:r>
      <w:r w:rsidRPr="00893E6D">
        <w:rPr>
          <w:rFonts w:ascii="Times New Roman" w:hAnsi="Times New Roman" w:cs="Times New Roman"/>
          <w:i/>
          <w:sz w:val="24"/>
          <w:szCs w:val="24"/>
        </w:rPr>
        <w:t xml:space="preserve">: There is no </w:t>
      </w:r>
      <w:r w:rsidR="003B7149" w:rsidRPr="00893E6D">
        <w:rPr>
          <w:rFonts w:ascii="Times New Roman" w:hAnsi="Times New Roman" w:cs="Times New Roman"/>
          <w:i/>
          <w:sz w:val="24"/>
          <w:szCs w:val="24"/>
        </w:rPr>
        <w:t xml:space="preserve">significant </w:t>
      </w:r>
      <w:r w:rsidRPr="00893E6D">
        <w:rPr>
          <w:rFonts w:ascii="Times New Roman" w:hAnsi="Times New Roman" w:cs="Times New Roman"/>
          <w:i/>
          <w:sz w:val="24"/>
          <w:szCs w:val="24"/>
        </w:rPr>
        <w:t xml:space="preserve">association between </w:t>
      </w:r>
      <w:r w:rsidR="00193DDA" w:rsidRPr="00893E6D">
        <w:rPr>
          <w:rFonts w:ascii="Times New Roman" w:hAnsi="Times New Roman" w:cs="Times New Roman"/>
          <w:i/>
          <w:sz w:val="24"/>
          <w:szCs w:val="24"/>
        </w:rPr>
        <w:t>non-operating earnings</w:t>
      </w:r>
      <w:r w:rsidRPr="00893E6D">
        <w:rPr>
          <w:rFonts w:ascii="Times New Roman" w:hAnsi="Times New Roman" w:cs="Times New Roman"/>
          <w:i/>
          <w:sz w:val="24"/>
          <w:szCs w:val="24"/>
        </w:rPr>
        <w:t xml:space="preserve"> and market-based risk </w:t>
      </w:r>
      <w:r w:rsidR="00386BB6">
        <w:rPr>
          <w:rFonts w:ascii="Times New Roman" w:hAnsi="Times New Roman" w:cs="Times New Roman"/>
          <w:i/>
          <w:sz w:val="24"/>
          <w:szCs w:val="24"/>
        </w:rPr>
        <w:t>metrics</w:t>
      </w:r>
      <w:r w:rsidR="000850D4">
        <w:rPr>
          <w:rFonts w:ascii="Times New Roman" w:hAnsi="Times New Roman" w:cs="Times New Roman"/>
          <w:i/>
          <w:sz w:val="24"/>
          <w:szCs w:val="24"/>
        </w:rPr>
        <w:t>.</w:t>
      </w:r>
    </w:p>
    <w:p w14:paraId="480812F1" w14:textId="69D77457" w:rsidR="00826BDC" w:rsidRPr="00893E6D" w:rsidRDefault="00826BDC" w:rsidP="00A1062B">
      <w:pPr>
        <w:pStyle w:val="ListParagraph"/>
        <w:numPr>
          <w:ilvl w:val="1"/>
          <w:numId w:val="1"/>
        </w:numPr>
        <w:spacing w:line="480" w:lineRule="auto"/>
        <w:jc w:val="both"/>
        <w:rPr>
          <w:rFonts w:ascii="Times New Roman" w:hAnsi="Times New Roman" w:cs="Times New Roman"/>
          <w:b/>
          <w:i/>
          <w:sz w:val="24"/>
          <w:szCs w:val="24"/>
        </w:rPr>
      </w:pPr>
      <w:r w:rsidRPr="00893E6D">
        <w:rPr>
          <w:rFonts w:ascii="Times New Roman" w:hAnsi="Times New Roman" w:cs="Times New Roman"/>
          <w:b/>
          <w:i/>
          <w:sz w:val="24"/>
          <w:szCs w:val="24"/>
        </w:rPr>
        <w:t>Non-</w:t>
      </w:r>
      <w:r w:rsidR="00D2441F">
        <w:rPr>
          <w:rFonts w:ascii="Times New Roman" w:hAnsi="Times New Roman" w:cs="Times New Roman"/>
          <w:b/>
          <w:i/>
          <w:sz w:val="24"/>
          <w:szCs w:val="24"/>
        </w:rPr>
        <w:t>o</w:t>
      </w:r>
      <w:r w:rsidRPr="00893E6D">
        <w:rPr>
          <w:rFonts w:ascii="Times New Roman" w:hAnsi="Times New Roman" w:cs="Times New Roman"/>
          <w:b/>
          <w:i/>
          <w:sz w:val="24"/>
          <w:szCs w:val="24"/>
        </w:rPr>
        <w:t xml:space="preserve">perating </w:t>
      </w:r>
      <w:r w:rsidR="00D2441F">
        <w:rPr>
          <w:rFonts w:ascii="Times New Roman" w:hAnsi="Times New Roman" w:cs="Times New Roman"/>
          <w:b/>
          <w:i/>
          <w:sz w:val="24"/>
          <w:szCs w:val="24"/>
        </w:rPr>
        <w:t>e</w:t>
      </w:r>
      <w:r w:rsidRPr="00893E6D">
        <w:rPr>
          <w:rFonts w:ascii="Times New Roman" w:hAnsi="Times New Roman" w:cs="Times New Roman"/>
          <w:b/>
          <w:i/>
          <w:sz w:val="24"/>
          <w:szCs w:val="24"/>
        </w:rPr>
        <w:t>arnings</w:t>
      </w:r>
      <w:r w:rsidR="006862BF" w:rsidRPr="00893E6D">
        <w:rPr>
          <w:rFonts w:ascii="Times New Roman" w:hAnsi="Times New Roman" w:cs="Times New Roman"/>
          <w:b/>
          <w:i/>
          <w:sz w:val="24"/>
          <w:szCs w:val="24"/>
        </w:rPr>
        <w:t xml:space="preserve">, </w:t>
      </w:r>
      <w:r w:rsidR="00D2441F">
        <w:rPr>
          <w:rFonts w:ascii="Times New Roman" w:hAnsi="Times New Roman" w:cs="Times New Roman"/>
          <w:b/>
          <w:i/>
          <w:sz w:val="24"/>
          <w:szCs w:val="24"/>
        </w:rPr>
        <w:t>c</w:t>
      </w:r>
      <w:r w:rsidR="006862BF" w:rsidRPr="00893E6D">
        <w:rPr>
          <w:rFonts w:ascii="Times New Roman" w:hAnsi="Times New Roman" w:cs="Times New Roman"/>
          <w:b/>
          <w:i/>
          <w:sz w:val="24"/>
          <w:szCs w:val="24"/>
        </w:rPr>
        <w:t xml:space="preserve">lassification </w:t>
      </w:r>
      <w:r w:rsidR="00D2441F">
        <w:rPr>
          <w:rFonts w:ascii="Times New Roman" w:hAnsi="Times New Roman" w:cs="Times New Roman"/>
          <w:b/>
          <w:i/>
          <w:sz w:val="24"/>
          <w:szCs w:val="24"/>
        </w:rPr>
        <w:t>s</w:t>
      </w:r>
      <w:r w:rsidR="006862BF" w:rsidRPr="00893E6D">
        <w:rPr>
          <w:rFonts w:ascii="Times New Roman" w:hAnsi="Times New Roman" w:cs="Times New Roman"/>
          <w:b/>
          <w:i/>
          <w:sz w:val="24"/>
          <w:szCs w:val="24"/>
        </w:rPr>
        <w:t>hifting,</w:t>
      </w:r>
      <w:r w:rsidRPr="00893E6D">
        <w:rPr>
          <w:rFonts w:ascii="Times New Roman" w:hAnsi="Times New Roman" w:cs="Times New Roman"/>
          <w:b/>
          <w:i/>
          <w:sz w:val="24"/>
          <w:szCs w:val="24"/>
        </w:rPr>
        <w:t xml:space="preserve"> and </w:t>
      </w:r>
      <w:r w:rsidR="00D2441F">
        <w:rPr>
          <w:rFonts w:ascii="Times New Roman" w:hAnsi="Times New Roman" w:cs="Times New Roman"/>
          <w:b/>
          <w:i/>
          <w:sz w:val="24"/>
          <w:szCs w:val="24"/>
        </w:rPr>
        <w:t>f</w:t>
      </w:r>
      <w:r w:rsidRPr="00893E6D">
        <w:rPr>
          <w:rFonts w:ascii="Times New Roman" w:hAnsi="Times New Roman" w:cs="Times New Roman"/>
          <w:b/>
          <w:i/>
          <w:sz w:val="24"/>
          <w:szCs w:val="24"/>
        </w:rPr>
        <w:t>irm</w:t>
      </w:r>
      <w:r w:rsidR="006862BF" w:rsidRPr="00893E6D">
        <w:rPr>
          <w:rFonts w:ascii="Times New Roman" w:hAnsi="Times New Roman" w:cs="Times New Roman"/>
          <w:b/>
          <w:i/>
          <w:sz w:val="24"/>
          <w:szCs w:val="24"/>
        </w:rPr>
        <w:t xml:space="preserve"> </w:t>
      </w:r>
      <w:r w:rsidR="00E64270">
        <w:rPr>
          <w:rFonts w:ascii="Times New Roman" w:hAnsi="Times New Roman" w:cs="Times New Roman"/>
          <w:b/>
          <w:i/>
          <w:sz w:val="24"/>
          <w:szCs w:val="24"/>
        </w:rPr>
        <w:t>r</w:t>
      </w:r>
      <w:r w:rsidR="00E64270" w:rsidRPr="00893E6D">
        <w:rPr>
          <w:rFonts w:ascii="Times New Roman" w:hAnsi="Times New Roman" w:cs="Times New Roman"/>
          <w:b/>
          <w:i/>
          <w:sz w:val="24"/>
          <w:szCs w:val="24"/>
        </w:rPr>
        <w:t>isk</w:t>
      </w:r>
    </w:p>
    <w:p w14:paraId="47182E48" w14:textId="53AF025E" w:rsidR="006862BF" w:rsidRPr="00893E6D" w:rsidRDefault="002D0064" w:rsidP="00A1062B">
      <w:pPr>
        <w:spacing w:line="480" w:lineRule="auto"/>
        <w:ind w:firstLine="720"/>
        <w:contextualSpacing/>
        <w:jc w:val="both"/>
        <w:rPr>
          <w:rFonts w:ascii="Times New Roman" w:hAnsi="Times New Roman" w:cs="Times New Roman"/>
          <w:sz w:val="24"/>
          <w:szCs w:val="24"/>
        </w:rPr>
      </w:pPr>
      <w:r w:rsidRPr="002D0064">
        <w:rPr>
          <w:rFonts w:ascii="Times New Roman" w:hAnsi="Times New Roman" w:cs="Times New Roman"/>
          <w:sz w:val="24"/>
          <w:szCs w:val="24"/>
        </w:rPr>
        <w:t xml:space="preserve">There </w:t>
      </w:r>
      <w:r w:rsidR="00386BB6">
        <w:rPr>
          <w:rFonts w:ascii="Times New Roman" w:hAnsi="Times New Roman" w:cs="Times New Roman"/>
          <w:sz w:val="24"/>
          <w:szCs w:val="24"/>
        </w:rPr>
        <w:t>exists</w:t>
      </w:r>
      <w:r w:rsidRPr="002D0064">
        <w:rPr>
          <w:rFonts w:ascii="Times New Roman" w:hAnsi="Times New Roman" w:cs="Times New Roman"/>
          <w:sz w:val="24"/>
          <w:szCs w:val="24"/>
        </w:rPr>
        <w:t xml:space="preserve"> </w:t>
      </w:r>
      <w:r w:rsidR="00386BB6">
        <w:rPr>
          <w:rFonts w:ascii="Times New Roman" w:hAnsi="Times New Roman" w:cs="Times New Roman"/>
          <w:sz w:val="24"/>
          <w:szCs w:val="24"/>
        </w:rPr>
        <w:t>the</w:t>
      </w:r>
      <w:r w:rsidRPr="002D0064">
        <w:rPr>
          <w:rFonts w:ascii="Times New Roman" w:hAnsi="Times New Roman" w:cs="Times New Roman"/>
          <w:sz w:val="24"/>
          <w:szCs w:val="24"/>
        </w:rPr>
        <w:t xml:space="preserve"> risk that non-operating earnings are used opportunistically. It would pay to classify non-operating revenues as part of regular operations to inflate operating income, leaving </w:t>
      </w:r>
      <w:r w:rsidRPr="00634A33">
        <w:rPr>
          <w:rFonts w:ascii="Times New Roman" w:hAnsi="Times New Roman" w:cs="Times New Roman"/>
          <w:sz w:val="24"/>
          <w:szCs w:val="24"/>
        </w:rPr>
        <w:t xml:space="preserve">investors </w:t>
      </w:r>
      <w:r w:rsidR="000E4AE4" w:rsidRPr="00636C4A">
        <w:rPr>
          <w:rFonts w:ascii="Times New Roman" w:hAnsi="Times New Roman" w:cs="Times New Roman"/>
          <w:sz w:val="24"/>
          <w:szCs w:val="24"/>
        </w:rPr>
        <w:t>an</w:t>
      </w:r>
      <w:r w:rsidR="000E4AE4" w:rsidRPr="00634A33">
        <w:rPr>
          <w:rFonts w:ascii="Times New Roman" w:hAnsi="Times New Roman" w:cs="Times New Roman"/>
          <w:sz w:val="24"/>
          <w:szCs w:val="24"/>
        </w:rPr>
        <w:t xml:space="preserve"> </w:t>
      </w:r>
      <w:r w:rsidRPr="00634A33">
        <w:rPr>
          <w:rFonts w:ascii="Times New Roman" w:hAnsi="Times New Roman" w:cs="Times New Roman"/>
          <w:sz w:val="24"/>
          <w:szCs w:val="24"/>
        </w:rPr>
        <w:t xml:space="preserve">impression that the firm's regular activities </w:t>
      </w:r>
      <w:r w:rsidRPr="00636C4A">
        <w:rPr>
          <w:rFonts w:ascii="Times New Roman" w:hAnsi="Times New Roman" w:cs="Times New Roman"/>
          <w:sz w:val="24"/>
          <w:szCs w:val="24"/>
        </w:rPr>
        <w:t>yield</w:t>
      </w:r>
      <w:r w:rsidRPr="00634A33">
        <w:rPr>
          <w:rFonts w:ascii="Times New Roman" w:hAnsi="Times New Roman" w:cs="Times New Roman"/>
          <w:sz w:val="24"/>
          <w:szCs w:val="24"/>
        </w:rPr>
        <w:t xml:space="preserve"> high earnings (Kinney and </w:t>
      </w:r>
      <w:proofErr w:type="spellStart"/>
      <w:r w:rsidRPr="00634A33">
        <w:rPr>
          <w:rFonts w:ascii="Times New Roman" w:hAnsi="Times New Roman" w:cs="Times New Roman"/>
          <w:sz w:val="24"/>
          <w:szCs w:val="24"/>
        </w:rPr>
        <w:t>Trezevant</w:t>
      </w:r>
      <w:proofErr w:type="spellEnd"/>
      <w:r w:rsidRPr="00634A33">
        <w:rPr>
          <w:rFonts w:ascii="Times New Roman" w:hAnsi="Times New Roman" w:cs="Times New Roman"/>
          <w:sz w:val="24"/>
          <w:szCs w:val="24"/>
        </w:rPr>
        <w:t>,</w:t>
      </w:r>
      <w:r w:rsidRPr="002D0064">
        <w:rPr>
          <w:rFonts w:ascii="Times New Roman" w:hAnsi="Times New Roman" w:cs="Times New Roman"/>
          <w:sz w:val="24"/>
          <w:szCs w:val="24"/>
        </w:rPr>
        <w:t xml:space="preserve"> 1997; and Weiss, 2001). </w:t>
      </w:r>
      <w:proofErr w:type="spellStart"/>
      <w:r w:rsidRPr="002D0064">
        <w:rPr>
          <w:rFonts w:ascii="Times New Roman" w:hAnsi="Times New Roman" w:cs="Times New Roman"/>
          <w:sz w:val="24"/>
          <w:szCs w:val="24"/>
        </w:rPr>
        <w:t>Eldenburg</w:t>
      </w:r>
      <w:proofErr w:type="spellEnd"/>
      <w:r w:rsidRPr="002D0064">
        <w:rPr>
          <w:rFonts w:ascii="Times New Roman" w:hAnsi="Times New Roman" w:cs="Times New Roman"/>
          <w:sz w:val="24"/>
          <w:szCs w:val="24"/>
        </w:rPr>
        <w:t xml:space="preserve"> et al. (2011) find that a few hospitals creatively manage non-operating </w:t>
      </w:r>
      <w:r w:rsidR="00634A33">
        <w:rPr>
          <w:rFonts w:ascii="Times New Roman" w:hAnsi="Times New Roman" w:cs="Times New Roman"/>
          <w:sz w:val="24"/>
          <w:szCs w:val="24"/>
        </w:rPr>
        <w:t>revenues</w:t>
      </w:r>
      <w:r w:rsidR="00634A33" w:rsidRPr="002D0064">
        <w:rPr>
          <w:rFonts w:ascii="Times New Roman" w:hAnsi="Times New Roman" w:cs="Times New Roman"/>
          <w:sz w:val="24"/>
          <w:szCs w:val="24"/>
        </w:rPr>
        <w:t xml:space="preserve"> </w:t>
      </w:r>
      <w:r w:rsidRPr="002D0064">
        <w:rPr>
          <w:rFonts w:ascii="Times New Roman" w:hAnsi="Times New Roman" w:cs="Times New Roman"/>
          <w:sz w:val="24"/>
          <w:szCs w:val="24"/>
        </w:rPr>
        <w:t xml:space="preserve">and </w:t>
      </w:r>
      <w:r w:rsidR="00634A33">
        <w:rPr>
          <w:rFonts w:ascii="Times New Roman" w:hAnsi="Times New Roman" w:cs="Times New Roman"/>
          <w:sz w:val="24"/>
          <w:szCs w:val="24"/>
        </w:rPr>
        <w:t>expenses</w:t>
      </w:r>
      <w:r w:rsidRPr="002D0064">
        <w:rPr>
          <w:rFonts w:ascii="Times New Roman" w:hAnsi="Times New Roman" w:cs="Times New Roman"/>
          <w:sz w:val="24"/>
          <w:szCs w:val="24"/>
        </w:rPr>
        <w:t xml:space="preserve"> to improve reported earnings. Singh and Song (2013) document that hospitals rely on non-patient care activities to complement patient care revenues and </w:t>
      </w:r>
      <w:r w:rsidR="00634A33">
        <w:rPr>
          <w:rFonts w:ascii="Times New Roman" w:hAnsi="Times New Roman" w:cs="Times New Roman"/>
          <w:sz w:val="24"/>
          <w:szCs w:val="24"/>
        </w:rPr>
        <w:t>to</w:t>
      </w:r>
      <w:r w:rsidR="00634A33" w:rsidRPr="002D0064">
        <w:rPr>
          <w:rFonts w:ascii="Times New Roman" w:hAnsi="Times New Roman" w:cs="Times New Roman"/>
          <w:sz w:val="24"/>
          <w:szCs w:val="24"/>
        </w:rPr>
        <w:t xml:space="preserve"> strengthen</w:t>
      </w:r>
      <w:r w:rsidRPr="002D0064">
        <w:rPr>
          <w:rFonts w:ascii="Times New Roman" w:hAnsi="Times New Roman" w:cs="Times New Roman"/>
          <w:sz w:val="24"/>
          <w:szCs w:val="24"/>
        </w:rPr>
        <w:t xml:space="preserve"> their financial performance. Curtis et al. (2014) show that managers intentionally include non-operating revenues in core profit, especially when their inclusion allows meeting core earnings' benchmark. </w:t>
      </w:r>
      <w:proofErr w:type="spellStart"/>
      <w:r w:rsidRPr="002D0064">
        <w:rPr>
          <w:rFonts w:ascii="Times New Roman" w:hAnsi="Times New Roman" w:cs="Times New Roman"/>
          <w:sz w:val="24"/>
          <w:szCs w:val="24"/>
        </w:rPr>
        <w:t>Malikov</w:t>
      </w:r>
      <w:proofErr w:type="spellEnd"/>
      <w:r w:rsidRPr="002D0064">
        <w:rPr>
          <w:rFonts w:ascii="Times New Roman" w:hAnsi="Times New Roman" w:cs="Times New Roman"/>
          <w:sz w:val="24"/>
          <w:szCs w:val="24"/>
        </w:rPr>
        <w:t xml:space="preserve">, Manson, and Coakley (2018) document the practice of overstating core earnings by shifting non-operating revenues to operating ones. They </w:t>
      </w:r>
      <w:r w:rsidR="00745BA7">
        <w:rPr>
          <w:rFonts w:ascii="Times New Roman" w:hAnsi="Times New Roman" w:cs="Times New Roman"/>
          <w:sz w:val="24"/>
          <w:szCs w:val="24"/>
        </w:rPr>
        <w:t>explain</w:t>
      </w:r>
      <w:r w:rsidRPr="002D0064">
        <w:rPr>
          <w:rFonts w:ascii="Times New Roman" w:hAnsi="Times New Roman" w:cs="Times New Roman"/>
          <w:sz w:val="24"/>
          <w:szCs w:val="24"/>
        </w:rPr>
        <w:t xml:space="preserve"> how firms exploit the loopholes in </w:t>
      </w:r>
      <w:r w:rsidR="00634A33">
        <w:rPr>
          <w:rFonts w:ascii="Times New Roman" w:hAnsi="Times New Roman" w:cs="Times New Roman"/>
          <w:sz w:val="24"/>
          <w:szCs w:val="24"/>
        </w:rPr>
        <w:t>financial reporting standards</w:t>
      </w:r>
      <w:r w:rsidRPr="002D0064">
        <w:rPr>
          <w:rFonts w:ascii="Times New Roman" w:hAnsi="Times New Roman" w:cs="Times New Roman"/>
          <w:sz w:val="24"/>
          <w:szCs w:val="24"/>
        </w:rPr>
        <w:t xml:space="preserve"> to engage in classification shifting of revenues. </w:t>
      </w:r>
      <w:r w:rsidR="00634A33" w:rsidRPr="00634A33">
        <w:rPr>
          <w:rFonts w:ascii="Times New Roman" w:hAnsi="Times New Roman" w:cs="Times New Roman"/>
          <w:sz w:val="24"/>
          <w:szCs w:val="24"/>
        </w:rPr>
        <w:t xml:space="preserve">While non-operating revenues are included in core profit, yet </w:t>
      </w:r>
      <w:r w:rsidRPr="002D0064">
        <w:rPr>
          <w:rFonts w:ascii="Times New Roman" w:hAnsi="Times New Roman" w:cs="Times New Roman"/>
          <w:sz w:val="24"/>
          <w:szCs w:val="24"/>
        </w:rPr>
        <w:t xml:space="preserve"> non-operating losses </w:t>
      </w:r>
      <w:r w:rsidR="00225706">
        <w:rPr>
          <w:rFonts w:ascii="Times New Roman" w:hAnsi="Times New Roman" w:cs="Times New Roman"/>
          <w:sz w:val="24"/>
          <w:szCs w:val="24"/>
        </w:rPr>
        <w:t>are</w:t>
      </w:r>
      <w:r w:rsidRPr="002D0064">
        <w:rPr>
          <w:rFonts w:ascii="Times New Roman" w:hAnsi="Times New Roman" w:cs="Times New Roman"/>
          <w:sz w:val="24"/>
          <w:szCs w:val="24"/>
        </w:rPr>
        <w:t xml:space="preserve"> </w:t>
      </w:r>
      <w:r w:rsidR="00634A33">
        <w:rPr>
          <w:rFonts w:ascii="Times New Roman" w:hAnsi="Times New Roman" w:cs="Times New Roman"/>
          <w:sz w:val="24"/>
          <w:szCs w:val="24"/>
        </w:rPr>
        <w:t>kept separate</w:t>
      </w:r>
      <w:r w:rsidR="00634A33" w:rsidRPr="002D0064">
        <w:rPr>
          <w:rFonts w:ascii="Times New Roman" w:hAnsi="Times New Roman" w:cs="Times New Roman"/>
          <w:sz w:val="24"/>
          <w:szCs w:val="24"/>
        </w:rPr>
        <w:t xml:space="preserve"> </w:t>
      </w:r>
      <w:r w:rsidRPr="002D0064">
        <w:rPr>
          <w:rFonts w:ascii="Times New Roman" w:hAnsi="Times New Roman" w:cs="Times New Roman"/>
          <w:sz w:val="24"/>
          <w:szCs w:val="24"/>
        </w:rPr>
        <w:t xml:space="preserve">from operating losses </w:t>
      </w:r>
      <w:r w:rsidR="00634A33" w:rsidRPr="00634A33">
        <w:rPr>
          <w:rFonts w:ascii="Times New Roman" w:hAnsi="Times New Roman" w:cs="Times New Roman"/>
          <w:sz w:val="24"/>
          <w:szCs w:val="24"/>
        </w:rPr>
        <w:t xml:space="preserve">to give the impression that they are </w:t>
      </w:r>
      <w:r w:rsidRPr="002D0064">
        <w:rPr>
          <w:rFonts w:ascii="Times New Roman" w:hAnsi="Times New Roman" w:cs="Times New Roman"/>
          <w:sz w:val="24"/>
          <w:szCs w:val="24"/>
        </w:rPr>
        <w:t xml:space="preserve"> </w:t>
      </w:r>
      <w:r w:rsidR="00634A33">
        <w:rPr>
          <w:rFonts w:ascii="Times New Roman" w:hAnsi="Times New Roman" w:cs="Times New Roman"/>
          <w:sz w:val="24"/>
          <w:szCs w:val="24"/>
        </w:rPr>
        <w:t>one</w:t>
      </w:r>
      <w:r w:rsidR="00634A33" w:rsidRPr="00634A33">
        <w:rPr>
          <w:rFonts w:ascii="Times New Roman" w:hAnsi="Times New Roman" w:cs="Times New Roman"/>
          <w:sz w:val="24"/>
          <w:szCs w:val="24"/>
        </w:rPr>
        <w:t>-off items and</w:t>
      </w:r>
      <w:r w:rsidRPr="002D0064">
        <w:rPr>
          <w:rFonts w:ascii="Times New Roman" w:hAnsi="Times New Roman" w:cs="Times New Roman"/>
          <w:sz w:val="24"/>
          <w:szCs w:val="24"/>
        </w:rPr>
        <w:t xml:space="preserve"> are not expected to recur (</w:t>
      </w:r>
      <w:proofErr w:type="spellStart"/>
      <w:r w:rsidRPr="002D0064">
        <w:rPr>
          <w:rFonts w:ascii="Times New Roman" w:hAnsi="Times New Roman" w:cs="Times New Roman"/>
          <w:sz w:val="24"/>
          <w:szCs w:val="24"/>
        </w:rPr>
        <w:t>McVay</w:t>
      </w:r>
      <w:proofErr w:type="spellEnd"/>
      <w:r w:rsidRPr="002D0064">
        <w:rPr>
          <w:rFonts w:ascii="Times New Roman" w:hAnsi="Times New Roman" w:cs="Times New Roman"/>
          <w:sz w:val="24"/>
          <w:szCs w:val="24"/>
        </w:rPr>
        <w:t>, 2006; Fan</w:t>
      </w:r>
      <w:r w:rsidR="0057634B">
        <w:rPr>
          <w:rFonts w:ascii="Times New Roman" w:hAnsi="Times New Roman" w:cs="Times New Roman"/>
          <w:sz w:val="24"/>
          <w:szCs w:val="24"/>
        </w:rPr>
        <w:t>,</w:t>
      </w:r>
      <w:r w:rsidRPr="002D0064">
        <w:rPr>
          <w:rFonts w:ascii="Times New Roman" w:hAnsi="Times New Roman" w:cs="Times New Roman"/>
          <w:sz w:val="24"/>
          <w:szCs w:val="24"/>
        </w:rPr>
        <w:t xml:space="preserve"> </w:t>
      </w:r>
      <w:proofErr w:type="spellStart"/>
      <w:r w:rsidR="0057634B" w:rsidRPr="00B54811">
        <w:rPr>
          <w:rFonts w:ascii="Times New Roman" w:hAnsi="Times New Roman" w:cs="Times New Roman"/>
          <w:sz w:val="24"/>
          <w:szCs w:val="24"/>
        </w:rPr>
        <w:t>Barua</w:t>
      </w:r>
      <w:proofErr w:type="spellEnd"/>
      <w:r w:rsidR="0057634B" w:rsidRPr="00B54811">
        <w:rPr>
          <w:rFonts w:ascii="Times New Roman" w:hAnsi="Times New Roman" w:cs="Times New Roman"/>
          <w:sz w:val="24"/>
          <w:szCs w:val="24"/>
        </w:rPr>
        <w:t xml:space="preserve">, </w:t>
      </w:r>
      <w:proofErr w:type="spellStart"/>
      <w:r w:rsidR="0057634B" w:rsidRPr="00B54811">
        <w:rPr>
          <w:rFonts w:ascii="Times New Roman" w:hAnsi="Times New Roman" w:cs="Times New Roman"/>
          <w:sz w:val="24"/>
          <w:szCs w:val="24"/>
        </w:rPr>
        <w:t>Cready</w:t>
      </w:r>
      <w:proofErr w:type="spellEnd"/>
      <w:r w:rsidR="0057634B" w:rsidRPr="00B54811">
        <w:rPr>
          <w:rFonts w:ascii="Times New Roman" w:hAnsi="Times New Roman" w:cs="Times New Roman"/>
          <w:sz w:val="24"/>
          <w:szCs w:val="24"/>
        </w:rPr>
        <w:t xml:space="preserve">, </w:t>
      </w:r>
      <w:r w:rsidR="0057634B">
        <w:rPr>
          <w:rFonts w:ascii="Times New Roman" w:hAnsi="Times New Roman" w:cs="Times New Roman"/>
          <w:sz w:val="24"/>
          <w:szCs w:val="24"/>
        </w:rPr>
        <w:t>and</w:t>
      </w:r>
      <w:r w:rsidR="0057634B" w:rsidRPr="00B54811">
        <w:rPr>
          <w:rFonts w:ascii="Times New Roman" w:hAnsi="Times New Roman" w:cs="Times New Roman"/>
          <w:sz w:val="24"/>
          <w:szCs w:val="24"/>
        </w:rPr>
        <w:t xml:space="preserve"> Thomas</w:t>
      </w:r>
      <w:r w:rsidRPr="002D0064">
        <w:rPr>
          <w:rFonts w:ascii="Times New Roman" w:hAnsi="Times New Roman" w:cs="Times New Roman"/>
          <w:sz w:val="24"/>
          <w:szCs w:val="24"/>
        </w:rPr>
        <w:t xml:space="preserve">, 2010; </w:t>
      </w:r>
      <w:proofErr w:type="spellStart"/>
      <w:r w:rsidRPr="002D0064">
        <w:rPr>
          <w:rFonts w:ascii="Times New Roman" w:hAnsi="Times New Roman" w:cs="Times New Roman"/>
          <w:sz w:val="24"/>
          <w:szCs w:val="24"/>
        </w:rPr>
        <w:t>Athanasakou</w:t>
      </w:r>
      <w:proofErr w:type="spellEnd"/>
      <w:r w:rsidRPr="002D0064">
        <w:rPr>
          <w:rFonts w:ascii="Times New Roman" w:hAnsi="Times New Roman" w:cs="Times New Roman"/>
          <w:sz w:val="24"/>
          <w:szCs w:val="24"/>
        </w:rPr>
        <w:t xml:space="preserve">, Strong, and Walker, 2011; </w:t>
      </w:r>
      <w:proofErr w:type="spellStart"/>
      <w:r w:rsidRPr="002D0064">
        <w:rPr>
          <w:rFonts w:ascii="Times New Roman" w:hAnsi="Times New Roman" w:cs="Times New Roman"/>
          <w:sz w:val="24"/>
          <w:szCs w:val="24"/>
        </w:rPr>
        <w:t>Zalata</w:t>
      </w:r>
      <w:proofErr w:type="spellEnd"/>
      <w:r w:rsidRPr="002D0064">
        <w:rPr>
          <w:rFonts w:ascii="Times New Roman" w:hAnsi="Times New Roman" w:cs="Times New Roman"/>
          <w:sz w:val="24"/>
          <w:szCs w:val="24"/>
        </w:rPr>
        <w:t xml:space="preserve"> and Roberts, 2017; and Haw, Ho, and Li, 2011). </w:t>
      </w:r>
      <w:r w:rsidR="001F6AFC" w:rsidRPr="002D0064">
        <w:rPr>
          <w:rFonts w:ascii="Times New Roman" w:hAnsi="Times New Roman" w:cs="Times New Roman"/>
          <w:sz w:val="24"/>
          <w:szCs w:val="24"/>
        </w:rPr>
        <w:t>As a result</w:t>
      </w:r>
      <w:r w:rsidRPr="002D0064">
        <w:rPr>
          <w:rFonts w:ascii="Times New Roman" w:hAnsi="Times New Roman" w:cs="Times New Roman"/>
          <w:sz w:val="24"/>
          <w:szCs w:val="24"/>
        </w:rPr>
        <w:t xml:space="preserve">, the risk that managers opportunistically use classification shifting to misclassify </w:t>
      </w:r>
      <w:r w:rsidR="001F6AFC">
        <w:rPr>
          <w:rFonts w:ascii="Times New Roman" w:hAnsi="Times New Roman" w:cs="Times New Roman"/>
          <w:sz w:val="24"/>
          <w:szCs w:val="24"/>
        </w:rPr>
        <w:t>some</w:t>
      </w:r>
      <w:r w:rsidRPr="002D0064">
        <w:rPr>
          <w:rFonts w:ascii="Times New Roman" w:hAnsi="Times New Roman" w:cs="Times New Roman"/>
          <w:sz w:val="24"/>
          <w:szCs w:val="24"/>
        </w:rPr>
        <w:t xml:space="preserve"> expenses as non-recurring </w:t>
      </w:r>
      <w:r w:rsidR="001F6AFC">
        <w:rPr>
          <w:rFonts w:ascii="Times New Roman" w:hAnsi="Times New Roman" w:cs="Times New Roman"/>
          <w:sz w:val="24"/>
          <w:szCs w:val="24"/>
        </w:rPr>
        <w:t>ones</w:t>
      </w:r>
      <w:r w:rsidR="001F6AFC" w:rsidRPr="002D0064">
        <w:rPr>
          <w:rFonts w:ascii="Times New Roman" w:hAnsi="Times New Roman" w:cs="Times New Roman"/>
          <w:sz w:val="24"/>
          <w:szCs w:val="24"/>
        </w:rPr>
        <w:t xml:space="preserve"> </w:t>
      </w:r>
      <w:r w:rsidRPr="002D0064">
        <w:rPr>
          <w:rFonts w:ascii="Times New Roman" w:hAnsi="Times New Roman" w:cs="Times New Roman"/>
          <w:sz w:val="24"/>
          <w:szCs w:val="24"/>
        </w:rPr>
        <w:t xml:space="preserve">and non-recurring revenues as </w:t>
      </w:r>
      <w:r w:rsidR="001F6AFC">
        <w:rPr>
          <w:rFonts w:ascii="Times New Roman" w:hAnsi="Times New Roman" w:cs="Times New Roman"/>
          <w:sz w:val="24"/>
          <w:szCs w:val="24"/>
        </w:rPr>
        <w:t>recurring ones</w:t>
      </w:r>
      <w:r w:rsidRPr="002D0064">
        <w:rPr>
          <w:rFonts w:ascii="Times New Roman" w:hAnsi="Times New Roman" w:cs="Times New Roman"/>
          <w:sz w:val="24"/>
          <w:szCs w:val="24"/>
        </w:rPr>
        <w:t xml:space="preserve"> cannot be discounted</w:t>
      </w:r>
      <w:r w:rsidR="00826BDC" w:rsidRPr="00893E6D">
        <w:rPr>
          <w:rFonts w:ascii="Times New Roman" w:hAnsi="Times New Roman" w:cs="Times New Roman"/>
          <w:sz w:val="24"/>
          <w:szCs w:val="24"/>
        </w:rPr>
        <w:t xml:space="preserve">. </w:t>
      </w:r>
    </w:p>
    <w:p w14:paraId="63E8558D" w14:textId="77777777" w:rsidR="00225706" w:rsidRPr="00225706" w:rsidRDefault="00225706" w:rsidP="00225706">
      <w:pPr>
        <w:spacing w:line="480" w:lineRule="auto"/>
        <w:ind w:firstLine="720"/>
        <w:contextualSpacing/>
        <w:jc w:val="both"/>
        <w:rPr>
          <w:rFonts w:ascii="Times New Roman" w:hAnsi="Times New Roman" w:cs="Times New Roman"/>
          <w:sz w:val="24"/>
          <w:szCs w:val="24"/>
        </w:rPr>
      </w:pPr>
      <w:r w:rsidRPr="00225706">
        <w:rPr>
          <w:rFonts w:ascii="Times New Roman" w:hAnsi="Times New Roman" w:cs="Times New Roman"/>
          <w:sz w:val="24"/>
          <w:szCs w:val="24"/>
        </w:rPr>
        <w:t xml:space="preserve">Within the set of value-relevant information, misclassification of revenues and expenses (i.e., classification shifting) should matter little if it does not affect total earnings and bears no consequence on the firm's total cash flows. However, positive accounting theory suggests that </w:t>
      </w:r>
      <w:r w:rsidRPr="00225706">
        <w:rPr>
          <w:rFonts w:ascii="Times New Roman" w:hAnsi="Times New Roman" w:cs="Times New Roman"/>
          <w:sz w:val="24"/>
          <w:szCs w:val="24"/>
        </w:rPr>
        <w:lastRenderedPageBreak/>
        <w:t xml:space="preserve">managers are not indifferent to classification shifting, and they intentionally shift items within the financial statements. Fan et al. (2010) find that managers are more likely to undertake classification shifting in the fourth quarter as opposed to the interim quarters. </w:t>
      </w:r>
    </w:p>
    <w:p w14:paraId="49BFDE24" w14:textId="5B4B46AE" w:rsidR="006862BF" w:rsidRPr="00AC0D8E" w:rsidRDefault="00225706" w:rsidP="00225706">
      <w:pPr>
        <w:spacing w:line="480" w:lineRule="auto"/>
        <w:ind w:firstLine="720"/>
        <w:contextualSpacing/>
        <w:jc w:val="both"/>
        <w:rPr>
          <w:rFonts w:ascii="Times New Roman" w:hAnsi="Times New Roman" w:cs="Times New Roman"/>
          <w:sz w:val="24"/>
          <w:szCs w:val="24"/>
        </w:rPr>
      </w:pPr>
      <w:r w:rsidRPr="00225706">
        <w:rPr>
          <w:rFonts w:ascii="Times New Roman" w:hAnsi="Times New Roman" w:cs="Times New Roman"/>
          <w:sz w:val="24"/>
          <w:szCs w:val="24"/>
        </w:rPr>
        <w:t xml:space="preserve">To the extent that investors are fixated on core earnings </w:t>
      </w:r>
      <w:r w:rsidR="001F6AFC" w:rsidRPr="00225706">
        <w:rPr>
          <w:rFonts w:ascii="Times New Roman" w:hAnsi="Times New Roman" w:cs="Times New Roman"/>
          <w:sz w:val="24"/>
          <w:szCs w:val="24"/>
        </w:rPr>
        <w:t>as opposed to</w:t>
      </w:r>
      <w:r w:rsidRPr="00225706">
        <w:rPr>
          <w:rFonts w:ascii="Times New Roman" w:hAnsi="Times New Roman" w:cs="Times New Roman"/>
          <w:sz w:val="24"/>
          <w:szCs w:val="24"/>
        </w:rPr>
        <w:t xml:space="preserve"> bottom-line GAAP earnings, managers may misclassify items of revenue and expenditure to </w:t>
      </w:r>
      <w:r w:rsidR="001F6AFC" w:rsidRPr="00225706">
        <w:rPr>
          <w:rFonts w:ascii="Times New Roman" w:hAnsi="Times New Roman" w:cs="Times New Roman"/>
          <w:sz w:val="24"/>
          <w:szCs w:val="24"/>
        </w:rPr>
        <w:t>give a boost to</w:t>
      </w:r>
      <w:r w:rsidRPr="00225706">
        <w:rPr>
          <w:rFonts w:ascii="Times New Roman" w:hAnsi="Times New Roman" w:cs="Times New Roman"/>
          <w:sz w:val="24"/>
          <w:szCs w:val="24"/>
        </w:rPr>
        <w:t xml:space="preserve"> core earnings </w:t>
      </w:r>
      <w:r w:rsidR="001F6AFC">
        <w:rPr>
          <w:rFonts w:ascii="Times New Roman" w:hAnsi="Times New Roman" w:cs="Times New Roman"/>
          <w:sz w:val="24"/>
          <w:szCs w:val="24"/>
        </w:rPr>
        <w:t xml:space="preserve">and </w:t>
      </w:r>
      <w:r w:rsidRPr="00225706">
        <w:rPr>
          <w:rFonts w:ascii="Times New Roman" w:hAnsi="Times New Roman" w:cs="Times New Roman"/>
          <w:sz w:val="24"/>
          <w:szCs w:val="24"/>
        </w:rPr>
        <w:t xml:space="preserve">to safeguard their </w:t>
      </w:r>
      <w:r w:rsidR="00661B3A">
        <w:rPr>
          <w:rFonts w:ascii="Times New Roman" w:hAnsi="Times New Roman" w:cs="Times New Roman"/>
          <w:sz w:val="24"/>
          <w:szCs w:val="24"/>
        </w:rPr>
        <w:t xml:space="preserve">own </w:t>
      </w:r>
      <w:r w:rsidRPr="00AC0D8E">
        <w:rPr>
          <w:rFonts w:ascii="Times New Roman" w:hAnsi="Times New Roman" w:cs="Times New Roman"/>
          <w:sz w:val="24"/>
          <w:szCs w:val="24"/>
        </w:rPr>
        <w:t xml:space="preserve">interests. Fan and Liu (2017) document that managers shift core expenses to special items to meet or beat zero core earnings, prior period core earnings, and analyst forecasts. Firms include transitory gains in core earnings to meet or beat zero core earnings (Hsu and </w:t>
      </w:r>
      <w:proofErr w:type="spellStart"/>
      <w:r w:rsidRPr="00AC0D8E">
        <w:rPr>
          <w:rFonts w:ascii="Times New Roman" w:hAnsi="Times New Roman" w:cs="Times New Roman"/>
          <w:sz w:val="24"/>
          <w:szCs w:val="24"/>
        </w:rPr>
        <w:t>Kross</w:t>
      </w:r>
      <w:proofErr w:type="spellEnd"/>
      <w:r w:rsidRPr="00AC0D8E">
        <w:rPr>
          <w:rFonts w:ascii="Times New Roman" w:hAnsi="Times New Roman" w:cs="Times New Roman"/>
          <w:sz w:val="24"/>
          <w:szCs w:val="24"/>
        </w:rPr>
        <w:t>, 2011; and Curtis et al., 2014).</w:t>
      </w:r>
    </w:p>
    <w:p w14:paraId="11B85626" w14:textId="21274BFA" w:rsidR="006862BF" w:rsidRPr="00893E6D" w:rsidRDefault="00DC209A" w:rsidP="00A1062B">
      <w:pPr>
        <w:spacing w:line="480" w:lineRule="auto"/>
        <w:ind w:firstLine="720"/>
        <w:contextualSpacing/>
        <w:jc w:val="both"/>
        <w:rPr>
          <w:rFonts w:ascii="Times New Roman" w:hAnsi="Times New Roman" w:cs="Times New Roman"/>
          <w:sz w:val="24"/>
          <w:szCs w:val="24"/>
        </w:rPr>
      </w:pPr>
      <w:r w:rsidRPr="00AC0D8E">
        <w:rPr>
          <w:rFonts w:ascii="Times New Roman" w:hAnsi="Times New Roman" w:cs="Times New Roman"/>
          <w:sz w:val="24"/>
          <w:szCs w:val="24"/>
        </w:rPr>
        <w:t xml:space="preserve"> </w:t>
      </w:r>
      <w:r w:rsidR="00FC3235" w:rsidRPr="00AC0D8E">
        <w:rPr>
          <w:rFonts w:ascii="Times New Roman" w:hAnsi="Times New Roman" w:cs="Times New Roman"/>
          <w:sz w:val="24"/>
          <w:szCs w:val="24"/>
        </w:rPr>
        <w:t>The need to sustain core earnings is understandable, given the considerable pressure faced by managers. The transitory nature of non-operating earnings suggests that they cannot be relied upon as a sustainable source of income. We argue, though, that irrespective of the pressure to sustain core earnings, the proper classification of earning</w:t>
      </w:r>
      <w:r w:rsidR="005A3A50" w:rsidRPr="00AC0D8E">
        <w:rPr>
          <w:rFonts w:ascii="Times New Roman" w:hAnsi="Times New Roman" w:cs="Times New Roman"/>
          <w:sz w:val="24"/>
          <w:szCs w:val="24"/>
        </w:rPr>
        <w:t>s</w:t>
      </w:r>
      <w:r w:rsidR="00FC3235" w:rsidRPr="00AC0D8E">
        <w:rPr>
          <w:rFonts w:ascii="Times New Roman" w:hAnsi="Times New Roman" w:cs="Times New Roman"/>
          <w:sz w:val="24"/>
          <w:szCs w:val="24"/>
        </w:rPr>
        <w:t xml:space="preserve"> into core and non-core reduce</w:t>
      </w:r>
      <w:r w:rsidR="00FA1F64">
        <w:rPr>
          <w:rFonts w:ascii="Times New Roman" w:hAnsi="Times New Roman" w:cs="Times New Roman"/>
          <w:sz w:val="24"/>
          <w:szCs w:val="24"/>
        </w:rPr>
        <w:t>s</w:t>
      </w:r>
      <w:r w:rsidR="00FC3235" w:rsidRPr="00AC0D8E">
        <w:rPr>
          <w:rFonts w:ascii="Times New Roman" w:hAnsi="Times New Roman" w:cs="Times New Roman"/>
          <w:sz w:val="24"/>
          <w:szCs w:val="24"/>
        </w:rPr>
        <w:t xml:space="preserve"> uncertainty for all stakeholders, while classification shifting exacerbates</w:t>
      </w:r>
      <w:r w:rsidR="00FC3235" w:rsidRPr="00FC3235">
        <w:rPr>
          <w:rFonts w:ascii="Times New Roman" w:hAnsi="Times New Roman" w:cs="Times New Roman"/>
          <w:sz w:val="24"/>
          <w:szCs w:val="24"/>
        </w:rPr>
        <w:t xml:space="preserve"> the uncertainty. Dao, Xu, and Pham (2018) find that classification shifting is positively associated with audit fees, audit report lags, and the likelihood of a modified audit opinion, which is a testament of the uncertainty </w:t>
      </w:r>
      <w:r w:rsidR="00101C66">
        <w:rPr>
          <w:rFonts w:ascii="Times New Roman" w:hAnsi="Times New Roman" w:cs="Times New Roman"/>
          <w:sz w:val="24"/>
          <w:szCs w:val="24"/>
        </w:rPr>
        <w:t xml:space="preserve">that </w:t>
      </w:r>
      <w:r w:rsidR="00101C66" w:rsidRPr="00FC3235">
        <w:rPr>
          <w:rFonts w:ascii="Times New Roman" w:hAnsi="Times New Roman" w:cs="Times New Roman"/>
          <w:sz w:val="24"/>
          <w:szCs w:val="24"/>
        </w:rPr>
        <w:t>classification shifting</w:t>
      </w:r>
      <w:r w:rsidR="00F41406" w:rsidRPr="00FC3235">
        <w:rPr>
          <w:rFonts w:ascii="Times New Roman" w:hAnsi="Times New Roman" w:cs="Times New Roman"/>
          <w:sz w:val="24"/>
          <w:szCs w:val="24"/>
        </w:rPr>
        <w:t xml:space="preserve"> </w:t>
      </w:r>
      <w:r w:rsidR="00FC3235" w:rsidRPr="00FC3235">
        <w:rPr>
          <w:rFonts w:ascii="Times New Roman" w:hAnsi="Times New Roman" w:cs="Times New Roman"/>
          <w:sz w:val="24"/>
          <w:szCs w:val="24"/>
        </w:rPr>
        <w:t xml:space="preserve">adds </w:t>
      </w:r>
      <w:r w:rsidR="00F41406">
        <w:rPr>
          <w:rFonts w:ascii="Times New Roman" w:hAnsi="Times New Roman" w:cs="Times New Roman"/>
          <w:sz w:val="24"/>
          <w:szCs w:val="24"/>
        </w:rPr>
        <w:t>to company audits</w:t>
      </w:r>
      <w:r w:rsidR="00FC3235" w:rsidRPr="00FC3235">
        <w:rPr>
          <w:rFonts w:ascii="Times New Roman" w:hAnsi="Times New Roman" w:cs="Times New Roman"/>
          <w:sz w:val="24"/>
          <w:szCs w:val="24"/>
        </w:rPr>
        <w:t>.</w:t>
      </w:r>
    </w:p>
    <w:p w14:paraId="78D8A9FB" w14:textId="32DEA6BB" w:rsidR="00FC3235" w:rsidRPr="00FC3235" w:rsidRDefault="00FC3235" w:rsidP="00FC3235">
      <w:pPr>
        <w:spacing w:line="480" w:lineRule="auto"/>
        <w:ind w:firstLine="720"/>
        <w:contextualSpacing/>
        <w:jc w:val="both"/>
        <w:rPr>
          <w:rFonts w:ascii="Times New Roman" w:hAnsi="Times New Roman" w:cs="Times New Roman"/>
          <w:sz w:val="24"/>
          <w:szCs w:val="24"/>
        </w:rPr>
      </w:pPr>
      <w:r w:rsidRPr="00FC3235">
        <w:rPr>
          <w:rFonts w:ascii="Times New Roman" w:hAnsi="Times New Roman" w:cs="Times New Roman"/>
          <w:sz w:val="24"/>
          <w:szCs w:val="24"/>
        </w:rPr>
        <w:t xml:space="preserve">In so far as firms that manage earnings tend to report non-operating losses while they bundle non-operating income with other line items to raise operating earnings artificially, then it implies that firms reporting non-operating losses </w:t>
      </w:r>
      <w:r w:rsidR="00F41406">
        <w:rPr>
          <w:rFonts w:ascii="Times New Roman" w:hAnsi="Times New Roman" w:cs="Times New Roman"/>
          <w:sz w:val="24"/>
          <w:szCs w:val="24"/>
        </w:rPr>
        <w:t>alone</w:t>
      </w:r>
      <w:r w:rsidR="00F41406" w:rsidRPr="00FC3235">
        <w:rPr>
          <w:rFonts w:ascii="Times New Roman" w:hAnsi="Times New Roman" w:cs="Times New Roman"/>
          <w:sz w:val="24"/>
          <w:szCs w:val="24"/>
        </w:rPr>
        <w:t xml:space="preserve"> are</w:t>
      </w:r>
      <w:r w:rsidRPr="00FC3235">
        <w:rPr>
          <w:rFonts w:ascii="Times New Roman" w:hAnsi="Times New Roman" w:cs="Times New Roman"/>
          <w:sz w:val="24"/>
          <w:szCs w:val="24"/>
        </w:rPr>
        <w:t xml:space="preserve"> </w:t>
      </w:r>
      <w:r w:rsidR="00F41406">
        <w:rPr>
          <w:rFonts w:ascii="Times New Roman" w:hAnsi="Times New Roman" w:cs="Times New Roman"/>
          <w:sz w:val="24"/>
          <w:szCs w:val="24"/>
        </w:rPr>
        <w:t>more likely to misrepresent</w:t>
      </w:r>
      <w:r w:rsidR="00F41406" w:rsidRPr="00FC3235">
        <w:rPr>
          <w:rFonts w:ascii="Times New Roman" w:hAnsi="Times New Roman" w:cs="Times New Roman"/>
          <w:sz w:val="24"/>
          <w:szCs w:val="24"/>
        </w:rPr>
        <w:t xml:space="preserve"> </w:t>
      </w:r>
      <w:r w:rsidRPr="00FC3235">
        <w:rPr>
          <w:rFonts w:ascii="Times New Roman" w:hAnsi="Times New Roman" w:cs="Times New Roman"/>
          <w:sz w:val="24"/>
          <w:szCs w:val="24"/>
        </w:rPr>
        <w:t xml:space="preserve">GAAP </w:t>
      </w:r>
      <w:r w:rsidR="00F41406">
        <w:rPr>
          <w:rFonts w:ascii="Times New Roman" w:hAnsi="Times New Roman" w:cs="Times New Roman"/>
          <w:sz w:val="24"/>
          <w:szCs w:val="24"/>
        </w:rPr>
        <w:t>(</w:t>
      </w:r>
      <w:r w:rsidR="00F41406" w:rsidRPr="00F41406">
        <w:rPr>
          <w:rFonts w:ascii="Times New Roman" w:hAnsi="Times New Roman" w:cs="Times New Roman"/>
          <w:sz w:val="24"/>
          <w:szCs w:val="24"/>
        </w:rPr>
        <w:t>generally accepted accounting principles</w:t>
      </w:r>
      <w:r w:rsidR="00F41406">
        <w:rPr>
          <w:rFonts w:ascii="Times New Roman" w:hAnsi="Times New Roman" w:cs="Times New Roman"/>
          <w:sz w:val="24"/>
          <w:szCs w:val="24"/>
        </w:rPr>
        <w:t xml:space="preserve">) </w:t>
      </w:r>
      <w:r w:rsidRPr="00FC3235">
        <w:rPr>
          <w:rFonts w:ascii="Times New Roman" w:hAnsi="Times New Roman" w:cs="Times New Roman"/>
          <w:sz w:val="24"/>
          <w:szCs w:val="24"/>
        </w:rPr>
        <w:t xml:space="preserve">numbers. While it is inconceivable that all firms </w:t>
      </w:r>
      <w:r w:rsidR="005A3A50">
        <w:rPr>
          <w:rFonts w:ascii="Times New Roman" w:hAnsi="Times New Roman" w:cs="Times New Roman"/>
          <w:sz w:val="24"/>
          <w:szCs w:val="24"/>
        </w:rPr>
        <w:t>that report</w:t>
      </w:r>
      <w:r w:rsidRPr="00FC3235">
        <w:rPr>
          <w:rFonts w:ascii="Times New Roman" w:hAnsi="Times New Roman" w:cs="Times New Roman"/>
          <w:sz w:val="24"/>
          <w:szCs w:val="24"/>
        </w:rPr>
        <w:t xml:space="preserve"> non-operating losses are </w:t>
      </w:r>
      <w:r w:rsidR="005A3A50">
        <w:rPr>
          <w:rFonts w:ascii="Times New Roman" w:hAnsi="Times New Roman" w:cs="Times New Roman"/>
          <w:sz w:val="24"/>
          <w:szCs w:val="24"/>
        </w:rPr>
        <w:t>deliberately</w:t>
      </w:r>
      <w:r w:rsidRPr="00FC3235">
        <w:rPr>
          <w:rFonts w:ascii="Times New Roman" w:hAnsi="Times New Roman" w:cs="Times New Roman"/>
          <w:sz w:val="24"/>
          <w:szCs w:val="24"/>
        </w:rPr>
        <w:t xml:space="preserve"> concealing non-operating revenues, yet firms that engage in deceitful practices would be reporting more non-operating losses </w:t>
      </w:r>
      <w:r w:rsidR="005A3A50">
        <w:rPr>
          <w:rFonts w:ascii="Times New Roman" w:hAnsi="Times New Roman" w:cs="Times New Roman"/>
          <w:sz w:val="24"/>
          <w:szCs w:val="24"/>
        </w:rPr>
        <w:t>and less</w:t>
      </w:r>
      <w:r w:rsidRPr="00FC3235">
        <w:rPr>
          <w:rFonts w:ascii="Times New Roman" w:hAnsi="Times New Roman" w:cs="Times New Roman"/>
          <w:sz w:val="24"/>
          <w:szCs w:val="24"/>
        </w:rPr>
        <w:t xml:space="preserve"> non-operating </w:t>
      </w:r>
      <w:r w:rsidRPr="00FC3235">
        <w:rPr>
          <w:rFonts w:ascii="Times New Roman" w:hAnsi="Times New Roman" w:cs="Times New Roman"/>
          <w:sz w:val="24"/>
          <w:szCs w:val="24"/>
        </w:rPr>
        <w:lastRenderedPageBreak/>
        <w:t xml:space="preserve">income. </w:t>
      </w:r>
      <w:r w:rsidR="00F41406">
        <w:rPr>
          <w:rFonts w:ascii="Times New Roman" w:hAnsi="Times New Roman" w:cs="Times New Roman"/>
          <w:sz w:val="24"/>
          <w:szCs w:val="24"/>
        </w:rPr>
        <w:t xml:space="preserve">It would suggest that </w:t>
      </w:r>
      <w:r w:rsidRPr="00FC3235">
        <w:rPr>
          <w:rFonts w:ascii="Times New Roman" w:hAnsi="Times New Roman" w:cs="Times New Roman"/>
          <w:sz w:val="24"/>
          <w:szCs w:val="24"/>
        </w:rPr>
        <w:t xml:space="preserve">firms </w:t>
      </w:r>
      <w:r w:rsidR="005A3A50">
        <w:rPr>
          <w:rFonts w:ascii="Times New Roman" w:hAnsi="Times New Roman" w:cs="Times New Roman"/>
          <w:sz w:val="24"/>
          <w:szCs w:val="24"/>
        </w:rPr>
        <w:t>reporting</w:t>
      </w:r>
      <w:r w:rsidRPr="00FC3235">
        <w:rPr>
          <w:rFonts w:ascii="Times New Roman" w:hAnsi="Times New Roman" w:cs="Times New Roman"/>
          <w:sz w:val="24"/>
          <w:szCs w:val="24"/>
        </w:rPr>
        <w:t xml:space="preserve"> </w:t>
      </w:r>
      <w:r w:rsidR="005A3A50">
        <w:rPr>
          <w:rFonts w:ascii="Times New Roman" w:hAnsi="Times New Roman" w:cs="Times New Roman"/>
          <w:sz w:val="24"/>
          <w:szCs w:val="24"/>
        </w:rPr>
        <w:t>low</w:t>
      </w:r>
      <w:r w:rsidRPr="00FC3235">
        <w:rPr>
          <w:rFonts w:ascii="Times New Roman" w:hAnsi="Times New Roman" w:cs="Times New Roman"/>
          <w:sz w:val="24"/>
          <w:szCs w:val="24"/>
        </w:rPr>
        <w:t xml:space="preserve"> non-operating income</w:t>
      </w:r>
      <w:r w:rsidR="005A3A50">
        <w:rPr>
          <w:rFonts w:ascii="Times New Roman" w:hAnsi="Times New Roman" w:cs="Times New Roman"/>
          <w:sz w:val="24"/>
          <w:szCs w:val="24"/>
        </w:rPr>
        <w:t xml:space="preserve"> due to classification shifting</w:t>
      </w:r>
      <w:r w:rsidR="00DA6017">
        <w:rPr>
          <w:rFonts w:ascii="Times New Roman" w:hAnsi="Times New Roman" w:cs="Times New Roman"/>
          <w:sz w:val="24"/>
          <w:szCs w:val="24"/>
        </w:rPr>
        <w:t xml:space="preserve"> would be subject to higher stock price uncertainty</w:t>
      </w:r>
      <w:r w:rsidRPr="00FC3235">
        <w:rPr>
          <w:rFonts w:ascii="Times New Roman" w:hAnsi="Times New Roman" w:cs="Times New Roman"/>
          <w:sz w:val="24"/>
          <w:szCs w:val="24"/>
        </w:rPr>
        <w:t>.</w:t>
      </w:r>
    </w:p>
    <w:p w14:paraId="3EB387B5" w14:textId="7BFAB453" w:rsidR="000F47F2" w:rsidRPr="00893E6D" w:rsidRDefault="00FC3235" w:rsidP="00FC3235">
      <w:pPr>
        <w:spacing w:line="480" w:lineRule="auto"/>
        <w:ind w:firstLine="720"/>
        <w:contextualSpacing/>
        <w:jc w:val="both"/>
        <w:rPr>
          <w:rFonts w:ascii="Times New Roman" w:hAnsi="Times New Roman" w:cs="Times New Roman"/>
          <w:sz w:val="24"/>
          <w:szCs w:val="24"/>
        </w:rPr>
      </w:pPr>
      <w:r w:rsidRPr="00FC3235">
        <w:rPr>
          <w:rFonts w:ascii="Times New Roman" w:hAnsi="Times New Roman" w:cs="Times New Roman"/>
          <w:sz w:val="24"/>
          <w:szCs w:val="24"/>
        </w:rPr>
        <w:t xml:space="preserve">Correctly classifying accounting items as core or non-core improves firm transparency and reduces the uncertainty of investors, hence mitigating stock price volatility. Classification shifting, on the other hand, exacerbates the divergence between the perceived and real economic value of a firm's earnings and </w:t>
      </w:r>
      <w:r w:rsidR="005C6FE5">
        <w:rPr>
          <w:rFonts w:ascii="Times New Roman" w:hAnsi="Times New Roman" w:cs="Times New Roman"/>
          <w:sz w:val="24"/>
          <w:szCs w:val="24"/>
        </w:rPr>
        <w:t>adds</w:t>
      </w:r>
      <w:r w:rsidRPr="00FC3235">
        <w:rPr>
          <w:rFonts w:ascii="Times New Roman" w:hAnsi="Times New Roman" w:cs="Times New Roman"/>
          <w:sz w:val="24"/>
          <w:szCs w:val="24"/>
        </w:rPr>
        <w:t xml:space="preserve"> uncertainty. We test the following hypotheses in relation to classification shifting:</w:t>
      </w:r>
    </w:p>
    <w:p w14:paraId="7DAAF849" w14:textId="5877947B" w:rsidR="00FB3A1F" w:rsidRPr="00893E6D" w:rsidRDefault="00826BDC" w:rsidP="00FC3235">
      <w:pPr>
        <w:spacing w:line="480" w:lineRule="auto"/>
        <w:contextualSpacing/>
        <w:jc w:val="both"/>
        <w:rPr>
          <w:rFonts w:ascii="Times New Roman" w:hAnsi="Times New Roman" w:cs="Times New Roman"/>
          <w:i/>
          <w:sz w:val="24"/>
          <w:szCs w:val="24"/>
        </w:rPr>
      </w:pPr>
      <w:r w:rsidRPr="00893E6D">
        <w:rPr>
          <w:rFonts w:ascii="Times New Roman" w:hAnsi="Times New Roman" w:cs="Times New Roman"/>
          <w:sz w:val="24"/>
          <w:szCs w:val="24"/>
        </w:rPr>
        <w:tab/>
      </w:r>
      <w:r w:rsidR="00E114A3" w:rsidRPr="00893E6D">
        <w:rPr>
          <w:rFonts w:ascii="Times New Roman" w:hAnsi="Times New Roman" w:cs="Times New Roman"/>
          <w:i/>
          <w:sz w:val="24"/>
          <w:szCs w:val="24"/>
        </w:rPr>
        <w:t>H</w:t>
      </w:r>
      <w:r w:rsidR="00BC2127" w:rsidRPr="00893E6D">
        <w:rPr>
          <w:rFonts w:ascii="Times New Roman" w:hAnsi="Times New Roman" w:cs="Times New Roman"/>
          <w:i/>
          <w:sz w:val="24"/>
          <w:szCs w:val="24"/>
          <w:vertAlign w:val="subscript"/>
        </w:rPr>
        <w:t>2</w:t>
      </w:r>
      <w:r w:rsidRPr="00893E6D">
        <w:rPr>
          <w:rFonts w:ascii="Times New Roman" w:hAnsi="Times New Roman" w:cs="Times New Roman"/>
          <w:i/>
          <w:sz w:val="24"/>
          <w:szCs w:val="24"/>
          <w:vertAlign w:val="subscript"/>
        </w:rPr>
        <w:t>a</w:t>
      </w:r>
      <w:r w:rsidR="00FB3A1F" w:rsidRPr="00893E6D">
        <w:rPr>
          <w:rFonts w:ascii="Times New Roman" w:hAnsi="Times New Roman" w:cs="Times New Roman"/>
          <w:i/>
          <w:sz w:val="24"/>
          <w:szCs w:val="24"/>
        </w:rPr>
        <w:t xml:space="preserve">: </w:t>
      </w:r>
      <w:r w:rsidR="00F6367D" w:rsidRPr="00893E6D">
        <w:rPr>
          <w:rFonts w:ascii="Times New Roman" w:hAnsi="Times New Roman" w:cs="Times New Roman"/>
          <w:i/>
          <w:sz w:val="24"/>
          <w:szCs w:val="24"/>
        </w:rPr>
        <w:t xml:space="preserve">Classification shifting does not affect the </w:t>
      </w:r>
      <w:r w:rsidR="00DD0632">
        <w:rPr>
          <w:rFonts w:ascii="Times New Roman" w:hAnsi="Times New Roman" w:cs="Times New Roman"/>
          <w:i/>
          <w:sz w:val="24"/>
          <w:szCs w:val="24"/>
        </w:rPr>
        <w:t>association</w:t>
      </w:r>
      <w:r w:rsidR="00F6367D" w:rsidRPr="00893E6D">
        <w:rPr>
          <w:rFonts w:ascii="Times New Roman" w:hAnsi="Times New Roman" w:cs="Times New Roman"/>
          <w:i/>
          <w:sz w:val="24"/>
          <w:szCs w:val="24"/>
        </w:rPr>
        <w:t xml:space="preserve"> between non-operating earnings and </w:t>
      </w:r>
      <w:r w:rsidRPr="00893E6D">
        <w:rPr>
          <w:rFonts w:ascii="Times New Roman" w:hAnsi="Times New Roman" w:cs="Times New Roman"/>
          <w:i/>
          <w:sz w:val="24"/>
          <w:szCs w:val="24"/>
        </w:rPr>
        <w:t>total earnings volatility.</w:t>
      </w:r>
    </w:p>
    <w:p w14:paraId="34860696" w14:textId="22AF11C0" w:rsidR="00826BDC" w:rsidRPr="00893E6D" w:rsidRDefault="00826BDC" w:rsidP="00FC3235">
      <w:pPr>
        <w:spacing w:line="480" w:lineRule="auto"/>
        <w:ind w:firstLine="720"/>
        <w:contextualSpacing/>
        <w:jc w:val="both"/>
        <w:rPr>
          <w:rFonts w:ascii="Times New Roman" w:hAnsi="Times New Roman" w:cs="Times New Roman"/>
          <w:i/>
          <w:sz w:val="24"/>
          <w:szCs w:val="24"/>
        </w:rPr>
      </w:pPr>
      <w:r w:rsidRPr="00AC0D8E">
        <w:rPr>
          <w:rFonts w:ascii="Times New Roman" w:hAnsi="Times New Roman" w:cs="Times New Roman"/>
          <w:i/>
          <w:sz w:val="24"/>
          <w:szCs w:val="24"/>
        </w:rPr>
        <w:t>H</w:t>
      </w:r>
      <w:r w:rsidR="00BC2127" w:rsidRPr="00AC0D8E">
        <w:rPr>
          <w:rFonts w:ascii="Times New Roman" w:hAnsi="Times New Roman" w:cs="Times New Roman"/>
          <w:i/>
          <w:sz w:val="24"/>
          <w:szCs w:val="24"/>
          <w:vertAlign w:val="subscript"/>
        </w:rPr>
        <w:t>2</w:t>
      </w:r>
      <w:r w:rsidRPr="00AC0D8E">
        <w:rPr>
          <w:rFonts w:ascii="Times New Roman" w:hAnsi="Times New Roman" w:cs="Times New Roman"/>
          <w:i/>
          <w:sz w:val="24"/>
          <w:szCs w:val="24"/>
          <w:vertAlign w:val="subscript"/>
        </w:rPr>
        <w:t>b</w:t>
      </w:r>
      <w:r w:rsidRPr="00AC0D8E">
        <w:rPr>
          <w:rFonts w:ascii="Times New Roman" w:hAnsi="Times New Roman" w:cs="Times New Roman"/>
          <w:i/>
          <w:sz w:val="24"/>
          <w:szCs w:val="24"/>
        </w:rPr>
        <w:t xml:space="preserve">: Classification shifting </w:t>
      </w:r>
      <w:r w:rsidR="00DD0632" w:rsidRPr="00AC0D8E">
        <w:rPr>
          <w:rFonts w:ascii="Times New Roman" w:hAnsi="Times New Roman" w:cs="Times New Roman"/>
          <w:i/>
          <w:sz w:val="24"/>
          <w:szCs w:val="24"/>
        </w:rPr>
        <w:t>affect</w:t>
      </w:r>
      <w:r w:rsidR="00BB4CDF" w:rsidRPr="00AC0D8E">
        <w:rPr>
          <w:rFonts w:ascii="Times New Roman" w:hAnsi="Times New Roman" w:cs="Times New Roman"/>
          <w:i/>
          <w:sz w:val="24"/>
          <w:szCs w:val="24"/>
        </w:rPr>
        <w:t>s</w:t>
      </w:r>
      <w:r w:rsidRPr="00AC0D8E">
        <w:rPr>
          <w:rFonts w:ascii="Times New Roman" w:hAnsi="Times New Roman" w:cs="Times New Roman"/>
          <w:i/>
          <w:sz w:val="24"/>
          <w:szCs w:val="24"/>
        </w:rPr>
        <w:t xml:space="preserve"> the </w:t>
      </w:r>
      <w:r w:rsidR="00DD0632" w:rsidRPr="00AC0D8E">
        <w:rPr>
          <w:rFonts w:ascii="Times New Roman" w:hAnsi="Times New Roman" w:cs="Times New Roman"/>
          <w:i/>
          <w:sz w:val="24"/>
          <w:szCs w:val="24"/>
        </w:rPr>
        <w:t>association</w:t>
      </w:r>
      <w:r w:rsidRPr="00AC0D8E">
        <w:rPr>
          <w:rFonts w:ascii="Times New Roman" w:hAnsi="Times New Roman" w:cs="Times New Roman"/>
          <w:i/>
          <w:sz w:val="24"/>
          <w:szCs w:val="24"/>
        </w:rPr>
        <w:t xml:space="preserve"> between non-operating earnings </w:t>
      </w:r>
      <w:r w:rsidR="000F47F2" w:rsidRPr="00AC0D8E">
        <w:rPr>
          <w:rFonts w:ascii="Times New Roman" w:hAnsi="Times New Roman" w:cs="Times New Roman"/>
          <w:i/>
          <w:sz w:val="24"/>
          <w:szCs w:val="24"/>
        </w:rPr>
        <w:t>and</w:t>
      </w:r>
      <w:r w:rsidR="000F47F2" w:rsidRPr="00893E6D">
        <w:rPr>
          <w:rFonts w:ascii="Times New Roman" w:hAnsi="Times New Roman" w:cs="Times New Roman"/>
          <w:i/>
          <w:sz w:val="24"/>
          <w:szCs w:val="24"/>
        </w:rPr>
        <w:t xml:space="preserve"> marke</w:t>
      </w:r>
      <w:r w:rsidR="00D27AA9" w:rsidRPr="00893E6D">
        <w:rPr>
          <w:rFonts w:ascii="Times New Roman" w:hAnsi="Times New Roman" w:cs="Times New Roman"/>
          <w:i/>
          <w:sz w:val="24"/>
          <w:szCs w:val="24"/>
        </w:rPr>
        <w:t>t-</w:t>
      </w:r>
      <w:r w:rsidR="000F47F2" w:rsidRPr="00893E6D">
        <w:rPr>
          <w:rFonts w:ascii="Times New Roman" w:hAnsi="Times New Roman" w:cs="Times New Roman"/>
          <w:i/>
          <w:sz w:val="24"/>
          <w:szCs w:val="24"/>
        </w:rPr>
        <w:t xml:space="preserve">based </w:t>
      </w:r>
      <w:r w:rsidR="00DD0632">
        <w:rPr>
          <w:rFonts w:ascii="Times New Roman" w:hAnsi="Times New Roman" w:cs="Times New Roman"/>
          <w:i/>
          <w:sz w:val="24"/>
          <w:szCs w:val="24"/>
        </w:rPr>
        <w:t>risk</w:t>
      </w:r>
      <w:r w:rsidR="000F47F2" w:rsidRPr="00893E6D">
        <w:rPr>
          <w:rFonts w:ascii="Times New Roman" w:hAnsi="Times New Roman" w:cs="Times New Roman"/>
          <w:i/>
          <w:sz w:val="24"/>
          <w:szCs w:val="24"/>
        </w:rPr>
        <w:t xml:space="preserve"> </w:t>
      </w:r>
      <w:r w:rsidR="00DD0632">
        <w:rPr>
          <w:rFonts w:ascii="Times New Roman" w:hAnsi="Times New Roman" w:cs="Times New Roman"/>
          <w:i/>
          <w:sz w:val="24"/>
          <w:szCs w:val="24"/>
        </w:rPr>
        <w:t>metrics</w:t>
      </w:r>
      <w:r w:rsidRPr="00893E6D">
        <w:rPr>
          <w:rFonts w:ascii="Times New Roman" w:hAnsi="Times New Roman" w:cs="Times New Roman"/>
          <w:i/>
          <w:sz w:val="24"/>
          <w:szCs w:val="24"/>
        </w:rPr>
        <w:t>.</w:t>
      </w:r>
    </w:p>
    <w:p w14:paraId="20DAAC6E" w14:textId="1BA8EE1B" w:rsidR="000E06C7" w:rsidRPr="00893E6D" w:rsidRDefault="00986072" w:rsidP="00A1062B">
      <w:pPr>
        <w:pStyle w:val="ListParagraph"/>
        <w:numPr>
          <w:ilvl w:val="0"/>
          <w:numId w:val="1"/>
        </w:numPr>
        <w:spacing w:line="480" w:lineRule="auto"/>
        <w:jc w:val="both"/>
        <w:rPr>
          <w:rFonts w:ascii="Times New Roman" w:hAnsi="Times New Roman" w:cs="Times New Roman"/>
          <w:b/>
          <w:sz w:val="24"/>
          <w:szCs w:val="24"/>
        </w:rPr>
      </w:pPr>
      <w:r w:rsidRPr="00893E6D">
        <w:rPr>
          <w:rFonts w:ascii="Times New Roman" w:hAnsi="Times New Roman" w:cs="Times New Roman"/>
          <w:b/>
          <w:sz w:val="24"/>
          <w:szCs w:val="24"/>
        </w:rPr>
        <w:t>Data</w:t>
      </w:r>
      <w:r w:rsidR="00563D5B" w:rsidRPr="00893E6D">
        <w:rPr>
          <w:rFonts w:ascii="Times New Roman" w:hAnsi="Times New Roman" w:cs="Times New Roman"/>
          <w:b/>
          <w:sz w:val="24"/>
          <w:szCs w:val="24"/>
        </w:rPr>
        <w:t xml:space="preserve">, </w:t>
      </w:r>
      <w:r w:rsidR="00D2441F">
        <w:rPr>
          <w:rFonts w:ascii="Times New Roman" w:hAnsi="Times New Roman" w:cs="Times New Roman"/>
          <w:b/>
          <w:sz w:val="24"/>
          <w:szCs w:val="24"/>
        </w:rPr>
        <w:t>v</w:t>
      </w:r>
      <w:r w:rsidR="008355A3" w:rsidRPr="00893E6D">
        <w:rPr>
          <w:rFonts w:ascii="Times New Roman" w:hAnsi="Times New Roman" w:cs="Times New Roman"/>
          <w:b/>
          <w:sz w:val="24"/>
          <w:szCs w:val="24"/>
        </w:rPr>
        <w:t xml:space="preserve">ariable </w:t>
      </w:r>
      <w:r w:rsidR="00D2441F">
        <w:rPr>
          <w:rFonts w:ascii="Times New Roman" w:hAnsi="Times New Roman" w:cs="Times New Roman"/>
          <w:b/>
          <w:sz w:val="24"/>
          <w:szCs w:val="24"/>
        </w:rPr>
        <w:t>c</w:t>
      </w:r>
      <w:r w:rsidR="008355A3" w:rsidRPr="00893E6D">
        <w:rPr>
          <w:rFonts w:ascii="Times New Roman" w:hAnsi="Times New Roman" w:cs="Times New Roman"/>
          <w:b/>
          <w:sz w:val="24"/>
          <w:szCs w:val="24"/>
        </w:rPr>
        <w:t>onstruction</w:t>
      </w:r>
      <w:r w:rsidR="00563D5B" w:rsidRPr="00893E6D">
        <w:rPr>
          <w:rFonts w:ascii="Times New Roman" w:hAnsi="Times New Roman" w:cs="Times New Roman"/>
          <w:b/>
          <w:sz w:val="24"/>
          <w:szCs w:val="24"/>
        </w:rPr>
        <w:t xml:space="preserve">, and </w:t>
      </w:r>
      <w:r w:rsidR="00D2441F">
        <w:rPr>
          <w:rFonts w:ascii="Times New Roman" w:hAnsi="Times New Roman" w:cs="Times New Roman"/>
          <w:b/>
          <w:sz w:val="24"/>
          <w:szCs w:val="24"/>
        </w:rPr>
        <w:t>m</w:t>
      </w:r>
      <w:r w:rsidR="00563D5B" w:rsidRPr="00893E6D">
        <w:rPr>
          <w:rFonts w:ascii="Times New Roman" w:hAnsi="Times New Roman" w:cs="Times New Roman"/>
          <w:b/>
          <w:sz w:val="24"/>
          <w:szCs w:val="24"/>
        </w:rPr>
        <w:t xml:space="preserve">odel </w:t>
      </w:r>
      <w:r w:rsidR="00D2441F">
        <w:rPr>
          <w:rFonts w:ascii="Times New Roman" w:hAnsi="Times New Roman" w:cs="Times New Roman"/>
          <w:b/>
          <w:sz w:val="24"/>
          <w:szCs w:val="24"/>
        </w:rPr>
        <w:t>s</w:t>
      </w:r>
      <w:r w:rsidR="00563D5B" w:rsidRPr="00893E6D">
        <w:rPr>
          <w:rFonts w:ascii="Times New Roman" w:hAnsi="Times New Roman" w:cs="Times New Roman"/>
          <w:b/>
          <w:sz w:val="24"/>
          <w:szCs w:val="24"/>
        </w:rPr>
        <w:t>pecifications</w:t>
      </w:r>
      <w:r w:rsidR="008355A3" w:rsidRPr="00893E6D">
        <w:rPr>
          <w:rFonts w:ascii="Times New Roman" w:hAnsi="Times New Roman" w:cs="Times New Roman"/>
          <w:b/>
          <w:sz w:val="24"/>
          <w:szCs w:val="24"/>
        </w:rPr>
        <w:t xml:space="preserve"> </w:t>
      </w:r>
    </w:p>
    <w:p w14:paraId="0015BC4D" w14:textId="77777777" w:rsidR="00986072" w:rsidRPr="00893E6D" w:rsidRDefault="00986072" w:rsidP="00A1062B">
      <w:pPr>
        <w:pStyle w:val="ListParagraph"/>
        <w:numPr>
          <w:ilvl w:val="1"/>
          <w:numId w:val="1"/>
        </w:numPr>
        <w:spacing w:line="480" w:lineRule="auto"/>
        <w:jc w:val="both"/>
        <w:rPr>
          <w:rFonts w:ascii="Times New Roman" w:hAnsi="Times New Roman" w:cs="Times New Roman"/>
          <w:b/>
          <w:i/>
          <w:sz w:val="24"/>
          <w:szCs w:val="24"/>
        </w:rPr>
      </w:pPr>
      <w:r w:rsidRPr="00893E6D">
        <w:rPr>
          <w:rFonts w:ascii="Times New Roman" w:hAnsi="Times New Roman" w:cs="Times New Roman"/>
          <w:b/>
          <w:i/>
          <w:sz w:val="24"/>
          <w:szCs w:val="24"/>
        </w:rPr>
        <w:t>Data</w:t>
      </w:r>
    </w:p>
    <w:p w14:paraId="5CE57C42" w14:textId="5005F83A" w:rsidR="00EA20A9" w:rsidRPr="00893E6D" w:rsidRDefault="007D6C5D" w:rsidP="00A1062B">
      <w:pPr>
        <w:spacing w:line="480" w:lineRule="auto"/>
        <w:ind w:firstLine="720"/>
        <w:jc w:val="both"/>
        <w:rPr>
          <w:rFonts w:ascii="Times New Roman" w:hAnsi="Times New Roman" w:cs="Times New Roman"/>
          <w:sz w:val="24"/>
          <w:szCs w:val="24"/>
        </w:rPr>
      </w:pPr>
      <w:r w:rsidRPr="007D6C5D">
        <w:rPr>
          <w:rFonts w:ascii="Times New Roman" w:hAnsi="Times New Roman" w:cs="Times New Roman"/>
          <w:sz w:val="24"/>
          <w:szCs w:val="24"/>
        </w:rPr>
        <w:t xml:space="preserve">We construct the sample as follows. The sample period is 1990-2016, and the sample comprises of firms from the COMPUSTAT database. Firms with SIC codes 4900-4999 and 6000-6999 are excluded since they are highly regulated. To be included in the sample, data required to compute the return on assets must be available for at least five consecutive years. Firms must also </w:t>
      </w:r>
      <w:r w:rsidRPr="00DA6017">
        <w:rPr>
          <w:rFonts w:ascii="Times New Roman" w:hAnsi="Times New Roman" w:cs="Times New Roman"/>
          <w:sz w:val="24"/>
          <w:szCs w:val="24"/>
        </w:rPr>
        <w:t>have stock price data in the CRSP database. Imposing these conditions lead</w:t>
      </w:r>
      <w:r w:rsidR="00C446F5" w:rsidRPr="00DA6017">
        <w:rPr>
          <w:rFonts w:ascii="Times New Roman" w:hAnsi="Times New Roman" w:cs="Times New Roman"/>
          <w:sz w:val="24"/>
          <w:szCs w:val="24"/>
        </w:rPr>
        <w:t>s</w:t>
      </w:r>
      <w:r w:rsidRPr="00DA6017">
        <w:rPr>
          <w:rFonts w:ascii="Times New Roman" w:hAnsi="Times New Roman" w:cs="Times New Roman"/>
          <w:sz w:val="24"/>
          <w:szCs w:val="24"/>
        </w:rPr>
        <w:t xml:space="preserve"> to a sample of 9,659</w:t>
      </w:r>
      <w:r w:rsidRPr="007D6C5D">
        <w:rPr>
          <w:rFonts w:ascii="Times New Roman" w:hAnsi="Times New Roman" w:cs="Times New Roman"/>
          <w:sz w:val="24"/>
          <w:szCs w:val="24"/>
        </w:rPr>
        <w:t xml:space="preserve"> firms</w:t>
      </w:r>
      <w:r w:rsidR="00DA6017">
        <w:rPr>
          <w:rFonts w:ascii="Times New Roman" w:hAnsi="Times New Roman" w:cs="Times New Roman"/>
          <w:sz w:val="24"/>
          <w:szCs w:val="24"/>
        </w:rPr>
        <w:t xml:space="preserve"> comprising of </w:t>
      </w:r>
      <w:r w:rsidRPr="007D6C5D">
        <w:rPr>
          <w:rFonts w:ascii="Times New Roman" w:hAnsi="Times New Roman" w:cs="Times New Roman"/>
          <w:sz w:val="24"/>
          <w:szCs w:val="24"/>
        </w:rPr>
        <w:t>72,100 firm-year observations.</w:t>
      </w:r>
    </w:p>
    <w:p w14:paraId="6ADCE936" w14:textId="515EB2C1" w:rsidR="008355A3" w:rsidRPr="00893E6D" w:rsidRDefault="00A97CE1" w:rsidP="00A1062B">
      <w:pPr>
        <w:spacing w:line="480" w:lineRule="auto"/>
        <w:ind w:firstLine="720"/>
        <w:jc w:val="both"/>
        <w:rPr>
          <w:rFonts w:ascii="Times New Roman" w:hAnsi="Times New Roman" w:cs="Times New Roman"/>
          <w:sz w:val="24"/>
          <w:szCs w:val="24"/>
        </w:rPr>
      </w:pPr>
      <w:r w:rsidRPr="00893E6D">
        <w:rPr>
          <w:rFonts w:ascii="Times New Roman" w:hAnsi="Times New Roman" w:cs="Times New Roman"/>
          <w:sz w:val="24"/>
          <w:szCs w:val="24"/>
        </w:rPr>
        <w:t xml:space="preserve">We </w:t>
      </w:r>
      <w:r w:rsidR="00FF2D1F" w:rsidRPr="00893E6D">
        <w:rPr>
          <w:rFonts w:ascii="Times New Roman" w:hAnsi="Times New Roman" w:cs="Times New Roman"/>
          <w:sz w:val="24"/>
          <w:szCs w:val="24"/>
        </w:rPr>
        <w:t xml:space="preserve">report the sample distribution by year and by </w:t>
      </w:r>
      <w:r w:rsidR="00886690" w:rsidRPr="00893E6D">
        <w:rPr>
          <w:rFonts w:ascii="Times New Roman" w:hAnsi="Times New Roman" w:cs="Times New Roman"/>
          <w:sz w:val="24"/>
          <w:szCs w:val="24"/>
        </w:rPr>
        <w:t xml:space="preserve">the </w:t>
      </w:r>
      <w:proofErr w:type="spellStart"/>
      <w:r w:rsidR="00FF2D1F" w:rsidRPr="00893E6D">
        <w:rPr>
          <w:rFonts w:ascii="Times New Roman" w:hAnsi="Times New Roman" w:cs="Times New Roman"/>
          <w:sz w:val="24"/>
          <w:szCs w:val="24"/>
        </w:rPr>
        <w:t>Fama</w:t>
      </w:r>
      <w:proofErr w:type="spellEnd"/>
      <w:r w:rsidR="00FF2D1F" w:rsidRPr="00893E6D">
        <w:rPr>
          <w:rFonts w:ascii="Times New Roman" w:hAnsi="Times New Roman" w:cs="Times New Roman"/>
          <w:sz w:val="24"/>
          <w:szCs w:val="24"/>
        </w:rPr>
        <w:t xml:space="preserve">-French 48-sector classification in Table </w:t>
      </w:r>
      <w:r w:rsidR="004D347D">
        <w:rPr>
          <w:rFonts w:ascii="Times New Roman" w:hAnsi="Times New Roman" w:cs="Times New Roman"/>
          <w:sz w:val="24"/>
          <w:szCs w:val="24"/>
        </w:rPr>
        <w:t>1</w:t>
      </w:r>
      <w:r w:rsidR="00FF2D1F" w:rsidRPr="00893E6D">
        <w:rPr>
          <w:rFonts w:ascii="Times New Roman" w:hAnsi="Times New Roman" w:cs="Times New Roman"/>
          <w:sz w:val="24"/>
          <w:szCs w:val="24"/>
        </w:rPr>
        <w:t xml:space="preserve">. </w:t>
      </w:r>
      <w:r w:rsidR="00A901A5" w:rsidRPr="00893E6D">
        <w:rPr>
          <w:rFonts w:ascii="Times New Roman" w:hAnsi="Times New Roman" w:cs="Times New Roman"/>
          <w:sz w:val="24"/>
          <w:szCs w:val="24"/>
        </w:rPr>
        <w:t>Business service (BUSSV) is th</w:t>
      </w:r>
      <w:r w:rsidR="00EA20A9" w:rsidRPr="00893E6D">
        <w:rPr>
          <w:rFonts w:ascii="Times New Roman" w:hAnsi="Times New Roman" w:cs="Times New Roman"/>
          <w:sz w:val="24"/>
          <w:szCs w:val="24"/>
        </w:rPr>
        <w:t xml:space="preserve">e </w:t>
      </w:r>
      <w:r w:rsidR="007D6C5D">
        <w:rPr>
          <w:rFonts w:ascii="Times New Roman" w:hAnsi="Times New Roman" w:cs="Times New Roman"/>
          <w:sz w:val="24"/>
          <w:szCs w:val="24"/>
        </w:rPr>
        <w:t>largest</w:t>
      </w:r>
      <w:r w:rsidR="007D6C5D" w:rsidRPr="00893E6D">
        <w:rPr>
          <w:rFonts w:ascii="Times New Roman" w:hAnsi="Times New Roman" w:cs="Times New Roman"/>
          <w:sz w:val="24"/>
          <w:szCs w:val="24"/>
        </w:rPr>
        <w:t xml:space="preserve"> </w:t>
      </w:r>
      <w:r w:rsidR="00EA20A9" w:rsidRPr="00893E6D">
        <w:rPr>
          <w:rFonts w:ascii="Times New Roman" w:hAnsi="Times New Roman" w:cs="Times New Roman"/>
          <w:sz w:val="24"/>
          <w:szCs w:val="24"/>
        </w:rPr>
        <w:t xml:space="preserve">industry group, </w:t>
      </w:r>
      <w:r w:rsidR="00A901A5" w:rsidRPr="00893E6D">
        <w:rPr>
          <w:rFonts w:ascii="Times New Roman" w:hAnsi="Times New Roman" w:cs="Times New Roman"/>
          <w:sz w:val="24"/>
          <w:szCs w:val="24"/>
        </w:rPr>
        <w:t>accounting for 13</w:t>
      </w:r>
      <w:r w:rsidR="00B82CF0" w:rsidRPr="00893E6D">
        <w:rPr>
          <w:rFonts w:ascii="Times New Roman" w:hAnsi="Times New Roman" w:cs="Times New Roman"/>
          <w:sz w:val="24"/>
          <w:szCs w:val="24"/>
        </w:rPr>
        <w:t>.36</w:t>
      </w:r>
      <w:r w:rsidR="00A901A5" w:rsidRPr="00893E6D">
        <w:rPr>
          <w:rFonts w:ascii="Times New Roman" w:hAnsi="Times New Roman" w:cs="Times New Roman"/>
          <w:sz w:val="24"/>
          <w:szCs w:val="24"/>
        </w:rPr>
        <w:t>% of the sample firm-year observations</w:t>
      </w:r>
      <w:r w:rsidR="00886690" w:rsidRPr="00893E6D">
        <w:rPr>
          <w:rFonts w:ascii="Times New Roman" w:hAnsi="Times New Roman" w:cs="Times New Roman"/>
          <w:sz w:val="24"/>
          <w:szCs w:val="24"/>
        </w:rPr>
        <w:t>, followed by</w:t>
      </w:r>
      <w:r w:rsidR="00A901A5" w:rsidRPr="00893E6D">
        <w:rPr>
          <w:rFonts w:ascii="Times New Roman" w:hAnsi="Times New Roman" w:cs="Times New Roman"/>
          <w:sz w:val="24"/>
          <w:szCs w:val="24"/>
        </w:rPr>
        <w:t xml:space="preserve"> </w:t>
      </w:r>
      <w:r w:rsidR="007635B7" w:rsidRPr="00893E6D">
        <w:rPr>
          <w:rFonts w:ascii="Times New Roman" w:hAnsi="Times New Roman" w:cs="Times New Roman"/>
          <w:sz w:val="24"/>
          <w:szCs w:val="24"/>
        </w:rPr>
        <w:t>electronic equipment</w:t>
      </w:r>
      <w:r w:rsidR="00A901A5" w:rsidRPr="00893E6D">
        <w:rPr>
          <w:rFonts w:ascii="Times New Roman" w:hAnsi="Times New Roman" w:cs="Times New Roman"/>
          <w:sz w:val="24"/>
          <w:szCs w:val="24"/>
        </w:rPr>
        <w:t xml:space="preserve"> (CHIPS</w:t>
      </w:r>
      <w:r w:rsidR="00B82CF0" w:rsidRPr="00893E6D">
        <w:rPr>
          <w:rFonts w:ascii="Times New Roman" w:hAnsi="Times New Roman" w:cs="Times New Roman"/>
          <w:sz w:val="24"/>
          <w:szCs w:val="24"/>
        </w:rPr>
        <w:t>, 7.82%</w:t>
      </w:r>
      <w:r w:rsidR="00A901A5" w:rsidRPr="00893E6D">
        <w:rPr>
          <w:rFonts w:ascii="Times New Roman" w:hAnsi="Times New Roman" w:cs="Times New Roman"/>
          <w:sz w:val="24"/>
          <w:szCs w:val="24"/>
        </w:rPr>
        <w:t>), retail (RTAIL</w:t>
      </w:r>
      <w:r w:rsidR="00B82CF0" w:rsidRPr="00893E6D">
        <w:rPr>
          <w:rFonts w:ascii="Times New Roman" w:hAnsi="Times New Roman" w:cs="Times New Roman"/>
          <w:sz w:val="24"/>
          <w:szCs w:val="24"/>
        </w:rPr>
        <w:t>, 6.18%</w:t>
      </w:r>
      <w:r w:rsidR="00A901A5" w:rsidRPr="00893E6D">
        <w:rPr>
          <w:rFonts w:ascii="Times New Roman" w:hAnsi="Times New Roman" w:cs="Times New Roman"/>
          <w:sz w:val="24"/>
          <w:szCs w:val="24"/>
        </w:rPr>
        <w:t>)</w:t>
      </w:r>
      <w:r w:rsidR="00886690" w:rsidRPr="00893E6D">
        <w:rPr>
          <w:rFonts w:ascii="Times New Roman" w:hAnsi="Times New Roman" w:cs="Times New Roman"/>
          <w:sz w:val="24"/>
          <w:szCs w:val="24"/>
        </w:rPr>
        <w:t xml:space="preserve">, </w:t>
      </w:r>
      <w:r w:rsidR="00B82CF0" w:rsidRPr="00893E6D">
        <w:rPr>
          <w:rFonts w:ascii="Times New Roman" w:hAnsi="Times New Roman" w:cs="Times New Roman"/>
          <w:sz w:val="24"/>
          <w:szCs w:val="24"/>
        </w:rPr>
        <w:t xml:space="preserve">and pharmaceutical products (DRUGS, 5.46%), </w:t>
      </w:r>
      <w:r w:rsidR="00886690" w:rsidRPr="00893E6D">
        <w:rPr>
          <w:rFonts w:ascii="Times New Roman" w:hAnsi="Times New Roman" w:cs="Times New Roman"/>
          <w:sz w:val="24"/>
          <w:szCs w:val="24"/>
        </w:rPr>
        <w:t>respectively</w:t>
      </w:r>
      <w:r w:rsidR="00A901A5" w:rsidRPr="00893E6D">
        <w:rPr>
          <w:rFonts w:ascii="Times New Roman" w:hAnsi="Times New Roman" w:cs="Times New Roman"/>
          <w:sz w:val="24"/>
          <w:szCs w:val="24"/>
        </w:rPr>
        <w:t xml:space="preserve">. </w:t>
      </w:r>
    </w:p>
    <w:p w14:paraId="37EBA00C" w14:textId="60AAE882" w:rsidR="00986072" w:rsidRPr="00893E6D" w:rsidRDefault="00AE05A2" w:rsidP="00B73A42">
      <w:pPr>
        <w:spacing w:line="480" w:lineRule="auto"/>
        <w:jc w:val="center"/>
        <w:rPr>
          <w:rFonts w:ascii="Times New Roman" w:hAnsi="Times New Roman" w:cs="Times New Roman"/>
          <w:sz w:val="24"/>
          <w:szCs w:val="24"/>
        </w:rPr>
      </w:pPr>
      <w:r w:rsidRPr="00893E6D">
        <w:rPr>
          <w:rFonts w:ascii="Times New Roman" w:hAnsi="Times New Roman" w:cs="Times New Roman"/>
          <w:sz w:val="24"/>
          <w:szCs w:val="24"/>
        </w:rPr>
        <w:lastRenderedPageBreak/>
        <w:t xml:space="preserve">[INSERT TABLE </w:t>
      </w:r>
      <w:r w:rsidR="004D347D">
        <w:rPr>
          <w:rFonts w:ascii="Times New Roman" w:hAnsi="Times New Roman" w:cs="Times New Roman"/>
          <w:sz w:val="24"/>
          <w:szCs w:val="24"/>
        </w:rPr>
        <w:t>1</w:t>
      </w:r>
      <w:r w:rsidR="004119CA" w:rsidRPr="00893E6D">
        <w:rPr>
          <w:rFonts w:ascii="Times New Roman" w:hAnsi="Times New Roman" w:cs="Times New Roman"/>
          <w:sz w:val="24"/>
          <w:szCs w:val="24"/>
        </w:rPr>
        <w:t xml:space="preserve"> </w:t>
      </w:r>
      <w:r w:rsidRPr="00893E6D">
        <w:rPr>
          <w:rFonts w:ascii="Times New Roman" w:hAnsi="Times New Roman" w:cs="Times New Roman"/>
          <w:sz w:val="24"/>
          <w:szCs w:val="24"/>
        </w:rPr>
        <w:t>ABOUT HERE]</w:t>
      </w:r>
    </w:p>
    <w:p w14:paraId="03F71FBF" w14:textId="6DDA4373" w:rsidR="008D3023" w:rsidRPr="00893E6D" w:rsidRDefault="00986072" w:rsidP="00A1062B">
      <w:pPr>
        <w:pStyle w:val="ListParagraph"/>
        <w:numPr>
          <w:ilvl w:val="1"/>
          <w:numId w:val="1"/>
        </w:numPr>
        <w:spacing w:line="480" w:lineRule="auto"/>
        <w:jc w:val="both"/>
        <w:rPr>
          <w:rFonts w:ascii="Times New Roman" w:hAnsi="Times New Roman" w:cs="Times New Roman"/>
          <w:b/>
          <w:i/>
          <w:sz w:val="24"/>
          <w:szCs w:val="24"/>
        </w:rPr>
      </w:pPr>
      <w:r w:rsidRPr="00893E6D">
        <w:rPr>
          <w:rFonts w:ascii="Times New Roman" w:hAnsi="Times New Roman" w:cs="Times New Roman"/>
          <w:b/>
          <w:i/>
          <w:sz w:val="24"/>
          <w:szCs w:val="24"/>
        </w:rPr>
        <w:t>Variable</w:t>
      </w:r>
      <w:r w:rsidR="00C77327" w:rsidRPr="00893E6D">
        <w:rPr>
          <w:rFonts w:ascii="Times New Roman" w:hAnsi="Times New Roman" w:cs="Times New Roman"/>
          <w:b/>
          <w:i/>
          <w:sz w:val="24"/>
          <w:szCs w:val="24"/>
        </w:rPr>
        <w:t>s</w:t>
      </w:r>
      <w:r w:rsidR="008D3023" w:rsidRPr="00893E6D">
        <w:rPr>
          <w:rFonts w:ascii="Times New Roman" w:hAnsi="Times New Roman" w:cs="Times New Roman"/>
          <w:b/>
          <w:i/>
          <w:sz w:val="24"/>
          <w:szCs w:val="24"/>
        </w:rPr>
        <w:t xml:space="preserve"> </w:t>
      </w:r>
      <w:r w:rsidR="00D2441F">
        <w:rPr>
          <w:rFonts w:ascii="Times New Roman" w:hAnsi="Times New Roman" w:cs="Times New Roman"/>
          <w:b/>
          <w:i/>
          <w:sz w:val="24"/>
          <w:szCs w:val="24"/>
        </w:rPr>
        <w:t>d</w:t>
      </w:r>
      <w:r w:rsidR="0076652A" w:rsidRPr="00893E6D">
        <w:rPr>
          <w:rFonts w:ascii="Times New Roman" w:hAnsi="Times New Roman" w:cs="Times New Roman"/>
          <w:b/>
          <w:i/>
          <w:sz w:val="24"/>
          <w:szCs w:val="24"/>
        </w:rPr>
        <w:t>efinitions</w:t>
      </w:r>
    </w:p>
    <w:p w14:paraId="1B1FAF2D" w14:textId="7C55B864" w:rsidR="00DC29B2" w:rsidRPr="00893E6D" w:rsidRDefault="00C77327" w:rsidP="00A1062B">
      <w:pPr>
        <w:jc w:val="both"/>
        <w:rPr>
          <w:rFonts w:ascii="Times New Roman" w:hAnsi="Times New Roman" w:cs="Times New Roman"/>
          <w:b/>
          <w:i/>
          <w:sz w:val="24"/>
          <w:szCs w:val="24"/>
        </w:rPr>
      </w:pPr>
      <w:r w:rsidRPr="00893E6D">
        <w:rPr>
          <w:rFonts w:ascii="Times New Roman" w:hAnsi="Times New Roman" w:cs="Times New Roman"/>
          <w:b/>
          <w:i/>
          <w:sz w:val="24"/>
          <w:szCs w:val="24"/>
        </w:rPr>
        <w:t xml:space="preserve">3.2.1. </w:t>
      </w:r>
      <w:r w:rsidR="00886690" w:rsidRPr="00893E6D">
        <w:rPr>
          <w:rFonts w:ascii="Times New Roman" w:hAnsi="Times New Roman" w:cs="Times New Roman"/>
          <w:b/>
          <w:i/>
          <w:sz w:val="24"/>
          <w:szCs w:val="24"/>
        </w:rPr>
        <w:t>Non</w:t>
      </w:r>
      <w:r w:rsidRPr="00893E6D">
        <w:rPr>
          <w:rFonts w:ascii="Times New Roman" w:hAnsi="Times New Roman" w:cs="Times New Roman"/>
          <w:b/>
          <w:i/>
          <w:sz w:val="24"/>
          <w:szCs w:val="24"/>
        </w:rPr>
        <w:t>-</w:t>
      </w:r>
      <w:r w:rsidR="00D2441F">
        <w:rPr>
          <w:rFonts w:ascii="Times New Roman" w:hAnsi="Times New Roman" w:cs="Times New Roman"/>
          <w:b/>
          <w:i/>
          <w:sz w:val="24"/>
          <w:szCs w:val="24"/>
        </w:rPr>
        <w:t>o</w:t>
      </w:r>
      <w:r w:rsidRPr="00893E6D">
        <w:rPr>
          <w:rFonts w:ascii="Times New Roman" w:hAnsi="Times New Roman" w:cs="Times New Roman"/>
          <w:b/>
          <w:i/>
          <w:sz w:val="24"/>
          <w:szCs w:val="24"/>
        </w:rPr>
        <w:t xml:space="preserve">perating </w:t>
      </w:r>
      <w:r w:rsidR="00D2441F">
        <w:rPr>
          <w:rFonts w:ascii="Times New Roman" w:hAnsi="Times New Roman" w:cs="Times New Roman"/>
          <w:b/>
          <w:i/>
          <w:sz w:val="24"/>
          <w:szCs w:val="24"/>
        </w:rPr>
        <w:t>i</w:t>
      </w:r>
      <w:r w:rsidRPr="00893E6D">
        <w:rPr>
          <w:rFonts w:ascii="Times New Roman" w:hAnsi="Times New Roman" w:cs="Times New Roman"/>
          <w:b/>
          <w:i/>
          <w:sz w:val="24"/>
          <w:szCs w:val="24"/>
        </w:rPr>
        <w:t xml:space="preserve">ncome and </w:t>
      </w:r>
      <w:r w:rsidR="00D2441F">
        <w:rPr>
          <w:rFonts w:ascii="Times New Roman" w:hAnsi="Times New Roman" w:cs="Times New Roman"/>
          <w:b/>
          <w:i/>
          <w:sz w:val="24"/>
          <w:szCs w:val="24"/>
        </w:rPr>
        <w:t>r</w:t>
      </w:r>
      <w:r w:rsidRPr="00893E6D">
        <w:rPr>
          <w:rFonts w:ascii="Times New Roman" w:hAnsi="Times New Roman" w:cs="Times New Roman"/>
          <w:b/>
          <w:i/>
          <w:sz w:val="24"/>
          <w:szCs w:val="24"/>
        </w:rPr>
        <w:t xml:space="preserve">isk </w:t>
      </w:r>
      <w:r w:rsidR="00D2441F">
        <w:rPr>
          <w:rFonts w:ascii="Times New Roman" w:hAnsi="Times New Roman" w:cs="Times New Roman"/>
          <w:b/>
          <w:i/>
          <w:sz w:val="24"/>
          <w:szCs w:val="24"/>
        </w:rPr>
        <w:t>v</w:t>
      </w:r>
      <w:r w:rsidRPr="00893E6D">
        <w:rPr>
          <w:rFonts w:ascii="Times New Roman" w:hAnsi="Times New Roman" w:cs="Times New Roman"/>
          <w:b/>
          <w:i/>
          <w:sz w:val="24"/>
          <w:szCs w:val="24"/>
        </w:rPr>
        <w:t>ariables</w:t>
      </w:r>
    </w:p>
    <w:p w14:paraId="48537B8B" w14:textId="0300F26E" w:rsidR="003A24E6" w:rsidRPr="00893E6D" w:rsidRDefault="007D6C5D" w:rsidP="00A1062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extent of</w:t>
      </w:r>
      <w:r w:rsidR="0086047E">
        <w:rPr>
          <w:rFonts w:ascii="Times New Roman" w:hAnsi="Times New Roman" w:cs="Times New Roman"/>
          <w:sz w:val="24"/>
          <w:szCs w:val="24"/>
        </w:rPr>
        <w:t xml:space="preserve"> n</w:t>
      </w:r>
      <w:r w:rsidR="00AB2468" w:rsidRPr="00893E6D">
        <w:rPr>
          <w:rFonts w:ascii="Times New Roman" w:hAnsi="Times New Roman" w:cs="Times New Roman"/>
          <w:sz w:val="24"/>
          <w:szCs w:val="24"/>
        </w:rPr>
        <w:t>on-operating</w:t>
      </w:r>
      <w:r w:rsidR="00620FB8" w:rsidRPr="00893E6D">
        <w:rPr>
          <w:rFonts w:ascii="Times New Roman" w:hAnsi="Times New Roman" w:cs="Times New Roman"/>
          <w:sz w:val="24"/>
          <w:szCs w:val="24"/>
        </w:rPr>
        <w:t xml:space="preserve"> </w:t>
      </w:r>
      <w:r w:rsidR="00F5501B" w:rsidRPr="00893E6D">
        <w:rPr>
          <w:rFonts w:ascii="Times New Roman" w:hAnsi="Times New Roman" w:cs="Times New Roman"/>
          <w:sz w:val="24"/>
          <w:szCs w:val="24"/>
        </w:rPr>
        <w:t>earnings</w:t>
      </w:r>
      <w:r w:rsidR="002A47C4" w:rsidRPr="00893E6D">
        <w:rPr>
          <w:rFonts w:ascii="Times New Roman" w:hAnsi="Times New Roman" w:cs="Times New Roman"/>
          <w:sz w:val="24"/>
          <w:szCs w:val="24"/>
        </w:rPr>
        <w:t xml:space="preserve"> </w:t>
      </w:r>
      <w:r>
        <w:rPr>
          <w:rFonts w:ascii="Times New Roman" w:hAnsi="Times New Roman" w:cs="Times New Roman"/>
          <w:sz w:val="24"/>
          <w:szCs w:val="24"/>
        </w:rPr>
        <w:t>is measured using</w:t>
      </w:r>
      <w:r w:rsidRPr="00893E6D">
        <w:rPr>
          <w:rFonts w:ascii="Times New Roman" w:hAnsi="Times New Roman" w:cs="Times New Roman"/>
          <w:sz w:val="24"/>
          <w:szCs w:val="24"/>
        </w:rPr>
        <w:t xml:space="preserve"> </w:t>
      </w:r>
      <w:r w:rsidR="002A47C4" w:rsidRPr="00893E6D">
        <w:rPr>
          <w:rFonts w:ascii="Times New Roman" w:hAnsi="Times New Roman" w:cs="Times New Roman"/>
          <w:sz w:val="24"/>
          <w:szCs w:val="24"/>
        </w:rPr>
        <w:t xml:space="preserve">the ratio of </w:t>
      </w:r>
      <w:r w:rsidR="00AB2468" w:rsidRPr="00893E6D">
        <w:rPr>
          <w:rFonts w:ascii="Times New Roman" w:hAnsi="Times New Roman" w:cs="Times New Roman"/>
          <w:sz w:val="24"/>
          <w:szCs w:val="24"/>
        </w:rPr>
        <w:t>non-operating</w:t>
      </w:r>
      <w:r w:rsidR="00620FB8" w:rsidRPr="00893E6D">
        <w:rPr>
          <w:rFonts w:ascii="Times New Roman" w:hAnsi="Times New Roman" w:cs="Times New Roman"/>
          <w:sz w:val="24"/>
          <w:szCs w:val="24"/>
        </w:rPr>
        <w:t xml:space="preserve"> </w:t>
      </w:r>
      <w:r w:rsidR="003A24E6" w:rsidRPr="00893E6D">
        <w:rPr>
          <w:rFonts w:ascii="Times New Roman" w:hAnsi="Times New Roman" w:cs="Times New Roman"/>
          <w:sz w:val="24"/>
          <w:szCs w:val="24"/>
        </w:rPr>
        <w:t>earnings</w:t>
      </w:r>
      <w:r w:rsidR="00C77327" w:rsidRPr="00893E6D">
        <w:rPr>
          <w:rFonts w:ascii="Times New Roman" w:hAnsi="Times New Roman" w:cs="Times New Roman"/>
          <w:sz w:val="24"/>
          <w:szCs w:val="24"/>
        </w:rPr>
        <w:t>-</w:t>
      </w:r>
      <w:r w:rsidR="00620FB8" w:rsidRPr="00893E6D">
        <w:rPr>
          <w:rFonts w:ascii="Times New Roman" w:hAnsi="Times New Roman" w:cs="Times New Roman"/>
          <w:sz w:val="24"/>
          <w:szCs w:val="24"/>
        </w:rPr>
        <w:t>to</w:t>
      </w:r>
      <w:r w:rsidR="00C77327" w:rsidRPr="00893E6D">
        <w:rPr>
          <w:rFonts w:ascii="Times New Roman" w:hAnsi="Times New Roman" w:cs="Times New Roman"/>
          <w:sz w:val="24"/>
          <w:szCs w:val="24"/>
        </w:rPr>
        <w:t>-</w:t>
      </w:r>
      <w:r w:rsidR="00620FB8" w:rsidRPr="00893E6D">
        <w:rPr>
          <w:rFonts w:ascii="Times New Roman" w:hAnsi="Times New Roman" w:cs="Times New Roman"/>
          <w:sz w:val="24"/>
          <w:szCs w:val="24"/>
        </w:rPr>
        <w:t>total asset</w:t>
      </w:r>
      <w:r w:rsidR="00F9414B" w:rsidRPr="00893E6D">
        <w:rPr>
          <w:rFonts w:ascii="Times New Roman" w:hAnsi="Times New Roman" w:cs="Times New Roman"/>
          <w:sz w:val="24"/>
          <w:szCs w:val="24"/>
        </w:rPr>
        <w:t>s</w:t>
      </w:r>
      <w:r w:rsidR="0086047E">
        <w:rPr>
          <w:rFonts w:ascii="Times New Roman" w:hAnsi="Times New Roman" w:cs="Times New Roman"/>
          <w:sz w:val="24"/>
          <w:szCs w:val="24"/>
        </w:rPr>
        <w:t xml:space="preserve"> </w:t>
      </w:r>
      <w:r w:rsidR="0086047E" w:rsidRPr="00893E6D">
        <w:rPr>
          <w:rFonts w:ascii="Times New Roman" w:hAnsi="Times New Roman" w:cs="Times New Roman"/>
          <w:sz w:val="24"/>
          <w:szCs w:val="24"/>
        </w:rPr>
        <w:t>(</w:t>
      </w:r>
      <w:r w:rsidR="0086047E" w:rsidRPr="00893E6D">
        <w:rPr>
          <w:rFonts w:ascii="Times New Roman" w:hAnsi="Times New Roman" w:cs="Times New Roman"/>
          <w:i/>
          <w:sz w:val="24"/>
          <w:szCs w:val="24"/>
        </w:rPr>
        <w:t>NONOPERINC</w:t>
      </w:r>
      <w:r w:rsidR="0086047E" w:rsidRPr="00B40FBB">
        <w:rPr>
          <w:rFonts w:ascii="Times New Roman" w:hAnsi="Times New Roman" w:cs="Times New Roman"/>
          <w:sz w:val="24"/>
          <w:szCs w:val="24"/>
        </w:rPr>
        <w:t>)</w:t>
      </w:r>
      <w:r>
        <w:rPr>
          <w:rFonts w:ascii="Times New Roman" w:hAnsi="Times New Roman" w:cs="Times New Roman"/>
          <w:sz w:val="24"/>
          <w:szCs w:val="24"/>
        </w:rPr>
        <w:t>.</w:t>
      </w:r>
      <w:r w:rsidR="0086047E" w:rsidRPr="00B40FBB">
        <w:rPr>
          <w:rFonts w:ascii="Times New Roman" w:hAnsi="Times New Roman" w:cs="Times New Roman"/>
          <w:sz w:val="24"/>
          <w:szCs w:val="24"/>
        </w:rPr>
        <w:t xml:space="preserve"> </w:t>
      </w:r>
      <w:r>
        <w:rPr>
          <w:rFonts w:ascii="Times New Roman" w:hAnsi="Times New Roman" w:cs="Times New Roman"/>
          <w:sz w:val="24"/>
          <w:szCs w:val="24"/>
        </w:rPr>
        <w:t>N</w:t>
      </w:r>
      <w:r w:rsidR="0086047E" w:rsidRPr="00893E6D">
        <w:rPr>
          <w:rFonts w:ascii="Times New Roman" w:hAnsi="Times New Roman" w:cs="Times New Roman"/>
          <w:sz w:val="24"/>
          <w:szCs w:val="24"/>
        </w:rPr>
        <w:t xml:space="preserve">on-operating earnings </w:t>
      </w:r>
      <w:r>
        <w:rPr>
          <w:rFonts w:ascii="Times New Roman" w:hAnsi="Times New Roman" w:cs="Times New Roman"/>
          <w:sz w:val="24"/>
          <w:szCs w:val="24"/>
        </w:rPr>
        <w:t>equals</w:t>
      </w:r>
      <w:r w:rsidRPr="00893E6D">
        <w:rPr>
          <w:rFonts w:ascii="Times New Roman" w:hAnsi="Times New Roman" w:cs="Times New Roman"/>
          <w:sz w:val="24"/>
          <w:szCs w:val="24"/>
        </w:rPr>
        <w:t xml:space="preserve"> </w:t>
      </w:r>
      <w:r w:rsidR="0086047E" w:rsidRPr="00893E6D">
        <w:rPr>
          <w:rFonts w:ascii="Times New Roman" w:hAnsi="Times New Roman" w:cs="Times New Roman"/>
          <w:sz w:val="24"/>
          <w:szCs w:val="24"/>
        </w:rPr>
        <w:t>the difference between non-operating income and non-operating expenses</w:t>
      </w:r>
      <w:r w:rsidR="00257DBB">
        <w:rPr>
          <w:rFonts w:ascii="Times New Roman" w:hAnsi="Times New Roman" w:cs="Times New Roman"/>
          <w:sz w:val="24"/>
          <w:szCs w:val="24"/>
        </w:rPr>
        <w:t xml:space="preserve"> based on COMPUSTAT definition of each</w:t>
      </w:r>
      <w:r w:rsidR="0086047E" w:rsidRPr="00893E6D">
        <w:rPr>
          <w:rFonts w:ascii="Times New Roman" w:hAnsi="Times New Roman" w:cs="Times New Roman"/>
          <w:sz w:val="24"/>
          <w:szCs w:val="24"/>
        </w:rPr>
        <w:t>.</w:t>
      </w:r>
      <w:r w:rsidR="00620FB8" w:rsidRPr="00893E6D">
        <w:rPr>
          <w:rFonts w:ascii="Times New Roman" w:hAnsi="Times New Roman" w:cs="Times New Roman"/>
          <w:sz w:val="24"/>
          <w:szCs w:val="24"/>
        </w:rPr>
        <w:t xml:space="preserve"> </w:t>
      </w:r>
      <w:r w:rsidR="003A24E6" w:rsidRPr="00893E6D">
        <w:rPr>
          <w:rFonts w:ascii="Times New Roman" w:hAnsi="Times New Roman" w:cs="Times New Roman"/>
          <w:sz w:val="24"/>
          <w:szCs w:val="24"/>
        </w:rPr>
        <w:t xml:space="preserve">Non-operating income includes discount on debt reacquired, dividend income, equity earnings </w:t>
      </w:r>
      <w:r w:rsidR="00BD5843" w:rsidRPr="00893E6D">
        <w:rPr>
          <w:rFonts w:ascii="Times New Roman" w:hAnsi="Times New Roman" w:cs="Times New Roman"/>
          <w:sz w:val="24"/>
          <w:szCs w:val="24"/>
        </w:rPr>
        <w:t>in</w:t>
      </w:r>
      <w:r w:rsidR="003A24E6" w:rsidRPr="00893E6D">
        <w:rPr>
          <w:rFonts w:ascii="Times New Roman" w:hAnsi="Times New Roman" w:cs="Times New Roman"/>
          <w:sz w:val="24"/>
          <w:szCs w:val="24"/>
        </w:rPr>
        <w:t xml:space="preserve"> nonconsolidated subsidiar</w:t>
      </w:r>
      <w:r w:rsidR="00BD5843" w:rsidRPr="00893E6D">
        <w:rPr>
          <w:rFonts w:ascii="Times New Roman" w:hAnsi="Times New Roman" w:cs="Times New Roman"/>
          <w:sz w:val="24"/>
          <w:szCs w:val="24"/>
        </w:rPr>
        <w:t>ies</w:t>
      </w:r>
      <w:r w:rsidR="003A24E6" w:rsidRPr="00893E6D">
        <w:rPr>
          <w:rFonts w:ascii="Times New Roman" w:hAnsi="Times New Roman" w:cs="Times New Roman"/>
          <w:sz w:val="24"/>
          <w:szCs w:val="24"/>
        </w:rPr>
        <w:t>, franchise income when corresponding expenses are not included in the income statement, interest charged to construction, interest capitalized, leased department income when corresponding expenses are not included in the income statement, other income, rental income, royalty income, and interest income. Non-operating expenses include amortization of deferred credit, amortization of negative intangibles, foreign exchange adjustments, idle plant expense, miscellaneous expense, moving expense, and other expense</w:t>
      </w:r>
      <w:r w:rsidR="00F451FF">
        <w:rPr>
          <w:rFonts w:ascii="Times New Roman" w:hAnsi="Times New Roman" w:cs="Times New Roman"/>
          <w:sz w:val="24"/>
          <w:szCs w:val="24"/>
        </w:rPr>
        <w:t>s</w:t>
      </w:r>
      <w:r w:rsidR="003A24E6" w:rsidRPr="00893E6D">
        <w:rPr>
          <w:rFonts w:ascii="Times New Roman" w:hAnsi="Times New Roman" w:cs="Times New Roman"/>
          <w:sz w:val="24"/>
          <w:szCs w:val="24"/>
        </w:rPr>
        <w:t>.</w:t>
      </w:r>
      <w:r w:rsidR="00BD5843" w:rsidRPr="00893E6D">
        <w:rPr>
          <w:rFonts w:ascii="Times New Roman" w:hAnsi="Times New Roman" w:cs="Times New Roman"/>
          <w:sz w:val="24"/>
          <w:szCs w:val="24"/>
        </w:rPr>
        <w:t xml:space="preserve"> </w:t>
      </w:r>
    </w:p>
    <w:p w14:paraId="0E3017BC" w14:textId="3C54FE4D" w:rsidR="0072114A" w:rsidRPr="00893E6D" w:rsidRDefault="00257DBB" w:rsidP="00A1062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use a range of risk measures as follows. </w:t>
      </w:r>
      <w:r w:rsidR="00620FB8" w:rsidRPr="00893E6D">
        <w:rPr>
          <w:rFonts w:ascii="Times New Roman" w:hAnsi="Times New Roman" w:cs="Times New Roman"/>
          <w:sz w:val="24"/>
          <w:szCs w:val="24"/>
        </w:rPr>
        <w:t>ROA volatility (</w:t>
      </w:r>
      <w:r w:rsidR="00620FB8" w:rsidRPr="00893E6D">
        <w:rPr>
          <w:rFonts w:ascii="Times New Roman" w:hAnsi="Times New Roman" w:cs="Times New Roman"/>
          <w:i/>
          <w:sz w:val="24"/>
          <w:szCs w:val="24"/>
        </w:rPr>
        <w:t>ROAVOL</w:t>
      </w:r>
      <w:r w:rsidR="00620FB8" w:rsidRPr="00893E6D">
        <w:rPr>
          <w:rFonts w:ascii="Times New Roman" w:hAnsi="Times New Roman" w:cs="Times New Roman"/>
          <w:sz w:val="24"/>
          <w:szCs w:val="24"/>
        </w:rPr>
        <w:t>) is the standard deviation of return</w:t>
      </w:r>
      <w:r w:rsidR="005E7C0E" w:rsidRPr="00893E6D">
        <w:rPr>
          <w:rFonts w:ascii="Times New Roman" w:hAnsi="Times New Roman" w:cs="Times New Roman"/>
          <w:sz w:val="24"/>
          <w:szCs w:val="24"/>
        </w:rPr>
        <w:t>s</w:t>
      </w:r>
      <w:r w:rsidR="00620FB8" w:rsidRPr="00893E6D">
        <w:rPr>
          <w:rFonts w:ascii="Times New Roman" w:hAnsi="Times New Roman" w:cs="Times New Roman"/>
          <w:sz w:val="24"/>
          <w:szCs w:val="24"/>
        </w:rPr>
        <w:t xml:space="preserve"> on assets</w:t>
      </w:r>
      <w:r w:rsidR="00606D6B" w:rsidRPr="00893E6D">
        <w:rPr>
          <w:rFonts w:ascii="Times New Roman" w:hAnsi="Times New Roman" w:cs="Times New Roman"/>
          <w:sz w:val="24"/>
          <w:szCs w:val="24"/>
        </w:rPr>
        <w:t xml:space="preserve"> (</w:t>
      </w:r>
      <w:r w:rsidR="00886690" w:rsidRPr="00893E6D">
        <w:rPr>
          <w:rFonts w:ascii="Times New Roman" w:hAnsi="Times New Roman" w:cs="Times New Roman"/>
          <w:sz w:val="24"/>
          <w:szCs w:val="24"/>
        </w:rPr>
        <w:t>i.e</w:t>
      </w:r>
      <w:r w:rsidR="00606D6B" w:rsidRPr="00893E6D">
        <w:rPr>
          <w:rFonts w:ascii="Times New Roman" w:hAnsi="Times New Roman" w:cs="Times New Roman"/>
          <w:sz w:val="24"/>
          <w:szCs w:val="24"/>
        </w:rPr>
        <w:t xml:space="preserve">. </w:t>
      </w:r>
      <w:r>
        <w:rPr>
          <w:rFonts w:ascii="Times New Roman" w:hAnsi="Times New Roman" w:cs="Times New Roman"/>
          <w:sz w:val="24"/>
          <w:szCs w:val="24"/>
        </w:rPr>
        <w:t xml:space="preserve">the ratio of </w:t>
      </w:r>
      <w:r w:rsidR="00B86E3D" w:rsidRPr="00893E6D">
        <w:rPr>
          <w:rFonts w:ascii="Times New Roman" w:hAnsi="Times New Roman" w:cs="Times New Roman"/>
          <w:sz w:val="24"/>
          <w:szCs w:val="24"/>
        </w:rPr>
        <w:t>income before extraordinary items</w:t>
      </w:r>
      <w:r w:rsidR="00886690" w:rsidRPr="00893E6D">
        <w:rPr>
          <w:rFonts w:ascii="Times New Roman" w:hAnsi="Times New Roman" w:cs="Times New Roman"/>
          <w:sz w:val="24"/>
          <w:szCs w:val="24"/>
        </w:rPr>
        <w:t>-</w:t>
      </w:r>
      <w:r w:rsidR="00DF2EC3" w:rsidRPr="00893E6D">
        <w:rPr>
          <w:rFonts w:ascii="Times New Roman" w:hAnsi="Times New Roman" w:cs="Times New Roman"/>
          <w:sz w:val="24"/>
          <w:szCs w:val="24"/>
        </w:rPr>
        <w:t>to</w:t>
      </w:r>
      <w:r w:rsidR="00886690" w:rsidRPr="00893E6D">
        <w:rPr>
          <w:rFonts w:ascii="Times New Roman" w:hAnsi="Times New Roman" w:cs="Times New Roman"/>
          <w:sz w:val="24"/>
          <w:szCs w:val="24"/>
        </w:rPr>
        <w:t xml:space="preserve">-total </w:t>
      </w:r>
      <w:r w:rsidR="00DF2EC3" w:rsidRPr="00893E6D">
        <w:rPr>
          <w:rFonts w:ascii="Times New Roman" w:hAnsi="Times New Roman" w:cs="Times New Roman"/>
          <w:sz w:val="24"/>
          <w:szCs w:val="24"/>
        </w:rPr>
        <w:t>asset</w:t>
      </w:r>
      <w:r w:rsidR="00F9414B" w:rsidRPr="00893E6D">
        <w:rPr>
          <w:rFonts w:ascii="Times New Roman" w:hAnsi="Times New Roman" w:cs="Times New Roman"/>
          <w:sz w:val="24"/>
          <w:szCs w:val="24"/>
        </w:rPr>
        <w:t>s</w:t>
      </w:r>
      <w:r w:rsidR="00DF2EC3" w:rsidRPr="00893E6D">
        <w:rPr>
          <w:rFonts w:ascii="Times New Roman" w:hAnsi="Times New Roman" w:cs="Times New Roman"/>
          <w:sz w:val="24"/>
          <w:szCs w:val="24"/>
        </w:rPr>
        <w:t xml:space="preserve">) </w:t>
      </w:r>
      <w:r w:rsidR="00620FB8" w:rsidRPr="00893E6D">
        <w:rPr>
          <w:rFonts w:ascii="Times New Roman" w:hAnsi="Times New Roman" w:cs="Times New Roman"/>
          <w:sz w:val="24"/>
          <w:szCs w:val="24"/>
        </w:rPr>
        <w:t xml:space="preserve">over </w:t>
      </w:r>
      <w:r w:rsidR="00284082">
        <w:rPr>
          <w:rFonts w:ascii="Times New Roman" w:hAnsi="Times New Roman" w:cs="Times New Roman"/>
          <w:sz w:val="24"/>
          <w:szCs w:val="24"/>
        </w:rPr>
        <w:t>a</w:t>
      </w:r>
      <w:r w:rsidR="00284082" w:rsidRPr="00893E6D">
        <w:rPr>
          <w:rFonts w:ascii="Times New Roman" w:hAnsi="Times New Roman" w:cs="Times New Roman"/>
          <w:sz w:val="24"/>
          <w:szCs w:val="24"/>
        </w:rPr>
        <w:t xml:space="preserve"> </w:t>
      </w:r>
      <w:r w:rsidR="00B11481" w:rsidRPr="00893E6D">
        <w:rPr>
          <w:rFonts w:ascii="Times New Roman" w:hAnsi="Times New Roman" w:cs="Times New Roman"/>
          <w:sz w:val="24"/>
          <w:szCs w:val="24"/>
        </w:rPr>
        <w:t>five-year</w:t>
      </w:r>
      <w:r w:rsidR="00620FB8" w:rsidRPr="00893E6D">
        <w:rPr>
          <w:rFonts w:ascii="Times New Roman" w:hAnsi="Times New Roman" w:cs="Times New Roman"/>
          <w:sz w:val="24"/>
          <w:szCs w:val="24"/>
        </w:rPr>
        <w:t xml:space="preserve"> period (</w:t>
      </w:r>
      <w:r w:rsidR="00B11481" w:rsidRPr="00893E6D">
        <w:rPr>
          <w:rFonts w:ascii="Times New Roman" w:hAnsi="Times New Roman" w:cs="Times New Roman"/>
          <w:sz w:val="24"/>
          <w:szCs w:val="24"/>
        </w:rPr>
        <w:t xml:space="preserve">i.e., </w:t>
      </w:r>
      <w:r w:rsidR="00620FB8" w:rsidRPr="00893E6D">
        <w:rPr>
          <w:rFonts w:ascii="Times New Roman" w:hAnsi="Times New Roman" w:cs="Times New Roman"/>
          <w:sz w:val="24"/>
          <w:szCs w:val="24"/>
        </w:rPr>
        <w:t xml:space="preserve">from </w:t>
      </w:r>
      <w:r w:rsidR="009E2512" w:rsidRPr="00893E6D">
        <w:rPr>
          <w:rFonts w:ascii="Times New Roman" w:hAnsi="Times New Roman" w:cs="Times New Roman"/>
          <w:sz w:val="24"/>
          <w:szCs w:val="24"/>
        </w:rPr>
        <w:t xml:space="preserve">fiscal </w:t>
      </w:r>
      <w:r w:rsidR="00620FB8" w:rsidRPr="00893E6D">
        <w:rPr>
          <w:rFonts w:ascii="Times New Roman" w:hAnsi="Times New Roman" w:cs="Times New Roman"/>
          <w:sz w:val="24"/>
          <w:szCs w:val="24"/>
        </w:rPr>
        <w:t>year -4 to fiscal year</w:t>
      </w:r>
      <w:r w:rsidR="009E2512" w:rsidRPr="00893E6D">
        <w:rPr>
          <w:rFonts w:ascii="Times New Roman" w:hAnsi="Times New Roman" w:cs="Times New Roman"/>
          <w:sz w:val="24"/>
          <w:szCs w:val="24"/>
        </w:rPr>
        <w:t xml:space="preserve"> 0</w:t>
      </w:r>
      <w:r w:rsidR="00284082">
        <w:rPr>
          <w:rFonts w:ascii="Times New Roman" w:hAnsi="Times New Roman" w:cs="Times New Roman"/>
          <w:sz w:val="24"/>
          <w:szCs w:val="24"/>
        </w:rPr>
        <w:t>, year 0 is the current year</w:t>
      </w:r>
      <w:r w:rsidR="00620FB8" w:rsidRPr="00893E6D">
        <w:rPr>
          <w:rFonts w:ascii="Times New Roman" w:hAnsi="Times New Roman" w:cs="Times New Roman"/>
          <w:sz w:val="24"/>
          <w:szCs w:val="24"/>
        </w:rPr>
        <w:t xml:space="preserve">). </w:t>
      </w:r>
      <w:r w:rsidR="009A6E3C" w:rsidRPr="00893E6D">
        <w:rPr>
          <w:rFonts w:ascii="Times New Roman" w:hAnsi="Times New Roman" w:cs="Times New Roman"/>
          <w:sz w:val="24"/>
          <w:szCs w:val="24"/>
        </w:rPr>
        <w:t xml:space="preserve">We </w:t>
      </w:r>
      <w:r w:rsidR="00DE08C5" w:rsidRPr="00893E6D">
        <w:rPr>
          <w:rFonts w:ascii="Times New Roman" w:hAnsi="Times New Roman" w:cs="Times New Roman"/>
          <w:sz w:val="24"/>
          <w:szCs w:val="24"/>
        </w:rPr>
        <w:t>compute</w:t>
      </w:r>
      <w:r w:rsidR="0072114A" w:rsidRPr="00893E6D">
        <w:rPr>
          <w:rFonts w:ascii="Times New Roman" w:hAnsi="Times New Roman" w:cs="Times New Roman"/>
          <w:sz w:val="24"/>
          <w:szCs w:val="24"/>
        </w:rPr>
        <w:t xml:space="preserve"> </w:t>
      </w:r>
      <w:r w:rsidR="00175509" w:rsidRPr="00893E6D">
        <w:rPr>
          <w:rFonts w:ascii="Times New Roman" w:hAnsi="Times New Roman" w:cs="Times New Roman"/>
          <w:sz w:val="24"/>
          <w:szCs w:val="24"/>
        </w:rPr>
        <w:t>two</w:t>
      </w:r>
      <w:r w:rsidR="0072114A" w:rsidRPr="00893E6D">
        <w:rPr>
          <w:rFonts w:ascii="Times New Roman" w:hAnsi="Times New Roman" w:cs="Times New Roman"/>
          <w:sz w:val="24"/>
          <w:szCs w:val="24"/>
        </w:rPr>
        <w:t xml:space="preserve"> measures of </w:t>
      </w:r>
      <w:r w:rsidR="009D4261" w:rsidRPr="00893E6D">
        <w:rPr>
          <w:rFonts w:ascii="Times New Roman" w:hAnsi="Times New Roman" w:cs="Times New Roman"/>
          <w:sz w:val="24"/>
          <w:szCs w:val="24"/>
        </w:rPr>
        <w:t>stock price</w:t>
      </w:r>
      <w:r w:rsidR="0072114A" w:rsidRPr="00893E6D">
        <w:rPr>
          <w:rFonts w:ascii="Times New Roman" w:hAnsi="Times New Roman" w:cs="Times New Roman"/>
          <w:sz w:val="24"/>
          <w:szCs w:val="24"/>
        </w:rPr>
        <w:t xml:space="preserve"> </w:t>
      </w:r>
      <w:r w:rsidR="00175509" w:rsidRPr="00893E6D">
        <w:rPr>
          <w:rFonts w:ascii="Times New Roman" w:hAnsi="Times New Roman" w:cs="Times New Roman"/>
          <w:sz w:val="24"/>
          <w:szCs w:val="24"/>
        </w:rPr>
        <w:t>volatility</w:t>
      </w:r>
      <w:r>
        <w:rPr>
          <w:rFonts w:ascii="Times New Roman" w:hAnsi="Times New Roman" w:cs="Times New Roman"/>
          <w:sz w:val="24"/>
          <w:szCs w:val="24"/>
        </w:rPr>
        <w:t>, i.e., total risk and idiosyncratic risk</w:t>
      </w:r>
      <w:r w:rsidR="009D4261" w:rsidRPr="00893E6D">
        <w:rPr>
          <w:rFonts w:ascii="Times New Roman" w:hAnsi="Times New Roman" w:cs="Times New Roman"/>
          <w:sz w:val="24"/>
          <w:szCs w:val="24"/>
        </w:rPr>
        <w:t>.</w:t>
      </w:r>
      <w:r w:rsidR="0072114A" w:rsidRPr="00893E6D">
        <w:rPr>
          <w:rFonts w:ascii="Times New Roman" w:hAnsi="Times New Roman" w:cs="Times New Roman"/>
          <w:sz w:val="24"/>
          <w:szCs w:val="24"/>
        </w:rPr>
        <w:t xml:space="preserve"> </w:t>
      </w:r>
      <w:r w:rsidR="00AB02FF">
        <w:rPr>
          <w:rFonts w:ascii="Times New Roman" w:hAnsi="Times New Roman" w:cs="Times New Roman"/>
          <w:sz w:val="24"/>
          <w:szCs w:val="24"/>
        </w:rPr>
        <w:t>T</w:t>
      </w:r>
      <w:r w:rsidR="00AB02FF" w:rsidRPr="00893E6D">
        <w:rPr>
          <w:rFonts w:ascii="Times New Roman" w:hAnsi="Times New Roman" w:cs="Times New Roman"/>
          <w:sz w:val="24"/>
          <w:szCs w:val="24"/>
        </w:rPr>
        <w:t>otal risk</w:t>
      </w:r>
      <w:r w:rsidR="00AB02FF">
        <w:rPr>
          <w:rFonts w:ascii="Times New Roman" w:hAnsi="Times New Roman" w:cs="Times New Roman"/>
          <w:i/>
          <w:sz w:val="24"/>
          <w:szCs w:val="24"/>
        </w:rPr>
        <w:t xml:space="preserve"> (</w:t>
      </w:r>
      <w:r w:rsidR="00D40D49" w:rsidRPr="00893E6D">
        <w:rPr>
          <w:rFonts w:ascii="Times New Roman" w:hAnsi="Times New Roman" w:cs="Times New Roman"/>
          <w:i/>
          <w:sz w:val="24"/>
          <w:szCs w:val="24"/>
        </w:rPr>
        <w:t>TOTRISK</w:t>
      </w:r>
      <w:r w:rsidR="00AB02FF">
        <w:rPr>
          <w:rFonts w:ascii="Times New Roman" w:hAnsi="Times New Roman" w:cs="Times New Roman"/>
          <w:i/>
          <w:sz w:val="24"/>
          <w:szCs w:val="24"/>
        </w:rPr>
        <w:t>)</w:t>
      </w:r>
      <w:r w:rsidR="00B11481" w:rsidRPr="00893E6D">
        <w:rPr>
          <w:rFonts w:ascii="Times New Roman" w:hAnsi="Times New Roman" w:cs="Times New Roman"/>
          <w:sz w:val="24"/>
          <w:szCs w:val="24"/>
        </w:rPr>
        <w:t xml:space="preserve"> </w:t>
      </w:r>
      <w:r w:rsidR="00D40D49" w:rsidRPr="00893E6D">
        <w:rPr>
          <w:rFonts w:ascii="Times New Roman" w:hAnsi="Times New Roman" w:cs="Times New Roman"/>
          <w:sz w:val="24"/>
          <w:szCs w:val="24"/>
        </w:rPr>
        <w:t xml:space="preserve">is the annualized standard deviation of the daily stock returns </w:t>
      </w:r>
      <w:r w:rsidR="00AB02FF">
        <w:rPr>
          <w:rFonts w:ascii="Times New Roman" w:hAnsi="Times New Roman" w:cs="Times New Roman"/>
          <w:sz w:val="24"/>
          <w:szCs w:val="24"/>
        </w:rPr>
        <w:t xml:space="preserve">and </w:t>
      </w:r>
      <w:r w:rsidR="00AB02FF" w:rsidRPr="00893E6D">
        <w:rPr>
          <w:rFonts w:ascii="Times New Roman" w:hAnsi="Times New Roman" w:cs="Times New Roman"/>
          <w:sz w:val="24"/>
          <w:szCs w:val="24"/>
        </w:rPr>
        <w:t>idiosyncratic</w:t>
      </w:r>
      <w:r w:rsidR="00AB02FF">
        <w:rPr>
          <w:rFonts w:ascii="Times New Roman" w:hAnsi="Times New Roman" w:cs="Times New Roman"/>
          <w:sz w:val="24"/>
          <w:szCs w:val="24"/>
        </w:rPr>
        <w:t xml:space="preserve"> risk</w:t>
      </w:r>
      <w:r w:rsidR="00D40D49" w:rsidRPr="00893E6D">
        <w:rPr>
          <w:rFonts w:ascii="Times New Roman" w:hAnsi="Times New Roman" w:cs="Times New Roman"/>
          <w:sz w:val="24"/>
          <w:szCs w:val="24"/>
        </w:rPr>
        <w:t xml:space="preserve"> </w:t>
      </w:r>
      <w:r w:rsidR="00AB02FF">
        <w:rPr>
          <w:rFonts w:ascii="Times New Roman" w:hAnsi="Times New Roman" w:cs="Times New Roman"/>
          <w:sz w:val="24"/>
          <w:szCs w:val="24"/>
        </w:rPr>
        <w:t>(</w:t>
      </w:r>
      <w:r w:rsidR="0072114A" w:rsidRPr="00893E6D">
        <w:rPr>
          <w:rFonts w:ascii="Times New Roman" w:hAnsi="Times New Roman" w:cs="Times New Roman"/>
          <w:i/>
          <w:sz w:val="24"/>
          <w:szCs w:val="24"/>
        </w:rPr>
        <w:t>IDIORISK</w:t>
      </w:r>
      <w:r w:rsidR="00AB02FF">
        <w:rPr>
          <w:rFonts w:ascii="Times New Roman" w:hAnsi="Times New Roman" w:cs="Times New Roman"/>
          <w:i/>
          <w:sz w:val="24"/>
          <w:szCs w:val="24"/>
        </w:rPr>
        <w:t>)</w:t>
      </w:r>
      <w:r>
        <w:rPr>
          <w:rFonts w:ascii="Times New Roman" w:hAnsi="Times New Roman" w:cs="Times New Roman"/>
          <w:i/>
          <w:sz w:val="24"/>
          <w:szCs w:val="24"/>
        </w:rPr>
        <w:t xml:space="preserve"> </w:t>
      </w:r>
      <w:r w:rsidR="009D4261" w:rsidRPr="00893E6D">
        <w:rPr>
          <w:rFonts w:ascii="Times New Roman" w:hAnsi="Times New Roman" w:cs="Times New Roman"/>
          <w:sz w:val="24"/>
          <w:szCs w:val="24"/>
        </w:rPr>
        <w:t xml:space="preserve">is </w:t>
      </w:r>
      <w:r w:rsidR="0072114A" w:rsidRPr="00893E6D">
        <w:rPr>
          <w:rFonts w:ascii="Times New Roman" w:hAnsi="Times New Roman" w:cs="Times New Roman"/>
          <w:sz w:val="24"/>
          <w:szCs w:val="24"/>
        </w:rPr>
        <w:t xml:space="preserve">the </w:t>
      </w:r>
      <w:r w:rsidR="009D4261" w:rsidRPr="00893E6D">
        <w:rPr>
          <w:rFonts w:ascii="Times New Roman" w:hAnsi="Times New Roman" w:cs="Times New Roman"/>
          <w:sz w:val="24"/>
          <w:szCs w:val="24"/>
        </w:rPr>
        <w:t xml:space="preserve">annualized </w:t>
      </w:r>
      <w:r w:rsidR="0072114A" w:rsidRPr="00893E6D">
        <w:rPr>
          <w:rFonts w:ascii="Times New Roman" w:hAnsi="Times New Roman" w:cs="Times New Roman"/>
          <w:sz w:val="24"/>
          <w:szCs w:val="24"/>
        </w:rPr>
        <w:t xml:space="preserve">standard deviation of the residuals from the </w:t>
      </w:r>
      <w:proofErr w:type="spellStart"/>
      <w:r w:rsidR="0072114A" w:rsidRPr="00893E6D">
        <w:rPr>
          <w:rFonts w:ascii="Times New Roman" w:hAnsi="Times New Roman" w:cs="Times New Roman"/>
          <w:sz w:val="24"/>
          <w:szCs w:val="24"/>
        </w:rPr>
        <w:t>Fama</w:t>
      </w:r>
      <w:proofErr w:type="spellEnd"/>
      <w:r w:rsidR="0072114A" w:rsidRPr="00893E6D">
        <w:rPr>
          <w:rFonts w:ascii="Times New Roman" w:hAnsi="Times New Roman" w:cs="Times New Roman"/>
          <w:sz w:val="24"/>
          <w:szCs w:val="24"/>
        </w:rPr>
        <w:t xml:space="preserve">-French </w:t>
      </w:r>
      <w:r>
        <w:rPr>
          <w:rFonts w:ascii="Times New Roman" w:hAnsi="Times New Roman" w:cs="Times New Roman"/>
          <w:sz w:val="24"/>
          <w:szCs w:val="24"/>
        </w:rPr>
        <w:t>F</w:t>
      </w:r>
      <w:r w:rsidR="00B11481" w:rsidRPr="00893E6D">
        <w:rPr>
          <w:rFonts w:ascii="Times New Roman" w:hAnsi="Times New Roman" w:cs="Times New Roman"/>
          <w:sz w:val="24"/>
          <w:szCs w:val="24"/>
        </w:rPr>
        <w:t>our</w:t>
      </w:r>
      <w:r w:rsidR="0072114A" w:rsidRPr="00893E6D">
        <w:rPr>
          <w:rFonts w:ascii="Times New Roman" w:hAnsi="Times New Roman" w:cs="Times New Roman"/>
          <w:sz w:val="24"/>
          <w:szCs w:val="24"/>
        </w:rPr>
        <w:t>-</w:t>
      </w:r>
      <w:r>
        <w:rPr>
          <w:rFonts w:ascii="Times New Roman" w:hAnsi="Times New Roman" w:cs="Times New Roman"/>
          <w:sz w:val="24"/>
          <w:szCs w:val="24"/>
        </w:rPr>
        <w:t>F</w:t>
      </w:r>
      <w:r w:rsidR="0072114A" w:rsidRPr="00893E6D">
        <w:rPr>
          <w:rFonts w:ascii="Times New Roman" w:hAnsi="Times New Roman" w:cs="Times New Roman"/>
          <w:sz w:val="24"/>
          <w:szCs w:val="24"/>
        </w:rPr>
        <w:t>actor model</w:t>
      </w:r>
      <w:r w:rsidR="00B11481" w:rsidRPr="00893E6D">
        <w:rPr>
          <w:rFonts w:ascii="Times New Roman" w:hAnsi="Times New Roman" w:cs="Times New Roman"/>
          <w:sz w:val="24"/>
          <w:szCs w:val="24"/>
        </w:rPr>
        <w:t xml:space="preserve"> </w:t>
      </w:r>
      <w:r>
        <w:rPr>
          <w:rFonts w:ascii="Times New Roman" w:hAnsi="Times New Roman" w:cs="Times New Roman"/>
          <w:sz w:val="24"/>
          <w:szCs w:val="24"/>
        </w:rPr>
        <w:t>in</w:t>
      </w:r>
      <w:r w:rsidRPr="00893E6D">
        <w:rPr>
          <w:rFonts w:ascii="Times New Roman" w:hAnsi="Times New Roman" w:cs="Times New Roman"/>
          <w:sz w:val="24"/>
          <w:szCs w:val="24"/>
        </w:rPr>
        <w:t xml:space="preserve"> </w:t>
      </w:r>
      <w:r w:rsidR="00B11481" w:rsidRPr="00893E6D">
        <w:rPr>
          <w:rFonts w:ascii="Times New Roman" w:hAnsi="Times New Roman" w:cs="Times New Roman"/>
          <w:sz w:val="24"/>
          <w:szCs w:val="24"/>
        </w:rPr>
        <w:t>Equation 1</w:t>
      </w:r>
      <w:r w:rsidR="0072114A" w:rsidRPr="00893E6D">
        <w:rPr>
          <w:rFonts w:ascii="Times New Roman" w:hAnsi="Times New Roman" w:cs="Times New Roman"/>
          <w:sz w:val="24"/>
          <w:szCs w:val="24"/>
        </w:rPr>
        <w:t xml:space="preserve">. </w:t>
      </w:r>
    </w:p>
    <w:p w14:paraId="5667D681" w14:textId="1CF34FE5" w:rsidR="005E7C0E" w:rsidRPr="00893E6D" w:rsidRDefault="002D2F83" w:rsidP="00A1062B">
      <w:pPr>
        <w:spacing w:line="48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j,t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1,j</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2,j</m:t>
              </m:r>
            </m:sub>
          </m:sSub>
          <m:sSub>
            <m:sSubPr>
              <m:ctrlPr>
                <w:rPr>
                  <w:rFonts w:ascii="Cambria Math" w:hAnsi="Cambria Math" w:cs="Times New Roman"/>
                  <w:i/>
                  <w:sz w:val="24"/>
                  <w:szCs w:val="24"/>
                </w:rPr>
              </m:ctrlPr>
            </m:sSubPr>
            <m:e>
              <m:r>
                <w:rPr>
                  <w:rFonts w:ascii="Cambria Math" w:hAnsi="Cambria Math" w:cs="Times New Roman"/>
                  <w:sz w:val="24"/>
                  <w:szCs w:val="24"/>
                </w:rPr>
                <m:t>SMB</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3,j</m:t>
              </m:r>
            </m:sub>
          </m:sSub>
          <m:sSub>
            <m:sSubPr>
              <m:ctrlPr>
                <w:rPr>
                  <w:rFonts w:ascii="Cambria Math" w:hAnsi="Cambria Math" w:cs="Times New Roman"/>
                  <w:i/>
                  <w:sz w:val="24"/>
                  <w:szCs w:val="24"/>
                </w:rPr>
              </m:ctrlPr>
            </m:sSubPr>
            <m:e>
              <m:r>
                <w:rPr>
                  <w:rFonts w:ascii="Cambria Math" w:hAnsi="Cambria Math" w:cs="Times New Roman"/>
                  <w:sz w:val="24"/>
                  <w:szCs w:val="24"/>
                </w:rPr>
                <m:t>HML</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4,j</m:t>
              </m:r>
            </m:sub>
          </m:sSub>
          <m:sSub>
            <m:sSubPr>
              <m:ctrlPr>
                <w:rPr>
                  <w:rFonts w:ascii="Cambria Math" w:hAnsi="Cambria Math" w:cs="Times New Roman"/>
                  <w:i/>
                  <w:sz w:val="24"/>
                  <w:szCs w:val="24"/>
                </w:rPr>
              </m:ctrlPr>
            </m:sSubPr>
            <m:e>
              <m:r>
                <w:rPr>
                  <w:rFonts w:ascii="Cambria Math" w:hAnsi="Cambria Math" w:cs="Times New Roman"/>
                  <w:sz w:val="24"/>
                  <w:szCs w:val="24"/>
                </w:rPr>
                <m:t>MOM</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 xml:space="preserve">j,t  </m:t>
              </m:r>
            </m:sub>
          </m:sSub>
          <m:r>
            <w:rPr>
              <w:rFonts w:ascii="Cambria Math" w:hAnsi="Cambria Math" w:cs="Times New Roman"/>
              <w:sz w:val="24"/>
              <w:szCs w:val="24"/>
            </w:rPr>
            <m:t xml:space="preserve">                                                     (1)</m:t>
          </m:r>
        </m:oMath>
      </m:oMathPara>
    </w:p>
    <w:p w14:paraId="76E2927F" w14:textId="32CB13A4" w:rsidR="005E7C0E" w:rsidRPr="00893E6D" w:rsidRDefault="005E7C0E" w:rsidP="00A1062B">
      <w:pPr>
        <w:spacing w:line="480" w:lineRule="auto"/>
        <w:jc w:val="both"/>
        <w:rPr>
          <w:rFonts w:ascii="Times New Roman" w:eastAsiaTheme="minorEastAsia" w:hAnsi="Times New Roman" w:cs="Times New Roman"/>
          <w:sz w:val="24"/>
          <w:szCs w:val="24"/>
        </w:rPr>
      </w:pPr>
      <w:r w:rsidRPr="00893E6D">
        <w:rPr>
          <w:rFonts w:ascii="Times New Roman" w:eastAsiaTheme="minorEastAsia" w:hAnsi="Times New Roman" w:cs="Times New Roman"/>
          <w:sz w:val="24"/>
          <w:szCs w:val="24"/>
        </w:rPr>
        <w:lastRenderedPageBreak/>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j,t</m:t>
            </m:r>
          </m:sub>
        </m:sSub>
      </m:oMath>
      <w:r w:rsidRPr="00893E6D">
        <w:rPr>
          <w:rFonts w:ascii="Times New Roman" w:eastAsiaTheme="minorEastAsia" w:hAnsi="Times New Roman" w:cs="Times New Roman"/>
          <w:sz w:val="24"/>
          <w:szCs w:val="24"/>
        </w:rPr>
        <w:t xml:space="preserve"> is the return on stock </w:t>
      </w:r>
      <w:r w:rsidRPr="00893E6D">
        <w:rPr>
          <w:rFonts w:ascii="Times New Roman" w:eastAsiaTheme="minorEastAsia" w:hAnsi="Times New Roman" w:cs="Times New Roman"/>
          <w:i/>
          <w:sz w:val="24"/>
          <w:szCs w:val="24"/>
        </w:rPr>
        <w:t>j</w:t>
      </w:r>
      <w:r w:rsidRPr="00893E6D">
        <w:rPr>
          <w:rFonts w:ascii="Times New Roman" w:eastAsiaTheme="minorEastAsia" w:hAnsi="Times New Roman" w:cs="Times New Roman"/>
          <w:sz w:val="24"/>
          <w:szCs w:val="24"/>
        </w:rPr>
        <w:t xml:space="preserve"> on day </w:t>
      </w:r>
      <w:r w:rsidRPr="00893E6D">
        <w:rPr>
          <w:rFonts w:ascii="Times New Roman" w:eastAsiaTheme="minorEastAsia" w:hAnsi="Times New Roman" w:cs="Times New Roman"/>
          <w:i/>
          <w:sz w:val="24"/>
          <w:szCs w:val="24"/>
        </w:rPr>
        <w:t>t;</w:t>
      </w:r>
      <w:r w:rsidRPr="00893E6D">
        <w:rPr>
          <w:rFonts w:ascii="Times New Roman" w:eastAsiaTheme="minorEastAsia" w:hAnsi="Times New Roman" w:cs="Times New Roman"/>
          <w:sz w:val="24"/>
          <w:szCs w:val="24"/>
        </w:rPr>
        <w:t xml:space="preserve"> </w:t>
      </w:r>
      <w:proofErr w:type="spellStart"/>
      <w:r w:rsidRPr="00893E6D">
        <w:rPr>
          <w:rFonts w:ascii="Times New Roman" w:eastAsiaTheme="minorEastAsia" w:hAnsi="Times New Roman" w:cs="Times New Roman"/>
          <w:i/>
          <w:sz w:val="24"/>
          <w:szCs w:val="24"/>
        </w:rPr>
        <w:t>r</w:t>
      </w:r>
      <w:r w:rsidRPr="00893E6D">
        <w:rPr>
          <w:rFonts w:ascii="Times New Roman" w:eastAsiaTheme="minorEastAsia" w:hAnsi="Times New Roman" w:cs="Times New Roman"/>
          <w:i/>
          <w:sz w:val="24"/>
          <w:szCs w:val="24"/>
          <w:vertAlign w:val="subscript"/>
        </w:rPr>
        <w:t>m,t</w:t>
      </w:r>
      <w:proofErr w:type="spellEnd"/>
      <w:r w:rsidRPr="00893E6D">
        <w:rPr>
          <w:rFonts w:ascii="Times New Roman" w:eastAsiaTheme="minorEastAsia" w:hAnsi="Times New Roman" w:cs="Times New Roman"/>
          <w:sz w:val="24"/>
          <w:szCs w:val="24"/>
        </w:rPr>
        <w:t xml:space="preserve"> is the CRSP value-weighted market index</w:t>
      </w:r>
      <w:r w:rsidR="00C77327" w:rsidRPr="00893E6D">
        <w:rPr>
          <w:rFonts w:ascii="Times New Roman" w:eastAsiaTheme="minorEastAsia" w:hAnsi="Times New Roman" w:cs="Times New Roman"/>
          <w:sz w:val="24"/>
          <w:szCs w:val="24"/>
        </w:rPr>
        <w:t xml:space="preserve"> return</w:t>
      </w:r>
      <w:r w:rsidR="00E154F8" w:rsidRPr="00893E6D">
        <w:rPr>
          <w:rFonts w:ascii="Times New Roman" w:eastAsiaTheme="minorEastAsia" w:hAnsi="Times New Roman" w:cs="Times New Roman"/>
          <w:sz w:val="24"/>
          <w:szCs w:val="24"/>
        </w:rPr>
        <w:t xml:space="preserve"> on day </w:t>
      </w:r>
      <w:r w:rsidR="00E154F8" w:rsidRPr="00893E6D">
        <w:rPr>
          <w:rFonts w:ascii="Times New Roman" w:eastAsiaTheme="minorEastAsia" w:hAnsi="Times New Roman" w:cs="Times New Roman"/>
          <w:i/>
          <w:sz w:val="24"/>
          <w:szCs w:val="24"/>
        </w:rPr>
        <w:t>t</w:t>
      </w:r>
      <m:oMath>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SMB</m:t>
            </m:r>
          </m:e>
          <m:sub>
            <m:r>
              <w:rPr>
                <w:rFonts w:ascii="Cambria Math" w:hAnsi="Cambria Math" w:cs="Times New Roman"/>
                <w:sz w:val="24"/>
                <w:szCs w:val="24"/>
              </w:rPr>
              <m:t>t</m:t>
            </m:r>
          </m:sub>
        </m:sSub>
      </m:oMath>
      <w:r w:rsidR="00DE08C5" w:rsidRPr="00893E6D">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HML</m:t>
            </m:r>
          </m:e>
          <m:sub>
            <m:r>
              <w:rPr>
                <w:rFonts w:ascii="Cambria Math" w:hAnsi="Cambria Math" w:cs="Times New Roman"/>
                <w:sz w:val="24"/>
                <w:szCs w:val="24"/>
              </w:rPr>
              <m:t>t</m:t>
            </m:r>
          </m:sub>
        </m:sSub>
      </m:oMath>
      <w:r w:rsidRPr="00893E6D">
        <w:rPr>
          <w:rFonts w:ascii="Times New Roman" w:eastAsiaTheme="minorEastAsia" w:hAnsi="Times New Roman" w:cs="Times New Roman"/>
          <w:sz w:val="24"/>
          <w:szCs w:val="24"/>
        </w:rPr>
        <w:t xml:space="preserve"> </w:t>
      </w:r>
      <w:r w:rsidR="00DE08C5" w:rsidRPr="00893E6D">
        <w:rPr>
          <w:rFonts w:ascii="Times New Roman" w:eastAsiaTheme="minorEastAsia" w:hAnsi="Times New Roman" w:cs="Times New Roman"/>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MOM</m:t>
            </m:r>
          </m:e>
          <m:sub>
            <m:r>
              <w:rPr>
                <w:rFonts w:ascii="Cambria Math" w:hAnsi="Cambria Math" w:cs="Times New Roman"/>
                <w:sz w:val="24"/>
                <w:szCs w:val="24"/>
              </w:rPr>
              <m:t>t</m:t>
            </m:r>
          </m:sub>
        </m:sSub>
        <m:r>
          <w:rPr>
            <w:rFonts w:ascii="Cambria Math" w:hAnsi="Cambria Math" w:cs="Times New Roman"/>
            <w:sz w:val="24"/>
            <w:szCs w:val="24"/>
          </w:rPr>
          <m:t xml:space="preserve"> </m:t>
        </m:r>
      </m:oMath>
      <w:r w:rsidRPr="00893E6D">
        <w:rPr>
          <w:rFonts w:ascii="Times New Roman" w:eastAsiaTheme="minorEastAsia" w:hAnsi="Times New Roman" w:cs="Times New Roman"/>
          <w:sz w:val="24"/>
          <w:szCs w:val="24"/>
        </w:rPr>
        <w:t>are the size</w:t>
      </w:r>
      <w:r w:rsidR="00DE08C5" w:rsidRPr="00893E6D">
        <w:rPr>
          <w:rFonts w:ascii="Times New Roman" w:eastAsiaTheme="minorEastAsia" w:hAnsi="Times New Roman" w:cs="Times New Roman"/>
          <w:sz w:val="24"/>
          <w:szCs w:val="24"/>
        </w:rPr>
        <w:t xml:space="preserve">, </w:t>
      </w:r>
      <w:r w:rsidRPr="00893E6D">
        <w:rPr>
          <w:rFonts w:ascii="Times New Roman" w:eastAsiaTheme="minorEastAsia" w:hAnsi="Times New Roman" w:cs="Times New Roman"/>
          <w:sz w:val="24"/>
          <w:szCs w:val="24"/>
        </w:rPr>
        <w:t>book-to-market</w:t>
      </w:r>
      <w:r w:rsidR="003708C4" w:rsidRPr="00893E6D">
        <w:rPr>
          <w:rFonts w:ascii="Times New Roman" w:eastAsiaTheme="minorEastAsia" w:hAnsi="Times New Roman" w:cs="Times New Roman"/>
          <w:sz w:val="24"/>
          <w:szCs w:val="24"/>
        </w:rPr>
        <w:t>,</w:t>
      </w:r>
      <w:r w:rsidRPr="00893E6D">
        <w:rPr>
          <w:rFonts w:ascii="Times New Roman" w:eastAsiaTheme="minorEastAsia" w:hAnsi="Times New Roman" w:cs="Times New Roman"/>
          <w:sz w:val="24"/>
          <w:szCs w:val="24"/>
        </w:rPr>
        <w:t xml:space="preserve"> </w:t>
      </w:r>
      <w:r w:rsidR="00DE08C5" w:rsidRPr="00893E6D">
        <w:rPr>
          <w:rFonts w:ascii="Times New Roman" w:eastAsiaTheme="minorEastAsia" w:hAnsi="Times New Roman" w:cs="Times New Roman"/>
          <w:sz w:val="24"/>
          <w:szCs w:val="24"/>
        </w:rPr>
        <w:t xml:space="preserve">and momentum </w:t>
      </w:r>
      <w:r w:rsidRPr="00893E6D">
        <w:rPr>
          <w:rFonts w:ascii="Times New Roman" w:eastAsiaTheme="minorEastAsia" w:hAnsi="Times New Roman" w:cs="Times New Roman"/>
          <w:sz w:val="24"/>
          <w:szCs w:val="24"/>
        </w:rPr>
        <w:t xml:space="preserve">risk premium factors on day </w:t>
      </w:r>
      <w:r w:rsidRPr="00893E6D">
        <w:rPr>
          <w:rFonts w:ascii="Times New Roman" w:eastAsiaTheme="minorEastAsia" w:hAnsi="Times New Roman" w:cs="Times New Roman"/>
          <w:i/>
          <w:sz w:val="24"/>
          <w:szCs w:val="24"/>
        </w:rPr>
        <w:t>t</w:t>
      </w:r>
      <w:r w:rsidRPr="00893E6D">
        <w:rPr>
          <w:rFonts w:ascii="Times New Roman" w:eastAsiaTheme="minorEastAsia" w:hAnsi="Times New Roman" w:cs="Times New Roman"/>
          <w:sz w:val="24"/>
          <w:szCs w:val="24"/>
        </w:rPr>
        <w:t xml:space="preserve"> </w:t>
      </w:r>
      <w:r w:rsidR="007814BE">
        <w:rPr>
          <w:rFonts w:ascii="Times New Roman" w:eastAsiaTheme="minorEastAsia" w:hAnsi="Times New Roman" w:cs="Times New Roman"/>
          <w:sz w:val="24"/>
          <w:szCs w:val="24"/>
        </w:rPr>
        <w:t>downloaded</w:t>
      </w:r>
      <w:r w:rsidR="007814BE" w:rsidRPr="00893E6D">
        <w:rPr>
          <w:rFonts w:ascii="Times New Roman" w:eastAsiaTheme="minorEastAsia" w:hAnsi="Times New Roman" w:cs="Times New Roman"/>
          <w:sz w:val="24"/>
          <w:szCs w:val="24"/>
        </w:rPr>
        <w:t xml:space="preserve"> </w:t>
      </w:r>
      <w:r w:rsidR="007814BE">
        <w:rPr>
          <w:rFonts w:ascii="Times New Roman" w:eastAsiaTheme="minorEastAsia" w:hAnsi="Times New Roman" w:cs="Times New Roman"/>
          <w:sz w:val="24"/>
          <w:szCs w:val="24"/>
        </w:rPr>
        <w:t>from</w:t>
      </w:r>
      <w:r w:rsidR="007814BE" w:rsidRPr="00893E6D">
        <w:rPr>
          <w:rFonts w:ascii="Times New Roman" w:eastAsiaTheme="minorEastAsia" w:hAnsi="Times New Roman" w:cs="Times New Roman"/>
          <w:sz w:val="24"/>
          <w:szCs w:val="24"/>
        </w:rPr>
        <w:t xml:space="preserve"> </w:t>
      </w:r>
      <w:r w:rsidRPr="00893E6D">
        <w:rPr>
          <w:rFonts w:ascii="Times New Roman" w:eastAsiaTheme="minorEastAsia" w:hAnsi="Times New Roman" w:cs="Times New Roman"/>
          <w:sz w:val="24"/>
          <w:szCs w:val="24"/>
        </w:rPr>
        <w:t>Professor Kenneth French</w:t>
      </w:r>
      <w:r w:rsidR="007814BE">
        <w:rPr>
          <w:rFonts w:ascii="Times New Roman" w:eastAsiaTheme="minorEastAsia" w:hAnsi="Times New Roman" w:cs="Times New Roman"/>
          <w:sz w:val="24"/>
          <w:szCs w:val="24"/>
        </w:rPr>
        <w:t xml:space="preserve"> website</w:t>
      </w:r>
      <w:r w:rsidRPr="00893E6D">
        <w:rPr>
          <w:rFonts w:ascii="Times New Roman" w:eastAsiaTheme="minorEastAsia" w:hAnsi="Times New Roman" w:cs="Times New Roman"/>
          <w:sz w:val="24"/>
          <w:szCs w:val="24"/>
        </w:rPr>
        <w:t>.</w:t>
      </w:r>
      <w:r w:rsidR="00DE08C5" w:rsidRPr="00893E6D">
        <w:rPr>
          <w:rStyle w:val="FootnoteReference"/>
          <w:rFonts w:ascii="Times New Roman" w:eastAsiaTheme="minorEastAsia" w:hAnsi="Times New Roman" w:cs="Times New Roman"/>
          <w:sz w:val="24"/>
          <w:szCs w:val="24"/>
        </w:rPr>
        <w:footnoteReference w:id="5"/>
      </w:r>
      <w:r w:rsidR="006D3077" w:rsidRPr="00893E6D">
        <w:rPr>
          <w:rFonts w:ascii="Times New Roman" w:eastAsiaTheme="minorEastAsia" w:hAnsi="Times New Roman" w:cs="Times New Roman"/>
          <w:sz w:val="24"/>
          <w:szCs w:val="24"/>
        </w:rPr>
        <w:t xml:space="preserve"> </w:t>
      </w:r>
      <w:r w:rsidRPr="00893E6D">
        <w:rPr>
          <w:rFonts w:ascii="Times New Roman" w:eastAsiaTheme="minorEastAsia" w:hAnsi="Times New Roman" w:cs="Times New Roman"/>
          <w:sz w:val="24"/>
          <w:szCs w:val="24"/>
        </w:rPr>
        <w:t xml:space="preserve">The equation is estimated for each firm in each year </w:t>
      </w:r>
      <w:r w:rsidRPr="00893E6D">
        <w:rPr>
          <w:rFonts w:ascii="Times New Roman" w:hAnsi="Times New Roman" w:cs="Times New Roman"/>
          <w:sz w:val="24"/>
          <w:szCs w:val="24"/>
        </w:rPr>
        <w:t xml:space="preserve">using daily </w:t>
      </w:r>
      <w:r w:rsidR="00C77327" w:rsidRPr="00893E6D">
        <w:rPr>
          <w:rFonts w:ascii="Times New Roman" w:hAnsi="Times New Roman" w:cs="Times New Roman"/>
          <w:sz w:val="24"/>
          <w:szCs w:val="24"/>
        </w:rPr>
        <w:t>stock returns</w:t>
      </w:r>
      <w:r w:rsidRPr="00893E6D">
        <w:rPr>
          <w:rFonts w:ascii="Times New Roman" w:hAnsi="Times New Roman" w:cs="Times New Roman"/>
          <w:sz w:val="24"/>
          <w:szCs w:val="24"/>
        </w:rPr>
        <w:t xml:space="preserve">. </w:t>
      </w:r>
    </w:p>
    <w:p w14:paraId="660B36A6" w14:textId="3A590098" w:rsidR="000E06C7" w:rsidRPr="00893E6D" w:rsidRDefault="00A16115" w:rsidP="00A1062B">
      <w:pPr>
        <w:spacing w:line="480" w:lineRule="auto"/>
        <w:ind w:firstLine="720"/>
        <w:jc w:val="both"/>
        <w:rPr>
          <w:rFonts w:ascii="Times New Roman" w:hAnsi="Times New Roman" w:cs="Times New Roman"/>
          <w:sz w:val="24"/>
          <w:szCs w:val="24"/>
        </w:rPr>
      </w:pPr>
      <w:r w:rsidRPr="00893E6D">
        <w:rPr>
          <w:rFonts w:ascii="Times New Roman" w:hAnsi="Times New Roman" w:cs="Times New Roman"/>
          <w:sz w:val="24"/>
          <w:szCs w:val="24"/>
        </w:rPr>
        <w:t xml:space="preserve">Following </w:t>
      </w:r>
      <w:r w:rsidR="00B11481" w:rsidRPr="00893E6D">
        <w:rPr>
          <w:rFonts w:ascii="Times New Roman" w:hAnsi="Times New Roman" w:cs="Times New Roman"/>
          <w:sz w:val="24"/>
          <w:szCs w:val="24"/>
        </w:rPr>
        <w:t>Chen</w:t>
      </w:r>
      <w:r w:rsidR="00C00684">
        <w:rPr>
          <w:rFonts w:ascii="Times New Roman" w:hAnsi="Times New Roman" w:cs="Times New Roman"/>
          <w:sz w:val="24"/>
          <w:szCs w:val="24"/>
        </w:rPr>
        <w:t xml:space="preserve">, </w:t>
      </w:r>
      <w:r w:rsidR="00C00684" w:rsidRPr="00893E6D">
        <w:rPr>
          <w:rFonts w:ascii="Times New Roman" w:hAnsi="Times New Roman" w:cs="Times New Roman"/>
          <w:sz w:val="24"/>
          <w:szCs w:val="24"/>
        </w:rPr>
        <w:t>Hong, and Stein</w:t>
      </w:r>
      <w:r w:rsidR="00C00684" w:rsidRPr="00893E6D" w:rsidDel="00165E5D">
        <w:rPr>
          <w:rFonts w:ascii="Times New Roman" w:eastAsiaTheme="minorEastAsia" w:hAnsi="Times New Roman" w:cs="Times New Roman"/>
          <w:i/>
          <w:sz w:val="24"/>
          <w:szCs w:val="24"/>
        </w:rPr>
        <w:t xml:space="preserve"> </w:t>
      </w:r>
      <w:r w:rsidR="00AB02FF">
        <w:rPr>
          <w:rFonts w:ascii="Times New Roman" w:hAnsi="Times New Roman" w:cs="Times New Roman"/>
          <w:sz w:val="24"/>
          <w:szCs w:val="24"/>
        </w:rPr>
        <w:t>(</w:t>
      </w:r>
      <w:r w:rsidR="00B11481" w:rsidRPr="00893E6D">
        <w:rPr>
          <w:rFonts w:ascii="Times New Roman" w:hAnsi="Times New Roman" w:cs="Times New Roman"/>
          <w:sz w:val="24"/>
          <w:szCs w:val="24"/>
        </w:rPr>
        <w:t>2001</w:t>
      </w:r>
      <w:r w:rsidR="00AB02FF">
        <w:rPr>
          <w:rFonts w:ascii="Times New Roman" w:hAnsi="Times New Roman" w:cs="Times New Roman"/>
          <w:sz w:val="24"/>
          <w:szCs w:val="24"/>
        </w:rPr>
        <w:t>),</w:t>
      </w:r>
      <w:r w:rsidR="00B11481" w:rsidRPr="00893E6D">
        <w:rPr>
          <w:rFonts w:ascii="Times New Roman" w:hAnsi="Times New Roman" w:cs="Times New Roman"/>
          <w:sz w:val="24"/>
          <w:szCs w:val="24"/>
        </w:rPr>
        <w:t xml:space="preserve"> </w:t>
      </w:r>
      <w:r w:rsidR="00856B1F" w:rsidRPr="00893E6D">
        <w:rPr>
          <w:rFonts w:ascii="Times New Roman" w:hAnsi="Times New Roman" w:cs="Times New Roman"/>
          <w:sz w:val="24"/>
          <w:szCs w:val="24"/>
        </w:rPr>
        <w:t xml:space="preserve">Kim, Li, and Zhang (2011a, </w:t>
      </w:r>
      <w:r w:rsidR="00856B1F" w:rsidRPr="00033C8C">
        <w:rPr>
          <w:rFonts w:ascii="Times New Roman" w:hAnsi="Times New Roman" w:cs="Times New Roman"/>
          <w:sz w:val="24"/>
          <w:szCs w:val="24"/>
        </w:rPr>
        <w:t>2011b)</w:t>
      </w:r>
      <w:r w:rsidR="00856B1F">
        <w:rPr>
          <w:rFonts w:ascii="Times New Roman" w:hAnsi="Times New Roman" w:cs="Times New Roman"/>
          <w:sz w:val="24"/>
          <w:szCs w:val="24"/>
        </w:rPr>
        <w:t xml:space="preserve">, </w:t>
      </w:r>
      <w:r w:rsidR="00B11481" w:rsidRPr="00893E6D">
        <w:rPr>
          <w:rFonts w:ascii="Times New Roman" w:hAnsi="Times New Roman" w:cs="Times New Roman"/>
          <w:sz w:val="24"/>
          <w:szCs w:val="24"/>
        </w:rPr>
        <w:t xml:space="preserve">and An </w:t>
      </w:r>
      <w:r w:rsidR="007A395B" w:rsidRPr="00893E6D">
        <w:rPr>
          <w:rFonts w:ascii="Times New Roman" w:hAnsi="Times New Roman" w:cs="Times New Roman"/>
          <w:sz w:val="24"/>
          <w:szCs w:val="24"/>
        </w:rPr>
        <w:t>and Zhang</w:t>
      </w:r>
      <w:r w:rsidR="00AB02FF">
        <w:rPr>
          <w:rFonts w:ascii="Times New Roman" w:hAnsi="Times New Roman" w:cs="Times New Roman"/>
          <w:sz w:val="24"/>
          <w:szCs w:val="24"/>
        </w:rPr>
        <w:t xml:space="preserve"> (2013)</w:t>
      </w:r>
      <w:r w:rsidRPr="00893E6D">
        <w:rPr>
          <w:rFonts w:ascii="Times New Roman" w:hAnsi="Times New Roman" w:cs="Times New Roman"/>
          <w:sz w:val="24"/>
          <w:szCs w:val="24"/>
        </w:rPr>
        <w:t xml:space="preserve">, </w:t>
      </w:r>
      <w:r w:rsidR="009A6E3C" w:rsidRPr="00893E6D">
        <w:rPr>
          <w:rFonts w:ascii="Times New Roman" w:hAnsi="Times New Roman" w:cs="Times New Roman"/>
          <w:sz w:val="24"/>
          <w:szCs w:val="24"/>
        </w:rPr>
        <w:t xml:space="preserve">we </w:t>
      </w:r>
      <w:r w:rsidR="00986072" w:rsidRPr="00893E6D">
        <w:rPr>
          <w:rFonts w:ascii="Times New Roman" w:hAnsi="Times New Roman" w:cs="Times New Roman"/>
          <w:sz w:val="24"/>
          <w:szCs w:val="24"/>
        </w:rPr>
        <w:t xml:space="preserve">construct three measures of firm-specific </w:t>
      </w:r>
      <w:r w:rsidR="001319B2" w:rsidRPr="00893E6D">
        <w:rPr>
          <w:rFonts w:ascii="Times New Roman" w:hAnsi="Times New Roman" w:cs="Times New Roman"/>
          <w:sz w:val="24"/>
          <w:szCs w:val="24"/>
        </w:rPr>
        <w:t>stock crash risk</w:t>
      </w:r>
      <w:r w:rsidRPr="00893E6D">
        <w:rPr>
          <w:rFonts w:ascii="Times New Roman" w:hAnsi="Times New Roman" w:cs="Times New Roman"/>
          <w:sz w:val="24"/>
          <w:szCs w:val="24"/>
        </w:rPr>
        <w:t>.</w:t>
      </w:r>
      <w:r w:rsidR="001319B2" w:rsidRPr="00893E6D">
        <w:rPr>
          <w:rFonts w:ascii="Times New Roman" w:hAnsi="Times New Roman" w:cs="Times New Roman"/>
          <w:sz w:val="24"/>
          <w:szCs w:val="24"/>
        </w:rPr>
        <w:t xml:space="preserve"> </w:t>
      </w:r>
      <w:r w:rsidR="00C77327" w:rsidRPr="00893E6D">
        <w:rPr>
          <w:rFonts w:ascii="Times New Roman" w:hAnsi="Times New Roman" w:cs="Times New Roman"/>
          <w:sz w:val="24"/>
          <w:szCs w:val="24"/>
        </w:rPr>
        <w:t xml:space="preserve">First, we </w:t>
      </w:r>
      <w:r w:rsidR="00ED25FB" w:rsidRPr="00893E6D">
        <w:rPr>
          <w:rFonts w:ascii="Times New Roman" w:hAnsi="Times New Roman" w:cs="Times New Roman"/>
          <w:sz w:val="24"/>
          <w:szCs w:val="24"/>
        </w:rPr>
        <w:t xml:space="preserve">obtain weekly returns from </w:t>
      </w:r>
      <w:r w:rsidR="00C77327" w:rsidRPr="00893E6D">
        <w:rPr>
          <w:rFonts w:ascii="Times New Roman" w:hAnsi="Times New Roman" w:cs="Times New Roman"/>
          <w:sz w:val="24"/>
          <w:szCs w:val="24"/>
        </w:rPr>
        <w:t xml:space="preserve">the </w:t>
      </w:r>
      <w:r w:rsidR="00ED25FB" w:rsidRPr="00893E6D">
        <w:rPr>
          <w:rFonts w:ascii="Times New Roman" w:hAnsi="Times New Roman" w:cs="Times New Roman"/>
          <w:sz w:val="24"/>
          <w:szCs w:val="24"/>
        </w:rPr>
        <w:t xml:space="preserve">CRSP </w:t>
      </w:r>
      <w:r w:rsidR="00C77327" w:rsidRPr="00893E6D">
        <w:rPr>
          <w:rFonts w:ascii="Times New Roman" w:hAnsi="Times New Roman" w:cs="Times New Roman"/>
          <w:sz w:val="24"/>
          <w:szCs w:val="24"/>
        </w:rPr>
        <w:t xml:space="preserve">database, </w:t>
      </w:r>
      <w:r w:rsidR="00ED25FB" w:rsidRPr="00893E6D">
        <w:rPr>
          <w:rFonts w:ascii="Times New Roman" w:hAnsi="Times New Roman" w:cs="Times New Roman"/>
          <w:sz w:val="24"/>
          <w:szCs w:val="24"/>
        </w:rPr>
        <w:t>and estimate the following expanded market model regression:</w:t>
      </w:r>
    </w:p>
    <w:p w14:paraId="573C76B7" w14:textId="74303C0B" w:rsidR="00ED25FB" w:rsidRPr="00893E6D" w:rsidRDefault="002D2F83" w:rsidP="00A1062B">
      <w:pPr>
        <w:spacing w:line="48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j,t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1,j</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2,j</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3,j</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4,j</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5,j</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6,j</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 xml:space="preserve">j,t  </m:t>
              </m:r>
            </m:sub>
          </m:sSub>
          <m:r>
            <w:rPr>
              <w:rFonts w:ascii="Cambria Math" w:hAnsi="Cambria Math" w:cs="Times New Roman"/>
              <w:sz w:val="24"/>
              <w:szCs w:val="24"/>
            </w:rPr>
            <m:t xml:space="preserve">                (2)</m:t>
          </m:r>
        </m:oMath>
      </m:oMathPara>
    </w:p>
    <w:p w14:paraId="1E1CD651" w14:textId="158EBCEA" w:rsidR="002B613F" w:rsidRPr="00893E6D" w:rsidRDefault="004441A0" w:rsidP="00A1062B">
      <w:pPr>
        <w:spacing w:line="480" w:lineRule="auto"/>
        <w:jc w:val="both"/>
        <w:rPr>
          <w:rFonts w:ascii="Times New Roman" w:hAnsi="Times New Roman" w:cs="Times New Roman"/>
          <w:sz w:val="24"/>
          <w:szCs w:val="24"/>
        </w:rPr>
      </w:pPr>
      <w:r w:rsidRPr="00893E6D">
        <w:rPr>
          <w:rFonts w:ascii="Times New Roman" w:eastAsiaTheme="minorEastAsia"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j,t</m:t>
            </m:r>
          </m:sub>
        </m:sSub>
      </m:oMath>
      <w:r w:rsidRPr="00893E6D">
        <w:rPr>
          <w:rFonts w:ascii="Times New Roman" w:eastAsiaTheme="minorEastAsia" w:hAnsi="Times New Roman" w:cs="Times New Roman"/>
          <w:sz w:val="24"/>
          <w:szCs w:val="24"/>
        </w:rPr>
        <w:t xml:space="preserve"> is the return on stock </w:t>
      </w:r>
      <w:r w:rsidRPr="00893E6D">
        <w:rPr>
          <w:rFonts w:ascii="Times New Roman" w:eastAsiaTheme="minorEastAsia" w:hAnsi="Times New Roman" w:cs="Times New Roman"/>
          <w:i/>
          <w:sz w:val="24"/>
          <w:szCs w:val="24"/>
        </w:rPr>
        <w:t>j</w:t>
      </w:r>
      <w:r w:rsidRPr="00893E6D">
        <w:rPr>
          <w:rFonts w:ascii="Times New Roman" w:eastAsiaTheme="minorEastAsia" w:hAnsi="Times New Roman" w:cs="Times New Roman"/>
          <w:sz w:val="24"/>
          <w:szCs w:val="24"/>
        </w:rPr>
        <w:t xml:space="preserve"> in week </w:t>
      </w:r>
      <w:r w:rsidRPr="00893E6D">
        <w:rPr>
          <w:rFonts w:ascii="Times New Roman" w:eastAsiaTheme="minorEastAsia" w:hAnsi="Times New Roman" w:cs="Times New Roman"/>
          <w:i/>
          <w:sz w:val="24"/>
          <w:szCs w:val="24"/>
        </w:rPr>
        <w:t>t,</w:t>
      </w:r>
      <w:r w:rsidRPr="00893E6D">
        <w:rPr>
          <w:rFonts w:ascii="Times New Roman" w:eastAsiaTheme="minorEastAsia" w:hAnsi="Times New Roman" w:cs="Times New Roman"/>
          <w:sz w:val="24"/>
          <w:szCs w:val="24"/>
        </w:rPr>
        <w:t xml:space="preserve"> </w:t>
      </w:r>
      <w:proofErr w:type="spellStart"/>
      <w:proofErr w:type="gramStart"/>
      <w:r w:rsidRPr="00893E6D">
        <w:rPr>
          <w:rFonts w:ascii="Times New Roman" w:eastAsiaTheme="minorEastAsia" w:hAnsi="Times New Roman" w:cs="Times New Roman"/>
          <w:i/>
          <w:sz w:val="24"/>
          <w:szCs w:val="24"/>
        </w:rPr>
        <w:t>r</w:t>
      </w:r>
      <w:r w:rsidRPr="00893E6D">
        <w:rPr>
          <w:rFonts w:ascii="Times New Roman" w:eastAsiaTheme="minorEastAsia" w:hAnsi="Times New Roman" w:cs="Times New Roman"/>
          <w:i/>
          <w:sz w:val="24"/>
          <w:szCs w:val="24"/>
          <w:vertAlign w:val="subscript"/>
        </w:rPr>
        <w:t>m,t</w:t>
      </w:r>
      <w:proofErr w:type="spellEnd"/>
      <w:proofErr w:type="gramEnd"/>
      <w:r w:rsidRPr="00893E6D">
        <w:rPr>
          <w:rFonts w:ascii="Times New Roman" w:eastAsiaTheme="minorEastAsia" w:hAnsi="Times New Roman" w:cs="Times New Roman"/>
          <w:sz w:val="24"/>
          <w:szCs w:val="24"/>
        </w:rPr>
        <w:t xml:space="preserve"> is the </w:t>
      </w:r>
      <w:r w:rsidR="00041058" w:rsidRPr="00893E6D">
        <w:rPr>
          <w:rFonts w:ascii="Times New Roman" w:eastAsiaTheme="minorEastAsia" w:hAnsi="Times New Roman" w:cs="Times New Roman"/>
          <w:sz w:val="24"/>
          <w:szCs w:val="24"/>
        </w:rPr>
        <w:t xml:space="preserve">return on the </w:t>
      </w:r>
      <w:r w:rsidRPr="00893E6D">
        <w:rPr>
          <w:rFonts w:ascii="Times New Roman" w:eastAsiaTheme="minorEastAsia" w:hAnsi="Times New Roman" w:cs="Times New Roman"/>
          <w:sz w:val="24"/>
          <w:szCs w:val="24"/>
        </w:rPr>
        <w:t>CRSP value-weighted market index</w:t>
      </w:r>
      <w:r w:rsidR="00E154F8" w:rsidRPr="00893E6D">
        <w:rPr>
          <w:rFonts w:ascii="Times New Roman" w:eastAsiaTheme="minorEastAsia" w:hAnsi="Times New Roman" w:cs="Times New Roman"/>
          <w:sz w:val="24"/>
          <w:szCs w:val="24"/>
        </w:rPr>
        <w:t xml:space="preserve"> in week </w:t>
      </w:r>
      <w:r w:rsidR="00E154F8" w:rsidRPr="00893E6D">
        <w:rPr>
          <w:rFonts w:ascii="Times New Roman" w:eastAsiaTheme="minorEastAsia" w:hAnsi="Times New Roman" w:cs="Times New Roman"/>
          <w:i/>
          <w:sz w:val="24"/>
          <w:szCs w:val="24"/>
        </w:rPr>
        <w:t>t</w:t>
      </w:r>
      <w:r w:rsidRPr="00893E6D">
        <w:rPr>
          <w:rFonts w:ascii="Times New Roman" w:eastAsiaTheme="minorEastAsia" w:hAnsi="Times New Roman" w:cs="Times New Roman"/>
          <w:sz w:val="24"/>
          <w:szCs w:val="24"/>
        </w:rPr>
        <w:t xml:space="preserve">, and </w:t>
      </w:r>
      <w:proofErr w:type="spellStart"/>
      <w:r w:rsidRPr="00893E6D">
        <w:rPr>
          <w:rFonts w:ascii="Times New Roman" w:eastAsiaTheme="minorEastAsia" w:hAnsi="Times New Roman" w:cs="Times New Roman"/>
          <w:i/>
          <w:sz w:val="24"/>
          <w:szCs w:val="24"/>
        </w:rPr>
        <w:t>r</w:t>
      </w:r>
      <w:r w:rsidRPr="00893E6D">
        <w:rPr>
          <w:rFonts w:ascii="Times New Roman" w:eastAsiaTheme="minorEastAsia" w:hAnsi="Times New Roman" w:cs="Times New Roman"/>
          <w:i/>
          <w:sz w:val="24"/>
          <w:szCs w:val="24"/>
          <w:vertAlign w:val="subscript"/>
        </w:rPr>
        <w:t>i,t</w:t>
      </w:r>
      <w:proofErr w:type="spellEnd"/>
      <w:r w:rsidRPr="00893E6D">
        <w:rPr>
          <w:rFonts w:ascii="Times New Roman" w:eastAsiaTheme="minorEastAsia" w:hAnsi="Times New Roman" w:cs="Times New Roman"/>
          <w:sz w:val="24"/>
          <w:szCs w:val="24"/>
        </w:rPr>
        <w:t xml:space="preserve"> is the </w:t>
      </w:r>
      <w:proofErr w:type="spellStart"/>
      <w:r w:rsidRPr="00893E6D">
        <w:rPr>
          <w:rFonts w:ascii="Times New Roman" w:eastAsiaTheme="minorEastAsia" w:hAnsi="Times New Roman" w:cs="Times New Roman"/>
          <w:sz w:val="24"/>
          <w:szCs w:val="24"/>
        </w:rPr>
        <w:t>Fama</w:t>
      </w:r>
      <w:proofErr w:type="spellEnd"/>
      <w:r w:rsidR="007814BE">
        <w:rPr>
          <w:rFonts w:ascii="Times New Roman" w:eastAsiaTheme="minorEastAsia" w:hAnsi="Times New Roman" w:cs="Times New Roman"/>
          <w:sz w:val="24"/>
          <w:szCs w:val="24"/>
        </w:rPr>
        <w:t>-</w:t>
      </w:r>
      <w:r w:rsidRPr="00893E6D">
        <w:rPr>
          <w:rFonts w:ascii="Times New Roman" w:eastAsiaTheme="minorEastAsia" w:hAnsi="Times New Roman" w:cs="Times New Roman"/>
          <w:sz w:val="24"/>
          <w:szCs w:val="24"/>
        </w:rPr>
        <w:t>French value-weighted industry index</w:t>
      </w:r>
      <w:r w:rsidR="00041058" w:rsidRPr="00893E6D">
        <w:rPr>
          <w:rFonts w:ascii="Times New Roman" w:eastAsiaTheme="minorEastAsia" w:hAnsi="Times New Roman" w:cs="Times New Roman"/>
          <w:sz w:val="24"/>
          <w:szCs w:val="24"/>
        </w:rPr>
        <w:t xml:space="preserve"> return</w:t>
      </w:r>
      <w:r w:rsidR="00E154F8" w:rsidRPr="00893E6D">
        <w:rPr>
          <w:rFonts w:ascii="Times New Roman" w:eastAsiaTheme="minorEastAsia" w:hAnsi="Times New Roman" w:cs="Times New Roman"/>
          <w:sz w:val="24"/>
          <w:szCs w:val="24"/>
        </w:rPr>
        <w:t xml:space="preserve"> in week </w:t>
      </w:r>
      <w:r w:rsidR="00E154F8" w:rsidRPr="00893E6D">
        <w:rPr>
          <w:rFonts w:ascii="Times New Roman" w:eastAsiaTheme="minorEastAsia" w:hAnsi="Times New Roman" w:cs="Times New Roman"/>
          <w:i/>
          <w:sz w:val="24"/>
          <w:szCs w:val="24"/>
        </w:rPr>
        <w:t>t</w:t>
      </w:r>
      <w:r w:rsidRPr="00893E6D">
        <w:rPr>
          <w:rFonts w:ascii="Times New Roman" w:eastAsiaTheme="minorEastAsia" w:hAnsi="Times New Roman" w:cs="Times New Roman"/>
          <w:sz w:val="24"/>
          <w:szCs w:val="24"/>
        </w:rPr>
        <w:t xml:space="preserve">. </w:t>
      </w:r>
      <w:r w:rsidR="00007ED9" w:rsidRPr="00893E6D">
        <w:rPr>
          <w:rFonts w:ascii="Times New Roman" w:eastAsiaTheme="minorEastAsia" w:hAnsi="Times New Roman" w:cs="Times New Roman"/>
          <w:sz w:val="24"/>
          <w:szCs w:val="24"/>
        </w:rPr>
        <w:t>We include</w:t>
      </w:r>
      <w:r w:rsidRPr="00893E6D">
        <w:rPr>
          <w:rFonts w:ascii="Times New Roman" w:eastAsiaTheme="minorEastAsia" w:hAnsi="Times New Roman" w:cs="Times New Roman"/>
          <w:sz w:val="24"/>
          <w:szCs w:val="24"/>
        </w:rPr>
        <w:t xml:space="preserve"> lead and lag terms for the market and industry indexes</w:t>
      </w:r>
      <w:r w:rsidR="00007ED9" w:rsidRPr="00893E6D">
        <w:rPr>
          <w:rFonts w:ascii="Times New Roman" w:eastAsiaTheme="minorEastAsia" w:hAnsi="Times New Roman" w:cs="Times New Roman"/>
          <w:sz w:val="24"/>
          <w:szCs w:val="24"/>
        </w:rPr>
        <w:t xml:space="preserve"> in Equation (2) as in Hutton</w:t>
      </w:r>
      <w:r w:rsidR="00165E5D" w:rsidRPr="00893E6D">
        <w:rPr>
          <w:rFonts w:ascii="Times New Roman" w:eastAsiaTheme="minorEastAsia" w:hAnsi="Times New Roman" w:cs="Times New Roman"/>
          <w:sz w:val="24"/>
          <w:szCs w:val="24"/>
        </w:rPr>
        <w:t>,</w:t>
      </w:r>
      <w:r w:rsidR="00007ED9" w:rsidRPr="00893E6D">
        <w:rPr>
          <w:rFonts w:ascii="Times New Roman" w:eastAsiaTheme="minorEastAsia" w:hAnsi="Times New Roman" w:cs="Times New Roman"/>
          <w:sz w:val="24"/>
          <w:szCs w:val="24"/>
        </w:rPr>
        <w:t xml:space="preserve"> </w:t>
      </w:r>
      <w:r w:rsidR="00165E5D" w:rsidRPr="00893E6D">
        <w:rPr>
          <w:rFonts w:ascii="Times New Roman" w:hAnsi="Times New Roman" w:cs="Times New Roman"/>
          <w:sz w:val="24"/>
          <w:szCs w:val="24"/>
        </w:rPr>
        <w:t xml:space="preserve">Marcus, and </w:t>
      </w:r>
      <w:proofErr w:type="spellStart"/>
      <w:r w:rsidR="00165E5D" w:rsidRPr="00893E6D">
        <w:rPr>
          <w:rFonts w:ascii="Times New Roman" w:hAnsi="Times New Roman" w:cs="Times New Roman"/>
          <w:sz w:val="24"/>
          <w:szCs w:val="24"/>
        </w:rPr>
        <w:t>Tehranian</w:t>
      </w:r>
      <w:proofErr w:type="spellEnd"/>
      <w:r w:rsidR="00165E5D" w:rsidRPr="00893E6D" w:rsidDel="00165E5D">
        <w:rPr>
          <w:rFonts w:ascii="Times New Roman" w:eastAsiaTheme="minorEastAsia" w:hAnsi="Times New Roman" w:cs="Times New Roman"/>
          <w:i/>
          <w:sz w:val="24"/>
          <w:szCs w:val="24"/>
        </w:rPr>
        <w:t xml:space="preserve"> </w:t>
      </w:r>
      <w:r w:rsidR="00007ED9" w:rsidRPr="00893E6D">
        <w:rPr>
          <w:rFonts w:ascii="Times New Roman" w:eastAsiaTheme="minorEastAsia" w:hAnsi="Times New Roman" w:cs="Times New Roman"/>
          <w:sz w:val="24"/>
          <w:szCs w:val="24"/>
        </w:rPr>
        <w:t xml:space="preserve">(2009) </w:t>
      </w:r>
      <w:r w:rsidRPr="00893E6D">
        <w:rPr>
          <w:rFonts w:ascii="Times New Roman" w:eastAsiaTheme="minorEastAsia" w:hAnsi="Times New Roman" w:cs="Times New Roman"/>
          <w:sz w:val="24"/>
          <w:szCs w:val="24"/>
        </w:rPr>
        <w:t>to account for nonsynchronous trading.</w:t>
      </w:r>
      <w:r w:rsidR="007A395B" w:rsidRPr="00893E6D">
        <w:rPr>
          <w:rFonts w:ascii="Times New Roman" w:eastAsiaTheme="minorEastAsia" w:hAnsi="Times New Roman" w:cs="Times New Roman"/>
          <w:sz w:val="24"/>
          <w:szCs w:val="24"/>
        </w:rPr>
        <w:t xml:space="preserve"> </w:t>
      </w:r>
      <w:r w:rsidR="00E154F8" w:rsidRPr="00893E6D">
        <w:rPr>
          <w:rFonts w:ascii="Times New Roman" w:eastAsiaTheme="minorEastAsia" w:hAnsi="Times New Roman" w:cs="Times New Roman"/>
          <w:sz w:val="24"/>
          <w:szCs w:val="24"/>
        </w:rPr>
        <w:t>t–1 and t</w:t>
      </w:r>
      <w:r w:rsidR="00470FEA" w:rsidRPr="00893E6D">
        <w:rPr>
          <w:rFonts w:ascii="Times New Roman" w:eastAsiaTheme="minorEastAsia" w:hAnsi="Times New Roman" w:cs="Times New Roman"/>
          <w:sz w:val="24"/>
          <w:szCs w:val="24"/>
        </w:rPr>
        <w:t>+1</w:t>
      </w:r>
      <w:r w:rsidR="00E154F8" w:rsidRPr="00893E6D">
        <w:rPr>
          <w:rFonts w:ascii="Times New Roman" w:eastAsiaTheme="minorEastAsia" w:hAnsi="Times New Roman" w:cs="Times New Roman"/>
          <w:sz w:val="24"/>
          <w:szCs w:val="24"/>
        </w:rPr>
        <w:t xml:space="preserve"> indicate week t</w:t>
      </w:r>
      <w:r w:rsidR="00470FEA" w:rsidRPr="00893E6D">
        <w:rPr>
          <w:rFonts w:ascii="Times New Roman" w:eastAsiaTheme="minorEastAsia" w:hAnsi="Times New Roman" w:cs="Times New Roman"/>
          <w:sz w:val="24"/>
          <w:szCs w:val="24"/>
        </w:rPr>
        <w:t>-1</w:t>
      </w:r>
      <w:r w:rsidR="00E154F8" w:rsidRPr="00893E6D">
        <w:rPr>
          <w:rFonts w:ascii="Times New Roman" w:eastAsiaTheme="minorEastAsia" w:hAnsi="Times New Roman" w:cs="Times New Roman"/>
          <w:sz w:val="24"/>
          <w:szCs w:val="24"/>
        </w:rPr>
        <w:t xml:space="preserve"> and week </w:t>
      </w:r>
      <w:r w:rsidR="00470FEA" w:rsidRPr="00893E6D">
        <w:rPr>
          <w:rFonts w:ascii="Times New Roman" w:eastAsiaTheme="minorEastAsia" w:hAnsi="Times New Roman" w:cs="Times New Roman"/>
          <w:sz w:val="24"/>
          <w:szCs w:val="24"/>
        </w:rPr>
        <w:t>t+1</w:t>
      </w:r>
      <w:r w:rsidR="00E154F8" w:rsidRPr="00893E6D">
        <w:rPr>
          <w:rFonts w:ascii="Times New Roman" w:eastAsiaTheme="minorEastAsia" w:hAnsi="Times New Roman" w:cs="Times New Roman"/>
          <w:sz w:val="24"/>
          <w:szCs w:val="24"/>
        </w:rPr>
        <w:t xml:space="preserve">, respectively. </w:t>
      </w:r>
      <w:r w:rsidR="007A395B" w:rsidRPr="00893E6D">
        <w:rPr>
          <w:rFonts w:ascii="Times New Roman" w:eastAsiaTheme="minorEastAsia" w:hAnsi="Times New Roman" w:cs="Times New Roman"/>
          <w:sz w:val="24"/>
          <w:szCs w:val="24"/>
        </w:rPr>
        <w:t>The equation is</w:t>
      </w:r>
      <w:r w:rsidRPr="00893E6D">
        <w:rPr>
          <w:rFonts w:ascii="Times New Roman" w:eastAsiaTheme="minorEastAsia" w:hAnsi="Times New Roman" w:cs="Times New Roman"/>
          <w:sz w:val="24"/>
          <w:szCs w:val="24"/>
        </w:rPr>
        <w:t xml:space="preserve"> estimated for each firm </w:t>
      </w:r>
      <w:r w:rsidRPr="00893E6D">
        <w:rPr>
          <w:rFonts w:ascii="Times New Roman" w:eastAsiaTheme="minorEastAsia" w:hAnsi="Times New Roman" w:cs="Times New Roman"/>
          <w:i/>
          <w:sz w:val="24"/>
          <w:szCs w:val="24"/>
        </w:rPr>
        <w:t>j</w:t>
      </w:r>
      <w:r w:rsidRPr="00893E6D">
        <w:rPr>
          <w:rFonts w:ascii="Times New Roman" w:eastAsiaTheme="minorEastAsia" w:hAnsi="Times New Roman" w:cs="Times New Roman"/>
          <w:sz w:val="24"/>
          <w:szCs w:val="24"/>
        </w:rPr>
        <w:t xml:space="preserve"> using weekly observations</w:t>
      </w:r>
      <w:r w:rsidR="00D453FB" w:rsidRPr="00893E6D">
        <w:rPr>
          <w:rFonts w:ascii="Times New Roman" w:eastAsiaTheme="minorEastAsia" w:hAnsi="Times New Roman" w:cs="Times New Roman"/>
          <w:sz w:val="24"/>
          <w:szCs w:val="24"/>
        </w:rPr>
        <w:t xml:space="preserve"> </w:t>
      </w:r>
      <w:r w:rsidR="00284082">
        <w:rPr>
          <w:rFonts w:ascii="Times New Roman" w:eastAsiaTheme="minorEastAsia" w:hAnsi="Times New Roman" w:cs="Times New Roman"/>
          <w:sz w:val="24"/>
          <w:szCs w:val="24"/>
        </w:rPr>
        <w:t>per</w:t>
      </w:r>
      <w:r w:rsidR="00D453FB" w:rsidRPr="00893E6D">
        <w:rPr>
          <w:rFonts w:ascii="Times New Roman" w:eastAsiaTheme="minorEastAsia" w:hAnsi="Times New Roman" w:cs="Times New Roman"/>
          <w:sz w:val="24"/>
          <w:szCs w:val="24"/>
        </w:rPr>
        <w:t xml:space="preserve"> year</w:t>
      </w:r>
      <w:r w:rsidRPr="00893E6D">
        <w:rPr>
          <w:rFonts w:ascii="Times New Roman" w:eastAsiaTheme="minorEastAsia" w:hAnsi="Times New Roman" w:cs="Times New Roman"/>
          <w:sz w:val="24"/>
          <w:szCs w:val="24"/>
        </w:rPr>
        <w:t xml:space="preserve">. </w:t>
      </w:r>
      <w:r w:rsidR="006D3077" w:rsidRPr="00893E6D">
        <w:rPr>
          <w:rFonts w:ascii="Times New Roman" w:eastAsiaTheme="minorEastAsia" w:hAnsi="Times New Roman" w:cs="Times New Roman"/>
          <w:sz w:val="24"/>
          <w:szCs w:val="24"/>
        </w:rPr>
        <w:t xml:space="preserve">We use </w:t>
      </w:r>
      <w:r w:rsidRPr="00893E6D">
        <w:rPr>
          <w:rFonts w:ascii="Times New Roman" w:eastAsiaTheme="minorEastAsia" w:hAnsi="Times New Roman" w:cs="Times New Roman"/>
          <w:sz w:val="24"/>
          <w:szCs w:val="24"/>
        </w:rPr>
        <w:t>the residuals from the r</w:t>
      </w:r>
      <w:r w:rsidR="00DF4B38" w:rsidRPr="00893E6D">
        <w:rPr>
          <w:rFonts w:ascii="Times New Roman" w:eastAsiaTheme="minorEastAsia" w:hAnsi="Times New Roman" w:cs="Times New Roman"/>
          <w:sz w:val="24"/>
          <w:szCs w:val="24"/>
        </w:rPr>
        <w:t xml:space="preserve">egression </w:t>
      </w:r>
      <w:r w:rsidR="006D3077" w:rsidRPr="00893E6D">
        <w:rPr>
          <w:rFonts w:ascii="Times New Roman" w:eastAsiaTheme="minorEastAsia" w:hAnsi="Times New Roman" w:cs="Times New Roman"/>
          <w:sz w:val="24"/>
          <w:szCs w:val="24"/>
        </w:rPr>
        <w:t xml:space="preserve">to </w:t>
      </w:r>
      <w:r w:rsidR="00DF4B38" w:rsidRPr="00893E6D">
        <w:rPr>
          <w:rFonts w:ascii="Times New Roman" w:eastAsiaTheme="minorEastAsia" w:hAnsi="Times New Roman" w:cs="Times New Roman"/>
          <w:sz w:val="24"/>
          <w:szCs w:val="24"/>
        </w:rPr>
        <w:t xml:space="preserve">calculate firm-specific weekly return as the log of one plus the residuals. The firm-specific weekly return is then used to </w:t>
      </w:r>
      <w:r w:rsidR="00041058" w:rsidRPr="00893E6D">
        <w:rPr>
          <w:rFonts w:ascii="Times New Roman" w:eastAsiaTheme="minorEastAsia" w:hAnsi="Times New Roman" w:cs="Times New Roman"/>
          <w:sz w:val="24"/>
          <w:szCs w:val="24"/>
        </w:rPr>
        <w:t xml:space="preserve">construct </w:t>
      </w:r>
      <w:r w:rsidR="00DF4B38" w:rsidRPr="00893E6D">
        <w:rPr>
          <w:rFonts w:ascii="Times New Roman" w:eastAsiaTheme="minorEastAsia" w:hAnsi="Times New Roman" w:cs="Times New Roman"/>
          <w:sz w:val="24"/>
          <w:szCs w:val="24"/>
        </w:rPr>
        <w:t xml:space="preserve">three measures of </w:t>
      </w:r>
      <w:r w:rsidR="00DF4B38" w:rsidRPr="00893E6D">
        <w:rPr>
          <w:rFonts w:ascii="Times New Roman" w:hAnsi="Times New Roman" w:cs="Times New Roman"/>
          <w:sz w:val="24"/>
          <w:szCs w:val="24"/>
        </w:rPr>
        <w:t xml:space="preserve">firm-specific stock crash risk. </w:t>
      </w:r>
      <w:r w:rsidR="004A6CE5" w:rsidRPr="00893E6D">
        <w:rPr>
          <w:rFonts w:ascii="Times New Roman" w:hAnsi="Times New Roman" w:cs="Times New Roman"/>
          <w:sz w:val="24"/>
          <w:szCs w:val="24"/>
        </w:rPr>
        <w:t>As in</w:t>
      </w:r>
      <w:r w:rsidR="00DF4B38" w:rsidRPr="00893E6D">
        <w:rPr>
          <w:rFonts w:ascii="Times New Roman" w:hAnsi="Times New Roman" w:cs="Times New Roman"/>
          <w:sz w:val="24"/>
          <w:szCs w:val="24"/>
        </w:rPr>
        <w:t xml:space="preserve"> Kim</w:t>
      </w:r>
      <w:r w:rsidR="00856B1F">
        <w:rPr>
          <w:rFonts w:ascii="Times New Roman" w:hAnsi="Times New Roman" w:cs="Times New Roman"/>
          <w:sz w:val="24"/>
          <w:szCs w:val="24"/>
        </w:rPr>
        <w:t xml:space="preserve"> </w:t>
      </w:r>
      <w:r w:rsidR="00856B1F" w:rsidRPr="006A07BC">
        <w:rPr>
          <w:rFonts w:ascii="Times New Roman" w:hAnsi="Times New Roman" w:cs="Times New Roman"/>
          <w:i/>
          <w:sz w:val="24"/>
          <w:szCs w:val="24"/>
        </w:rPr>
        <w:t>et al.</w:t>
      </w:r>
      <w:r w:rsidR="00DF4B38" w:rsidRPr="00893E6D">
        <w:rPr>
          <w:rFonts w:ascii="Times New Roman" w:hAnsi="Times New Roman" w:cs="Times New Roman"/>
          <w:sz w:val="24"/>
          <w:szCs w:val="24"/>
        </w:rPr>
        <w:t xml:space="preserve"> (2011a, 2011b), </w:t>
      </w:r>
      <w:r w:rsidR="00986072" w:rsidRPr="00893E6D">
        <w:rPr>
          <w:rFonts w:ascii="Times New Roman" w:hAnsi="Times New Roman" w:cs="Times New Roman"/>
          <w:i/>
          <w:sz w:val="24"/>
          <w:szCs w:val="24"/>
        </w:rPr>
        <w:t>NCSKEW</w:t>
      </w:r>
      <w:r w:rsidR="00986072" w:rsidRPr="00893E6D">
        <w:rPr>
          <w:rFonts w:ascii="Times New Roman" w:hAnsi="Times New Roman" w:cs="Times New Roman"/>
          <w:sz w:val="24"/>
          <w:szCs w:val="24"/>
        </w:rPr>
        <w:t xml:space="preserve"> </w:t>
      </w:r>
      <w:r w:rsidR="00DF4B38" w:rsidRPr="00893E6D">
        <w:rPr>
          <w:rFonts w:ascii="Times New Roman" w:hAnsi="Times New Roman" w:cs="Times New Roman"/>
          <w:sz w:val="24"/>
          <w:szCs w:val="24"/>
        </w:rPr>
        <w:t>is</w:t>
      </w:r>
      <w:r w:rsidR="00986072" w:rsidRPr="00893E6D">
        <w:rPr>
          <w:rFonts w:ascii="Times New Roman" w:hAnsi="Times New Roman" w:cs="Times New Roman"/>
          <w:sz w:val="24"/>
          <w:szCs w:val="24"/>
        </w:rPr>
        <w:t xml:space="preserve"> the negative conditional skewness of firm-specific weekly</w:t>
      </w:r>
      <w:r w:rsidR="00DF4B38" w:rsidRPr="00893E6D">
        <w:rPr>
          <w:rFonts w:ascii="Times New Roman" w:hAnsi="Times New Roman" w:cs="Times New Roman"/>
          <w:sz w:val="24"/>
          <w:szCs w:val="24"/>
        </w:rPr>
        <w:t xml:space="preserve"> </w:t>
      </w:r>
      <w:r w:rsidR="00986072" w:rsidRPr="00893E6D">
        <w:rPr>
          <w:rFonts w:ascii="Times New Roman" w:hAnsi="Times New Roman" w:cs="Times New Roman"/>
          <w:sz w:val="24"/>
          <w:szCs w:val="24"/>
        </w:rPr>
        <w:t>return</w:t>
      </w:r>
      <w:r w:rsidR="00DB3AD9" w:rsidRPr="00893E6D">
        <w:rPr>
          <w:rFonts w:ascii="Times New Roman" w:hAnsi="Times New Roman" w:cs="Times New Roman"/>
          <w:sz w:val="24"/>
          <w:szCs w:val="24"/>
        </w:rPr>
        <w:t>s</w:t>
      </w:r>
      <w:r w:rsidR="00AB02FF">
        <w:rPr>
          <w:rFonts w:ascii="Times New Roman" w:hAnsi="Times New Roman" w:cs="Times New Roman"/>
          <w:sz w:val="24"/>
          <w:szCs w:val="24"/>
        </w:rPr>
        <w:t>,</w:t>
      </w:r>
      <w:r w:rsidR="00DF4B38" w:rsidRPr="00893E6D">
        <w:rPr>
          <w:rFonts w:ascii="Times New Roman" w:hAnsi="Times New Roman" w:cs="Times New Roman"/>
          <w:sz w:val="24"/>
          <w:szCs w:val="24"/>
        </w:rPr>
        <w:t xml:space="preserve"> calculated </w:t>
      </w:r>
      <w:r w:rsidR="00DB3AD9" w:rsidRPr="00893E6D">
        <w:rPr>
          <w:rFonts w:ascii="Times New Roman" w:hAnsi="Times New Roman" w:cs="Times New Roman"/>
          <w:sz w:val="24"/>
          <w:szCs w:val="24"/>
        </w:rPr>
        <w:t xml:space="preserve">as </w:t>
      </w:r>
      <w:r w:rsidR="002B613F" w:rsidRPr="00893E6D">
        <w:rPr>
          <w:rFonts w:ascii="Times New Roman" w:hAnsi="Times New Roman" w:cs="Times New Roman"/>
          <w:sz w:val="24"/>
          <w:szCs w:val="24"/>
        </w:rPr>
        <w:t xml:space="preserve">the negative third central moment of </w:t>
      </w:r>
      <w:r w:rsidR="00041058" w:rsidRPr="00893E6D">
        <w:rPr>
          <w:rFonts w:ascii="Times New Roman" w:hAnsi="Times New Roman" w:cs="Times New Roman"/>
          <w:sz w:val="24"/>
          <w:szCs w:val="24"/>
        </w:rPr>
        <w:t xml:space="preserve">the </w:t>
      </w:r>
      <w:r w:rsidR="002B613F" w:rsidRPr="00893E6D">
        <w:rPr>
          <w:rFonts w:ascii="Times New Roman" w:hAnsi="Times New Roman" w:cs="Times New Roman"/>
          <w:sz w:val="24"/>
          <w:szCs w:val="24"/>
        </w:rPr>
        <w:t xml:space="preserve">firm-specific weekly returns divided by </w:t>
      </w:r>
      <w:r w:rsidR="00D34B59">
        <w:rPr>
          <w:rFonts w:ascii="Times New Roman" w:hAnsi="Times New Roman" w:cs="Times New Roman"/>
          <w:sz w:val="24"/>
          <w:szCs w:val="24"/>
        </w:rPr>
        <w:t>their</w:t>
      </w:r>
      <w:r w:rsidR="00D34B59" w:rsidRPr="00893E6D">
        <w:rPr>
          <w:rFonts w:ascii="Times New Roman" w:hAnsi="Times New Roman" w:cs="Times New Roman"/>
          <w:sz w:val="24"/>
          <w:szCs w:val="24"/>
        </w:rPr>
        <w:t xml:space="preserve"> </w:t>
      </w:r>
      <w:r w:rsidR="002B613F" w:rsidRPr="00893E6D">
        <w:rPr>
          <w:rFonts w:ascii="Times New Roman" w:hAnsi="Times New Roman" w:cs="Times New Roman"/>
          <w:sz w:val="24"/>
          <w:szCs w:val="24"/>
        </w:rPr>
        <w:t xml:space="preserve">cubed standard deviation. Specifically, </w:t>
      </w:r>
      <w:r w:rsidR="002B613F" w:rsidRPr="00893E6D">
        <w:rPr>
          <w:rFonts w:ascii="Times New Roman" w:hAnsi="Times New Roman" w:cs="Times New Roman"/>
          <w:i/>
          <w:sz w:val="24"/>
          <w:szCs w:val="24"/>
        </w:rPr>
        <w:t>NCSKEW</w:t>
      </w:r>
      <w:r w:rsidR="002B613F" w:rsidRPr="00893E6D">
        <w:rPr>
          <w:rFonts w:ascii="Times New Roman" w:hAnsi="Times New Roman" w:cs="Times New Roman"/>
          <w:sz w:val="24"/>
          <w:szCs w:val="24"/>
        </w:rPr>
        <w:t xml:space="preserve"> for firm </w:t>
      </w:r>
      <w:r w:rsidR="002B613F" w:rsidRPr="00893E6D">
        <w:rPr>
          <w:rFonts w:ascii="Times New Roman" w:hAnsi="Times New Roman" w:cs="Times New Roman"/>
          <w:i/>
          <w:sz w:val="24"/>
          <w:szCs w:val="24"/>
        </w:rPr>
        <w:t>j</w:t>
      </w:r>
      <w:r w:rsidR="002B613F" w:rsidRPr="00893E6D">
        <w:rPr>
          <w:rFonts w:ascii="Times New Roman" w:hAnsi="Times New Roman" w:cs="Times New Roman"/>
          <w:sz w:val="24"/>
          <w:szCs w:val="24"/>
        </w:rPr>
        <w:t xml:space="preserve"> in fiscal year </w:t>
      </w:r>
      <w:r w:rsidR="002B613F" w:rsidRPr="00893E6D">
        <w:rPr>
          <w:rFonts w:ascii="Times New Roman" w:hAnsi="Times New Roman" w:cs="Times New Roman"/>
          <w:i/>
          <w:sz w:val="24"/>
          <w:szCs w:val="24"/>
        </w:rPr>
        <w:t>t</w:t>
      </w:r>
      <w:r w:rsidR="002B613F" w:rsidRPr="00893E6D">
        <w:rPr>
          <w:rFonts w:ascii="Times New Roman" w:hAnsi="Times New Roman" w:cs="Times New Roman"/>
          <w:sz w:val="24"/>
          <w:szCs w:val="24"/>
        </w:rPr>
        <w:t xml:space="preserve"> is</w:t>
      </w:r>
      <w:r w:rsidR="00041058" w:rsidRPr="00893E6D">
        <w:rPr>
          <w:rFonts w:ascii="Times New Roman" w:hAnsi="Times New Roman" w:cs="Times New Roman"/>
          <w:sz w:val="24"/>
          <w:szCs w:val="24"/>
        </w:rPr>
        <w:t xml:space="preserve"> obtained as follows</w:t>
      </w:r>
      <w:r w:rsidR="002B613F" w:rsidRPr="00893E6D">
        <w:rPr>
          <w:rFonts w:ascii="Times New Roman" w:hAnsi="Times New Roman" w:cs="Times New Roman"/>
          <w:sz w:val="24"/>
          <w:szCs w:val="24"/>
        </w:rPr>
        <w:t>:</w:t>
      </w:r>
    </w:p>
    <w:p w14:paraId="5356AF0D" w14:textId="06DD2593" w:rsidR="00DF4B38" w:rsidRPr="00893E6D" w:rsidRDefault="002D2F83" w:rsidP="00A1062B">
      <w:pPr>
        <w:spacing w:line="48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NCSKEW</m:t>
              </m:r>
            </m:e>
            <m:sub>
              <m:r>
                <w:rPr>
                  <w:rFonts w:ascii="Cambria Math" w:hAnsi="Cambria Math" w:cs="Times New Roman"/>
                  <w:sz w:val="24"/>
                  <w:szCs w:val="24"/>
                </w:rPr>
                <m:t>j,t</m:t>
              </m:r>
            </m:sub>
          </m:sSub>
          <m:r>
            <w:rPr>
              <w:rFonts w:ascii="Cambria Math" w:hAnsi="Cambria Math" w:cs="Times New Roman"/>
              <w:sz w:val="24"/>
              <w:szCs w:val="24"/>
            </w:rPr>
            <m:t>=-</m:t>
          </m:r>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r>
                    <w:rPr>
                      <w:rFonts w:ascii="Cambria Math" w:hAnsi="Cambria Math" w:cs="Times New Roman"/>
                      <w:sz w:val="24"/>
                      <w:szCs w:val="24"/>
                    </w:rPr>
                    <m:t>n</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n-1</m:t>
                          </m:r>
                        </m:e>
                      </m:d>
                    </m:e>
                    <m:sup>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sup>
                  </m:sSup>
                  <m:nary>
                    <m:naryPr>
                      <m:chr m:val="∑"/>
                      <m:limLoc m:val="subSup"/>
                      <m:ctrlPr>
                        <w:rPr>
                          <w:rFonts w:ascii="Cambria Math" w:hAnsi="Cambria Math" w:cs="Times New Roman"/>
                          <w:i/>
                          <w:sz w:val="24"/>
                          <w:szCs w:val="24"/>
                        </w:rPr>
                      </m:ctrlPr>
                    </m:naryPr>
                    <m:sub>
                      <m:r>
                        <w:rPr>
                          <w:rFonts w:ascii="Cambria Math" w:hAnsi="Cambria Math" w:cs="Times New Roman"/>
                          <w:sz w:val="24"/>
                          <w:szCs w:val="24"/>
                        </w:rPr>
                        <m:t>τ=1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j,τ,t</m:t>
                                  </m:r>
                                </m:sub>
                              </m:sSub>
                              <m:r>
                                <w:rPr>
                                  <w:rFonts w:ascii="Cambria Math" w:hAnsi="Cambria Math" w:cs="Times New Roman"/>
                                  <w:sz w:val="24"/>
                                  <w:szCs w:val="24"/>
                                </w:rPr>
                                <m:t>-</m:t>
                              </m:r>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j,t</m:t>
                                      </m:r>
                                    </m:sub>
                                  </m:sSub>
                                </m:e>
                              </m:acc>
                            </m:e>
                          </m:d>
                        </m:e>
                        <m:sup>
                          <m:r>
                            <w:rPr>
                              <w:rFonts w:ascii="Cambria Math" w:hAnsi="Cambria Math" w:cs="Times New Roman"/>
                              <w:sz w:val="24"/>
                              <w:szCs w:val="24"/>
                            </w:rPr>
                            <m:t>3</m:t>
                          </m:r>
                        </m:sup>
                      </m:sSup>
                    </m:e>
                  </m:nary>
                </m:e>
              </m:d>
            </m:num>
            <m:den>
              <m:d>
                <m:dPr>
                  <m:begChr m:val="["/>
                  <m:endChr m:val="]"/>
                  <m:ctrlPr>
                    <w:rPr>
                      <w:rFonts w:ascii="Cambria Math" w:hAnsi="Cambria Math" w:cs="Times New Roman"/>
                      <w:i/>
                      <w:sz w:val="24"/>
                      <w:szCs w:val="24"/>
                    </w:rPr>
                  </m:ctrlPr>
                </m:dPr>
                <m:e>
                  <m:d>
                    <m:dPr>
                      <m:ctrlPr>
                        <w:rPr>
                          <w:rFonts w:ascii="Cambria Math" w:hAnsi="Cambria Math" w:cs="Times New Roman"/>
                          <w:i/>
                          <w:sz w:val="24"/>
                          <w:szCs w:val="24"/>
                        </w:rPr>
                      </m:ctrlPr>
                    </m:dPr>
                    <m:e>
                      <m:r>
                        <w:rPr>
                          <w:rFonts w:ascii="Cambria Math" w:hAnsi="Cambria Math" w:cs="Times New Roman"/>
                          <w:sz w:val="24"/>
                          <w:szCs w:val="24"/>
                        </w:rPr>
                        <m:t>n-1</m:t>
                      </m:r>
                    </m:e>
                  </m:d>
                  <m:d>
                    <m:dPr>
                      <m:ctrlPr>
                        <w:rPr>
                          <w:rFonts w:ascii="Cambria Math" w:hAnsi="Cambria Math" w:cs="Times New Roman"/>
                          <w:i/>
                          <w:sz w:val="24"/>
                          <w:szCs w:val="24"/>
                        </w:rPr>
                      </m:ctrlPr>
                    </m:dPr>
                    <m:e>
                      <m:r>
                        <w:rPr>
                          <w:rFonts w:ascii="Cambria Math" w:hAnsi="Cambria Math" w:cs="Times New Roman"/>
                          <w:sz w:val="24"/>
                          <w:szCs w:val="24"/>
                        </w:rPr>
                        <m:t>n-2</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τ=1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j,τ,t</m:t>
                                          </m:r>
                                        </m:sub>
                                      </m:sSub>
                                      <m:r>
                                        <w:rPr>
                                          <w:rFonts w:ascii="Cambria Math" w:hAnsi="Cambria Math" w:cs="Times New Roman"/>
                                          <w:sz w:val="24"/>
                                          <w:szCs w:val="24"/>
                                        </w:rPr>
                                        <m:t>-</m:t>
                                      </m:r>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j,t</m:t>
                                              </m:r>
                                            </m:sub>
                                          </m:sSub>
                                        </m:e>
                                      </m:acc>
                                    </m:e>
                                  </m:d>
                                </m:e>
                                <m:sup>
                                  <m:r>
                                    <w:rPr>
                                      <w:rFonts w:ascii="Cambria Math" w:hAnsi="Cambria Math" w:cs="Times New Roman"/>
                                      <w:sz w:val="24"/>
                                      <w:szCs w:val="24"/>
                                    </w:rPr>
                                    <m:t>2</m:t>
                                  </m:r>
                                </m:sup>
                              </m:sSup>
                            </m:e>
                          </m:nary>
                        </m:e>
                      </m:d>
                    </m:e>
                    <m:sup>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sup>
                  </m:sSup>
                </m:e>
              </m:d>
            </m:den>
          </m:f>
          <m:r>
            <w:rPr>
              <w:rFonts w:ascii="Cambria Math" w:hAnsi="Cambria Math" w:cs="Times New Roman"/>
              <w:sz w:val="24"/>
              <w:szCs w:val="24"/>
            </w:rPr>
            <m:t xml:space="preserve">                                                             (3)</m:t>
          </m:r>
        </m:oMath>
      </m:oMathPara>
    </w:p>
    <w:p w14:paraId="6FC56E14" w14:textId="10F3E3BB" w:rsidR="009F78CB" w:rsidRPr="00893E6D" w:rsidRDefault="00D204F0" w:rsidP="00A1062B">
      <w:pPr>
        <w:spacing w:line="480" w:lineRule="auto"/>
        <w:jc w:val="both"/>
        <w:rPr>
          <w:rFonts w:ascii="Times New Roman" w:eastAsiaTheme="minorEastAsia" w:hAnsi="Times New Roman" w:cs="Times New Roman"/>
          <w:sz w:val="24"/>
          <w:szCs w:val="24"/>
        </w:rPr>
      </w:pPr>
      <w:r w:rsidRPr="00893E6D">
        <w:rPr>
          <w:rFonts w:ascii="Times New Roman" w:eastAsiaTheme="minorEastAsia" w:hAnsi="Times New Roman" w:cs="Times New Roman"/>
          <w:sz w:val="24"/>
          <w:szCs w:val="24"/>
        </w:rPr>
        <w:t xml:space="preserve">where </w:t>
      </w:r>
      <w:proofErr w:type="spellStart"/>
      <w:proofErr w:type="gramStart"/>
      <w:r w:rsidRPr="00893E6D">
        <w:rPr>
          <w:rFonts w:ascii="Times New Roman" w:eastAsiaTheme="minorEastAsia" w:hAnsi="Times New Roman" w:cs="Times New Roman"/>
          <w:i/>
          <w:sz w:val="24"/>
          <w:szCs w:val="24"/>
        </w:rPr>
        <w:t>W</w:t>
      </w:r>
      <w:r w:rsidRPr="00893E6D">
        <w:rPr>
          <w:rFonts w:ascii="Times New Roman" w:eastAsiaTheme="minorEastAsia" w:hAnsi="Times New Roman" w:cs="Times New Roman"/>
          <w:i/>
          <w:sz w:val="24"/>
          <w:szCs w:val="24"/>
          <w:vertAlign w:val="subscript"/>
        </w:rPr>
        <w:t>j,t</w:t>
      </w:r>
      <w:proofErr w:type="spellEnd"/>
      <w:proofErr w:type="gramEnd"/>
      <w:r w:rsidRPr="00893E6D">
        <w:rPr>
          <w:rFonts w:ascii="Times New Roman" w:eastAsiaTheme="minorEastAsia" w:hAnsi="Times New Roman" w:cs="Times New Roman"/>
          <w:sz w:val="24"/>
          <w:szCs w:val="24"/>
          <w:vertAlign w:val="subscript"/>
        </w:rPr>
        <w:t xml:space="preserve"> </w:t>
      </w:r>
      <w:r w:rsidRPr="00893E6D">
        <w:rPr>
          <w:rFonts w:ascii="Times New Roman" w:eastAsiaTheme="minorEastAsia" w:hAnsi="Times New Roman" w:cs="Times New Roman"/>
          <w:sz w:val="24"/>
          <w:szCs w:val="24"/>
        </w:rPr>
        <w:t>is the firm-specific weekly return</w:t>
      </w:r>
      <w:r w:rsidR="00670E08" w:rsidRPr="00893E6D">
        <w:rPr>
          <w:rFonts w:ascii="Times New Roman" w:eastAsiaTheme="minorEastAsia" w:hAnsi="Times New Roman" w:cs="Times New Roman"/>
          <w:sz w:val="24"/>
          <w:szCs w:val="24"/>
        </w:rPr>
        <w:t xml:space="preserve"> and</w:t>
      </w:r>
      <w:r w:rsidRPr="00893E6D">
        <w:rPr>
          <w:rFonts w:ascii="Times New Roman" w:eastAsiaTheme="minorEastAsia" w:hAnsi="Times New Roman" w:cs="Times New Roman"/>
          <w:sz w:val="24"/>
          <w:szCs w:val="24"/>
        </w:rPr>
        <w:t xml:space="preserve">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j,t</m:t>
                </m:r>
              </m:sub>
            </m:sSub>
          </m:e>
        </m:acc>
      </m:oMath>
      <w:r w:rsidRPr="00893E6D">
        <w:rPr>
          <w:rFonts w:ascii="Times New Roman" w:eastAsiaTheme="minorEastAsia" w:hAnsi="Times New Roman" w:cs="Times New Roman"/>
          <w:sz w:val="24"/>
          <w:szCs w:val="24"/>
        </w:rPr>
        <w:t xml:space="preserve"> is the average firm-specific weekly return in fiscal year</w:t>
      </w:r>
      <w:r w:rsidR="009F78CB" w:rsidRPr="00893E6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t</m:t>
        </m:r>
      </m:oMath>
      <w:r w:rsidRPr="00893E6D">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n</m:t>
        </m:r>
      </m:oMath>
      <w:r w:rsidRPr="00893E6D">
        <w:rPr>
          <w:rFonts w:ascii="Times New Roman" w:eastAsiaTheme="minorEastAsia" w:hAnsi="Times New Roman" w:cs="Times New Roman"/>
          <w:sz w:val="24"/>
          <w:szCs w:val="24"/>
        </w:rPr>
        <w:t xml:space="preserve"> is the number of observations in fiscal year </w:t>
      </w:r>
      <m:oMath>
        <m:r>
          <w:rPr>
            <w:rFonts w:ascii="Cambria Math" w:eastAsiaTheme="minorEastAsia" w:hAnsi="Cambria Math" w:cs="Times New Roman"/>
            <w:sz w:val="24"/>
            <w:szCs w:val="24"/>
          </w:rPr>
          <m:t>t</m:t>
        </m:r>
      </m:oMath>
      <w:r w:rsidRPr="00893E6D">
        <w:rPr>
          <w:rFonts w:ascii="Times New Roman" w:eastAsiaTheme="minorEastAsia" w:hAnsi="Times New Roman" w:cs="Times New Roman"/>
          <w:sz w:val="24"/>
          <w:szCs w:val="24"/>
        </w:rPr>
        <w:t xml:space="preserve">. </w:t>
      </w:r>
      <w:r w:rsidR="00B76242" w:rsidRPr="00893E6D">
        <w:rPr>
          <w:rFonts w:ascii="Times New Roman" w:eastAsiaTheme="minorEastAsia" w:hAnsi="Times New Roman" w:cs="Times New Roman"/>
          <w:sz w:val="24"/>
          <w:szCs w:val="24"/>
        </w:rPr>
        <w:t>The</w:t>
      </w:r>
      <w:r w:rsidRPr="00893E6D">
        <w:rPr>
          <w:rFonts w:ascii="Times New Roman" w:eastAsiaTheme="minorEastAsia" w:hAnsi="Times New Roman" w:cs="Times New Roman"/>
          <w:sz w:val="24"/>
          <w:szCs w:val="24"/>
        </w:rPr>
        <w:t xml:space="preserve"> </w:t>
      </w:r>
      <w:r w:rsidR="006D3077" w:rsidRPr="00893E6D">
        <w:rPr>
          <w:rFonts w:ascii="Times New Roman" w:eastAsiaTheme="minorEastAsia" w:hAnsi="Times New Roman" w:cs="Times New Roman"/>
          <w:sz w:val="24"/>
          <w:szCs w:val="24"/>
        </w:rPr>
        <w:t>negative value</w:t>
      </w:r>
      <w:r w:rsidRPr="00893E6D">
        <w:rPr>
          <w:rFonts w:ascii="Times New Roman" w:eastAsiaTheme="minorEastAsia" w:hAnsi="Times New Roman" w:cs="Times New Roman"/>
          <w:sz w:val="24"/>
          <w:szCs w:val="24"/>
        </w:rPr>
        <w:t xml:space="preserve"> of the skewness </w:t>
      </w:r>
      <w:r w:rsidR="00041058" w:rsidRPr="00893E6D">
        <w:rPr>
          <w:rFonts w:ascii="Times New Roman" w:eastAsiaTheme="minorEastAsia" w:hAnsi="Times New Roman" w:cs="Times New Roman"/>
          <w:sz w:val="24"/>
          <w:szCs w:val="24"/>
        </w:rPr>
        <w:t>simplifies</w:t>
      </w:r>
      <w:r w:rsidR="00B76242" w:rsidRPr="00893E6D">
        <w:rPr>
          <w:rFonts w:ascii="Times New Roman" w:eastAsiaTheme="minorEastAsia" w:hAnsi="Times New Roman" w:cs="Times New Roman"/>
          <w:sz w:val="24"/>
          <w:szCs w:val="24"/>
        </w:rPr>
        <w:t xml:space="preserve"> the interpretation of </w:t>
      </w:r>
      <w:r w:rsidR="00B76242" w:rsidRPr="00893E6D">
        <w:rPr>
          <w:rFonts w:ascii="Times New Roman" w:hAnsi="Times New Roman" w:cs="Times New Roman"/>
          <w:i/>
          <w:sz w:val="24"/>
          <w:szCs w:val="24"/>
        </w:rPr>
        <w:t>NCSKEW</w:t>
      </w:r>
      <w:r w:rsidR="009F78CB" w:rsidRPr="00893E6D">
        <w:rPr>
          <w:rFonts w:ascii="Times New Roman" w:hAnsi="Times New Roman" w:cs="Times New Roman"/>
          <w:sz w:val="24"/>
          <w:szCs w:val="24"/>
        </w:rPr>
        <w:t>, i.e.,</w:t>
      </w:r>
      <w:r w:rsidRPr="00893E6D">
        <w:rPr>
          <w:rFonts w:ascii="Times New Roman" w:eastAsiaTheme="minorEastAsia" w:hAnsi="Times New Roman" w:cs="Times New Roman"/>
          <w:sz w:val="24"/>
          <w:szCs w:val="24"/>
        </w:rPr>
        <w:t xml:space="preserve"> </w:t>
      </w:r>
      <w:r w:rsidR="009F78CB" w:rsidRPr="00893E6D">
        <w:rPr>
          <w:rFonts w:ascii="Times New Roman" w:eastAsiaTheme="minorEastAsia" w:hAnsi="Times New Roman" w:cs="Times New Roman"/>
          <w:sz w:val="24"/>
          <w:szCs w:val="24"/>
        </w:rPr>
        <w:t xml:space="preserve">a larger </w:t>
      </w:r>
      <w:r w:rsidRPr="00893E6D">
        <w:rPr>
          <w:rFonts w:ascii="Times New Roman" w:eastAsiaTheme="minorEastAsia" w:hAnsi="Times New Roman" w:cs="Times New Roman"/>
          <w:i/>
          <w:sz w:val="24"/>
          <w:szCs w:val="24"/>
        </w:rPr>
        <w:t>NCSKEW</w:t>
      </w:r>
      <w:r w:rsidRPr="00893E6D">
        <w:rPr>
          <w:rFonts w:ascii="Times New Roman" w:eastAsiaTheme="minorEastAsia" w:hAnsi="Times New Roman" w:cs="Times New Roman"/>
          <w:sz w:val="24"/>
          <w:szCs w:val="24"/>
        </w:rPr>
        <w:t xml:space="preserve"> corresponds to more crash risk</w:t>
      </w:r>
      <w:r w:rsidR="00B76242" w:rsidRPr="00893E6D">
        <w:rPr>
          <w:rFonts w:ascii="Times New Roman" w:eastAsiaTheme="minorEastAsia" w:hAnsi="Times New Roman" w:cs="Times New Roman"/>
          <w:sz w:val="24"/>
          <w:szCs w:val="24"/>
        </w:rPr>
        <w:t xml:space="preserve"> or</w:t>
      </w:r>
      <w:r w:rsidRPr="00893E6D">
        <w:rPr>
          <w:rFonts w:ascii="Times New Roman" w:eastAsiaTheme="minorEastAsia" w:hAnsi="Times New Roman" w:cs="Times New Roman"/>
          <w:sz w:val="24"/>
          <w:szCs w:val="24"/>
        </w:rPr>
        <w:t xml:space="preserve"> </w:t>
      </w:r>
      <w:r w:rsidR="00041058" w:rsidRPr="00893E6D">
        <w:rPr>
          <w:rFonts w:ascii="Times New Roman" w:eastAsiaTheme="minorEastAsia" w:hAnsi="Times New Roman" w:cs="Times New Roman"/>
          <w:sz w:val="24"/>
          <w:szCs w:val="24"/>
        </w:rPr>
        <w:t xml:space="preserve">a </w:t>
      </w:r>
      <w:r w:rsidRPr="00893E6D">
        <w:rPr>
          <w:rFonts w:ascii="Times New Roman" w:eastAsiaTheme="minorEastAsia" w:hAnsi="Times New Roman" w:cs="Times New Roman"/>
          <w:sz w:val="24"/>
          <w:szCs w:val="24"/>
        </w:rPr>
        <w:t>more negative-skewed stock return distribution.</w:t>
      </w:r>
      <w:r w:rsidR="004A6CE5" w:rsidRPr="00893E6D">
        <w:rPr>
          <w:rFonts w:ascii="Times New Roman" w:eastAsiaTheme="minorEastAsia" w:hAnsi="Times New Roman" w:cs="Times New Roman"/>
          <w:sz w:val="24"/>
          <w:szCs w:val="24"/>
        </w:rPr>
        <w:t xml:space="preserve">  </w:t>
      </w:r>
    </w:p>
    <w:p w14:paraId="2B6B1012" w14:textId="1469B34F" w:rsidR="009F78CB" w:rsidRPr="00893E6D" w:rsidRDefault="000F08A8" w:rsidP="00A1062B">
      <w:pPr>
        <w:spacing w:line="480" w:lineRule="auto"/>
        <w:ind w:firstLine="720"/>
        <w:jc w:val="both"/>
        <w:rPr>
          <w:rFonts w:ascii="Times New Roman" w:eastAsiaTheme="minorEastAsia" w:hAnsi="Times New Roman" w:cs="Times New Roman"/>
          <w:sz w:val="24"/>
          <w:szCs w:val="24"/>
        </w:rPr>
      </w:pPr>
      <w:r w:rsidRPr="00893E6D">
        <w:rPr>
          <w:rFonts w:ascii="Times New Roman" w:eastAsiaTheme="minorEastAsia" w:hAnsi="Times New Roman" w:cs="Times New Roman"/>
          <w:sz w:val="24"/>
          <w:szCs w:val="24"/>
        </w:rPr>
        <w:t>Next</w:t>
      </w:r>
      <w:r w:rsidR="009F78CB" w:rsidRPr="00893E6D">
        <w:rPr>
          <w:rFonts w:ascii="Times New Roman" w:eastAsiaTheme="minorEastAsia" w:hAnsi="Times New Roman" w:cs="Times New Roman"/>
          <w:sz w:val="24"/>
          <w:szCs w:val="24"/>
        </w:rPr>
        <w:t>, we</w:t>
      </w:r>
      <w:r w:rsidR="004A6CE5" w:rsidRPr="00893E6D">
        <w:rPr>
          <w:rFonts w:ascii="Times New Roman" w:eastAsiaTheme="minorEastAsia" w:hAnsi="Times New Roman" w:cs="Times New Roman"/>
          <w:sz w:val="24"/>
          <w:szCs w:val="24"/>
        </w:rPr>
        <w:t xml:space="preserve"> f</w:t>
      </w:r>
      <w:r w:rsidR="002B613F" w:rsidRPr="00893E6D">
        <w:rPr>
          <w:rFonts w:ascii="Times New Roman" w:eastAsiaTheme="minorEastAsia" w:hAnsi="Times New Roman" w:cs="Times New Roman"/>
          <w:sz w:val="24"/>
          <w:szCs w:val="24"/>
        </w:rPr>
        <w:t>ollow Chen</w:t>
      </w:r>
      <w:r w:rsidR="00C00684">
        <w:rPr>
          <w:rFonts w:ascii="Times New Roman" w:eastAsiaTheme="minorEastAsia" w:hAnsi="Times New Roman" w:cs="Times New Roman"/>
          <w:sz w:val="24"/>
          <w:szCs w:val="24"/>
        </w:rPr>
        <w:t xml:space="preserve"> </w:t>
      </w:r>
      <w:r w:rsidR="00C00684" w:rsidRPr="006A07BC">
        <w:rPr>
          <w:rFonts w:ascii="Times New Roman" w:eastAsiaTheme="minorEastAsia" w:hAnsi="Times New Roman" w:cs="Times New Roman"/>
          <w:i/>
          <w:sz w:val="24"/>
          <w:szCs w:val="24"/>
        </w:rPr>
        <w:t>et al.</w:t>
      </w:r>
      <w:r w:rsidR="00165E5D" w:rsidRPr="00893E6D" w:rsidDel="00165E5D">
        <w:rPr>
          <w:rFonts w:ascii="Times New Roman" w:eastAsiaTheme="minorEastAsia" w:hAnsi="Times New Roman" w:cs="Times New Roman"/>
          <w:i/>
          <w:sz w:val="24"/>
          <w:szCs w:val="24"/>
        </w:rPr>
        <w:t xml:space="preserve"> </w:t>
      </w:r>
      <w:r w:rsidR="002B613F" w:rsidRPr="00893E6D">
        <w:rPr>
          <w:rFonts w:ascii="Times New Roman" w:eastAsiaTheme="minorEastAsia" w:hAnsi="Times New Roman" w:cs="Times New Roman"/>
          <w:sz w:val="24"/>
          <w:szCs w:val="24"/>
        </w:rPr>
        <w:t xml:space="preserve">(2001) and </w:t>
      </w:r>
      <w:r w:rsidR="00BA7D5A" w:rsidRPr="006A07BC">
        <w:rPr>
          <w:rFonts w:ascii="Times New Roman" w:eastAsiaTheme="minorEastAsia" w:hAnsi="Times New Roman" w:cs="Times New Roman"/>
          <w:sz w:val="24"/>
          <w:szCs w:val="24"/>
        </w:rPr>
        <w:t xml:space="preserve">An </w:t>
      </w:r>
      <w:r w:rsidR="002C7B35" w:rsidRPr="006A07BC">
        <w:rPr>
          <w:rFonts w:ascii="Times New Roman" w:eastAsiaTheme="minorEastAsia" w:hAnsi="Times New Roman" w:cs="Times New Roman"/>
          <w:iCs/>
          <w:sz w:val="24"/>
          <w:szCs w:val="24"/>
        </w:rPr>
        <w:t xml:space="preserve">and Zhang </w:t>
      </w:r>
      <w:r w:rsidR="00BA7D5A" w:rsidRPr="006A07BC">
        <w:rPr>
          <w:rFonts w:ascii="Times New Roman" w:eastAsiaTheme="minorEastAsia" w:hAnsi="Times New Roman" w:cs="Times New Roman"/>
          <w:sz w:val="24"/>
          <w:szCs w:val="24"/>
        </w:rPr>
        <w:t>(2013)</w:t>
      </w:r>
      <w:r w:rsidR="004A6CE5" w:rsidRPr="006A07BC">
        <w:rPr>
          <w:rFonts w:ascii="Times New Roman" w:eastAsiaTheme="minorEastAsia" w:hAnsi="Times New Roman" w:cs="Times New Roman"/>
          <w:sz w:val="24"/>
          <w:szCs w:val="24"/>
        </w:rPr>
        <w:t xml:space="preserve"> </w:t>
      </w:r>
      <w:r w:rsidR="004D347D" w:rsidRPr="006A07BC">
        <w:rPr>
          <w:rFonts w:ascii="Times New Roman" w:eastAsiaTheme="minorEastAsia" w:hAnsi="Times New Roman" w:cs="Times New Roman"/>
          <w:sz w:val="24"/>
          <w:szCs w:val="24"/>
        </w:rPr>
        <w:t>to</w:t>
      </w:r>
      <w:r w:rsidR="009F78CB" w:rsidRPr="00893E6D">
        <w:rPr>
          <w:rFonts w:ascii="Times New Roman" w:eastAsiaTheme="minorEastAsia" w:hAnsi="Times New Roman" w:cs="Times New Roman"/>
          <w:sz w:val="24"/>
          <w:szCs w:val="24"/>
        </w:rPr>
        <w:t xml:space="preserve"> </w:t>
      </w:r>
      <w:r w:rsidR="00060377" w:rsidRPr="00893E6D">
        <w:rPr>
          <w:rFonts w:ascii="Times New Roman" w:eastAsiaTheme="minorEastAsia" w:hAnsi="Times New Roman" w:cs="Times New Roman"/>
          <w:sz w:val="24"/>
          <w:szCs w:val="24"/>
        </w:rPr>
        <w:t xml:space="preserve">compute </w:t>
      </w:r>
      <w:r w:rsidR="00BA7D5A" w:rsidRPr="00893E6D">
        <w:rPr>
          <w:rFonts w:ascii="Times New Roman" w:eastAsiaTheme="minorEastAsia" w:hAnsi="Times New Roman" w:cs="Times New Roman"/>
          <w:i/>
          <w:sz w:val="24"/>
          <w:szCs w:val="24"/>
        </w:rPr>
        <w:t>DUVOL</w:t>
      </w:r>
      <w:r w:rsidRPr="00893E6D">
        <w:rPr>
          <w:rFonts w:ascii="Times New Roman" w:eastAsiaTheme="minorEastAsia" w:hAnsi="Times New Roman" w:cs="Times New Roman"/>
          <w:sz w:val="24"/>
          <w:szCs w:val="24"/>
        </w:rPr>
        <w:t>, which</w:t>
      </w:r>
      <w:r w:rsidR="00BA7D5A" w:rsidRPr="00893E6D">
        <w:rPr>
          <w:rFonts w:ascii="Times New Roman" w:eastAsiaTheme="minorEastAsia" w:hAnsi="Times New Roman" w:cs="Times New Roman"/>
          <w:sz w:val="24"/>
          <w:szCs w:val="24"/>
        </w:rPr>
        <w:t xml:space="preserve"> </w:t>
      </w:r>
      <w:r w:rsidRPr="00893E6D">
        <w:rPr>
          <w:rFonts w:ascii="Times New Roman" w:eastAsiaTheme="minorEastAsia" w:hAnsi="Times New Roman" w:cs="Times New Roman"/>
          <w:sz w:val="24"/>
          <w:szCs w:val="24"/>
        </w:rPr>
        <w:t xml:space="preserve">is </w:t>
      </w:r>
      <w:r w:rsidR="00BA7D5A" w:rsidRPr="00893E6D">
        <w:rPr>
          <w:rFonts w:ascii="Times New Roman" w:eastAsiaTheme="minorEastAsia" w:hAnsi="Times New Roman" w:cs="Times New Roman"/>
          <w:sz w:val="24"/>
          <w:szCs w:val="24"/>
        </w:rPr>
        <w:t xml:space="preserve">the down-to-up volatility. </w:t>
      </w:r>
      <w:r w:rsidRPr="00893E6D">
        <w:rPr>
          <w:rFonts w:ascii="Times New Roman" w:eastAsiaTheme="minorEastAsia" w:hAnsi="Times New Roman" w:cs="Times New Roman"/>
          <w:sz w:val="24"/>
          <w:szCs w:val="24"/>
        </w:rPr>
        <w:t>F</w:t>
      </w:r>
      <w:r w:rsidR="00FD2151" w:rsidRPr="00893E6D">
        <w:rPr>
          <w:rFonts w:ascii="Times New Roman" w:eastAsiaTheme="minorEastAsia" w:hAnsi="Times New Roman" w:cs="Times New Roman"/>
          <w:sz w:val="24"/>
          <w:szCs w:val="24"/>
        </w:rPr>
        <w:t xml:space="preserve">or each </w:t>
      </w:r>
      <w:r w:rsidR="009F78CB" w:rsidRPr="00893E6D">
        <w:rPr>
          <w:rFonts w:ascii="Times New Roman" w:eastAsiaTheme="minorEastAsia" w:hAnsi="Times New Roman" w:cs="Times New Roman"/>
          <w:sz w:val="24"/>
          <w:szCs w:val="24"/>
        </w:rPr>
        <w:t>firm-year</w:t>
      </w:r>
      <w:r w:rsidR="00FD2151" w:rsidRPr="00893E6D">
        <w:rPr>
          <w:rFonts w:ascii="Times New Roman" w:eastAsiaTheme="minorEastAsia" w:hAnsi="Times New Roman" w:cs="Times New Roman"/>
          <w:sz w:val="24"/>
          <w:szCs w:val="24"/>
        </w:rPr>
        <w:t xml:space="preserve">, </w:t>
      </w:r>
      <w:r w:rsidR="004A6CE5" w:rsidRPr="00893E6D">
        <w:rPr>
          <w:rFonts w:ascii="Times New Roman" w:eastAsiaTheme="minorEastAsia" w:hAnsi="Times New Roman" w:cs="Times New Roman"/>
          <w:sz w:val="24"/>
          <w:szCs w:val="24"/>
        </w:rPr>
        <w:t xml:space="preserve">we </w:t>
      </w:r>
      <w:r w:rsidR="00FD2151" w:rsidRPr="00893E6D">
        <w:rPr>
          <w:rFonts w:ascii="Times New Roman" w:eastAsiaTheme="minorEastAsia" w:hAnsi="Times New Roman" w:cs="Times New Roman"/>
          <w:sz w:val="24"/>
          <w:szCs w:val="24"/>
        </w:rPr>
        <w:t xml:space="preserve">calculate the standard deviation of firm-specific weekly returns during the up (down) weeks when the firm-specific weekly returns are above (below) </w:t>
      </w:r>
      <w:r w:rsidR="009F78CB" w:rsidRPr="00893E6D">
        <w:rPr>
          <w:rFonts w:ascii="Times New Roman" w:eastAsiaTheme="minorEastAsia" w:hAnsi="Times New Roman" w:cs="Times New Roman"/>
          <w:sz w:val="24"/>
          <w:szCs w:val="24"/>
        </w:rPr>
        <w:t xml:space="preserve">the </w:t>
      </w:r>
      <w:r w:rsidR="00FD2151" w:rsidRPr="00893E6D">
        <w:rPr>
          <w:rFonts w:ascii="Times New Roman" w:eastAsiaTheme="minorEastAsia" w:hAnsi="Times New Roman" w:cs="Times New Roman"/>
          <w:sz w:val="24"/>
          <w:szCs w:val="24"/>
        </w:rPr>
        <w:t xml:space="preserve">annual mean. </w:t>
      </w:r>
      <w:r w:rsidR="00FD2151" w:rsidRPr="00893E6D">
        <w:rPr>
          <w:rFonts w:ascii="Times New Roman" w:eastAsiaTheme="minorEastAsia" w:hAnsi="Times New Roman" w:cs="Times New Roman"/>
          <w:i/>
          <w:sz w:val="24"/>
          <w:szCs w:val="24"/>
        </w:rPr>
        <w:t>DUVOL</w:t>
      </w:r>
      <w:r w:rsidR="00FD2151" w:rsidRPr="00893E6D">
        <w:rPr>
          <w:rFonts w:ascii="Times New Roman" w:eastAsiaTheme="minorEastAsia" w:hAnsi="Times New Roman" w:cs="Times New Roman"/>
          <w:sz w:val="24"/>
          <w:szCs w:val="24"/>
        </w:rPr>
        <w:t xml:space="preserve"> is the log of the ratio of the standard deviation </w:t>
      </w:r>
      <w:r w:rsidRPr="00893E6D">
        <w:rPr>
          <w:rFonts w:ascii="Times New Roman" w:eastAsiaTheme="minorEastAsia" w:hAnsi="Times New Roman" w:cs="Times New Roman"/>
          <w:sz w:val="24"/>
          <w:szCs w:val="24"/>
        </w:rPr>
        <w:t xml:space="preserve">during </w:t>
      </w:r>
      <w:r w:rsidR="00FD2151" w:rsidRPr="00893E6D">
        <w:rPr>
          <w:rFonts w:ascii="Times New Roman" w:eastAsiaTheme="minorEastAsia" w:hAnsi="Times New Roman" w:cs="Times New Roman"/>
          <w:sz w:val="24"/>
          <w:szCs w:val="24"/>
        </w:rPr>
        <w:t xml:space="preserve">down weeks to the standard deviation </w:t>
      </w:r>
      <w:r w:rsidRPr="00893E6D">
        <w:rPr>
          <w:rFonts w:ascii="Times New Roman" w:eastAsiaTheme="minorEastAsia" w:hAnsi="Times New Roman" w:cs="Times New Roman"/>
          <w:sz w:val="24"/>
          <w:szCs w:val="24"/>
        </w:rPr>
        <w:t xml:space="preserve">during </w:t>
      </w:r>
      <w:r w:rsidR="00FD2151" w:rsidRPr="00893E6D">
        <w:rPr>
          <w:rFonts w:ascii="Times New Roman" w:eastAsiaTheme="minorEastAsia" w:hAnsi="Times New Roman" w:cs="Times New Roman"/>
          <w:sz w:val="24"/>
          <w:szCs w:val="24"/>
        </w:rPr>
        <w:t xml:space="preserve">up weeks. A higher value of </w:t>
      </w:r>
      <w:r w:rsidR="00FD2151" w:rsidRPr="00893E6D">
        <w:rPr>
          <w:rFonts w:ascii="Times New Roman" w:eastAsiaTheme="minorEastAsia" w:hAnsi="Times New Roman" w:cs="Times New Roman"/>
          <w:i/>
          <w:sz w:val="24"/>
          <w:szCs w:val="24"/>
        </w:rPr>
        <w:t xml:space="preserve">DUVOL </w:t>
      </w:r>
      <w:r w:rsidR="00FD2151" w:rsidRPr="00893E6D">
        <w:rPr>
          <w:rFonts w:ascii="Times New Roman" w:eastAsiaTheme="minorEastAsia" w:hAnsi="Times New Roman" w:cs="Times New Roman"/>
          <w:sz w:val="24"/>
          <w:szCs w:val="24"/>
        </w:rPr>
        <w:t>suggests a more left-skewed distribution and</w:t>
      </w:r>
      <w:r w:rsidRPr="00893E6D">
        <w:rPr>
          <w:rFonts w:ascii="Times New Roman" w:eastAsiaTheme="minorEastAsia" w:hAnsi="Times New Roman" w:cs="Times New Roman"/>
          <w:sz w:val="24"/>
          <w:szCs w:val="24"/>
        </w:rPr>
        <w:t>,</w:t>
      </w:r>
      <w:r w:rsidR="00FD2151" w:rsidRPr="00893E6D">
        <w:rPr>
          <w:rFonts w:ascii="Times New Roman" w:eastAsiaTheme="minorEastAsia" w:hAnsi="Times New Roman" w:cs="Times New Roman"/>
          <w:sz w:val="24"/>
          <w:szCs w:val="24"/>
        </w:rPr>
        <w:t xml:space="preserve"> thus</w:t>
      </w:r>
      <w:r w:rsidRPr="00893E6D">
        <w:rPr>
          <w:rFonts w:ascii="Times New Roman" w:eastAsiaTheme="minorEastAsia" w:hAnsi="Times New Roman" w:cs="Times New Roman"/>
          <w:sz w:val="24"/>
          <w:szCs w:val="24"/>
        </w:rPr>
        <w:t>, a</w:t>
      </w:r>
      <w:r w:rsidR="00FD2151" w:rsidRPr="00893E6D">
        <w:rPr>
          <w:rFonts w:ascii="Times New Roman" w:eastAsiaTheme="minorEastAsia" w:hAnsi="Times New Roman" w:cs="Times New Roman"/>
          <w:sz w:val="24"/>
          <w:szCs w:val="24"/>
        </w:rPr>
        <w:t xml:space="preserve"> higher crash risk. </w:t>
      </w:r>
    </w:p>
    <w:p w14:paraId="28A0F2E1" w14:textId="0D0E468C" w:rsidR="00DF4B38" w:rsidRPr="00893E6D" w:rsidRDefault="000F08A8" w:rsidP="00A1062B">
      <w:pPr>
        <w:spacing w:line="480" w:lineRule="auto"/>
        <w:ind w:firstLine="720"/>
        <w:jc w:val="both"/>
        <w:rPr>
          <w:rFonts w:ascii="Times New Roman" w:hAnsi="Times New Roman" w:cs="Times New Roman"/>
          <w:sz w:val="24"/>
          <w:szCs w:val="24"/>
        </w:rPr>
      </w:pPr>
      <w:r w:rsidRPr="00893E6D">
        <w:rPr>
          <w:rFonts w:ascii="Times New Roman" w:hAnsi="Times New Roman" w:cs="Times New Roman"/>
          <w:sz w:val="24"/>
          <w:szCs w:val="24"/>
        </w:rPr>
        <w:t>Third</w:t>
      </w:r>
      <w:r w:rsidR="009F78CB" w:rsidRPr="00893E6D">
        <w:rPr>
          <w:rFonts w:ascii="Times New Roman" w:hAnsi="Times New Roman" w:cs="Times New Roman"/>
          <w:sz w:val="24"/>
          <w:szCs w:val="24"/>
        </w:rPr>
        <w:t>, we</w:t>
      </w:r>
      <w:r w:rsidR="004A6CE5" w:rsidRPr="00893E6D">
        <w:rPr>
          <w:rFonts w:ascii="Times New Roman" w:hAnsi="Times New Roman" w:cs="Times New Roman"/>
          <w:sz w:val="24"/>
          <w:szCs w:val="24"/>
        </w:rPr>
        <w:t xml:space="preserve"> </w:t>
      </w:r>
      <w:r w:rsidRPr="00893E6D">
        <w:rPr>
          <w:rFonts w:ascii="Times New Roman" w:hAnsi="Times New Roman" w:cs="Times New Roman"/>
          <w:sz w:val="24"/>
          <w:szCs w:val="24"/>
        </w:rPr>
        <w:t xml:space="preserve">define </w:t>
      </w:r>
      <w:r w:rsidR="001319B2" w:rsidRPr="00893E6D">
        <w:rPr>
          <w:rFonts w:ascii="Times New Roman" w:hAnsi="Times New Roman" w:cs="Times New Roman"/>
          <w:sz w:val="24"/>
          <w:szCs w:val="24"/>
        </w:rPr>
        <w:t>a</w:t>
      </w:r>
      <w:r w:rsidR="00F51AA2" w:rsidRPr="00893E6D">
        <w:rPr>
          <w:rFonts w:ascii="Times New Roman" w:hAnsi="Times New Roman" w:cs="Times New Roman"/>
          <w:sz w:val="24"/>
          <w:szCs w:val="24"/>
        </w:rPr>
        <w:t xml:space="preserve"> crash (jump) </w:t>
      </w:r>
      <w:r w:rsidRPr="00893E6D">
        <w:rPr>
          <w:rFonts w:ascii="Times New Roman" w:hAnsi="Times New Roman" w:cs="Times New Roman"/>
          <w:sz w:val="24"/>
          <w:szCs w:val="24"/>
        </w:rPr>
        <w:t xml:space="preserve">as an event that </w:t>
      </w:r>
      <w:r w:rsidR="0051335A">
        <w:rPr>
          <w:rFonts w:ascii="Times New Roman" w:hAnsi="Times New Roman" w:cs="Times New Roman"/>
          <w:sz w:val="24"/>
          <w:szCs w:val="24"/>
        </w:rPr>
        <w:t>takes place</w:t>
      </w:r>
      <w:r w:rsidR="0051335A" w:rsidRPr="00893E6D">
        <w:rPr>
          <w:rFonts w:ascii="Times New Roman" w:hAnsi="Times New Roman" w:cs="Times New Roman"/>
          <w:sz w:val="24"/>
          <w:szCs w:val="24"/>
        </w:rPr>
        <w:t xml:space="preserve"> </w:t>
      </w:r>
      <w:r w:rsidR="00F51AA2" w:rsidRPr="00893E6D">
        <w:rPr>
          <w:rFonts w:ascii="Times New Roman" w:hAnsi="Times New Roman" w:cs="Times New Roman"/>
          <w:sz w:val="24"/>
          <w:szCs w:val="24"/>
        </w:rPr>
        <w:t xml:space="preserve">when the firm-specific weekly return is 3.09 standard deviations below (above) </w:t>
      </w:r>
      <w:r w:rsidR="009F78CB" w:rsidRPr="00893E6D">
        <w:rPr>
          <w:rFonts w:ascii="Times New Roman" w:hAnsi="Times New Roman" w:cs="Times New Roman"/>
          <w:sz w:val="24"/>
          <w:szCs w:val="24"/>
        </w:rPr>
        <w:t xml:space="preserve">the </w:t>
      </w:r>
      <w:r w:rsidR="00F51AA2" w:rsidRPr="00893E6D">
        <w:rPr>
          <w:rFonts w:ascii="Times New Roman" w:hAnsi="Times New Roman" w:cs="Times New Roman"/>
          <w:sz w:val="24"/>
          <w:szCs w:val="24"/>
        </w:rPr>
        <w:t xml:space="preserve">mean </w:t>
      </w:r>
      <w:r w:rsidR="009F78CB" w:rsidRPr="00893E6D">
        <w:rPr>
          <w:rFonts w:ascii="Times New Roman" w:hAnsi="Times New Roman" w:cs="Times New Roman"/>
          <w:sz w:val="24"/>
          <w:szCs w:val="24"/>
        </w:rPr>
        <w:t xml:space="preserve">in </w:t>
      </w:r>
      <w:r w:rsidR="00F51AA2" w:rsidRPr="00893E6D">
        <w:rPr>
          <w:rFonts w:ascii="Times New Roman" w:hAnsi="Times New Roman" w:cs="Times New Roman"/>
          <w:sz w:val="24"/>
          <w:szCs w:val="24"/>
        </w:rPr>
        <w:t>fiscal year</w:t>
      </w:r>
      <w:r w:rsidR="00984373">
        <w:rPr>
          <w:rFonts w:ascii="Times New Roman" w:hAnsi="Times New Roman" w:cs="Times New Roman"/>
          <w:sz w:val="24"/>
          <w:szCs w:val="24"/>
        </w:rPr>
        <w:t xml:space="preserve"> </w:t>
      </w:r>
      <m:oMath>
        <m:r>
          <w:rPr>
            <w:rFonts w:ascii="Cambria Math" w:hAnsi="Cambria Math" w:cs="Times New Roman"/>
            <w:sz w:val="24"/>
            <w:szCs w:val="24"/>
          </w:rPr>
          <m:t>t</m:t>
        </m:r>
      </m:oMath>
      <w:r w:rsidR="004A6CE5" w:rsidRPr="00893E6D">
        <w:rPr>
          <w:rFonts w:ascii="Times New Roman" w:hAnsi="Times New Roman" w:cs="Times New Roman"/>
          <w:sz w:val="24"/>
          <w:szCs w:val="24"/>
        </w:rPr>
        <w:t xml:space="preserve"> </w:t>
      </w:r>
      <w:r w:rsidRPr="00893E6D">
        <w:rPr>
          <w:rFonts w:ascii="Times New Roman" w:hAnsi="Times New Roman" w:cs="Times New Roman"/>
          <w:sz w:val="24"/>
          <w:szCs w:val="24"/>
        </w:rPr>
        <w:t xml:space="preserve">similar to </w:t>
      </w:r>
      <w:r w:rsidR="004A6CE5" w:rsidRPr="00893E6D">
        <w:rPr>
          <w:rFonts w:ascii="Times New Roman" w:hAnsi="Times New Roman" w:cs="Times New Roman"/>
          <w:sz w:val="24"/>
          <w:szCs w:val="24"/>
        </w:rPr>
        <w:t xml:space="preserve">Hutton </w:t>
      </w:r>
      <w:r w:rsidR="004A6CE5" w:rsidRPr="00893E6D">
        <w:rPr>
          <w:rFonts w:ascii="Times New Roman" w:hAnsi="Times New Roman" w:cs="Times New Roman"/>
          <w:i/>
          <w:sz w:val="24"/>
          <w:szCs w:val="24"/>
        </w:rPr>
        <w:t>et al</w:t>
      </w:r>
      <w:r w:rsidR="004A6CE5" w:rsidRPr="00893E6D">
        <w:rPr>
          <w:rFonts w:ascii="Times New Roman" w:hAnsi="Times New Roman" w:cs="Times New Roman"/>
          <w:sz w:val="24"/>
          <w:szCs w:val="24"/>
        </w:rPr>
        <w:t>. (2009)</w:t>
      </w:r>
      <w:r w:rsidR="00F51AA2" w:rsidRPr="00893E6D">
        <w:rPr>
          <w:rFonts w:ascii="Times New Roman" w:hAnsi="Times New Roman" w:cs="Times New Roman"/>
          <w:sz w:val="24"/>
          <w:szCs w:val="24"/>
        </w:rPr>
        <w:t xml:space="preserve">. </w:t>
      </w:r>
      <w:r w:rsidR="00F51AA2" w:rsidRPr="00893E6D">
        <w:rPr>
          <w:rFonts w:ascii="Times New Roman" w:hAnsi="Times New Roman" w:cs="Times New Roman"/>
          <w:i/>
          <w:sz w:val="24"/>
          <w:szCs w:val="24"/>
        </w:rPr>
        <w:t>COUNT</w:t>
      </w:r>
      <w:r w:rsidR="00F51AA2" w:rsidRPr="00893E6D">
        <w:rPr>
          <w:rFonts w:ascii="Times New Roman" w:hAnsi="Times New Roman" w:cs="Times New Roman"/>
          <w:sz w:val="24"/>
          <w:szCs w:val="24"/>
        </w:rPr>
        <w:t xml:space="preserve"> is the number of crashes </w:t>
      </w:r>
      <w:r w:rsidR="00F51AA2" w:rsidRPr="00893E6D">
        <w:rPr>
          <w:rFonts w:ascii="Times New Roman" w:hAnsi="Times New Roman" w:cs="Times New Roman"/>
          <w:i/>
          <w:sz w:val="24"/>
          <w:szCs w:val="24"/>
        </w:rPr>
        <w:t>minus</w:t>
      </w:r>
      <w:r w:rsidR="00F51AA2" w:rsidRPr="00893E6D">
        <w:rPr>
          <w:rFonts w:ascii="Times New Roman" w:hAnsi="Times New Roman" w:cs="Times New Roman"/>
          <w:sz w:val="24"/>
          <w:szCs w:val="24"/>
        </w:rPr>
        <w:t xml:space="preserve"> the number of jumps </w:t>
      </w:r>
      <w:r w:rsidR="009F78CB" w:rsidRPr="00893E6D">
        <w:rPr>
          <w:rFonts w:ascii="Times New Roman" w:hAnsi="Times New Roman" w:cs="Times New Roman"/>
          <w:sz w:val="24"/>
          <w:szCs w:val="24"/>
        </w:rPr>
        <w:t xml:space="preserve">in a </w:t>
      </w:r>
      <w:r w:rsidR="00F51AA2" w:rsidRPr="00893E6D">
        <w:rPr>
          <w:rFonts w:ascii="Times New Roman" w:hAnsi="Times New Roman" w:cs="Times New Roman"/>
          <w:sz w:val="24"/>
          <w:szCs w:val="24"/>
        </w:rPr>
        <w:t xml:space="preserve">fiscal year </w:t>
      </w:r>
      <w:r w:rsidR="00AB02FF">
        <w:rPr>
          <w:rFonts w:ascii="Times New Roman" w:hAnsi="Times New Roman" w:cs="Times New Roman"/>
          <w:sz w:val="24"/>
          <w:szCs w:val="24"/>
        </w:rPr>
        <w:t>as in</w:t>
      </w:r>
      <w:r w:rsidRPr="00893E6D">
        <w:rPr>
          <w:rFonts w:ascii="Times New Roman" w:hAnsi="Times New Roman" w:cs="Times New Roman"/>
          <w:sz w:val="24"/>
          <w:szCs w:val="24"/>
        </w:rPr>
        <w:t xml:space="preserve"> </w:t>
      </w:r>
      <w:proofErr w:type="spellStart"/>
      <w:r w:rsidR="00AB02FF">
        <w:rPr>
          <w:rFonts w:ascii="Times New Roman" w:hAnsi="Times New Roman" w:cs="Times New Roman"/>
          <w:sz w:val="24"/>
          <w:szCs w:val="24"/>
        </w:rPr>
        <w:t>Jin</w:t>
      </w:r>
      <w:proofErr w:type="spellEnd"/>
      <w:r w:rsidR="00AB02FF">
        <w:rPr>
          <w:rFonts w:ascii="Times New Roman" w:hAnsi="Times New Roman" w:cs="Times New Roman"/>
          <w:sz w:val="24"/>
          <w:szCs w:val="24"/>
        </w:rPr>
        <w:t xml:space="preserve"> and Myers (</w:t>
      </w:r>
      <w:r w:rsidR="00F51AA2" w:rsidRPr="00893E6D">
        <w:rPr>
          <w:rFonts w:ascii="Times New Roman" w:hAnsi="Times New Roman" w:cs="Times New Roman"/>
          <w:sz w:val="24"/>
          <w:szCs w:val="24"/>
        </w:rPr>
        <w:t>2006).</w:t>
      </w:r>
      <w:r w:rsidR="00890EBF" w:rsidRPr="00893E6D">
        <w:rPr>
          <w:rFonts w:ascii="Times New Roman" w:hAnsi="Times New Roman" w:cs="Times New Roman"/>
          <w:sz w:val="24"/>
          <w:szCs w:val="24"/>
        </w:rPr>
        <w:t xml:space="preserve"> A positive </w:t>
      </w:r>
      <w:r w:rsidR="00890EBF" w:rsidRPr="00893E6D">
        <w:rPr>
          <w:rFonts w:ascii="Times New Roman" w:hAnsi="Times New Roman" w:cs="Times New Roman"/>
          <w:i/>
          <w:sz w:val="24"/>
          <w:szCs w:val="24"/>
        </w:rPr>
        <w:t>COUNT</w:t>
      </w:r>
      <w:r w:rsidR="00890EBF" w:rsidRPr="00893E6D">
        <w:rPr>
          <w:rFonts w:ascii="Times New Roman" w:hAnsi="Times New Roman" w:cs="Times New Roman"/>
          <w:sz w:val="24"/>
          <w:szCs w:val="24"/>
        </w:rPr>
        <w:t xml:space="preserve"> value indicates more crashes than jumps in a year.</w:t>
      </w:r>
    </w:p>
    <w:p w14:paraId="579D2B40" w14:textId="6F0FA948" w:rsidR="00A05F84" w:rsidRPr="00893E6D" w:rsidRDefault="0076652A" w:rsidP="00A1062B">
      <w:pPr>
        <w:spacing w:line="480" w:lineRule="auto"/>
        <w:jc w:val="both"/>
        <w:rPr>
          <w:rFonts w:ascii="Times New Roman" w:hAnsi="Times New Roman" w:cs="Times New Roman"/>
          <w:b/>
          <w:i/>
          <w:sz w:val="24"/>
          <w:szCs w:val="24"/>
        </w:rPr>
      </w:pPr>
      <w:r w:rsidRPr="00893E6D">
        <w:rPr>
          <w:rFonts w:ascii="Times New Roman" w:hAnsi="Times New Roman" w:cs="Times New Roman"/>
          <w:b/>
          <w:i/>
          <w:sz w:val="24"/>
          <w:szCs w:val="24"/>
        </w:rPr>
        <w:t xml:space="preserve">3.2.2. </w:t>
      </w:r>
      <w:r w:rsidR="00F42C04" w:rsidRPr="00893E6D">
        <w:rPr>
          <w:rFonts w:ascii="Times New Roman" w:hAnsi="Times New Roman" w:cs="Times New Roman"/>
          <w:b/>
          <w:i/>
          <w:sz w:val="24"/>
          <w:szCs w:val="24"/>
        </w:rPr>
        <w:t xml:space="preserve">Control </w:t>
      </w:r>
      <w:r w:rsidR="00D2441F">
        <w:rPr>
          <w:rFonts w:ascii="Times New Roman" w:hAnsi="Times New Roman" w:cs="Times New Roman"/>
          <w:b/>
          <w:i/>
          <w:sz w:val="24"/>
          <w:szCs w:val="24"/>
        </w:rPr>
        <w:t>v</w:t>
      </w:r>
      <w:r w:rsidRPr="00893E6D">
        <w:rPr>
          <w:rFonts w:ascii="Times New Roman" w:hAnsi="Times New Roman" w:cs="Times New Roman"/>
          <w:b/>
          <w:i/>
          <w:sz w:val="24"/>
          <w:szCs w:val="24"/>
        </w:rPr>
        <w:t xml:space="preserve">ariables </w:t>
      </w:r>
    </w:p>
    <w:p w14:paraId="4B2C9DB4" w14:textId="36108BEE" w:rsidR="00F42C04" w:rsidRPr="00AC0D8E" w:rsidRDefault="0086047E" w:rsidP="00A1062B">
      <w:pPr>
        <w:spacing w:line="480" w:lineRule="auto"/>
        <w:ind w:firstLine="720"/>
        <w:jc w:val="both"/>
        <w:rPr>
          <w:rFonts w:ascii="Times New Roman" w:hAnsi="Times New Roman" w:cs="Times New Roman"/>
          <w:i/>
          <w:sz w:val="24"/>
          <w:szCs w:val="24"/>
        </w:rPr>
      </w:pPr>
      <w:r>
        <w:rPr>
          <w:rFonts w:ascii="Times New Roman" w:eastAsiaTheme="minorEastAsia" w:hAnsi="Times New Roman" w:cs="Times New Roman"/>
          <w:sz w:val="24"/>
          <w:szCs w:val="24"/>
        </w:rPr>
        <w:t>W</w:t>
      </w:r>
      <w:r w:rsidR="00B112D4" w:rsidRPr="00893E6D">
        <w:rPr>
          <w:rFonts w:ascii="Times New Roman" w:eastAsiaTheme="minorEastAsia" w:hAnsi="Times New Roman" w:cs="Times New Roman"/>
          <w:sz w:val="24"/>
          <w:szCs w:val="24"/>
        </w:rPr>
        <w:t xml:space="preserve">e </w:t>
      </w:r>
      <w:r w:rsidR="00A05F84" w:rsidRPr="00893E6D">
        <w:rPr>
          <w:rFonts w:ascii="Times New Roman" w:eastAsiaTheme="minorEastAsia" w:hAnsi="Times New Roman" w:cs="Times New Roman"/>
          <w:sz w:val="24"/>
          <w:szCs w:val="24"/>
        </w:rPr>
        <w:t xml:space="preserve">control </w:t>
      </w:r>
      <w:r w:rsidR="00B112D4" w:rsidRPr="00893E6D">
        <w:rPr>
          <w:rFonts w:ascii="Times New Roman" w:eastAsiaTheme="minorEastAsia" w:hAnsi="Times New Roman" w:cs="Times New Roman"/>
          <w:sz w:val="24"/>
          <w:szCs w:val="24"/>
        </w:rPr>
        <w:t xml:space="preserve">for a host of variables </w:t>
      </w:r>
      <w:r w:rsidR="00106C44" w:rsidRPr="00893E6D">
        <w:rPr>
          <w:rFonts w:ascii="Times New Roman" w:eastAsiaTheme="minorEastAsia" w:hAnsi="Times New Roman" w:cs="Times New Roman"/>
          <w:sz w:val="24"/>
          <w:szCs w:val="24"/>
        </w:rPr>
        <w:t xml:space="preserve">that affect </w:t>
      </w:r>
      <w:r w:rsidR="000E2B43" w:rsidRPr="00893E6D">
        <w:rPr>
          <w:rFonts w:ascii="Times New Roman" w:eastAsiaTheme="minorEastAsia" w:hAnsi="Times New Roman" w:cs="Times New Roman"/>
          <w:sz w:val="24"/>
          <w:szCs w:val="24"/>
        </w:rPr>
        <w:t>firm risk</w:t>
      </w:r>
      <w:r w:rsidR="00B325E8">
        <w:rPr>
          <w:rFonts w:ascii="Times New Roman" w:eastAsiaTheme="minorEastAsia" w:hAnsi="Times New Roman" w:cs="Times New Roman"/>
          <w:sz w:val="24"/>
          <w:szCs w:val="24"/>
        </w:rPr>
        <w:t>. S</w:t>
      </w:r>
      <w:r w:rsidR="00B325E8" w:rsidRPr="00893E6D">
        <w:rPr>
          <w:rFonts w:ascii="Times New Roman" w:eastAsiaTheme="minorEastAsia" w:hAnsi="Times New Roman" w:cs="Times New Roman"/>
          <w:sz w:val="24"/>
          <w:szCs w:val="24"/>
        </w:rPr>
        <w:t>ince operating earnings are the major sources of a firm’s earnings and serves as a barometer of the stock price movement most of the time</w:t>
      </w:r>
      <w:r w:rsidR="00B325E8">
        <w:rPr>
          <w:rFonts w:ascii="Times New Roman" w:eastAsiaTheme="minorEastAsia" w:hAnsi="Times New Roman" w:cs="Times New Roman"/>
          <w:sz w:val="24"/>
          <w:szCs w:val="24"/>
        </w:rPr>
        <w:t xml:space="preserve">, </w:t>
      </w:r>
      <w:r w:rsidR="00B112D4" w:rsidRPr="00893E6D">
        <w:rPr>
          <w:rFonts w:ascii="Times New Roman" w:eastAsiaTheme="minorEastAsia" w:hAnsi="Times New Roman" w:cs="Times New Roman"/>
          <w:sz w:val="24"/>
          <w:szCs w:val="24"/>
        </w:rPr>
        <w:t xml:space="preserve">we control for </w:t>
      </w:r>
      <w:r w:rsidR="00B325E8" w:rsidRPr="00893E6D">
        <w:rPr>
          <w:rFonts w:ascii="Times New Roman" w:eastAsiaTheme="minorEastAsia" w:hAnsi="Times New Roman" w:cs="Times New Roman"/>
          <w:sz w:val="24"/>
          <w:szCs w:val="24"/>
        </w:rPr>
        <w:t>operating earnings</w:t>
      </w:r>
      <w:r w:rsidR="00B325E8">
        <w:rPr>
          <w:rFonts w:ascii="Times New Roman" w:eastAsiaTheme="minorEastAsia" w:hAnsi="Times New Roman" w:cs="Times New Roman"/>
          <w:sz w:val="24"/>
          <w:szCs w:val="24"/>
        </w:rPr>
        <w:t>, constructed as</w:t>
      </w:r>
      <w:r w:rsidR="00B112D4" w:rsidRPr="00893E6D">
        <w:rPr>
          <w:rFonts w:ascii="Times New Roman" w:eastAsiaTheme="minorEastAsia" w:hAnsi="Times New Roman" w:cs="Times New Roman"/>
          <w:sz w:val="24"/>
          <w:szCs w:val="24"/>
        </w:rPr>
        <w:t xml:space="preserve"> </w:t>
      </w:r>
      <w:r w:rsidR="00F42C04" w:rsidRPr="00893E6D">
        <w:rPr>
          <w:rFonts w:ascii="Times New Roman" w:eastAsiaTheme="minorEastAsia" w:hAnsi="Times New Roman" w:cs="Times New Roman"/>
          <w:sz w:val="24"/>
          <w:szCs w:val="24"/>
        </w:rPr>
        <w:t>the ratio of operating income</w:t>
      </w:r>
      <w:r w:rsidR="00331B50">
        <w:rPr>
          <w:rFonts w:ascii="Times New Roman" w:eastAsiaTheme="minorEastAsia" w:hAnsi="Times New Roman" w:cs="Times New Roman"/>
          <w:sz w:val="24"/>
          <w:szCs w:val="24"/>
        </w:rPr>
        <w:t xml:space="preserve"> </w:t>
      </w:r>
      <w:r w:rsidR="00F42C04" w:rsidRPr="00893E6D">
        <w:rPr>
          <w:rFonts w:ascii="Times New Roman" w:eastAsiaTheme="minorEastAsia" w:hAnsi="Times New Roman" w:cs="Times New Roman"/>
          <w:sz w:val="24"/>
          <w:szCs w:val="24"/>
        </w:rPr>
        <w:t>to</w:t>
      </w:r>
      <w:r w:rsidR="00331B50">
        <w:rPr>
          <w:rFonts w:ascii="Times New Roman" w:eastAsiaTheme="minorEastAsia" w:hAnsi="Times New Roman" w:cs="Times New Roman"/>
          <w:sz w:val="24"/>
          <w:szCs w:val="24"/>
        </w:rPr>
        <w:t xml:space="preserve"> </w:t>
      </w:r>
      <w:r w:rsidR="00F42C04" w:rsidRPr="00893E6D">
        <w:rPr>
          <w:rFonts w:ascii="Times New Roman" w:eastAsiaTheme="minorEastAsia" w:hAnsi="Times New Roman" w:cs="Times New Roman"/>
          <w:sz w:val="24"/>
          <w:szCs w:val="24"/>
        </w:rPr>
        <w:t>asset</w:t>
      </w:r>
      <w:r w:rsidR="0075600B" w:rsidRPr="00893E6D">
        <w:rPr>
          <w:rFonts w:ascii="Times New Roman" w:eastAsiaTheme="minorEastAsia" w:hAnsi="Times New Roman" w:cs="Times New Roman"/>
          <w:sz w:val="24"/>
          <w:szCs w:val="24"/>
        </w:rPr>
        <w:t>s</w:t>
      </w:r>
      <w:r w:rsidR="00B325E8">
        <w:rPr>
          <w:rFonts w:ascii="Times New Roman" w:eastAsiaTheme="minorEastAsia" w:hAnsi="Times New Roman" w:cs="Times New Roman"/>
          <w:sz w:val="24"/>
          <w:szCs w:val="24"/>
        </w:rPr>
        <w:t xml:space="preserve"> (</w:t>
      </w:r>
      <w:r w:rsidR="00B325E8" w:rsidRPr="00893E6D">
        <w:rPr>
          <w:rFonts w:ascii="Times New Roman" w:eastAsiaTheme="minorEastAsia" w:hAnsi="Times New Roman" w:cs="Times New Roman"/>
          <w:i/>
          <w:sz w:val="24"/>
          <w:szCs w:val="24"/>
        </w:rPr>
        <w:t>OPERINC</w:t>
      </w:r>
      <w:r w:rsidR="00B325E8">
        <w:rPr>
          <w:rFonts w:ascii="Times New Roman" w:eastAsiaTheme="minorEastAsia" w:hAnsi="Times New Roman" w:cs="Times New Roman"/>
          <w:i/>
          <w:sz w:val="24"/>
          <w:szCs w:val="24"/>
        </w:rPr>
        <w:t>)</w:t>
      </w:r>
      <w:r w:rsidR="009C5899">
        <w:rPr>
          <w:rFonts w:ascii="Times New Roman" w:eastAsiaTheme="minorEastAsia" w:hAnsi="Times New Roman" w:cs="Times New Roman"/>
          <w:sz w:val="24"/>
          <w:szCs w:val="24"/>
        </w:rPr>
        <w:t>.</w:t>
      </w:r>
      <w:r w:rsidR="00106C44" w:rsidRPr="00893E6D">
        <w:rPr>
          <w:rFonts w:ascii="Times New Roman" w:eastAsiaTheme="minorEastAsia" w:hAnsi="Times New Roman" w:cs="Times New Roman"/>
          <w:sz w:val="24"/>
          <w:szCs w:val="24"/>
        </w:rPr>
        <w:t xml:space="preserve"> </w:t>
      </w:r>
      <w:r w:rsidR="00984373">
        <w:rPr>
          <w:rFonts w:ascii="Times New Roman" w:eastAsiaTheme="minorEastAsia" w:hAnsi="Times New Roman" w:cs="Times New Roman"/>
          <w:sz w:val="24"/>
          <w:szCs w:val="24"/>
        </w:rPr>
        <w:t>Next, l</w:t>
      </w:r>
      <w:r w:rsidR="00984373" w:rsidRPr="00893E6D">
        <w:rPr>
          <w:rFonts w:ascii="Times New Roman" w:eastAsiaTheme="minorEastAsia" w:hAnsi="Times New Roman" w:cs="Times New Roman"/>
          <w:sz w:val="24"/>
          <w:szCs w:val="24"/>
        </w:rPr>
        <w:t xml:space="preserve">arger </w:t>
      </w:r>
      <w:r w:rsidR="00F42C04" w:rsidRPr="00893E6D">
        <w:rPr>
          <w:rFonts w:ascii="Times New Roman" w:eastAsiaTheme="minorEastAsia" w:hAnsi="Times New Roman" w:cs="Times New Roman"/>
          <w:sz w:val="24"/>
          <w:szCs w:val="24"/>
        </w:rPr>
        <w:t>firms have more resources and</w:t>
      </w:r>
      <w:r w:rsidR="0019382D" w:rsidRPr="00893E6D">
        <w:rPr>
          <w:rFonts w:ascii="Times New Roman" w:eastAsiaTheme="minorEastAsia" w:hAnsi="Times New Roman" w:cs="Times New Roman"/>
          <w:sz w:val="24"/>
          <w:szCs w:val="24"/>
        </w:rPr>
        <w:t xml:space="preserve"> possess strong</w:t>
      </w:r>
      <w:r w:rsidR="005E3246" w:rsidRPr="00893E6D">
        <w:rPr>
          <w:rFonts w:ascii="Times New Roman" w:eastAsiaTheme="minorEastAsia" w:hAnsi="Times New Roman" w:cs="Times New Roman"/>
          <w:sz w:val="24"/>
          <w:szCs w:val="24"/>
        </w:rPr>
        <w:t>er</w:t>
      </w:r>
      <w:r w:rsidR="0019382D" w:rsidRPr="00893E6D">
        <w:rPr>
          <w:rFonts w:ascii="Times New Roman" w:eastAsiaTheme="minorEastAsia" w:hAnsi="Times New Roman" w:cs="Times New Roman"/>
          <w:sz w:val="24"/>
          <w:szCs w:val="24"/>
        </w:rPr>
        <w:t xml:space="preserve"> market power, and </w:t>
      </w:r>
      <w:r w:rsidR="00F42C04" w:rsidRPr="00893E6D">
        <w:rPr>
          <w:rFonts w:ascii="Times New Roman" w:eastAsiaTheme="minorEastAsia" w:hAnsi="Times New Roman" w:cs="Times New Roman"/>
          <w:sz w:val="24"/>
          <w:szCs w:val="24"/>
        </w:rPr>
        <w:t xml:space="preserve">thus </w:t>
      </w:r>
      <w:r w:rsidR="00F42C04" w:rsidRPr="00893E6D">
        <w:rPr>
          <w:rFonts w:ascii="Times New Roman" w:eastAsiaTheme="minorEastAsia" w:hAnsi="Times New Roman" w:cs="Times New Roman"/>
          <w:sz w:val="24"/>
          <w:szCs w:val="24"/>
        </w:rPr>
        <w:lastRenderedPageBreak/>
        <w:t xml:space="preserve">are more capable </w:t>
      </w:r>
      <w:r w:rsidR="00DF744D" w:rsidRPr="00893E6D">
        <w:rPr>
          <w:rFonts w:ascii="Times New Roman" w:eastAsiaTheme="minorEastAsia" w:hAnsi="Times New Roman" w:cs="Times New Roman"/>
          <w:sz w:val="24"/>
          <w:szCs w:val="24"/>
        </w:rPr>
        <w:t xml:space="preserve">of absorbing </w:t>
      </w:r>
      <w:r w:rsidR="003109C5" w:rsidRPr="00893E6D">
        <w:rPr>
          <w:rFonts w:ascii="Times New Roman" w:eastAsiaTheme="minorEastAsia" w:hAnsi="Times New Roman" w:cs="Times New Roman"/>
          <w:sz w:val="24"/>
          <w:szCs w:val="24"/>
        </w:rPr>
        <w:t xml:space="preserve">losses from </w:t>
      </w:r>
      <w:r w:rsidR="00F42C04" w:rsidRPr="00893E6D">
        <w:rPr>
          <w:rFonts w:ascii="Times New Roman" w:eastAsiaTheme="minorEastAsia" w:hAnsi="Times New Roman" w:cs="Times New Roman"/>
          <w:sz w:val="24"/>
          <w:szCs w:val="24"/>
        </w:rPr>
        <w:t>production</w:t>
      </w:r>
      <w:r w:rsidR="0075600B" w:rsidRPr="00893E6D">
        <w:rPr>
          <w:rFonts w:ascii="Times New Roman" w:eastAsiaTheme="minorEastAsia" w:hAnsi="Times New Roman" w:cs="Times New Roman"/>
          <w:sz w:val="24"/>
          <w:szCs w:val="24"/>
        </w:rPr>
        <w:t xml:space="preserve"> disruption</w:t>
      </w:r>
      <w:r w:rsidR="00F42C04" w:rsidRPr="00893E6D">
        <w:rPr>
          <w:rFonts w:ascii="Times New Roman" w:eastAsiaTheme="minorEastAsia" w:hAnsi="Times New Roman" w:cs="Times New Roman"/>
          <w:sz w:val="24"/>
          <w:szCs w:val="24"/>
        </w:rPr>
        <w:t xml:space="preserve"> and</w:t>
      </w:r>
      <w:r w:rsidR="00DF744D" w:rsidRPr="00893E6D">
        <w:rPr>
          <w:rFonts w:ascii="Times New Roman" w:eastAsiaTheme="minorEastAsia" w:hAnsi="Times New Roman" w:cs="Times New Roman"/>
          <w:sz w:val="24"/>
          <w:szCs w:val="24"/>
        </w:rPr>
        <w:t>/or</w:t>
      </w:r>
      <w:r w:rsidR="00F42C04" w:rsidRPr="00893E6D">
        <w:rPr>
          <w:rFonts w:ascii="Times New Roman" w:eastAsiaTheme="minorEastAsia" w:hAnsi="Times New Roman" w:cs="Times New Roman"/>
          <w:sz w:val="24"/>
          <w:szCs w:val="24"/>
        </w:rPr>
        <w:t xml:space="preserve"> </w:t>
      </w:r>
      <w:r w:rsidR="00CC78D1" w:rsidRPr="00893E6D">
        <w:rPr>
          <w:rFonts w:ascii="Times New Roman" w:eastAsiaTheme="minorEastAsia" w:hAnsi="Times New Roman" w:cs="Times New Roman"/>
          <w:sz w:val="24"/>
          <w:szCs w:val="24"/>
        </w:rPr>
        <w:t xml:space="preserve">drop in </w:t>
      </w:r>
      <w:r w:rsidR="00F42C04" w:rsidRPr="00893E6D">
        <w:rPr>
          <w:rFonts w:ascii="Times New Roman" w:eastAsiaTheme="minorEastAsia" w:hAnsi="Times New Roman" w:cs="Times New Roman"/>
          <w:sz w:val="24"/>
          <w:szCs w:val="24"/>
        </w:rPr>
        <w:t xml:space="preserve">sales </w:t>
      </w:r>
      <w:r w:rsidR="0019382D" w:rsidRPr="00893E6D">
        <w:rPr>
          <w:rFonts w:ascii="Times New Roman" w:eastAsiaTheme="minorEastAsia" w:hAnsi="Times New Roman" w:cs="Times New Roman"/>
          <w:sz w:val="24"/>
          <w:szCs w:val="24"/>
        </w:rPr>
        <w:t xml:space="preserve">(Moyer and Chatfield, </w:t>
      </w:r>
      <w:r w:rsidR="00F42C04" w:rsidRPr="00893E6D">
        <w:rPr>
          <w:rFonts w:ascii="Times New Roman" w:eastAsiaTheme="minorEastAsia" w:hAnsi="Times New Roman" w:cs="Times New Roman"/>
          <w:sz w:val="24"/>
          <w:szCs w:val="24"/>
        </w:rPr>
        <w:t>1983)</w:t>
      </w:r>
      <w:r w:rsidR="00A07824">
        <w:rPr>
          <w:rFonts w:ascii="Times New Roman" w:eastAsiaTheme="minorEastAsia" w:hAnsi="Times New Roman" w:cs="Times New Roman"/>
          <w:sz w:val="24"/>
          <w:szCs w:val="24"/>
        </w:rPr>
        <w:t xml:space="preserve">. </w:t>
      </w:r>
      <w:r w:rsidR="007928AE">
        <w:rPr>
          <w:rFonts w:ascii="Times New Roman" w:eastAsiaTheme="minorEastAsia" w:hAnsi="Times New Roman" w:cs="Times New Roman"/>
          <w:sz w:val="24"/>
          <w:szCs w:val="24"/>
        </w:rPr>
        <w:t xml:space="preserve">Large firms </w:t>
      </w:r>
      <w:r w:rsidR="00A07824">
        <w:rPr>
          <w:rFonts w:ascii="Times New Roman" w:eastAsiaTheme="minorEastAsia" w:hAnsi="Times New Roman" w:cs="Times New Roman"/>
          <w:sz w:val="24"/>
          <w:szCs w:val="24"/>
        </w:rPr>
        <w:t>are also</w:t>
      </w:r>
      <w:r w:rsidR="00F42C04" w:rsidRPr="00893E6D">
        <w:rPr>
          <w:rFonts w:ascii="Times New Roman" w:eastAsiaTheme="minorEastAsia" w:hAnsi="Times New Roman" w:cs="Times New Roman"/>
          <w:sz w:val="24"/>
          <w:szCs w:val="24"/>
        </w:rPr>
        <w:t xml:space="preserve"> less likely to experience earnings </w:t>
      </w:r>
      <w:r w:rsidR="00007ED9" w:rsidRPr="00893E6D">
        <w:rPr>
          <w:rFonts w:ascii="Times New Roman" w:eastAsiaTheme="minorEastAsia" w:hAnsi="Times New Roman" w:cs="Times New Roman"/>
          <w:sz w:val="24"/>
          <w:szCs w:val="24"/>
        </w:rPr>
        <w:t xml:space="preserve">and stock price </w:t>
      </w:r>
      <w:r w:rsidR="00F42C04" w:rsidRPr="00893E6D">
        <w:rPr>
          <w:rFonts w:ascii="Times New Roman" w:eastAsiaTheme="minorEastAsia" w:hAnsi="Times New Roman" w:cs="Times New Roman"/>
          <w:sz w:val="24"/>
          <w:szCs w:val="24"/>
        </w:rPr>
        <w:t>volatility.</w:t>
      </w:r>
      <w:r w:rsidR="00581383" w:rsidRPr="00893E6D">
        <w:rPr>
          <w:rFonts w:ascii="Times New Roman" w:eastAsiaTheme="minorEastAsia" w:hAnsi="Times New Roman" w:cs="Times New Roman"/>
          <w:sz w:val="24"/>
          <w:szCs w:val="24"/>
        </w:rPr>
        <w:t xml:space="preserve"> We measure firm size with </w:t>
      </w:r>
      <w:r w:rsidR="00BD6043" w:rsidRPr="00893E6D">
        <w:rPr>
          <w:rFonts w:ascii="Times New Roman" w:hAnsi="Times New Roman" w:cs="Times New Roman"/>
          <w:sz w:val="24"/>
          <w:szCs w:val="24"/>
        </w:rPr>
        <w:t>the natural log of a firm’s total assets</w:t>
      </w:r>
      <w:r w:rsidR="00B325E8">
        <w:rPr>
          <w:rFonts w:ascii="Times New Roman" w:hAnsi="Times New Roman" w:cs="Times New Roman"/>
          <w:i/>
          <w:sz w:val="24"/>
          <w:szCs w:val="24"/>
        </w:rPr>
        <w:t xml:space="preserve"> (</w:t>
      </w:r>
      <w:r w:rsidR="00B112D4" w:rsidRPr="00893E6D">
        <w:rPr>
          <w:rFonts w:ascii="Times New Roman" w:hAnsi="Times New Roman" w:cs="Times New Roman"/>
          <w:i/>
          <w:sz w:val="24"/>
          <w:szCs w:val="24"/>
        </w:rPr>
        <w:t>LNAT</w:t>
      </w:r>
      <w:r w:rsidR="00B325E8">
        <w:rPr>
          <w:rFonts w:ascii="Times New Roman" w:hAnsi="Times New Roman" w:cs="Times New Roman"/>
          <w:i/>
          <w:sz w:val="24"/>
          <w:szCs w:val="24"/>
        </w:rPr>
        <w:t>)</w:t>
      </w:r>
      <w:r w:rsidR="00581383" w:rsidRPr="00893E6D">
        <w:rPr>
          <w:rFonts w:ascii="Times New Roman" w:eastAsiaTheme="minorEastAsia" w:hAnsi="Times New Roman" w:cs="Times New Roman"/>
          <w:i/>
          <w:sz w:val="24"/>
          <w:szCs w:val="24"/>
        </w:rPr>
        <w:t>.</w:t>
      </w:r>
      <w:r w:rsidR="00581383" w:rsidRPr="00893E6D">
        <w:rPr>
          <w:rFonts w:ascii="Times New Roman" w:hAnsi="Times New Roman" w:cs="Times New Roman"/>
          <w:sz w:val="24"/>
          <w:szCs w:val="24"/>
        </w:rPr>
        <w:t xml:space="preserve"> </w:t>
      </w:r>
      <w:r w:rsidR="00F42C04" w:rsidRPr="00893E6D">
        <w:rPr>
          <w:rFonts w:ascii="Times New Roman" w:hAnsi="Times New Roman" w:cs="Times New Roman"/>
          <w:sz w:val="24"/>
          <w:szCs w:val="24"/>
        </w:rPr>
        <w:t>A high</w:t>
      </w:r>
      <w:r w:rsidR="000E2B43" w:rsidRPr="00893E6D">
        <w:rPr>
          <w:rFonts w:ascii="Times New Roman" w:hAnsi="Times New Roman" w:cs="Times New Roman"/>
          <w:sz w:val="24"/>
          <w:szCs w:val="24"/>
        </w:rPr>
        <w:t xml:space="preserve"> </w:t>
      </w:r>
      <w:r w:rsidR="00F42C04" w:rsidRPr="00893E6D">
        <w:rPr>
          <w:rFonts w:ascii="Times New Roman" w:hAnsi="Times New Roman" w:cs="Times New Roman"/>
          <w:sz w:val="24"/>
          <w:szCs w:val="24"/>
        </w:rPr>
        <w:t xml:space="preserve">leveraged firm tends to have </w:t>
      </w:r>
      <w:r w:rsidR="0002730D" w:rsidRPr="00893E6D">
        <w:rPr>
          <w:rFonts w:ascii="Times New Roman" w:hAnsi="Times New Roman" w:cs="Times New Roman"/>
          <w:sz w:val="24"/>
          <w:szCs w:val="24"/>
        </w:rPr>
        <w:t xml:space="preserve">large </w:t>
      </w:r>
      <w:r w:rsidR="00F42C04" w:rsidRPr="00893E6D">
        <w:rPr>
          <w:rFonts w:ascii="Times New Roman" w:hAnsi="Times New Roman" w:cs="Times New Roman"/>
          <w:sz w:val="24"/>
          <w:szCs w:val="24"/>
        </w:rPr>
        <w:t>interest payments</w:t>
      </w:r>
      <w:r w:rsidR="00604D97" w:rsidRPr="00893E6D">
        <w:rPr>
          <w:rFonts w:ascii="Times New Roman" w:hAnsi="Times New Roman" w:cs="Times New Roman"/>
          <w:sz w:val="24"/>
          <w:szCs w:val="24"/>
        </w:rPr>
        <w:t>,</w:t>
      </w:r>
      <w:r w:rsidR="00F42C04" w:rsidRPr="00893E6D">
        <w:rPr>
          <w:rFonts w:ascii="Times New Roman" w:hAnsi="Times New Roman" w:cs="Times New Roman"/>
          <w:sz w:val="24"/>
          <w:szCs w:val="24"/>
        </w:rPr>
        <w:t xml:space="preserve"> which are paid out of </w:t>
      </w:r>
      <w:r w:rsidR="0091426E" w:rsidRPr="00893E6D">
        <w:rPr>
          <w:rFonts w:ascii="Times New Roman" w:hAnsi="Times New Roman" w:cs="Times New Roman"/>
          <w:sz w:val="24"/>
          <w:szCs w:val="24"/>
        </w:rPr>
        <w:t xml:space="preserve">operating </w:t>
      </w:r>
      <w:r w:rsidR="00F42C04" w:rsidRPr="00893E6D">
        <w:rPr>
          <w:rFonts w:ascii="Times New Roman" w:hAnsi="Times New Roman" w:cs="Times New Roman"/>
          <w:sz w:val="24"/>
          <w:szCs w:val="24"/>
        </w:rPr>
        <w:t xml:space="preserve">earnings and consequently </w:t>
      </w:r>
      <w:r w:rsidR="00581383" w:rsidRPr="00893E6D">
        <w:rPr>
          <w:rFonts w:ascii="Times New Roman" w:hAnsi="Times New Roman" w:cs="Times New Roman"/>
          <w:sz w:val="24"/>
          <w:szCs w:val="24"/>
        </w:rPr>
        <w:t>increase</w:t>
      </w:r>
      <w:r w:rsidR="00984373">
        <w:rPr>
          <w:rFonts w:ascii="Times New Roman" w:hAnsi="Times New Roman" w:cs="Times New Roman"/>
          <w:sz w:val="24"/>
          <w:szCs w:val="24"/>
        </w:rPr>
        <w:t>s</w:t>
      </w:r>
      <w:r w:rsidR="00F42C04" w:rsidRPr="00893E6D">
        <w:rPr>
          <w:rFonts w:ascii="Times New Roman" w:hAnsi="Times New Roman" w:cs="Times New Roman"/>
          <w:sz w:val="24"/>
          <w:szCs w:val="24"/>
        </w:rPr>
        <w:t xml:space="preserve"> earnings volatility</w:t>
      </w:r>
      <w:r w:rsidR="00007ED9" w:rsidRPr="00893E6D">
        <w:rPr>
          <w:rStyle w:val="FootnoteReference"/>
          <w:rFonts w:ascii="Times New Roman" w:hAnsi="Times New Roman" w:cs="Times New Roman"/>
          <w:sz w:val="24"/>
          <w:szCs w:val="24"/>
        </w:rPr>
        <w:footnoteReference w:id="6"/>
      </w:r>
      <w:r w:rsidR="00F42C04" w:rsidRPr="00893E6D">
        <w:rPr>
          <w:rFonts w:ascii="Times New Roman" w:hAnsi="Times New Roman" w:cs="Times New Roman"/>
          <w:sz w:val="24"/>
          <w:szCs w:val="24"/>
        </w:rPr>
        <w:t xml:space="preserve">. </w:t>
      </w:r>
      <w:r w:rsidR="00BD6043" w:rsidRPr="00893E6D">
        <w:rPr>
          <w:rFonts w:ascii="Times New Roman" w:eastAsiaTheme="minorEastAsia" w:hAnsi="Times New Roman" w:cs="Times New Roman"/>
          <w:sz w:val="24"/>
          <w:szCs w:val="24"/>
        </w:rPr>
        <w:t xml:space="preserve">We measure </w:t>
      </w:r>
      <w:r w:rsidR="00BD6043" w:rsidRPr="00893E6D">
        <w:rPr>
          <w:rFonts w:ascii="Times New Roman" w:hAnsi="Times New Roman" w:cs="Times New Roman"/>
          <w:sz w:val="24"/>
          <w:szCs w:val="24"/>
        </w:rPr>
        <w:t>f</w:t>
      </w:r>
      <w:r w:rsidR="00733705" w:rsidRPr="00893E6D">
        <w:rPr>
          <w:rFonts w:ascii="Times New Roman" w:hAnsi="Times New Roman" w:cs="Times New Roman"/>
          <w:sz w:val="24"/>
          <w:szCs w:val="24"/>
        </w:rPr>
        <w:t>inancial l</w:t>
      </w:r>
      <w:r w:rsidR="00581383" w:rsidRPr="00893E6D">
        <w:rPr>
          <w:rFonts w:ascii="Times New Roman" w:hAnsi="Times New Roman" w:cs="Times New Roman"/>
          <w:sz w:val="24"/>
          <w:szCs w:val="24"/>
        </w:rPr>
        <w:t xml:space="preserve">everage </w:t>
      </w:r>
      <w:r w:rsidR="0091426E" w:rsidRPr="00893E6D">
        <w:rPr>
          <w:rFonts w:ascii="Times New Roman" w:hAnsi="Times New Roman" w:cs="Times New Roman"/>
          <w:sz w:val="24"/>
          <w:szCs w:val="24"/>
        </w:rPr>
        <w:t>with</w:t>
      </w:r>
      <w:r w:rsidR="00E61DD0" w:rsidRPr="00893E6D">
        <w:rPr>
          <w:rFonts w:ascii="Times New Roman" w:hAnsi="Times New Roman" w:cs="Times New Roman"/>
          <w:sz w:val="24"/>
          <w:szCs w:val="24"/>
        </w:rPr>
        <w:t xml:space="preserve"> </w:t>
      </w:r>
      <w:r w:rsidR="00581383" w:rsidRPr="00893E6D">
        <w:rPr>
          <w:rFonts w:ascii="Times New Roman" w:hAnsi="Times New Roman" w:cs="Times New Roman"/>
          <w:sz w:val="24"/>
          <w:szCs w:val="24"/>
        </w:rPr>
        <w:t>the ratio of long-term debt</w:t>
      </w:r>
      <w:r w:rsidR="004F57C4" w:rsidRPr="00893E6D">
        <w:rPr>
          <w:rFonts w:ascii="Times New Roman" w:hAnsi="Times New Roman" w:cs="Times New Roman"/>
          <w:sz w:val="24"/>
          <w:szCs w:val="24"/>
        </w:rPr>
        <w:t>-</w:t>
      </w:r>
      <w:r w:rsidR="00581383" w:rsidRPr="00893E6D">
        <w:rPr>
          <w:rFonts w:ascii="Times New Roman" w:hAnsi="Times New Roman" w:cs="Times New Roman"/>
          <w:sz w:val="24"/>
          <w:szCs w:val="24"/>
        </w:rPr>
        <w:t>to</w:t>
      </w:r>
      <w:r w:rsidR="004F57C4" w:rsidRPr="00893E6D">
        <w:rPr>
          <w:rFonts w:ascii="Times New Roman" w:hAnsi="Times New Roman" w:cs="Times New Roman"/>
          <w:sz w:val="24"/>
          <w:szCs w:val="24"/>
        </w:rPr>
        <w:t>-</w:t>
      </w:r>
      <w:r w:rsidR="00581383" w:rsidRPr="00893E6D">
        <w:rPr>
          <w:rFonts w:ascii="Times New Roman" w:hAnsi="Times New Roman" w:cs="Times New Roman"/>
          <w:sz w:val="24"/>
          <w:szCs w:val="24"/>
        </w:rPr>
        <w:t>total asset</w:t>
      </w:r>
      <w:r w:rsidR="0075600B" w:rsidRPr="00893E6D">
        <w:rPr>
          <w:rFonts w:ascii="Times New Roman" w:hAnsi="Times New Roman" w:cs="Times New Roman"/>
          <w:sz w:val="24"/>
          <w:szCs w:val="24"/>
        </w:rPr>
        <w:t>s</w:t>
      </w:r>
      <w:r w:rsidR="00B325E8">
        <w:rPr>
          <w:rFonts w:ascii="Times New Roman" w:hAnsi="Times New Roman" w:cs="Times New Roman"/>
          <w:sz w:val="24"/>
          <w:szCs w:val="24"/>
        </w:rPr>
        <w:t xml:space="preserve"> (</w:t>
      </w:r>
      <w:r w:rsidR="00B325E8" w:rsidRPr="00893E6D">
        <w:rPr>
          <w:rFonts w:ascii="Times New Roman" w:hAnsi="Times New Roman" w:cs="Times New Roman"/>
          <w:i/>
          <w:sz w:val="24"/>
          <w:szCs w:val="24"/>
        </w:rPr>
        <w:t>DEBT</w:t>
      </w:r>
      <w:r w:rsidR="00B325E8">
        <w:rPr>
          <w:rFonts w:ascii="Times New Roman" w:hAnsi="Times New Roman" w:cs="Times New Roman"/>
          <w:i/>
          <w:sz w:val="24"/>
          <w:szCs w:val="24"/>
        </w:rPr>
        <w:t>)</w:t>
      </w:r>
      <w:r w:rsidR="00B325E8">
        <w:rPr>
          <w:rFonts w:ascii="Times New Roman" w:hAnsi="Times New Roman" w:cs="Times New Roman"/>
          <w:sz w:val="24"/>
          <w:szCs w:val="24"/>
        </w:rPr>
        <w:t xml:space="preserve"> and proxy </w:t>
      </w:r>
      <w:r w:rsidR="00B325E8">
        <w:rPr>
          <w:rFonts w:ascii="Times New Roman" w:eastAsiaTheme="minorEastAsia" w:hAnsi="Times New Roman" w:cs="Times New Roman"/>
          <w:sz w:val="24"/>
          <w:szCs w:val="24"/>
        </w:rPr>
        <w:t>o</w:t>
      </w:r>
      <w:r w:rsidR="00733705" w:rsidRPr="00893E6D">
        <w:rPr>
          <w:rFonts w:ascii="Times New Roman" w:eastAsiaTheme="minorEastAsia" w:hAnsi="Times New Roman" w:cs="Times New Roman"/>
          <w:sz w:val="24"/>
          <w:szCs w:val="24"/>
        </w:rPr>
        <w:t xml:space="preserve">perating leverage </w:t>
      </w:r>
      <w:r w:rsidR="0091426E" w:rsidRPr="00893E6D">
        <w:rPr>
          <w:rFonts w:ascii="Times New Roman" w:eastAsiaTheme="minorEastAsia" w:hAnsi="Times New Roman" w:cs="Times New Roman"/>
          <w:sz w:val="24"/>
          <w:szCs w:val="24"/>
        </w:rPr>
        <w:t xml:space="preserve">with </w:t>
      </w:r>
      <w:r w:rsidR="00BD6043" w:rsidRPr="00893E6D">
        <w:rPr>
          <w:rFonts w:ascii="Times New Roman" w:eastAsiaTheme="minorEastAsia" w:hAnsi="Times New Roman" w:cs="Times New Roman"/>
          <w:sz w:val="24"/>
          <w:szCs w:val="24"/>
        </w:rPr>
        <w:t>the ratio of net property, plant</w:t>
      </w:r>
      <w:r w:rsidR="00680A1E">
        <w:rPr>
          <w:rFonts w:ascii="Times New Roman" w:eastAsiaTheme="minorEastAsia" w:hAnsi="Times New Roman" w:cs="Times New Roman"/>
          <w:sz w:val="24"/>
          <w:szCs w:val="24"/>
        </w:rPr>
        <w:t>,</w:t>
      </w:r>
      <w:r w:rsidR="00BD6043" w:rsidRPr="00893E6D">
        <w:rPr>
          <w:rFonts w:ascii="Times New Roman" w:eastAsiaTheme="minorEastAsia" w:hAnsi="Times New Roman" w:cs="Times New Roman"/>
          <w:sz w:val="24"/>
          <w:szCs w:val="24"/>
        </w:rPr>
        <w:t xml:space="preserve"> and equipment-to-total asset</w:t>
      </w:r>
      <w:r w:rsidR="0075600B" w:rsidRPr="00893E6D">
        <w:rPr>
          <w:rFonts w:ascii="Times New Roman" w:eastAsiaTheme="minorEastAsia" w:hAnsi="Times New Roman" w:cs="Times New Roman"/>
          <w:sz w:val="24"/>
          <w:szCs w:val="24"/>
        </w:rPr>
        <w:t>s</w:t>
      </w:r>
      <w:r w:rsidR="00680A1E">
        <w:rPr>
          <w:rFonts w:ascii="Times New Roman" w:eastAsiaTheme="minorEastAsia" w:hAnsi="Times New Roman" w:cs="Times New Roman"/>
          <w:sz w:val="24"/>
          <w:szCs w:val="24"/>
        </w:rPr>
        <w:t xml:space="preserve"> </w:t>
      </w:r>
      <w:r w:rsidR="00B325E8">
        <w:rPr>
          <w:rFonts w:ascii="Times New Roman" w:eastAsiaTheme="minorEastAsia" w:hAnsi="Times New Roman" w:cs="Times New Roman"/>
          <w:i/>
          <w:sz w:val="24"/>
          <w:szCs w:val="24"/>
        </w:rPr>
        <w:t>(</w:t>
      </w:r>
      <w:r w:rsidR="00733705" w:rsidRPr="00893E6D">
        <w:rPr>
          <w:rFonts w:ascii="Times New Roman" w:eastAsiaTheme="minorEastAsia" w:hAnsi="Times New Roman" w:cs="Times New Roman"/>
          <w:i/>
          <w:sz w:val="24"/>
          <w:szCs w:val="24"/>
        </w:rPr>
        <w:t>OPERLEV</w:t>
      </w:r>
      <w:r w:rsidR="00B325E8">
        <w:rPr>
          <w:rFonts w:ascii="Times New Roman" w:eastAsiaTheme="minorEastAsia" w:hAnsi="Times New Roman" w:cs="Times New Roman"/>
          <w:sz w:val="24"/>
          <w:szCs w:val="24"/>
        </w:rPr>
        <w:t>).</w:t>
      </w:r>
      <w:r w:rsidR="00B325E8">
        <w:rPr>
          <w:rFonts w:ascii="Times New Roman" w:hAnsi="Times New Roman" w:cs="Times New Roman"/>
          <w:sz w:val="24"/>
          <w:szCs w:val="24"/>
        </w:rPr>
        <w:t xml:space="preserve"> </w:t>
      </w:r>
      <w:r w:rsidR="00A42563" w:rsidRPr="0020085F">
        <w:rPr>
          <w:rFonts w:ascii="Times New Roman" w:hAnsi="Times New Roman" w:cs="Times New Roman"/>
          <w:sz w:val="24"/>
          <w:szCs w:val="24"/>
        </w:rPr>
        <w:t>R&amp;D expenditure (</w:t>
      </w:r>
      <w:r w:rsidR="00A42563" w:rsidRPr="0020085F">
        <w:rPr>
          <w:rFonts w:ascii="Times New Roman" w:hAnsi="Times New Roman" w:cs="Times New Roman"/>
          <w:i/>
          <w:sz w:val="24"/>
          <w:szCs w:val="24"/>
        </w:rPr>
        <w:t>XRD</w:t>
      </w:r>
      <w:r w:rsidR="00A42563" w:rsidRPr="0020085F">
        <w:rPr>
          <w:rFonts w:ascii="Times New Roman" w:hAnsi="Times New Roman" w:cs="Times New Roman"/>
          <w:sz w:val="24"/>
          <w:szCs w:val="24"/>
        </w:rPr>
        <w:t>) and advertising expenditure (</w:t>
      </w:r>
      <w:r w:rsidR="00A42563" w:rsidRPr="0020085F">
        <w:rPr>
          <w:rFonts w:ascii="Times New Roman" w:hAnsi="Times New Roman" w:cs="Times New Roman"/>
          <w:i/>
          <w:sz w:val="24"/>
          <w:szCs w:val="24"/>
        </w:rPr>
        <w:t>XAD</w:t>
      </w:r>
      <w:r w:rsidR="00A42563" w:rsidRPr="0020085F">
        <w:rPr>
          <w:rFonts w:ascii="Times New Roman" w:hAnsi="Times New Roman" w:cs="Times New Roman"/>
          <w:sz w:val="24"/>
          <w:szCs w:val="24"/>
        </w:rPr>
        <w:t xml:space="preserve">) affect a firm’s earnings, </w:t>
      </w:r>
      <w:r w:rsidR="0083320C" w:rsidRPr="0020085F">
        <w:rPr>
          <w:rFonts w:ascii="Times New Roman" w:hAnsi="Times New Roman" w:cs="Times New Roman"/>
          <w:sz w:val="24"/>
          <w:szCs w:val="24"/>
        </w:rPr>
        <w:t xml:space="preserve">earnings </w:t>
      </w:r>
      <w:r w:rsidR="00A42563" w:rsidRPr="0020085F">
        <w:rPr>
          <w:rFonts w:ascii="Times New Roman" w:hAnsi="Times New Roman" w:cs="Times New Roman"/>
          <w:sz w:val="24"/>
          <w:szCs w:val="24"/>
        </w:rPr>
        <w:t>volatility (</w:t>
      </w:r>
      <w:r w:rsidR="00F42C04" w:rsidRPr="0020085F">
        <w:rPr>
          <w:rFonts w:ascii="Times New Roman" w:hAnsi="Times New Roman" w:cs="Times New Roman"/>
          <w:sz w:val="24"/>
          <w:szCs w:val="24"/>
        </w:rPr>
        <w:t xml:space="preserve">Kothari, Laguerre, and </w:t>
      </w:r>
      <w:r w:rsidR="00A42563" w:rsidRPr="0020085F">
        <w:rPr>
          <w:rFonts w:ascii="Times New Roman" w:hAnsi="Times New Roman" w:cs="Times New Roman"/>
          <w:sz w:val="24"/>
          <w:szCs w:val="24"/>
        </w:rPr>
        <w:t xml:space="preserve">Leone, </w:t>
      </w:r>
      <w:r w:rsidR="00F42C04" w:rsidRPr="0020085F">
        <w:rPr>
          <w:rFonts w:ascii="Times New Roman" w:hAnsi="Times New Roman" w:cs="Times New Roman"/>
          <w:sz w:val="24"/>
          <w:szCs w:val="24"/>
        </w:rPr>
        <w:t>2002)</w:t>
      </w:r>
      <w:r w:rsidR="00A42563" w:rsidRPr="0020085F">
        <w:rPr>
          <w:rFonts w:ascii="Times New Roman" w:hAnsi="Times New Roman" w:cs="Times New Roman"/>
          <w:sz w:val="24"/>
          <w:szCs w:val="24"/>
        </w:rPr>
        <w:t xml:space="preserve">, </w:t>
      </w:r>
      <w:r w:rsidR="00B31C6F" w:rsidRPr="0020085F">
        <w:rPr>
          <w:rFonts w:ascii="Times New Roman" w:hAnsi="Times New Roman" w:cs="Times New Roman"/>
          <w:sz w:val="24"/>
          <w:szCs w:val="24"/>
        </w:rPr>
        <w:t>comparative advantage (</w:t>
      </w:r>
      <w:r w:rsidR="00DA7993" w:rsidRPr="0020085F">
        <w:rPr>
          <w:rFonts w:ascii="Times New Roman" w:hAnsi="Times New Roman" w:cs="Times New Roman"/>
          <w:sz w:val="24"/>
          <w:szCs w:val="24"/>
        </w:rPr>
        <w:t>Erickson and Jacobson, 1992)</w:t>
      </w:r>
      <w:r w:rsidR="00B31C6F" w:rsidRPr="0020085F">
        <w:rPr>
          <w:rFonts w:ascii="Times New Roman" w:hAnsi="Times New Roman" w:cs="Times New Roman"/>
          <w:sz w:val="24"/>
          <w:szCs w:val="24"/>
        </w:rPr>
        <w:t>,</w:t>
      </w:r>
      <w:r w:rsidR="00DA7993" w:rsidRPr="0020085F">
        <w:rPr>
          <w:rFonts w:ascii="Times New Roman" w:hAnsi="Times New Roman" w:cs="Times New Roman"/>
          <w:sz w:val="24"/>
          <w:szCs w:val="24"/>
        </w:rPr>
        <w:t xml:space="preserve"> </w:t>
      </w:r>
      <w:r w:rsidR="00A07824" w:rsidRPr="0020085F">
        <w:rPr>
          <w:rFonts w:ascii="Times New Roman" w:hAnsi="Times New Roman" w:cs="Times New Roman"/>
          <w:sz w:val="24"/>
          <w:szCs w:val="24"/>
        </w:rPr>
        <w:t xml:space="preserve">as well as </w:t>
      </w:r>
      <w:r w:rsidR="00A42563" w:rsidRPr="0020085F">
        <w:rPr>
          <w:rFonts w:ascii="Times New Roman" w:hAnsi="Times New Roman" w:cs="Times New Roman"/>
          <w:sz w:val="24"/>
          <w:szCs w:val="24"/>
        </w:rPr>
        <w:t>value</w:t>
      </w:r>
      <w:r w:rsidR="00321337" w:rsidRPr="0020085F">
        <w:rPr>
          <w:rFonts w:ascii="Times New Roman" w:hAnsi="Times New Roman" w:cs="Times New Roman"/>
          <w:sz w:val="24"/>
          <w:szCs w:val="24"/>
        </w:rPr>
        <w:t xml:space="preserve"> (</w:t>
      </w:r>
      <w:hyperlink r:id="rId8" w:tooltip="Search for Chauvin, Keith W." w:history="1">
        <w:r w:rsidR="00321337" w:rsidRPr="0020085F">
          <w:rPr>
            <w:rFonts w:ascii="Times New Roman" w:hAnsi="Times New Roman" w:cs="Times New Roman"/>
            <w:sz w:val="24"/>
            <w:szCs w:val="24"/>
          </w:rPr>
          <w:t xml:space="preserve">Chauvin and </w:t>
        </w:r>
      </w:hyperlink>
      <w:hyperlink r:id="rId9" w:tooltip="Search for Hirschey, Mark" w:history="1">
        <w:proofErr w:type="spellStart"/>
        <w:r w:rsidR="00321337" w:rsidRPr="0020085F">
          <w:rPr>
            <w:rFonts w:ascii="Times New Roman" w:hAnsi="Times New Roman" w:cs="Times New Roman"/>
            <w:sz w:val="24"/>
            <w:szCs w:val="24"/>
          </w:rPr>
          <w:t>Hirschey</w:t>
        </w:r>
        <w:proofErr w:type="spellEnd"/>
        <w:r w:rsidR="00321337" w:rsidRPr="0020085F">
          <w:rPr>
            <w:rFonts w:ascii="Times New Roman" w:hAnsi="Times New Roman" w:cs="Times New Roman"/>
            <w:sz w:val="24"/>
            <w:szCs w:val="24"/>
          </w:rPr>
          <w:t xml:space="preserve">, </w:t>
        </w:r>
      </w:hyperlink>
      <w:r w:rsidR="00B31C6F" w:rsidRPr="0020085F">
        <w:rPr>
          <w:rFonts w:ascii="Times New Roman" w:hAnsi="Times New Roman" w:cs="Times New Roman"/>
          <w:sz w:val="24"/>
          <w:szCs w:val="24"/>
        </w:rPr>
        <w:t>1993</w:t>
      </w:r>
      <w:r w:rsidR="00A07824" w:rsidRPr="0020085F">
        <w:rPr>
          <w:rFonts w:ascii="Times New Roman" w:hAnsi="Times New Roman" w:cs="Times New Roman"/>
          <w:sz w:val="24"/>
          <w:szCs w:val="24"/>
        </w:rPr>
        <w:t>)</w:t>
      </w:r>
      <w:r w:rsidR="00DA7993" w:rsidRPr="0020085F">
        <w:rPr>
          <w:rFonts w:ascii="Times New Roman" w:hAnsi="Times New Roman" w:cs="Times New Roman"/>
          <w:sz w:val="24"/>
          <w:szCs w:val="24"/>
        </w:rPr>
        <w:t>.</w:t>
      </w:r>
      <w:r w:rsidR="00F42C04" w:rsidRPr="0020085F">
        <w:rPr>
          <w:rFonts w:ascii="Times New Roman" w:hAnsi="Times New Roman" w:cs="Times New Roman"/>
          <w:sz w:val="24"/>
          <w:szCs w:val="24"/>
        </w:rPr>
        <w:t xml:space="preserve"> </w:t>
      </w:r>
      <w:r w:rsidR="00984373" w:rsidRPr="0020085F">
        <w:rPr>
          <w:rFonts w:ascii="Times New Roman" w:hAnsi="Times New Roman" w:cs="Times New Roman"/>
          <w:sz w:val="24"/>
          <w:szCs w:val="24"/>
        </w:rPr>
        <w:t xml:space="preserve">It is to be noted that R&amp;D expenditure and advertising expenditure do not necessarily contribute to earnings instantaneously or in the short-term. Investors, though, recognize the potential of such spending to add to long-term earnings and </w:t>
      </w:r>
      <w:r w:rsidR="009B40C4" w:rsidRPr="0020085F">
        <w:rPr>
          <w:rFonts w:ascii="Times New Roman" w:hAnsi="Times New Roman" w:cs="Times New Roman"/>
          <w:sz w:val="24"/>
          <w:szCs w:val="24"/>
        </w:rPr>
        <w:t>may reward</w:t>
      </w:r>
      <w:r w:rsidR="00984373" w:rsidRPr="0020085F">
        <w:rPr>
          <w:rFonts w:ascii="Times New Roman" w:hAnsi="Times New Roman" w:cs="Times New Roman"/>
          <w:sz w:val="24"/>
          <w:szCs w:val="24"/>
        </w:rPr>
        <w:t xml:space="preserve"> firms incurring it</w:t>
      </w:r>
      <w:r w:rsidR="003807A3" w:rsidRPr="0020085F">
        <w:rPr>
          <w:rFonts w:ascii="Times New Roman" w:hAnsi="Times New Roman" w:cs="Times New Roman"/>
          <w:sz w:val="24"/>
          <w:szCs w:val="24"/>
        </w:rPr>
        <w:t>.</w:t>
      </w:r>
      <w:r w:rsidR="00AE75D7" w:rsidRPr="0020085F">
        <w:rPr>
          <w:rStyle w:val="FootnoteReference"/>
          <w:rFonts w:ascii="Times New Roman" w:hAnsi="Times New Roman" w:cs="Times New Roman"/>
          <w:sz w:val="24"/>
          <w:szCs w:val="24"/>
        </w:rPr>
        <w:footnoteReference w:id="7"/>
      </w:r>
      <w:r w:rsidR="00C95CE2" w:rsidRPr="0020085F">
        <w:rPr>
          <w:rFonts w:ascii="Times New Roman" w:hAnsi="Times New Roman" w:cs="Times New Roman"/>
          <w:sz w:val="24"/>
          <w:szCs w:val="24"/>
        </w:rPr>
        <w:t xml:space="preserve"> </w:t>
      </w:r>
      <w:r w:rsidR="003807A3" w:rsidRPr="00AC0D8E">
        <w:rPr>
          <w:rFonts w:ascii="Times New Roman" w:hAnsi="Times New Roman" w:cs="Times New Roman"/>
          <w:sz w:val="24"/>
          <w:szCs w:val="24"/>
        </w:rPr>
        <w:t>We</w:t>
      </w:r>
      <w:r w:rsidR="00C95CE2" w:rsidRPr="00AC0D8E">
        <w:rPr>
          <w:rFonts w:ascii="Times New Roman" w:hAnsi="Times New Roman" w:cs="Times New Roman"/>
          <w:sz w:val="24"/>
          <w:szCs w:val="24"/>
        </w:rPr>
        <w:t xml:space="preserve"> control for </w:t>
      </w:r>
      <w:r w:rsidR="00BA3375" w:rsidRPr="00AC0D8E">
        <w:rPr>
          <w:rFonts w:ascii="Times New Roman" w:hAnsi="Times New Roman" w:cs="Times New Roman"/>
          <w:sz w:val="24"/>
          <w:szCs w:val="24"/>
        </w:rPr>
        <w:t xml:space="preserve">the ratios of </w:t>
      </w:r>
      <w:r w:rsidR="00F42C04" w:rsidRPr="00AC0D8E">
        <w:rPr>
          <w:rFonts w:ascii="Times New Roman" w:hAnsi="Times New Roman" w:cs="Times New Roman"/>
          <w:sz w:val="24"/>
          <w:szCs w:val="24"/>
        </w:rPr>
        <w:t>R&amp;D expenditure</w:t>
      </w:r>
      <w:r w:rsidR="00331B50" w:rsidRPr="00AC0D8E">
        <w:rPr>
          <w:rFonts w:ascii="Times New Roman" w:hAnsi="Times New Roman" w:cs="Times New Roman"/>
          <w:sz w:val="24"/>
          <w:szCs w:val="24"/>
        </w:rPr>
        <w:t xml:space="preserve"> </w:t>
      </w:r>
      <w:r w:rsidR="00F42C04" w:rsidRPr="00AC0D8E">
        <w:rPr>
          <w:rFonts w:ascii="Times New Roman" w:hAnsi="Times New Roman" w:cs="Times New Roman"/>
          <w:sz w:val="24"/>
          <w:szCs w:val="24"/>
        </w:rPr>
        <w:t>to</w:t>
      </w:r>
      <w:r w:rsidR="00331B50" w:rsidRPr="00AC0D8E">
        <w:rPr>
          <w:rFonts w:ascii="Times New Roman" w:hAnsi="Times New Roman" w:cs="Times New Roman"/>
          <w:sz w:val="24"/>
          <w:szCs w:val="24"/>
        </w:rPr>
        <w:t xml:space="preserve"> </w:t>
      </w:r>
      <w:r w:rsidR="00F42C04" w:rsidRPr="00AC0D8E">
        <w:rPr>
          <w:rFonts w:ascii="Times New Roman" w:hAnsi="Times New Roman" w:cs="Times New Roman"/>
          <w:sz w:val="24"/>
          <w:szCs w:val="24"/>
        </w:rPr>
        <w:t>total asset</w:t>
      </w:r>
      <w:r w:rsidR="0075600B" w:rsidRPr="00AC0D8E">
        <w:rPr>
          <w:rFonts w:ascii="Times New Roman" w:hAnsi="Times New Roman" w:cs="Times New Roman"/>
          <w:sz w:val="24"/>
          <w:szCs w:val="24"/>
        </w:rPr>
        <w:t>s</w:t>
      </w:r>
      <w:r w:rsidR="00F42C04" w:rsidRPr="00AC0D8E">
        <w:rPr>
          <w:rFonts w:ascii="Times New Roman" w:hAnsi="Times New Roman" w:cs="Times New Roman"/>
          <w:sz w:val="24"/>
          <w:szCs w:val="24"/>
        </w:rPr>
        <w:t xml:space="preserve"> and advertising expenditure</w:t>
      </w:r>
      <w:r w:rsidR="00331B50" w:rsidRPr="00AC0D8E">
        <w:rPr>
          <w:rFonts w:ascii="Times New Roman" w:hAnsi="Times New Roman" w:cs="Times New Roman"/>
          <w:sz w:val="24"/>
          <w:szCs w:val="24"/>
        </w:rPr>
        <w:t xml:space="preserve"> </w:t>
      </w:r>
      <w:r w:rsidR="00F42C04" w:rsidRPr="00AC0D8E">
        <w:rPr>
          <w:rFonts w:ascii="Times New Roman" w:hAnsi="Times New Roman" w:cs="Times New Roman"/>
          <w:sz w:val="24"/>
          <w:szCs w:val="24"/>
        </w:rPr>
        <w:t>to</w:t>
      </w:r>
      <w:r w:rsidR="00331B50" w:rsidRPr="00AC0D8E">
        <w:rPr>
          <w:rFonts w:ascii="Times New Roman" w:hAnsi="Times New Roman" w:cs="Times New Roman"/>
          <w:sz w:val="24"/>
          <w:szCs w:val="24"/>
        </w:rPr>
        <w:t xml:space="preserve"> </w:t>
      </w:r>
      <w:r w:rsidR="00F42C04" w:rsidRPr="00AC0D8E">
        <w:rPr>
          <w:rFonts w:ascii="Times New Roman" w:hAnsi="Times New Roman" w:cs="Times New Roman"/>
          <w:sz w:val="24"/>
          <w:szCs w:val="24"/>
        </w:rPr>
        <w:t>total asset</w:t>
      </w:r>
      <w:r w:rsidR="0075600B" w:rsidRPr="00AC0D8E">
        <w:rPr>
          <w:rFonts w:ascii="Times New Roman" w:hAnsi="Times New Roman" w:cs="Times New Roman"/>
          <w:sz w:val="24"/>
          <w:szCs w:val="24"/>
        </w:rPr>
        <w:t>s</w:t>
      </w:r>
      <w:r w:rsidR="000E032B" w:rsidRPr="00AC0D8E">
        <w:rPr>
          <w:rFonts w:ascii="Times New Roman" w:hAnsi="Times New Roman" w:cs="Times New Roman"/>
          <w:sz w:val="24"/>
          <w:szCs w:val="24"/>
        </w:rPr>
        <w:t xml:space="preserve"> (</w:t>
      </w:r>
      <w:r w:rsidR="00984373" w:rsidRPr="00AC0D8E">
        <w:rPr>
          <w:rFonts w:ascii="Times New Roman" w:hAnsi="Times New Roman" w:cs="Times New Roman"/>
          <w:sz w:val="24"/>
          <w:szCs w:val="24"/>
        </w:rPr>
        <w:t xml:space="preserve">i.e., </w:t>
      </w:r>
      <w:r w:rsidR="000E032B" w:rsidRPr="00AC0D8E">
        <w:rPr>
          <w:rFonts w:ascii="Times New Roman" w:hAnsi="Times New Roman" w:cs="Times New Roman"/>
          <w:i/>
          <w:sz w:val="24"/>
          <w:szCs w:val="24"/>
        </w:rPr>
        <w:t xml:space="preserve">XRD </w:t>
      </w:r>
      <w:r w:rsidR="000E032B" w:rsidRPr="00AC0D8E">
        <w:rPr>
          <w:rFonts w:ascii="Times New Roman" w:hAnsi="Times New Roman" w:cs="Times New Roman"/>
          <w:sz w:val="24"/>
          <w:szCs w:val="24"/>
        </w:rPr>
        <w:t>and</w:t>
      </w:r>
      <w:r w:rsidR="000E032B" w:rsidRPr="00AC0D8E">
        <w:rPr>
          <w:rFonts w:ascii="Times New Roman" w:hAnsi="Times New Roman" w:cs="Times New Roman"/>
          <w:i/>
          <w:sz w:val="24"/>
          <w:szCs w:val="24"/>
        </w:rPr>
        <w:t xml:space="preserve"> XAD</w:t>
      </w:r>
      <w:r w:rsidR="00984373" w:rsidRPr="00AC0D8E">
        <w:rPr>
          <w:rFonts w:ascii="Times New Roman" w:hAnsi="Times New Roman" w:cs="Times New Roman"/>
          <w:sz w:val="24"/>
          <w:szCs w:val="24"/>
        </w:rPr>
        <w:t>, respectively</w:t>
      </w:r>
      <w:r w:rsidR="00450266" w:rsidRPr="00AC0D8E">
        <w:rPr>
          <w:rFonts w:ascii="Times New Roman" w:hAnsi="Times New Roman" w:cs="Times New Roman"/>
          <w:i/>
          <w:sz w:val="24"/>
          <w:szCs w:val="24"/>
        </w:rPr>
        <w:t>)</w:t>
      </w:r>
      <w:r w:rsidR="009B40C4" w:rsidRPr="00AC0D8E">
        <w:rPr>
          <w:rFonts w:ascii="Times New Roman" w:hAnsi="Times New Roman" w:cs="Times New Roman"/>
          <w:sz w:val="24"/>
          <w:szCs w:val="24"/>
        </w:rPr>
        <w:t xml:space="preserve"> in the multivariate analyses.</w:t>
      </w:r>
    </w:p>
    <w:p w14:paraId="09AADD22" w14:textId="3129ADC6" w:rsidR="00F42C04" w:rsidRPr="00893E6D" w:rsidRDefault="00A07824" w:rsidP="00A1062B">
      <w:pPr>
        <w:spacing w:line="480" w:lineRule="auto"/>
        <w:ind w:firstLine="720"/>
        <w:jc w:val="both"/>
        <w:rPr>
          <w:rFonts w:ascii="Times New Roman" w:eastAsiaTheme="minorEastAsia" w:hAnsi="Times New Roman" w:cs="Times New Roman"/>
          <w:sz w:val="24"/>
          <w:szCs w:val="24"/>
        </w:rPr>
      </w:pPr>
      <w:r w:rsidRPr="00AC0D8E">
        <w:rPr>
          <w:rFonts w:ascii="Times New Roman" w:eastAsiaTheme="minorEastAsia" w:hAnsi="Times New Roman" w:cs="Times New Roman"/>
          <w:sz w:val="24"/>
          <w:szCs w:val="24"/>
        </w:rPr>
        <w:t xml:space="preserve">Pressures from short-term oriented investors may </w:t>
      </w:r>
      <w:r w:rsidR="00850123" w:rsidRPr="00AC0D8E">
        <w:rPr>
          <w:rFonts w:ascii="Times New Roman" w:eastAsiaTheme="minorEastAsia" w:hAnsi="Times New Roman" w:cs="Times New Roman"/>
          <w:sz w:val="24"/>
          <w:szCs w:val="24"/>
        </w:rPr>
        <w:t xml:space="preserve">contribute </w:t>
      </w:r>
      <w:r w:rsidRPr="00AC0D8E">
        <w:rPr>
          <w:rFonts w:ascii="Times New Roman" w:eastAsiaTheme="minorEastAsia" w:hAnsi="Times New Roman" w:cs="Times New Roman"/>
          <w:sz w:val="24"/>
          <w:szCs w:val="24"/>
        </w:rPr>
        <w:t xml:space="preserve">to earnings volatility. </w:t>
      </w:r>
      <w:proofErr w:type="spellStart"/>
      <w:r w:rsidR="00BA2F10" w:rsidRPr="00AC0D8E">
        <w:rPr>
          <w:rFonts w:ascii="Times New Roman" w:eastAsiaTheme="minorEastAsia" w:hAnsi="Times New Roman" w:cs="Times New Roman"/>
          <w:sz w:val="24"/>
          <w:szCs w:val="24"/>
        </w:rPr>
        <w:t>C</w:t>
      </w:r>
      <w:r w:rsidRPr="00AC0D8E">
        <w:rPr>
          <w:rFonts w:ascii="Times New Roman" w:eastAsiaTheme="minorEastAsia" w:hAnsi="Times New Roman" w:cs="Times New Roman"/>
          <w:sz w:val="24"/>
          <w:szCs w:val="24"/>
        </w:rPr>
        <w:t>hichernea</w:t>
      </w:r>
      <w:proofErr w:type="spellEnd"/>
      <w:r w:rsidRPr="00AC0D8E">
        <w:rPr>
          <w:rFonts w:ascii="Times New Roman" w:eastAsiaTheme="minorEastAsia" w:hAnsi="Times New Roman" w:cs="Times New Roman"/>
          <w:sz w:val="24"/>
          <w:szCs w:val="24"/>
        </w:rPr>
        <w:t xml:space="preserve">, </w:t>
      </w:r>
      <w:proofErr w:type="spellStart"/>
      <w:r w:rsidRPr="00AC0D8E">
        <w:rPr>
          <w:rFonts w:ascii="Times New Roman" w:eastAsiaTheme="minorEastAsia" w:hAnsi="Times New Roman" w:cs="Times New Roman"/>
          <w:sz w:val="24"/>
          <w:szCs w:val="24"/>
        </w:rPr>
        <w:t>Petkevich</w:t>
      </w:r>
      <w:proofErr w:type="spellEnd"/>
      <w:r w:rsidRPr="00AC0D8E">
        <w:rPr>
          <w:rFonts w:ascii="Times New Roman" w:eastAsiaTheme="minorEastAsia" w:hAnsi="Times New Roman" w:cs="Times New Roman"/>
          <w:sz w:val="24"/>
          <w:szCs w:val="24"/>
        </w:rPr>
        <w:t xml:space="preserve">, and </w:t>
      </w:r>
      <w:proofErr w:type="spellStart"/>
      <w:r w:rsidRPr="00AC0D8E">
        <w:rPr>
          <w:rFonts w:ascii="Times New Roman" w:eastAsiaTheme="minorEastAsia" w:hAnsi="Times New Roman" w:cs="Times New Roman"/>
          <w:sz w:val="24"/>
          <w:szCs w:val="24"/>
        </w:rPr>
        <w:t>Zykaj</w:t>
      </w:r>
      <w:proofErr w:type="spellEnd"/>
      <w:r w:rsidRPr="00AC0D8E">
        <w:rPr>
          <w:rFonts w:ascii="Times New Roman" w:eastAsiaTheme="minorEastAsia" w:hAnsi="Times New Roman" w:cs="Times New Roman"/>
          <w:sz w:val="24"/>
          <w:szCs w:val="24"/>
        </w:rPr>
        <w:t xml:space="preserve"> (2015) show that short-term (long-term) institutional ownership is associated with higher (lower) idiosyncratic risk. To discriminate between short- and long-term oriented shareholders, we use </w:t>
      </w:r>
      <w:proofErr w:type="spellStart"/>
      <w:r w:rsidRPr="00AC0D8E">
        <w:rPr>
          <w:rFonts w:ascii="Times New Roman" w:eastAsiaTheme="minorEastAsia" w:hAnsi="Times New Roman" w:cs="Times New Roman"/>
          <w:sz w:val="24"/>
          <w:szCs w:val="24"/>
        </w:rPr>
        <w:t>Bushee</w:t>
      </w:r>
      <w:proofErr w:type="spellEnd"/>
      <w:r w:rsidRPr="00AC0D8E">
        <w:rPr>
          <w:rFonts w:ascii="Times New Roman" w:eastAsiaTheme="minorEastAsia" w:hAnsi="Times New Roman" w:cs="Times New Roman"/>
          <w:sz w:val="24"/>
          <w:szCs w:val="24"/>
        </w:rPr>
        <w:t xml:space="preserve"> (2001) classification. Each institutional investor is classified into one of </w:t>
      </w:r>
      <w:r w:rsidR="008D52BE" w:rsidRPr="00AC0D8E">
        <w:rPr>
          <w:rFonts w:ascii="Times New Roman" w:eastAsiaTheme="minorEastAsia" w:hAnsi="Times New Roman" w:cs="Times New Roman"/>
          <w:sz w:val="24"/>
          <w:szCs w:val="24"/>
        </w:rPr>
        <w:t xml:space="preserve">the </w:t>
      </w:r>
      <w:r w:rsidRPr="00AC0D8E">
        <w:rPr>
          <w:rFonts w:ascii="Times New Roman" w:eastAsiaTheme="minorEastAsia" w:hAnsi="Times New Roman" w:cs="Times New Roman"/>
          <w:sz w:val="24"/>
          <w:szCs w:val="24"/>
        </w:rPr>
        <w:t>three types based on their investment horizon</w:t>
      </w:r>
      <w:r w:rsidR="00F42C04" w:rsidRPr="00AC0D8E">
        <w:rPr>
          <w:rFonts w:ascii="Times New Roman" w:eastAsiaTheme="minorEastAsia" w:hAnsi="Times New Roman" w:cs="Times New Roman"/>
          <w:sz w:val="24"/>
          <w:szCs w:val="24"/>
        </w:rPr>
        <w:t xml:space="preserve">, </w:t>
      </w:r>
      <w:r w:rsidR="00C95CE2" w:rsidRPr="00AC0D8E">
        <w:rPr>
          <w:rFonts w:ascii="Times New Roman" w:eastAsiaTheme="minorEastAsia" w:hAnsi="Times New Roman" w:cs="Times New Roman"/>
          <w:sz w:val="24"/>
          <w:szCs w:val="24"/>
        </w:rPr>
        <w:t xml:space="preserve">i.e., </w:t>
      </w:r>
      <w:r w:rsidR="00F42C04" w:rsidRPr="00AC0D8E">
        <w:rPr>
          <w:rFonts w:ascii="Times New Roman" w:hAnsi="Times New Roman" w:cs="Times New Roman"/>
          <w:sz w:val="24"/>
          <w:szCs w:val="24"/>
        </w:rPr>
        <w:t>transient, quasi-index, and dedicated institutional owners</w:t>
      </w:r>
      <w:r w:rsidR="00F42C04" w:rsidRPr="00AC0D8E">
        <w:rPr>
          <w:rFonts w:ascii="Times New Roman" w:eastAsiaTheme="minorEastAsia" w:hAnsi="Times New Roman" w:cs="Times New Roman"/>
          <w:sz w:val="24"/>
          <w:szCs w:val="24"/>
        </w:rPr>
        <w:t xml:space="preserve">. </w:t>
      </w:r>
      <w:r w:rsidR="00F42C04" w:rsidRPr="00AC0D8E">
        <w:rPr>
          <w:rFonts w:ascii="Times New Roman" w:hAnsi="Times New Roman" w:cs="Times New Roman"/>
          <w:i/>
          <w:sz w:val="24"/>
          <w:szCs w:val="24"/>
        </w:rPr>
        <w:t xml:space="preserve">INSTOWN_TRAN, INSTOWN_QIX, </w:t>
      </w:r>
      <w:r w:rsidR="00F42C04" w:rsidRPr="00AC0D8E">
        <w:rPr>
          <w:rFonts w:ascii="Times New Roman" w:hAnsi="Times New Roman" w:cs="Times New Roman"/>
          <w:sz w:val="24"/>
          <w:szCs w:val="24"/>
        </w:rPr>
        <w:t>and</w:t>
      </w:r>
      <w:r w:rsidR="00F42C04" w:rsidRPr="00AC0D8E">
        <w:rPr>
          <w:rFonts w:ascii="Times New Roman" w:hAnsi="Times New Roman" w:cs="Times New Roman"/>
          <w:i/>
          <w:sz w:val="24"/>
          <w:szCs w:val="24"/>
        </w:rPr>
        <w:t xml:space="preserve"> INSTOWN_DED </w:t>
      </w:r>
      <w:r w:rsidR="004F57C4" w:rsidRPr="00AC0D8E">
        <w:rPr>
          <w:rFonts w:ascii="Times New Roman" w:hAnsi="Times New Roman" w:cs="Times New Roman"/>
          <w:sz w:val="24"/>
          <w:szCs w:val="24"/>
        </w:rPr>
        <w:lastRenderedPageBreak/>
        <w:t xml:space="preserve">represent </w:t>
      </w:r>
      <w:r w:rsidR="00F42C04" w:rsidRPr="00AC0D8E">
        <w:rPr>
          <w:rFonts w:ascii="Times New Roman" w:hAnsi="Times New Roman" w:cs="Times New Roman"/>
          <w:sz w:val="24"/>
          <w:szCs w:val="24"/>
        </w:rPr>
        <w:t xml:space="preserve">the percentage of </w:t>
      </w:r>
      <w:r w:rsidR="004F57C4" w:rsidRPr="00AC0D8E">
        <w:rPr>
          <w:rFonts w:ascii="Times New Roman" w:hAnsi="Times New Roman" w:cs="Times New Roman"/>
          <w:sz w:val="24"/>
          <w:szCs w:val="24"/>
        </w:rPr>
        <w:t xml:space="preserve">the </w:t>
      </w:r>
      <w:r w:rsidR="00F42C04" w:rsidRPr="00AC0D8E">
        <w:rPr>
          <w:rFonts w:ascii="Times New Roman" w:hAnsi="Times New Roman" w:cs="Times New Roman"/>
          <w:sz w:val="24"/>
          <w:szCs w:val="24"/>
        </w:rPr>
        <w:t>firm shares held by transient, quasi-index</w:t>
      </w:r>
      <w:r w:rsidR="00A93B71" w:rsidRPr="00AC0D8E">
        <w:rPr>
          <w:rFonts w:ascii="Times New Roman" w:hAnsi="Times New Roman" w:cs="Times New Roman"/>
          <w:sz w:val="24"/>
          <w:szCs w:val="24"/>
        </w:rPr>
        <w:t>,</w:t>
      </w:r>
      <w:r w:rsidR="00F42C04" w:rsidRPr="00AC0D8E">
        <w:rPr>
          <w:rFonts w:ascii="Times New Roman" w:hAnsi="Times New Roman" w:cs="Times New Roman"/>
          <w:sz w:val="24"/>
          <w:szCs w:val="24"/>
        </w:rPr>
        <w:t xml:space="preserve"> and dedicated institutional owners, respectively.</w:t>
      </w:r>
    </w:p>
    <w:p w14:paraId="7D1487F8" w14:textId="7B9A74D5" w:rsidR="00A93B71" w:rsidRPr="00893E6D" w:rsidRDefault="00571C38" w:rsidP="00A1062B">
      <w:pPr>
        <w:spacing w:line="480" w:lineRule="auto"/>
        <w:ind w:firstLine="720"/>
        <w:jc w:val="both"/>
        <w:rPr>
          <w:rFonts w:ascii="Times New Roman" w:eastAsiaTheme="minorEastAsia" w:hAnsi="Times New Roman" w:cs="Times New Roman"/>
          <w:sz w:val="24"/>
          <w:szCs w:val="24"/>
        </w:rPr>
      </w:pPr>
      <w:r w:rsidRPr="00893E6D">
        <w:rPr>
          <w:rFonts w:ascii="Times New Roman" w:eastAsiaTheme="minorEastAsia" w:hAnsi="Times New Roman" w:cs="Times New Roman"/>
          <w:sz w:val="24"/>
          <w:szCs w:val="24"/>
        </w:rPr>
        <w:t>M</w:t>
      </w:r>
      <w:r w:rsidR="00A93B71" w:rsidRPr="00893E6D">
        <w:rPr>
          <w:rFonts w:ascii="Times New Roman" w:eastAsiaTheme="minorEastAsia" w:hAnsi="Times New Roman" w:cs="Times New Roman"/>
          <w:sz w:val="24"/>
          <w:szCs w:val="24"/>
        </w:rPr>
        <w:t>anagerial ability affect</w:t>
      </w:r>
      <w:r w:rsidR="00C95CE2" w:rsidRPr="00893E6D">
        <w:rPr>
          <w:rFonts w:ascii="Times New Roman" w:eastAsiaTheme="minorEastAsia" w:hAnsi="Times New Roman" w:cs="Times New Roman"/>
          <w:sz w:val="24"/>
          <w:szCs w:val="24"/>
        </w:rPr>
        <w:t>s</w:t>
      </w:r>
      <w:r w:rsidR="00A93B71" w:rsidRPr="00893E6D">
        <w:rPr>
          <w:rFonts w:ascii="Times New Roman" w:eastAsiaTheme="minorEastAsia" w:hAnsi="Times New Roman" w:cs="Times New Roman"/>
          <w:sz w:val="24"/>
          <w:szCs w:val="24"/>
        </w:rPr>
        <w:t xml:space="preserve"> firm profitability </w:t>
      </w:r>
      <w:r w:rsidR="00C95CE2" w:rsidRPr="00893E6D">
        <w:rPr>
          <w:rFonts w:ascii="Times New Roman" w:eastAsiaTheme="minorEastAsia" w:hAnsi="Times New Roman" w:cs="Times New Roman"/>
          <w:sz w:val="24"/>
          <w:szCs w:val="24"/>
        </w:rPr>
        <w:t xml:space="preserve">over time </w:t>
      </w:r>
      <w:r w:rsidR="00A93B71" w:rsidRPr="00893E6D">
        <w:rPr>
          <w:rFonts w:ascii="Times New Roman" w:eastAsiaTheme="minorEastAsia" w:hAnsi="Times New Roman" w:cs="Times New Roman"/>
          <w:sz w:val="24"/>
          <w:szCs w:val="24"/>
        </w:rPr>
        <w:t>and</w:t>
      </w:r>
      <w:r w:rsidR="00C95CE2" w:rsidRPr="00893E6D">
        <w:rPr>
          <w:rFonts w:ascii="Times New Roman" w:eastAsiaTheme="minorEastAsia" w:hAnsi="Times New Roman" w:cs="Times New Roman"/>
          <w:sz w:val="24"/>
          <w:szCs w:val="24"/>
        </w:rPr>
        <w:t xml:space="preserve">, </w:t>
      </w:r>
      <w:r w:rsidR="0091426E" w:rsidRPr="00893E6D">
        <w:rPr>
          <w:rFonts w:ascii="Times New Roman" w:eastAsiaTheme="minorEastAsia" w:hAnsi="Times New Roman" w:cs="Times New Roman"/>
          <w:sz w:val="24"/>
          <w:szCs w:val="24"/>
        </w:rPr>
        <w:t>consequently</w:t>
      </w:r>
      <w:r w:rsidR="00C95CE2" w:rsidRPr="00893E6D">
        <w:rPr>
          <w:rFonts w:ascii="Times New Roman" w:eastAsiaTheme="minorEastAsia" w:hAnsi="Times New Roman" w:cs="Times New Roman"/>
          <w:sz w:val="24"/>
          <w:szCs w:val="24"/>
        </w:rPr>
        <w:t>,</w:t>
      </w:r>
      <w:r w:rsidR="00A93B71" w:rsidRPr="00893E6D">
        <w:rPr>
          <w:rFonts w:ascii="Times New Roman" w:eastAsiaTheme="minorEastAsia" w:hAnsi="Times New Roman" w:cs="Times New Roman"/>
          <w:sz w:val="24"/>
          <w:szCs w:val="24"/>
        </w:rPr>
        <w:t xml:space="preserve"> earnings volatility. </w:t>
      </w:r>
      <w:r w:rsidR="00A93B71" w:rsidRPr="00893E6D">
        <w:rPr>
          <w:rFonts w:ascii="Times New Roman" w:hAnsi="Times New Roman" w:cs="Times New Roman"/>
          <w:sz w:val="24"/>
          <w:szCs w:val="24"/>
        </w:rPr>
        <w:t>Yung and Chen (201</w:t>
      </w:r>
      <w:r w:rsidR="008473A8">
        <w:rPr>
          <w:rFonts w:ascii="Times New Roman" w:hAnsi="Times New Roman" w:cs="Times New Roman"/>
          <w:sz w:val="24"/>
          <w:szCs w:val="24"/>
        </w:rPr>
        <w:t>8</w:t>
      </w:r>
      <w:r w:rsidR="00A93B71" w:rsidRPr="00893E6D">
        <w:rPr>
          <w:rFonts w:ascii="Times New Roman" w:hAnsi="Times New Roman" w:cs="Times New Roman"/>
          <w:sz w:val="24"/>
          <w:szCs w:val="24"/>
        </w:rPr>
        <w:t>) posit that managerial ability affect</w:t>
      </w:r>
      <w:r w:rsidRPr="00893E6D">
        <w:rPr>
          <w:rFonts w:ascii="Times New Roman" w:hAnsi="Times New Roman" w:cs="Times New Roman"/>
          <w:sz w:val="24"/>
          <w:szCs w:val="24"/>
        </w:rPr>
        <w:t>s</w:t>
      </w:r>
      <w:r w:rsidR="00A93B71" w:rsidRPr="00893E6D">
        <w:rPr>
          <w:rFonts w:ascii="Times New Roman" w:hAnsi="Times New Roman" w:cs="Times New Roman"/>
          <w:sz w:val="24"/>
          <w:szCs w:val="24"/>
        </w:rPr>
        <w:t xml:space="preserve"> firm risk-taking behavior</w:t>
      </w:r>
      <w:r w:rsidRPr="00893E6D">
        <w:rPr>
          <w:rFonts w:ascii="Times New Roman" w:hAnsi="Times New Roman" w:cs="Times New Roman"/>
          <w:sz w:val="24"/>
          <w:szCs w:val="24"/>
        </w:rPr>
        <w:t xml:space="preserve"> and</w:t>
      </w:r>
      <w:r w:rsidR="00A93B71" w:rsidRPr="00893E6D">
        <w:rPr>
          <w:rFonts w:ascii="Times New Roman" w:hAnsi="Times New Roman" w:cs="Times New Roman"/>
          <w:sz w:val="24"/>
          <w:szCs w:val="24"/>
        </w:rPr>
        <w:t xml:space="preserve"> document that high-ability managers are more likely to take on risky investments. </w:t>
      </w:r>
      <w:r w:rsidR="00BA2F10">
        <w:rPr>
          <w:rFonts w:ascii="Times New Roman" w:hAnsi="Times New Roman" w:cs="Times New Roman"/>
          <w:sz w:val="24"/>
          <w:szCs w:val="24"/>
        </w:rPr>
        <w:t>These</w:t>
      </w:r>
      <w:r w:rsidR="00BA2F10" w:rsidRPr="00893E6D">
        <w:rPr>
          <w:rFonts w:ascii="Times New Roman" w:hAnsi="Times New Roman" w:cs="Times New Roman"/>
          <w:sz w:val="24"/>
          <w:szCs w:val="24"/>
        </w:rPr>
        <w:t xml:space="preserve"> </w:t>
      </w:r>
      <w:r w:rsidR="00A93B71" w:rsidRPr="00893E6D">
        <w:rPr>
          <w:rFonts w:ascii="Times New Roman" w:hAnsi="Times New Roman" w:cs="Times New Roman"/>
          <w:sz w:val="24"/>
          <w:szCs w:val="24"/>
        </w:rPr>
        <w:t>investments can increase earnings volatility</w:t>
      </w:r>
      <w:r w:rsidR="000E032B" w:rsidRPr="00893E6D">
        <w:rPr>
          <w:rFonts w:ascii="Times New Roman" w:hAnsi="Times New Roman" w:cs="Times New Roman"/>
          <w:sz w:val="24"/>
          <w:szCs w:val="24"/>
        </w:rPr>
        <w:t>, cash flow volatility, and</w:t>
      </w:r>
      <w:r w:rsidR="00A07824">
        <w:rPr>
          <w:rFonts w:ascii="Times New Roman" w:hAnsi="Times New Roman" w:cs="Times New Roman"/>
          <w:sz w:val="24"/>
          <w:szCs w:val="24"/>
        </w:rPr>
        <w:t>,</w:t>
      </w:r>
      <w:r w:rsidR="000E032B" w:rsidRPr="00893E6D">
        <w:rPr>
          <w:rFonts w:ascii="Times New Roman" w:hAnsi="Times New Roman" w:cs="Times New Roman"/>
          <w:sz w:val="24"/>
          <w:szCs w:val="24"/>
        </w:rPr>
        <w:t xml:space="preserve"> consequently</w:t>
      </w:r>
      <w:r w:rsidR="00A07824">
        <w:rPr>
          <w:rFonts w:ascii="Times New Roman" w:hAnsi="Times New Roman" w:cs="Times New Roman"/>
          <w:sz w:val="24"/>
          <w:szCs w:val="24"/>
        </w:rPr>
        <w:t>,</w:t>
      </w:r>
      <w:r w:rsidR="000E032B" w:rsidRPr="00893E6D">
        <w:rPr>
          <w:rFonts w:ascii="Times New Roman" w:hAnsi="Times New Roman" w:cs="Times New Roman"/>
          <w:sz w:val="24"/>
          <w:szCs w:val="24"/>
        </w:rPr>
        <w:t xml:space="preserve"> stock price volatility</w:t>
      </w:r>
      <w:r w:rsidR="00A93B71" w:rsidRPr="00893E6D">
        <w:rPr>
          <w:rFonts w:ascii="Times New Roman" w:hAnsi="Times New Roman" w:cs="Times New Roman"/>
          <w:sz w:val="24"/>
          <w:szCs w:val="24"/>
        </w:rPr>
        <w:t>.</w:t>
      </w:r>
      <w:r w:rsidR="00D63834" w:rsidRPr="00893E6D">
        <w:rPr>
          <w:rFonts w:ascii="Times New Roman" w:hAnsi="Times New Roman" w:cs="Times New Roman"/>
          <w:sz w:val="24"/>
          <w:szCs w:val="24"/>
        </w:rPr>
        <w:t xml:space="preserve"> </w:t>
      </w:r>
      <w:r w:rsidR="00A07824" w:rsidRPr="00893E6D">
        <w:rPr>
          <w:rFonts w:ascii="Times New Roman" w:hAnsi="Times New Roman" w:cs="Times New Roman"/>
          <w:sz w:val="24"/>
          <w:szCs w:val="24"/>
        </w:rPr>
        <w:t>Likewise</w:t>
      </w:r>
      <w:r w:rsidR="00C240C0" w:rsidRPr="00893E6D">
        <w:rPr>
          <w:rFonts w:ascii="Times New Roman" w:hAnsi="Times New Roman" w:cs="Times New Roman"/>
          <w:sz w:val="24"/>
          <w:szCs w:val="24"/>
        </w:rPr>
        <w:t xml:space="preserve">, </w:t>
      </w:r>
      <w:r w:rsidR="00D63834" w:rsidRPr="00893E6D">
        <w:rPr>
          <w:rFonts w:ascii="Times New Roman" w:hAnsi="Times New Roman" w:cs="Times New Roman"/>
          <w:sz w:val="24"/>
          <w:szCs w:val="24"/>
        </w:rPr>
        <w:t xml:space="preserve">Habiba and Hassan (2017) find that more able managers tend to overinvest </w:t>
      </w:r>
      <w:r w:rsidR="00BA2F10">
        <w:rPr>
          <w:rFonts w:ascii="Times New Roman" w:hAnsi="Times New Roman" w:cs="Times New Roman"/>
          <w:sz w:val="24"/>
          <w:szCs w:val="24"/>
        </w:rPr>
        <w:t>as well as</w:t>
      </w:r>
      <w:r w:rsidR="00BA2F10" w:rsidRPr="00893E6D">
        <w:rPr>
          <w:rFonts w:ascii="Times New Roman" w:hAnsi="Times New Roman" w:cs="Times New Roman"/>
          <w:sz w:val="24"/>
          <w:szCs w:val="24"/>
        </w:rPr>
        <w:t xml:space="preserve"> </w:t>
      </w:r>
      <w:r w:rsidR="00D63834" w:rsidRPr="00893E6D">
        <w:rPr>
          <w:rFonts w:ascii="Times New Roman" w:hAnsi="Times New Roman" w:cs="Times New Roman"/>
          <w:sz w:val="24"/>
          <w:szCs w:val="24"/>
        </w:rPr>
        <w:t xml:space="preserve">invest in risky projects, resulting in </w:t>
      </w:r>
      <w:r w:rsidR="00A07824">
        <w:rPr>
          <w:rFonts w:ascii="Times New Roman" w:hAnsi="Times New Roman" w:cs="Times New Roman"/>
          <w:sz w:val="24"/>
          <w:szCs w:val="24"/>
        </w:rPr>
        <w:t xml:space="preserve">a </w:t>
      </w:r>
      <w:r w:rsidR="00D63834" w:rsidRPr="00893E6D">
        <w:rPr>
          <w:rFonts w:ascii="Times New Roman" w:hAnsi="Times New Roman" w:cs="Times New Roman"/>
          <w:sz w:val="24"/>
          <w:szCs w:val="24"/>
        </w:rPr>
        <w:t xml:space="preserve">higher stock price crash risk. </w:t>
      </w:r>
      <w:r w:rsidR="00A93B71" w:rsidRPr="00893E6D">
        <w:rPr>
          <w:rFonts w:ascii="Times New Roman" w:eastAsiaTheme="minorEastAsia" w:hAnsi="Times New Roman" w:cs="Times New Roman"/>
          <w:sz w:val="24"/>
          <w:szCs w:val="24"/>
        </w:rPr>
        <w:t>Following Bui</w:t>
      </w:r>
      <w:r w:rsidR="009B5431" w:rsidRPr="00893E6D">
        <w:rPr>
          <w:rFonts w:ascii="Times New Roman" w:eastAsiaTheme="minorEastAsia" w:hAnsi="Times New Roman" w:cs="Times New Roman"/>
          <w:sz w:val="24"/>
          <w:szCs w:val="24"/>
        </w:rPr>
        <w:t>,</w:t>
      </w:r>
      <w:r w:rsidR="00A93B71" w:rsidRPr="00893E6D">
        <w:rPr>
          <w:rFonts w:ascii="Times New Roman" w:eastAsiaTheme="minorEastAsia" w:hAnsi="Times New Roman" w:cs="Times New Roman"/>
          <w:sz w:val="24"/>
          <w:szCs w:val="24"/>
        </w:rPr>
        <w:t xml:space="preserve"> </w:t>
      </w:r>
      <w:r w:rsidR="009B5431" w:rsidRPr="00893E6D">
        <w:rPr>
          <w:rFonts w:ascii="Times New Roman" w:hAnsi="Times New Roman" w:cs="Times New Roman"/>
          <w:sz w:val="24"/>
          <w:szCs w:val="24"/>
        </w:rPr>
        <w:t>Chen, Hasan, and Lin</w:t>
      </w:r>
      <w:r w:rsidR="009B5431" w:rsidRPr="00893E6D" w:rsidDel="009B5431">
        <w:rPr>
          <w:rFonts w:ascii="Times New Roman" w:eastAsiaTheme="minorEastAsia" w:hAnsi="Times New Roman" w:cs="Times New Roman"/>
          <w:i/>
          <w:sz w:val="24"/>
          <w:szCs w:val="24"/>
        </w:rPr>
        <w:t xml:space="preserve"> </w:t>
      </w:r>
      <w:r w:rsidR="00A93B71" w:rsidRPr="00893E6D">
        <w:rPr>
          <w:rFonts w:ascii="Times New Roman" w:eastAsiaTheme="minorEastAsia" w:hAnsi="Times New Roman" w:cs="Times New Roman"/>
          <w:sz w:val="24"/>
          <w:szCs w:val="24"/>
        </w:rPr>
        <w:t>(2018),</w:t>
      </w:r>
      <w:r w:rsidRPr="00893E6D">
        <w:rPr>
          <w:rFonts w:ascii="Times New Roman" w:eastAsiaTheme="minorEastAsia" w:hAnsi="Times New Roman" w:cs="Times New Roman"/>
          <w:sz w:val="24"/>
          <w:szCs w:val="24"/>
        </w:rPr>
        <w:t xml:space="preserve"> we use </w:t>
      </w:r>
      <w:r w:rsidRPr="00893E6D">
        <w:rPr>
          <w:rFonts w:ascii="Times New Roman" w:eastAsiaTheme="minorEastAsia" w:hAnsi="Times New Roman" w:cs="Times New Roman"/>
          <w:i/>
          <w:sz w:val="24"/>
          <w:szCs w:val="24"/>
        </w:rPr>
        <w:t>SKILL</w:t>
      </w:r>
      <w:r w:rsidRPr="00893E6D">
        <w:rPr>
          <w:rFonts w:ascii="Times New Roman" w:eastAsiaTheme="minorEastAsia" w:hAnsi="Times New Roman" w:cs="Times New Roman"/>
          <w:sz w:val="24"/>
          <w:szCs w:val="24"/>
        </w:rPr>
        <w:t xml:space="preserve"> to measure managerial ability. </w:t>
      </w:r>
      <w:r w:rsidRPr="00893E6D">
        <w:rPr>
          <w:rFonts w:ascii="Times New Roman" w:eastAsiaTheme="minorEastAsia" w:hAnsi="Times New Roman" w:cs="Times New Roman"/>
          <w:i/>
          <w:sz w:val="24"/>
          <w:szCs w:val="24"/>
        </w:rPr>
        <w:t>SKILL</w:t>
      </w:r>
      <w:r w:rsidRPr="00893E6D">
        <w:rPr>
          <w:rFonts w:ascii="Times New Roman" w:eastAsiaTheme="minorEastAsia" w:hAnsi="Times New Roman" w:cs="Times New Roman"/>
          <w:sz w:val="24"/>
          <w:szCs w:val="24"/>
        </w:rPr>
        <w:t xml:space="preserve"> </w:t>
      </w:r>
      <w:r w:rsidR="00A93B71" w:rsidRPr="00893E6D">
        <w:rPr>
          <w:rFonts w:ascii="Times New Roman" w:eastAsiaTheme="minorEastAsia" w:hAnsi="Times New Roman" w:cs="Times New Roman"/>
          <w:sz w:val="24"/>
          <w:szCs w:val="24"/>
        </w:rPr>
        <w:t xml:space="preserve">is </w:t>
      </w:r>
      <w:r w:rsidR="008D3023" w:rsidRPr="00893E6D">
        <w:rPr>
          <w:rFonts w:ascii="Times New Roman" w:eastAsiaTheme="minorEastAsia" w:hAnsi="Times New Roman" w:cs="Times New Roman"/>
          <w:sz w:val="24"/>
          <w:szCs w:val="24"/>
        </w:rPr>
        <w:t>an indicator</w:t>
      </w:r>
      <w:r w:rsidR="00A93B71" w:rsidRPr="00893E6D">
        <w:rPr>
          <w:rFonts w:ascii="Times New Roman" w:eastAsiaTheme="minorEastAsia" w:hAnsi="Times New Roman" w:cs="Times New Roman"/>
          <w:sz w:val="24"/>
          <w:szCs w:val="24"/>
        </w:rPr>
        <w:t xml:space="preserve"> variable</w:t>
      </w:r>
      <w:r w:rsidR="008D3023" w:rsidRPr="00893E6D">
        <w:rPr>
          <w:rFonts w:ascii="Times New Roman" w:eastAsiaTheme="minorEastAsia" w:hAnsi="Times New Roman" w:cs="Times New Roman"/>
          <w:sz w:val="24"/>
          <w:szCs w:val="24"/>
        </w:rPr>
        <w:t xml:space="preserve"> which</w:t>
      </w:r>
      <w:r w:rsidR="00A93B71" w:rsidRPr="00893E6D">
        <w:rPr>
          <w:rFonts w:ascii="Times New Roman" w:eastAsiaTheme="minorEastAsia" w:hAnsi="Times New Roman" w:cs="Times New Roman"/>
          <w:sz w:val="24"/>
          <w:szCs w:val="24"/>
        </w:rPr>
        <w:t xml:space="preserve"> equal</w:t>
      </w:r>
      <w:r w:rsidR="008D3023" w:rsidRPr="00893E6D">
        <w:rPr>
          <w:rFonts w:ascii="Times New Roman" w:eastAsiaTheme="minorEastAsia" w:hAnsi="Times New Roman" w:cs="Times New Roman"/>
          <w:sz w:val="24"/>
          <w:szCs w:val="24"/>
        </w:rPr>
        <w:t>s</w:t>
      </w:r>
      <w:r w:rsidR="00A93B71" w:rsidRPr="00893E6D">
        <w:rPr>
          <w:rFonts w:ascii="Times New Roman" w:eastAsiaTheme="minorEastAsia" w:hAnsi="Times New Roman" w:cs="Times New Roman"/>
          <w:sz w:val="24"/>
          <w:szCs w:val="24"/>
        </w:rPr>
        <w:t xml:space="preserve"> 1 for firms with managerial ability scores higher than the median industry scores in the </w:t>
      </w:r>
      <w:r w:rsidR="00E97357">
        <w:rPr>
          <w:rFonts w:ascii="Times New Roman" w:eastAsiaTheme="minorEastAsia" w:hAnsi="Times New Roman" w:cs="Times New Roman"/>
          <w:sz w:val="24"/>
          <w:szCs w:val="24"/>
        </w:rPr>
        <w:t>p</w:t>
      </w:r>
      <w:r w:rsidR="00E97357" w:rsidRPr="00893E6D">
        <w:rPr>
          <w:rFonts w:ascii="Times New Roman" w:eastAsiaTheme="minorEastAsia" w:hAnsi="Times New Roman" w:cs="Times New Roman"/>
          <w:sz w:val="24"/>
          <w:szCs w:val="24"/>
        </w:rPr>
        <w:t xml:space="preserve">ast </w:t>
      </w:r>
      <w:r w:rsidR="00FD4235" w:rsidRPr="00893E6D">
        <w:rPr>
          <w:rFonts w:ascii="Times New Roman" w:eastAsiaTheme="minorEastAsia" w:hAnsi="Times New Roman" w:cs="Times New Roman"/>
          <w:sz w:val="24"/>
          <w:szCs w:val="24"/>
        </w:rPr>
        <w:t xml:space="preserve">three </w:t>
      </w:r>
      <w:r w:rsidR="00A93B71" w:rsidRPr="00893E6D">
        <w:rPr>
          <w:rFonts w:ascii="Times New Roman" w:eastAsiaTheme="minorEastAsia" w:hAnsi="Times New Roman" w:cs="Times New Roman"/>
          <w:sz w:val="24"/>
          <w:szCs w:val="24"/>
        </w:rPr>
        <w:t>years</w:t>
      </w:r>
      <w:r w:rsidRPr="00893E6D">
        <w:rPr>
          <w:rFonts w:ascii="Times New Roman" w:eastAsiaTheme="minorEastAsia" w:hAnsi="Times New Roman" w:cs="Times New Roman"/>
          <w:sz w:val="24"/>
          <w:szCs w:val="24"/>
        </w:rPr>
        <w:t>,</w:t>
      </w:r>
      <w:r w:rsidR="00A93B71" w:rsidRPr="00893E6D">
        <w:rPr>
          <w:rFonts w:ascii="Times New Roman" w:eastAsiaTheme="minorEastAsia" w:hAnsi="Times New Roman" w:cs="Times New Roman"/>
          <w:sz w:val="24"/>
          <w:szCs w:val="24"/>
        </w:rPr>
        <w:t xml:space="preserve"> and 0 otherwise. Data on managerial ability score</w:t>
      </w:r>
      <w:r w:rsidR="00DF744D" w:rsidRPr="00893E6D">
        <w:rPr>
          <w:rFonts w:ascii="Times New Roman" w:eastAsiaTheme="minorEastAsia" w:hAnsi="Times New Roman" w:cs="Times New Roman"/>
          <w:sz w:val="24"/>
          <w:szCs w:val="24"/>
        </w:rPr>
        <w:t>s</w:t>
      </w:r>
      <w:r w:rsidR="00A93B71" w:rsidRPr="00893E6D">
        <w:rPr>
          <w:rFonts w:ascii="Times New Roman" w:eastAsiaTheme="minorEastAsia" w:hAnsi="Times New Roman" w:cs="Times New Roman"/>
          <w:sz w:val="24"/>
          <w:szCs w:val="24"/>
        </w:rPr>
        <w:t xml:space="preserve"> are provided by </w:t>
      </w:r>
      <w:proofErr w:type="spellStart"/>
      <w:r w:rsidR="00A93B71" w:rsidRPr="00893E6D">
        <w:rPr>
          <w:rFonts w:ascii="Times New Roman" w:eastAsiaTheme="minorEastAsia" w:hAnsi="Times New Roman" w:cs="Times New Roman"/>
          <w:sz w:val="24"/>
          <w:szCs w:val="24"/>
        </w:rPr>
        <w:t>Demerjian</w:t>
      </w:r>
      <w:proofErr w:type="spellEnd"/>
      <w:r w:rsidR="00165E5D" w:rsidRPr="00893E6D">
        <w:rPr>
          <w:rFonts w:ascii="Times New Roman" w:eastAsiaTheme="minorEastAsia" w:hAnsi="Times New Roman" w:cs="Times New Roman"/>
          <w:sz w:val="24"/>
          <w:szCs w:val="24"/>
        </w:rPr>
        <w:t>,</w:t>
      </w:r>
      <w:r w:rsidR="00A93B71" w:rsidRPr="00893E6D">
        <w:rPr>
          <w:rFonts w:ascii="Times New Roman" w:eastAsiaTheme="minorEastAsia" w:hAnsi="Times New Roman" w:cs="Times New Roman"/>
          <w:sz w:val="24"/>
          <w:szCs w:val="24"/>
        </w:rPr>
        <w:t xml:space="preserve"> </w:t>
      </w:r>
      <w:r w:rsidR="00165E5D" w:rsidRPr="00893E6D">
        <w:rPr>
          <w:rFonts w:ascii="Times New Roman" w:hAnsi="Times New Roman" w:cs="Times New Roman"/>
          <w:sz w:val="24"/>
          <w:szCs w:val="24"/>
        </w:rPr>
        <w:t xml:space="preserve">Lev, and </w:t>
      </w:r>
      <w:proofErr w:type="spellStart"/>
      <w:r w:rsidR="0023772D" w:rsidRPr="00893E6D">
        <w:rPr>
          <w:rFonts w:ascii="Times New Roman" w:hAnsi="Times New Roman" w:cs="Times New Roman"/>
          <w:sz w:val="24"/>
          <w:szCs w:val="24"/>
        </w:rPr>
        <w:t>McVay</w:t>
      </w:r>
      <w:proofErr w:type="spellEnd"/>
      <w:r w:rsidR="0023772D" w:rsidRPr="00893E6D" w:rsidDel="00165E5D">
        <w:rPr>
          <w:rFonts w:ascii="Times New Roman" w:eastAsiaTheme="minorEastAsia" w:hAnsi="Times New Roman" w:cs="Times New Roman"/>
          <w:i/>
          <w:sz w:val="24"/>
          <w:szCs w:val="24"/>
        </w:rPr>
        <w:t xml:space="preserve"> </w:t>
      </w:r>
      <w:r w:rsidR="0023772D" w:rsidRPr="00893E6D">
        <w:rPr>
          <w:rFonts w:ascii="Times New Roman" w:eastAsiaTheme="minorEastAsia" w:hAnsi="Times New Roman" w:cs="Times New Roman"/>
          <w:sz w:val="24"/>
          <w:szCs w:val="24"/>
        </w:rPr>
        <w:t>(</w:t>
      </w:r>
      <w:r w:rsidR="00A93B71" w:rsidRPr="00893E6D">
        <w:rPr>
          <w:rFonts w:ascii="Times New Roman" w:eastAsiaTheme="minorEastAsia" w:hAnsi="Times New Roman" w:cs="Times New Roman"/>
          <w:sz w:val="24"/>
          <w:szCs w:val="24"/>
        </w:rPr>
        <w:t xml:space="preserve">2012). Using data envelopment analysis, </w:t>
      </w:r>
      <w:proofErr w:type="spellStart"/>
      <w:r w:rsidR="00A93B71" w:rsidRPr="00893E6D">
        <w:rPr>
          <w:rFonts w:ascii="Times New Roman" w:eastAsiaTheme="minorEastAsia" w:hAnsi="Times New Roman" w:cs="Times New Roman"/>
          <w:sz w:val="24"/>
          <w:szCs w:val="24"/>
        </w:rPr>
        <w:t>Demerjian</w:t>
      </w:r>
      <w:proofErr w:type="spellEnd"/>
      <w:r w:rsidR="00A93B71" w:rsidRPr="00893E6D">
        <w:rPr>
          <w:rFonts w:ascii="Times New Roman" w:eastAsiaTheme="minorEastAsia" w:hAnsi="Times New Roman" w:cs="Times New Roman"/>
          <w:sz w:val="24"/>
          <w:szCs w:val="24"/>
        </w:rPr>
        <w:t xml:space="preserve"> </w:t>
      </w:r>
      <w:r w:rsidR="00A93B71" w:rsidRPr="00893E6D">
        <w:rPr>
          <w:rFonts w:ascii="Times New Roman" w:eastAsiaTheme="minorEastAsia" w:hAnsi="Times New Roman" w:cs="Times New Roman"/>
          <w:i/>
          <w:sz w:val="24"/>
          <w:szCs w:val="24"/>
        </w:rPr>
        <w:t>et al</w:t>
      </w:r>
      <w:r w:rsidR="00A93B71" w:rsidRPr="00893E6D">
        <w:rPr>
          <w:rFonts w:ascii="Times New Roman" w:eastAsiaTheme="minorEastAsia" w:hAnsi="Times New Roman" w:cs="Times New Roman"/>
          <w:sz w:val="24"/>
          <w:szCs w:val="24"/>
        </w:rPr>
        <w:t>. (2012) compare the combination of revenues (as the output) and revenue-generating sources (as the inputs) among firms in the same industry and derive a total firm efficiency score</w:t>
      </w:r>
      <w:r w:rsidR="00FD4235" w:rsidRPr="00893E6D">
        <w:rPr>
          <w:rFonts w:ascii="Times New Roman" w:eastAsiaTheme="minorEastAsia" w:hAnsi="Times New Roman" w:cs="Times New Roman"/>
          <w:sz w:val="24"/>
          <w:szCs w:val="24"/>
        </w:rPr>
        <w:t>,</w:t>
      </w:r>
      <w:r w:rsidRPr="00893E6D">
        <w:rPr>
          <w:rFonts w:ascii="Times New Roman" w:eastAsiaTheme="minorEastAsia" w:hAnsi="Times New Roman" w:cs="Times New Roman"/>
          <w:sz w:val="24"/>
          <w:szCs w:val="24"/>
        </w:rPr>
        <w:t xml:space="preserve"> which</w:t>
      </w:r>
      <w:r w:rsidR="00A93B71" w:rsidRPr="00893E6D">
        <w:rPr>
          <w:rFonts w:ascii="Times New Roman" w:eastAsiaTheme="minorEastAsia" w:hAnsi="Times New Roman" w:cs="Times New Roman"/>
          <w:sz w:val="24"/>
          <w:szCs w:val="24"/>
        </w:rPr>
        <w:t xml:space="preserve"> captures how efficient a firm is in generating outputs given </w:t>
      </w:r>
      <w:r w:rsidR="00BA2F10">
        <w:rPr>
          <w:rFonts w:ascii="Times New Roman" w:eastAsiaTheme="minorEastAsia" w:hAnsi="Times New Roman" w:cs="Times New Roman"/>
          <w:sz w:val="24"/>
          <w:szCs w:val="24"/>
        </w:rPr>
        <w:t xml:space="preserve">a </w:t>
      </w:r>
      <w:r w:rsidR="00A93B71" w:rsidRPr="00893E6D">
        <w:rPr>
          <w:rFonts w:ascii="Times New Roman" w:eastAsiaTheme="minorEastAsia" w:hAnsi="Times New Roman" w:cs="Times New Roman"/>
          <w:sz w:val="24"/>
          <w:szCs w:val="24"/>
        </w:rPr>
        <w:t xml:space="preserve">set of inputs. </w:t>
      </w:r>
      <w:r w:rsidR="00DF744D" w:rsidRPr="00893E6D">
        <w:rPr>
          <w:rFonts w:ascii="Times New Roman" w:eastAsiaTheme="minorEastAsia" w:hAnsi="Times New Roman" w:cs="Times New Roman"/>
          <w:sz w:val="24"/>
          <w:szCs w:val="24"/>
        </w:rPr>
        <w:t>They</w:t>
      </w:r>
      <w:r w:rsidR="00A93B71" w:rsidRPr="00893E6D">
        <w:rPr>
          <w:rFonts w:ascii="Times New Roman" w:eastAsiaTheme="minorEastAsia" w:hAnsi="Times New Roman" w:cs="Times New Roman"/>
          <w:sz w:val="24"/>
          <w:szCs w:val="24"/>
        </w:rPr>
        <w:t xml:space="preserve"> then </w:t>
      </w:r>
      <w:r w:rsidR="00A07824" w:rsidRPr="00893E6D">
        <w:rPr>
          <w:rFonts w:ascii="Times New Roman" w:eastAsiaTheme="minorEastAsia" w:hAnsi="Times New Roman" w:cs="Times New Roman"/>
          <w:sz w:val="24"/>
          <w:szCs w:val="24"/>
        </w:rPr>
        <w:t>regress</w:t>
      </w:r>
      <w:r w:rsidR="00A07824">
        <w:rPr>
          <w:rFonts w:ascii="Times New Roman" w:eastAsiaTheme="minorEastAsia" w:hAnsi="Times New Roman" w:cs="Times New Roman"/>
          <w:sz w:val="24"/>
          <w:szCs w:val="24"/>
        </w:rPr>
        <w:t xml:space="preserve"> the</w:t>
      </w:r>
      <w:r w:rsidR="00A93B71" w:rsidRPr="00893E6D">
        <w:rPr>
          <w:rFonts w:ascii="Times New Roman" w:eastAsiaTheme="minorEastAsia" w:hAnsi="Times New Roman" w:cs="Times New Roman"/>
          <w:sz w:val="24"/>
          <w:szCs w:val="24"/>
        </w:rPr>
        <w:t xml:space="preserve"> total firm efficiency score on a set of firm characteristics. The residuals from the regression capture firm efficiency that cannot be explained by firm characteristics and thus </w:t>
      </w:r>
      <w:r w:rsidR="00A07824">
        <w:rPr>
          <w:rFonts w:ascii="Times New Roman" w:eastAsiaTheme="minorEastAsia" w:hAnsi="Times New Roman" w:cs="Times New Roman"/>
          <w:sz w:val="24"/>
          <w:szCs w:val="24"/>
        </w:rPr>
        <w:t xml:space="preserve">are </w:t>
      </w:r>
      <w:r w:rsidR="00A93B71" w:rsidRPr="00893E6D">
        <w:rPr>
          <w:rFonts w:ascii="Times New Roman" w:eastAsiaTheme="minorEastAsia" w:hAnsi="Times New Roman" w:cs="Times New Roman"/>
          <w:sz w:val="24"/>
          <w:szCs w:val="24"/>
        </w:rPr>
        <w:t>attributed to managerial ability.</w:t>
      </w:r>
    </w:p>
    <w:p w14:paraId="17B12437" w14:textId="5DB15552" w:rsidR="00A93B71" w:rsidRPr="00893E6D" w:rsidRDefault="00A93B71" w:rsidP="00A1062B">
      <w:pPr>
        <w:spacing w:line="480" w:lineRule="auto"/>
        <w:ind w:firstLine="720"/>
        <w:jc w:val="both"/>
        <w:rPr>
          <w:rFonts w:ascii="Times New Roman" w:hAnsi="Times New Roman" w:cs="Times New Roman"/>
          <w:sz w:val="24"/>
          <w:szCs w:val="24"/>
        </w:rPr>
      </w:pPr>
      <w:proofErr w:type="spellStart"/>
      <w:r w:rsidRPr="00893E6D">
        <w:rPr>
          <w:rFonts w:ascii="Times New Roman" w:hAnsi="Times New Roman" w:cs="Times New Roman"/>
          <w:sz w:val="24"/>
          <w:szCs w:val="24"/>
        </w:rPr>
        <w:t>Raith</w:t>
      </w:r>
      <w:proofErr w:type="spellEnd"/>
      <w:r w:rsidRPr="00893E6D">
        <w:rPr>
          <w:rFonts w:ascii="Times New Roman" w:hAnsi="Times New Roman" w:cs="Times New Roman"/>
          <w:sz w:val="24"/>
          <w:szCs w:val="24"/>
        </w:rPr>
        <w:t xml:space="preserve"> (2003) show</w:t>
      </w:r>
      <w:r w:rsidR="0091426E" w:rsidRPr="00893E6D">
        <w:rPr>
          <w:rFonts w:ascii="Times New Roman" w:hAnsi="Times New Roman" w:cs="Times New Roman"/>
          <w:sz w:val="24"/>
          <w:szCs w:val="24"/>
        </w:rPr>
        <w:t>s</w:t>
      </w:r>
      <w:r w:rsidRPr="00893E6D">
        <w:rPr>
          <w:rFonts w:ascii="Times New Roman" w:hAnsi="Times New Roman" w:cs="Times New Roman"/>
          <w:sz w:val="24"/>
          <w:szCs w:val="24"/>
        </w:rPr>
        <w:t xml:space="preserve"> that product market competition and </w:t>
      </w:r>
      <w:r w:rsidR="00981A3E">
        <w:rPr>
          <w:rFonts w:ascii="Times New Roman" w:hAnsi="Times New Roman" w:cs="Times New Roman"/>
          <w:sz w:val="24"/>
          <w:szCs w:val="24"/>
        </w:rPr>
        <w:t>the</w:t>
      </w:r>
      <w:r w:rsidR="00981A3E" w:rsidRPr="00893E6D">
        <w:rPr>
          <w:rFonts w:ascii="Times New Roman" w:hAnsi="Times New Roman" w:cs="Times New Roman"/>
          <w:sz w:val="24"/>
          <w:szCs w:val="24"/>
        </w:rPr>
        <w:t xml:space="preserve"> threat</w:t>
      </w:r>
      <w:r w:rsidRPr="00893E6D">
        <w:rPr>
          <w:rFonts w:ascii="Times New Roman" w:hAnsi="Times New Roman" w:cs="Times New Roman"/>
          <w:sz w:val="24"/>
          <w:szCs w:val="24"/>
        </w:rPr>
        <w:t xml:space="preserve"> of product substitutability induce </w:t>
      </w:r>
      <w:r w:rsidR="000E032B" w:rsidRPr="00893E6D">
        <w:rPr>
          <w:rFonts w:ascii="Times New Roman" w:hAnsi="Times New Roman" w:cs="Times New Roman"/>
          <w:sz w:val="24"/>
          <w:szCs w:val="24"/>
        </w:rPr>
        <w:t>managers to reduce cost</w:t>
      </w:r>
      <w:r w:rsidR="003708C4" w:rsidRPr="00893E6D">
        <w:rPr>
          <w:rFonts w:ascii="Times New Roman" w:hAnsi="Times New Roman" w:cs="Times New Roman"/>
          <w:sz w:val="24"/>
          <w:szCs w:val="24"/>
        </w:rPr>
        <w:t>s</w:t>
      </w:r>
      <w:r w:rsidR="000E032B" w:rsidRPr="00893E6D">
        <w:rPr>
          <w:rFonts w:ascii="Times New Roman" w:hAnsi="Times New Roman" w:cs="Times New Roman"/>
          <w:sz w:val="24"/>
          <w:szCs w:val="24"/>
        </w:rPr>
        <w:t>, leading to increased earnings volatility and stock price volatility</w:t>
      </w:r>
      <w:r w:rsidRPr="00893E6D">
        <w:rPr>
          <w:rFonts w:ascii="Times New Roman" w:hAnsi="Times New Roman" w:cs="Times New Roman"/>
          <w:sz w:val="24"/>
          <w:szCs w:val="24"/>
        </w:rPr>
        <w:t xml:space="preserve">. </w:t>
      </w:r>
      <w:r w:rsidR="00C240C0" w:rsidRPr="00893E6D">
        <w:rPr>
          <w:rFonts w:ascii="Times New Roman" w:hAnsi="Times New Roman" w:cs="Times New Roman"/>
          <w:sz w:val="24"/>
          <w:szCs w:val="24"/>
        </w:rPr>
        <w:t xml:space="preserve">We </w:t>
      </w:r>
      <w:r w:rsidRPr="00893E6D">
        <w:rPr>
          <w:rFonts w:ascii="Times New Roman" w:hAnsi="Times New Roman" w:cs="Times New Roman"/>
          <w:sz w:val="24"/>
          <w:szCs w:val="24"/>
        </w:rPr>
        <w:t xml:space="preserve">control for </w:t>
      </w:r>
      <w:r w:rsidR="00C240C0" w:rsidRPr="00893E6D">
        <w:rPr>
          <w:rFonts w:ascii="Times New Roman" w:hAnsi="Times New Roman" w:cs="Times New Roman"/>
          <w:sz w:val="24"/>
          <w:szCs w:val="24"/>
        </w:rPr>
        <w:t xml:space="preserve">the impact of </w:t>
      </w:r>
      <w:r w:rsidRPr="00893E6D">
        <w:rPr>
          <w:rFonts w:ascii="Times New Roman" w:hAnsi="Times New Roman" w:cs="Times New Roman"/>
          <w:sz w:val="24"/>
          <w:szCs w:val="24"/>
        </w:rPr>
        <w:t>product market competition on earnings volatility</w:t>
      </w:r>
      <w:r w:rsidR="00D846F1" w:rsidRPr="00893E6D">
        <w:rPr>
          <w:rFonts w:ascii="Times New Roman" w:hAnsi="Times New Roman" w:cs="Times New Roman"/>
          <w:sz w:val="24"/>
          <w:szCs w:val="24"/>
        </w:rPr>
        <w:t xml:space="preserve"> by including</w:t>
      </w:r>
      <w:r w:rsidR="0091426E" w:rsidRPr="00893E6D">
        <w:rPr>
          <w:rFonts w:ascii="Times New Roman" w:hAnsi="Times New Roman" w:cs="Times New Roman"/>
          <w:sz w:val="24"/>
          <w:szCs w:val="24"/>
        </w:rPr>
        <w:t xml:space="preserve"> </w:t>
      </w:r>
      <w:r w:rsidR="00571C38" w:rsidRPr="00893E6D">
        <w:rPr>
          <w:rFonts w:ascii="Times New Roman" w:hAnsi="Times New Roman" w:cs="Times New Roman"/>
          <w:i/>
          <w:sz w:val="24"/>
          <w:szCs w:val="24"/>
        </w:rPr>
        <w:t>MKTCON</w:t>
      </w:r>
      <w:r w:rsidR="0091426E" w:rsidRPr="00893E6D">
        <w:rPr>
          <w:rFonts w:ascii="Times New Roman" w:hAnsi="Times New Roman" w:cs="Times New Roman"/>
          <w:i/>
          <w:sz w:val="24"/>
          <w:szCs w:val="24"/>
        </w:rPr>
        <w:t xml:space="preserve">, </w:t>
      </w:r>
      <w:r w:rsidR="0091426E" w:rsidRPr="00893E6D">
        <w:rPr>
          <w:rFonts w:ascii="Times New Roman" w:hAnsi="Times New Roman" w:cs="Times New Roman"/>
          <w:iCs/>
          <w:sz w:val="24"/>
          <w:szCs w:val="24"/>
        </w:rPr>
        <w:t>constructed</w:t>
      </w:r>
      <w:r w:rsidRPr="00893E6D">
        <w:rPr>
          <w:rFonts w:ascii="Times New Roman" w:hAnsi="Times New Roman" w:cs="Times New Roman"/>
          <w:iCs/>
          <w:sz w:val="24"/>
          <w:szCs w:val="24"/>
        </w:rPr>
        <w:t xml:space="preserve"> </w:t>
      </w:r>
      <w:r w:rsidR="00571C38" w:rsidRPr="00893E6D">
        <w:rPr>
          <w:rFonts w:ascii="Times New Roman" w:hAnsi="Times New Roman" w:cs="Times New Roman"/>
          <w:sz w:val="24"/>
          <w:szCs w:val="24"/>
        </w:rPr>
        <w:t xml:space="preserve">as </w:t>
      </w:r>
      <w:r w:rsidRPr="00893E6D">
        <w:rPr>
          <w:rFonts w:ascii="Times New Roman" w:hAnsi="Times New Roman" w:cs="Times New Roman"/>
          <w:sz w:val="24"/>
          <w:szCs w:val="24"/>
        </w:rPr>
        <w:t>the Herfindahl sales-based industry concentration (i.e.</w:t>
      </w:r>
      <w:r w:rsidR="00981A3E">
        <w:rPr>
          <w:rFonts w:ascii="Times New Roman" w:hAnsi="Times New Roman" w:cs="Times New Roman"/>
          <w:sz w:val="24"/>
          <w:szCs w:val="24"/>
        </w:rPr>
        <w:t>,</w:t>
      </w:r>
      <w:r w:rsidRPr="00893E6D">
        <w:rPr>
          <w:rFonts w:ascii="Times New Roman" w:hAnsi="Times New Roman" w:cs="Times New Roman"/>
          <w:sz w:val="24"/>
          <w:szCs w:val="24"/>
        </w:rPr>
        <w:t xml:space="preserve"> the sum of the squared firm </w:t>
      </w:r>
      <w:r w:rsidR="00FD4235" w:rsidRPr="00893E6D">
        <w:rPr>
          <w:rFonts w:ascii="Times New Roman" w:hAnsi="Times New Roman" w:cs="Times New Roman"/>
          <w:sz w:val="24"/>
          <w:szCs w:val="24"/>
        </w:rPr>
        <w:t>sales-to-</w:t>
      </w:r>
      <w:r w:rsidRPr="00893E6D">
        <w:rPr>
          <w:rFonts w:ascii="Times New Roman" w:hAnsi="Times New Roman" w:cs="Times New Roman"/>
          <w:sz w:val="24"/>
          <w:szCs w:val="24"/>
        </w:rPr>
        <w:t>industry sales ratio).</w:t>
      </w:r>
    </w:p>
    <w:p w14:paraId="44C4D576" w14:textId="16064872" w:rsidR="0019382D" w:rsidRPr="00893E6D" w:rsidRDefault="002811CB" w:rsidP="00A1062B">
      <w:pPr>
        <w:spacing w:line="480" w:lineRule="auto"/>
        <w:ind w:firstLine="720"/>
        <w:jc w:val="both"/>
        <w:rPr>
          <w:rFonts w:ascii="Times New Roman" w:hAnsi="Times New Roman" w:cs="Times New Roman"/>
          <w:sz w:val="24"/>
          <w:szCs w:val="24"/>
        </w:rPr>
      </w:pPr>
      <w:r>
        <w:rPr>
          <w:rFonts w:ascii="Times New Roman" w:eastAsiaTheme="minorEastAsia" w:hAnsi="Times New Roman" w:cs="Times New Roman"/>
          <w:sz w:val="24"/>
          <w:szCs w:val="24"/>
        </w:rPr>
        <w:lastRenderedPageBreak/>
        <w:t>High turnover can affect stock</w:t>
      </w:r>
      <w:r w:rsidR="0019382D" w:rsidRPr="00893E6D">
        <w:rPr>
          <w:rFonts w:ascii="Times New Roman" w:eastAsiaTheme="minorEastAsia" w:hAnsi="Times New Roman" w:cs="Times New Roman"/>
          <w:sz w:val="24"/>
          <w:szCs w:val="24"/>
        </w:rPr>
        <w:t xml:space="preserve"> return volatility</w:t>
      </w:r>
      <w:r w:rsidR="00981A3E">
        <w:rPr>
          <w:rFonts w:ascii="Times New Roman" w:eastAsiaTheme="minorEastAsia" w:hAnsi="Times New Roman" w:cs="Times New Roman"/>
          <w:sz w:val="24"/>
          <w:szCs w:val="24"/>
        </w:rPr>
        <w:t xml:space="preserve"> (</w:t>
      </w:r>
      <w:proofErr w:type="spellStart"/>
      <w:r w:rsidR="00981A3E">
        <w:rPr>
          <w:rFonts w:ascii="Times New Roman" w:eastAsiaTheme="minorEastAsia" w:hAnsi="Times New Roman" w:cs="Times New Roman"/>
          <w:sz w:val="24"/>
          <w:szCs w:val="24"/>
        </w:rPr>
        <w:t>Karpoff</w:t>
      </w:r>
      <w:proofErr w:type="spellEnd"/>
      <w:r w:rsidR="00981A3E">
        <w:rPr>
          <w:rFonts w:ascii="Times New Roman" w:eastAsiaTheme="minorEastAsia" w:hAnsi="Times New Roman" w:cs="Times New Roman"/>
          <w:sz w:val="24"/>
          <w:szCs w:val="24"/>
        </w:rPr>
        <w:t>, 1987)</w:t>
      </w:r>
      <w:r w:rsidR="0019382D" w:rsidRPr="00893E6D">
        <w:rPr>
          <w:rFonts w:ascii="Times New Roman" w:eastAsiaTheme="minorEastAsia" w:hAnsi="Times New Roman" w:cs="Times New Roman"/>
          <w:sz w:val="24"/>
          <w:szCs w:val="24"/>
        </w:rPr>
        <w:t>.</w:t>
      </w:r>
      <w:r w:rsidR="00733705" w:rsidRPr="00893E6D">
        <w:rPr>
          <w:rFonts w:ascii="Times New Roman" w:eastAsiaTheme="minorEastAsia" w:hAnsi="Times New Roman" w:cs="Times New Roman"/>
          <w:sz w:val="24"/>
          <w:szCs w:val="24"/>
        </w:rPr>
        <w:t xml:space="preserve"> We use</w:t>
      </w:r>
      <w:r w:rsidR="0019382D" w:rsidRPr="00893E6D">
        <w:rPr>
          <w:rFonts w:ascii="Times New Roman" w:eastAsiaTheme="minorEastAsia" w:hAnsi="Times New Roman" w:cs="Times New Roman"/>
          <w:sz w:val="24"/>
          <w:szCs w:val="24"/>
        </w:rPr>
        <w:t xml:space="preserve"> </w:t>
      </w:r>
      <w:r w:rsidR="0019382D" w:rsidRPr="00893E6D">
        <w:rPr>
          <w:rFonts w:ascii="Times New Roman" w:hAnsi="Times New Roman" w:cs="Times New Roman"/>
          <w:i/>
          <w:sz w:val="24"/>
          <w:szCs w:val="24"/>
        </w:rPr>
        <w:t xml:space="preserve">TURNOVER </w:t>
      </w:r>
      <w:r w:rsidR="00733705" w:rsidRPr="00893E6D">
        <w:rPr>
          <w:rFonts w:ascii="Times New Roman" w:hAnsi="Times New Roman" w:cs="Times New Roman"/>
          <w:sz w:val="24"/>
          <w:szCs w:val="24"/>
        </w:rPr>
        <w:t>to</w:t>
      </w:r>
      <w:r w:rsidR="0019382D" w:rsidRPr="00893E6D">
        <w:rPr>
          <w:rFonts w:ascii="Times New Roman" w:hAnsi="Times New Roman" w:cs="Times New Roman"/>
          <w:sz w:val="24"/>
          <w:szCs w:val="24"/>
        </w:rPr>
        <w:t xml:space="preserve"> proxy for liquidity</w:t>
      </w:r>
      <w:r w:rsidR="00E97357">
        <w:rPr>
          <w:rFonts w:ascii="Times New Roman" w:hAnsi="Times New Roman" w:cs="Times New Roman"/>
          <w:sz w:val="24"/>
          <w:szCs w:val="24"/>
        </w:rPr>
        <w:t>.</w:t>
      </w:r>
      <w:r w:rsidR="00E97357" w:rsidRPr="00893E6D">
        <w:rPr>
          <w:rFonts w:ascii="Times New Roman" w:hAnsi="Times New Roman" w:cs="Times New Roman"/>
          <w:sz w:val="24"/>
          <w:szCs w:val="24"/>
        </w:rPr>
        <w:t xml:space="preserve"> </w:t>
      </w:r>
      <w:r w:rsidR="00E97357" w:rsidRPr="00893E6D">
        <w:rPr>
          <w:rFonts w:ascii="Times New Roman" w:hAnsi="Times New Roman" w:cs="Times New Roman"/>
          <w:i/>
          <w:sz w:val="24"/>
          <w:szCs w:val="24"/>
        </w:rPr>
        <w:t>TURNOVER</w:t>
      </w:r>
      <w:r w:rsidR="00E97357" w:rsidDel="00E97357">
        <w:rPr>
          <w:rFonts w:ascii="Times New Roman" w:hAnsi="Times New Roman" w:cs="Times New Roman"/>
          <w:sz w:val="24"/>
          <w:szCs w:val="24"/>
        </w:rPr>
        <w:t xml:space="preserve"> </w:t>
      </w:r>
      <w:r w:rsidR="00E97357">
        <w:rPr>
          <w:rFonts w:ascii="Times New Roman" w:hAnsi="Times New Roman" w:cs="Times New Roman"/>
          <w:sz w:val="24"/>
          <w:szCs w:val="24"/>
        </w:rPr>
        <w:t xml:space="preserve">is </w:t>
      </w:r>
      <w:r>
        <w:rPr>
          <w:rFonts w:ascii="Times New Roman" w:hAnsi="Times New Roman" w:cs="Times New Roman"/>
          <w:sz w:val="24"/>
          <w:szCs w:val="24"/>
        </w:rPr>
        <w:t>compute</w:t>
      </w:r>
      <w:r w:rsidR="00E97357">
        <w:rPr>
          <w:rFonts w:ascii="Times New Roman" w:hAnsi="Times New Roman" w:cs="Times New Roman"/>
          <w:sz w:val="24"/>
          <w:szCs w:val="24"/>
        </w:rPr>
        <w:t>d</w:t>
      </w:r>
      <w:r>
        <w:rPr>
          <w:rFonts w:ascii="Times New Roman" w:hAnsi="Times New Roman" w:cs="Times New Roman"/>
          <w:sz w:val="24"/>
          <w:szCs w:val="24"/>
        </w:rPr>
        <w:t xml:space="preserve"> </w:t>
      </w:r>
      <w:r w:rsidR="0019382D" w:rsidRPr="00893E6D">
        <w:rPr>
          <w:rFonts w:ascii="Times New Roman" w:hAnsi="Times New Roman" w:cs="Times New Roman"/>
          <w:sz w:val="24"/>
          <w:szCs w:val="24"/>
        </w:rPr>
        <w:t xml:space="preserve">as the natural log of the ratio of </w:t>
      </w:r>
      <w:r w:rsidR="009C5899">
        <w:rPr>
          <w:rFonts w:ascii="Times New Roman" w:hAnsi="Times New Roman" w:cs="Times New Roman"/>
          <w:sz w:val="24"/>
          <w:szCs w:val="24"/>
        </w:rPr>
        <w:t xml:space="preserve">the </w:t>
      </w:r>
      <w:r w:rsidR="0019382D" w:rsidRPr="00893E6D">
        <w:rPr>
          <w:rFonts w:ascii="Times New Roman" w:hAnsi="Times New Roman" w:cs="Times New Roman"/>
          <w:sz w:val="24"/>
          <w:szCs w:val="24"/>
        </w:rPr>
        <w:t>number of shares traded</w:t>
      </w:r>
      <w:r w:rsidR="00FD4235" w:rsidRPr="00893E6D">
        <w:rPr>
          <w:rFonts w:ascii="Times New Roman" w:hAnsi="Times New Roman" w:cs="Times New Roman"/>
          <w:sz w:val="24"/>
          <w:szCs w:val="24"/>
        </w:rPr>
        <w:t>-</w:t>
      </w:r>
      <w:r w:rsidR="0019382D" w:rsidRPr="00893E6D">
        <w:rPr>
          <w:rFonts w:ascii="Times New Roman" w:hAnsi="Times New Roman" w:cs="Times New Roman"/>
          <w:sz w:val="24"/>
          <w:szCs w:val="24"/>
        </w:rPr>
        <w:t>to</w:t>
      </w:r>
      <w:r w:rsidR="00FD4235" w:rsidRPr="00893E6D">
        <w:rPr>
          <w:rFonts w:ascii="Times New Roman" w:hAnsi="Times New Roman" w:cs="Times New Roman"/>
          <w:sz w:val="24"/>
          <w:szCs w:val="24"/>
        </w:rPr>
        <w:t xml:space="preserve">-the </w:t>
      </w:r>
      <w:r w:rsidR="0019382D" w:rsidRPr="00893E6D">
        <w:rPr>
          <w:rFonts w:ascii="Times New Roman" w:hAnsi="Times New Roman" w:cs="Times New Roman"/>
          <w:sz w:val="24"/>
          <w:szCs w:val="24"/>
        </w:rPr>
        <w:t>number of shares outstanding</w:t>
      </w:r>
      <w:r w:rsidR="0019382D" w:rsidRPr="00893E6D">
        <w:rPr>
          <w:rFonts w:ascii="Times New Roman" w:eastAsiaTheme="minorEastAsia" w:hAnsi="Times New Roman" w:cs="Times New Roman"/>
          <w:i/>
          <w:sz w:val="24"/>
          <w:szCs w:val="24"/>
        </w:rPr>
        <w:t xml:space="preserve">. </w:t>
      </w:r>
      <w:proofErr w:type="spellStart"/>
      <w:r w:rsidR="0019382D" w:rsidRPr="00893E6D">
        <w:rPr>
          <w:rFonts w:ascii="Times New Roman" w:hAnsi="Times New Roman" w:cs="Times New Roman"/>
          <w:sz w:val="24"/>
          <w:szCs w:val="24"/>
        </w:rPr>
        <w:t>Abdoh</w:t>
      </w:r>
      <w:proofErr w:type="spellEnd"/>
      <w:r w:rsidR="0019382D" w:rsidRPr="00893E6D">
        <w:rPr>
          <w:rFonts w:ascii="Times New Roman" w:hAnsi="Times New Roman" w:cs="Times New Roman"/>
          <w:sz w:val="24"/>
          <w:szCs w:val="24"/>
        </w:rPr>
        <w:t xml:space="preserve"> and Varela (2017) argue that market-to-book ratios can </w:t>
      </w:r>
      <w:r w:rsidR="00661B3A">
        <w:rPr>
          <w:rFonts w:ascii="Times New Roman" w:hAnsi="Times New Roman" w:cs="Times New Roman"/>
          <w:sz w:val="24"/>
          <w:szCs w:val="24"/>
        </w:rPr>
        <w:t>either magnify or reduce</w:t>
      </w:r>
      <w:r w:rsidR="0019382D" w:rsidRPr="00893E6D">
        <w:rPr>
          <w:rFonts w:ascii="Times New Roman" w:hAnsi="Times New Roman" w:cs="Times New Roman"/>
          <w:sz w:val="24"/>
          <w:szCs w:val="24"/>
        </w:rPr>
        <w:t xml:space="preserve"> stock price volatility. </w:t>
      </w:r>
      <w:r w:rsidR="0091426E" w:rsidRPr="00893E6D">
        <w:rPr>
          <w:rFonts w:ascii="Times New Roman" w:eastAsiaTheme="minorEastAsia" w:hAnsi="Times New Roman" w:cs="Times New Roman"/>
          <w:sz w:val="24"/>
          <w:szCs w:val="24"/>
        </w:rPr>
        <w:t>We include</w:t>
      </w:r>
      <w:r w:rsidR="0091426E" w:rsidRPr="00893E6D">
        <w:rPr>
          <w:rFonts w:ascii="Times New Roman" w:eastAsiaTheme="minorEastAsia" w:hAnsi="Times New Roman" w:cs="Times New Roman"/>
          <w:i/>
          <w:sz w:val="24"/>
          <w:szCs w:val="24"/>
        </w:rPr>
        <w:t xml:space="preserve"> </w:t>
      </w:r>
      <w:r w:rsidR="0091426E" w:rsidRPr="00893E6D">
        <w:rPr>
          <w:rFonts w:ascii="Times New Roman" w:hAnsi="Times New Roman" w:cs="Times New Roman"/>
          <w:sz w:val="24"/>
          <w:szCs w:val="24"/>
        </w:rPr>
        <w:t>market-to-book ratio</w:t>
      </w:r>
      <w:r w:rsidR="00225FC6">
        <w:rPr>
          <w:rFonts w:ascii="Times New Roman" w:hAnsi="Times New Roman" w:cs="Times New Roman"/>
          <w:sz w:val="24"/>
          <w:szCs w:val="24"/>
        </w:rPr>
        <w:t xml:space="preserve"> (</w:t>
      </w:r>
      <w:r w:rsidR="00225FC6" w:rsidRPr="00893E6D">
        <w:rPr>
          <w:rFonts w:ascii="Times New Roman" w:hAnsi="Times New Roman" w:cs="Times New Roman"/>
          <w:i/>
          <w:sz w:val="24"/>
          <w:szCs w:val="24"/>
        </w:rPr>
        <w:t>MKBK</w:t>
      </w:r>
      <w:r w:rsidR="00225FC6">
        <w:rPr>
          <w:rFonts w:ascii="Times New Roman" w:hAnsi="Times New Roman" w:cs="Times New Roman"/>
          <w:i/>
          <w:sz w:val="24"/>
          <w:szCs w:val="24"/>
        </w:rPr>
        <w:t>)</w:t>
      </w:r>
      <w:r w:rsidR="0091426E" w:rsidRPr="00893E6D">
        <w:rPr>
          <w:rFonts w:ascii="Times New Roman" w:hAnsi="Times New Roman" w:cs="Times New Roman"/>
          <w:sz w:val="24"/>
          <w:szCs w:val="24"/>
        </w:rPr>
        <w:t xml:space="preserve"> to proxy for firm growth opportunities.</w:t>
      </w:r>
    </w:p>
    <w:p w14:paraId="40748814" w14:textId="68E6FCE4" w:rsidR="00450266" w:rsidRPr="00893E6D" w:rsidRDefault="002811CB" w:rsidP="00A1062B">
      <w:pPr>
        <w:spacing w:line="480" w:lineRule="auto"/>
        <w:ind w:firstLine="720"/>
        <w:jc w:val="both"/>
        <w:rPr>
          <w:rFonts w:ascii="Times New Roman" w:hAnsi="Times New Roman" w:cs="Times New Roman"/>
          <w:sz w:val="24"/>
          <w:szCs w:val="24"/>
        </w:rPr>
      </w:pPr>
      <w:r w:rsidRPr="002811CB">
        <w:rPr>
          <w:rFonts w:ascii="Times New Roman" w:hAnsi="Times New Roman" w:cs="Times New Roman"/>
          <w:sz w:val="24"/>
          <w:szCs w:val="24"/>
        </w:rPr>
        <w:t>Large, stable, and value-oriented companies with little volatility in their stock price tend to be dividend-payers</w:t>
      </w:r>
      <w:r w:rsidR="00981A3E">
        <w:rPr>
          <w:rFonts w:ascii="Times New Roman" w:hAnsi="Times New Roman" w:cs="Times New Roman"/>
          <w:sz w:val="24"/>
          <w:szCs w:val="24"/>
        </w:rPr>
        <w:t xml:space="preserve"> (Venkatesh, 1989; Lee and </w:t>
      </w:r>
      <w:proofErr w:type="spellStart"/>
      <w:r w:rsidR="00981A3E">
        <w:rPr>
          <w:rFonts w:ascii="Times New Roman" w:hAnsi="Times New Roman" w:cs="Times New Roman"/>
          <w:sz w:val="24"/>
          <w:szCs w:val="24"/>
        </w:rPr>
        <w:t>Mauck</w:t>
      </w:r>
      <w:proofErr w:type="spellEnd"/>
      <w:r w:rsidR="00981A3E">
        <w:rPr>
          <w:rFonts w:ascii="Times New Roman" w:hAnsi="Times New Roman" w:cs="Times New Roman"/>
          <w:sz w:val="24"/>
          <w:szCs w:val="24"/>
        </w:rPr>
        <w:t>, 2016)</w:t>
      </w:r>
      <w:r w:rsidR="004530F0">
        <w:rPr>
          <w:rFonts w:ascii="Times New Roman" w:hAnsi="Times New Roman" w:cs="Times New Roman"/>
          <w:sz w:val="24"/>
          <w:szCs w:val="24"/>
        </w:rPr>
        <w:t>.</w:t>
      </w:r>
      <w:r w:rsidR="009C5899">
        <w:rPr>
          <w:rFonts w:ascii="Times New Roman" w:hAnsi="Times New Roman" w:cs="Times New Roman"/>
          <w:sz w:val="24"/>
          <w:szCs w:val="24"/>
        </w:rPr>
        <w:t xml:space="preserve"> </w:t>
      </w:r>
      <w:r w:rsidR="00D846F1" w:rsidRPr="00893E6D">
        <w:rPr>
          <w:rFonts w:ascii="Times New Roman" w:hAnsi="Times New Roman" w:cs="Times New Roman"/>
          <w:sz w:val="24"/>
          <w:szCs w:val="24"/>
        </w:rPr>
        <w:t>We</w:t>
      </w:r>
      <w:r w:rsidR="00FD4235" w:rsidRPr="00893E6D">
        <w:rPr>
          <w:rFonts w:ascii="Times New Roman" w:hAnsi="Times New Roman" w:cs="Times New Roman"/>
          <w:sz w:val="24"/>
          <w:szCs w:val="24"/>
        </w:rPr>
        <w:t xml:space="preserve"> </w:t>
      </w:r>
      <w:r w:rsidR="000E032B" w:rsidRPr="00893E6D">
        <w:rPr>
          <w:rFonts w:ascii="Times New Roman" w:hAnsi="Times New Roman" w:cs="Times New Roman"/>
          <w:sz w:val="24"/>
          <w:szCs w:val="24"/>
        </w:rPr>
        <w:t xml:space="preserve">include dividend yield </w:t>
      </w:r>
      <w:r w:rsidR="00C5279B">
        <w:rPr>
          <w:rFonts w:ascii="Times New Roman" w:hAnsi="Times New Roman" w:cs="Times New Roman"/>
          <w:sz w:val="24"/>
          <w:szCs w:val="24"/>
        </w:rPr>
        <w:t>(</w:t>
      </w:r>
      <w:r w:rsidR="000E032B" w:rsidRPr="00893E6D">
        <w:rPr>
          <w:rFonts w:ascii="Times New Roman" w:hAnsi="Times New Roman" w:cs="Times New Roman"/>
          <w:i/>
          <w:iCs/>
          <w:sz w:val="24"/>
          <w:szCs w:val="24"/>
        </w:rPr>
        <w:t>DIVYIELD</w:t>
      </w:r>
      <w:r w:rsidR="009C5899">
        <w:rPr>
          <w:rFonts w:ascii="Times New Roman" w:hAnsi="Times New Roman" w:cs="Times New Roman"/>
          <w:i/>
          <w:iCs/>
          <w:sz w:val="24"/>
          <w:szCs w:val="24"/>
        </w:rPr>
        <w:t>)</w:t>
      </w:r>
      <w:r w:rsidR="00F920E2">
        <w:rPr>
          <w:rFonts w:ascii="Times New Roman" w:hAnsi="Times New Roman" w:cs="Times New Roman"/>
          <w:iCs/>
          <w:sz w:val="24"/>
          <w:szCs w:val="24"/>
        </w:rPr>
        <w:t xml:space="preserve"> as a control variable</w:t>
      </w:r>
      <w:r w:rsidR="009A624F">
        <w:rPr>
          <w:rFonts w:ascii="Times New Roman" w:hAnsi="Times New Roman" w:cs="Times New Roman"/>
          <w:sz w:val="24"/>
          <w:szCs w:val="24"/>
        </w:rPr>
        <w:t>.</w:t>
      </w:r>
      <w:r w:rsidR="009A624F">
        <w:rPr>
          <w:rFonts w:ascii="Times New Roman" w:hAnsi="Times New Roman" w:cs="Times New Roman"/>
          <w:i/>
          <w:iCs/>
          <w:sz w:val="24"/>
          <w:szCs w:val="24"/>
        </w:rPr>
        <w:t xml:space="preserve"> </w:t>
      </w:r>
      <w:r w:rsidR="009A624F" w:rsidRPr="00893E6D">
        <w:rPr>
          <w:rFonts w:ascii="Times New Roman" w:hAnsi="Times New Roman" w:cs="Times New Roman"/>
          <w:i/>
          <w:iCs/>
          <w:sz w:val="24"/>
          <w:szCs w:val="24"/>
        </w:rPr>
        <w:t>DIVYIELD</w:t>
      </w:r>
      <w:r w:rsidR="009A624F" w:rsidDel="009A624F">
        <w:rPr>
          <w:rFonts w:ascii="Times New Roman" w:hAnsi="Times New Roman" w:cs="Times New Roman"/>
          <w:sz w:val="24"/>
          <w:szCs w:val="24"/>
        </w:rPr>
        <w:t xml:space="preserve"> </w:t>
      </w:r>
      <w:r w:rsidR="00F920E2">
        <w:rPr>
          <w:rFonts w:ascii="Times New Roman" w:hAnsi="Times New Roman" w:cs="Times New Roman"/>
          <w:sz w:val="24"/>
          <w:szCs w:val="24"/>
        </w:rPr>
        <w:t>is measured as</w:t>
      </w:r>
      <w:r w:rsidR="00704908" w:rsidRPr="00893E6D">
        <w:rPr>
          <w:rFonts w:ascii="Times New Roman" w:hAnsi="Times New Roman" w:cs="Times New Roman"/>
          <w:sz w:val="24"/>
          <w:szCs w:val="24"/>
        </w:rPr>
        <w:t xml:space="preserve"> the regular cash dividends on common stock scaled by </w:t>
      </w:r>
      <w:r w:rsidR="00981A3E">
        <w:rPr>
          <w:rFonts w:ascii="Times New Roman" w:hAnsi="Times New Roman" w:cs="Times New Roman"/>
          <w:sz w:val="24"/>
          <w:szCs w:val="24"/>
        </w:rPr>
        <w:t>the</w:t>
      </w:r>
      <w:r w:rsidR="00981A3E" w:rsidRPr="00893E6D">
        <w:rPr>
          <w:rFonts w:ascii="Times New Roman" w:hAnsi="Times New Roman" w:cs="Times New Roman"/>
          <w:sz w:val="24"/>
          <w:szCs w:val="24"/>
        </w:rPr>
        <w:t xml:space="preserve"> market</w:t>
      </w:r>
      <w:r w:rsidR="00704908" w:rsidRPr="00893E6D">
        <w:rPr>
          <w:rFonts w:ascii="Times New Roman" w:hAnsi="Times New Roman" w:cs="Times New Roman"/>
          <w:sz w:val="24"/>
          <w:szCs w:val="24"/>
        </w:rPr>
        <w:t xml:space="preserve"> value of equity at the fiscal year end </w:t>
      </w:r>
      <w:r w:rsidR="00704908" w:rsidRPr="00893E6D">
        <w:rPr>
          <w:rFonts w:ascii="Times New Roman" w:hAnsi="Times New Roman" w:cs="Times New Roman"/>
          <w:sz w:val="24"/>
          <w:szCs w:val="24"/>
        </w:rPr>
        <w:fldChar w:fldCharType="begin"/>
      </w:r>
      <w:r w:rsidR="00704908" w:rsidRPr="00893E6D">
        <w:rPr>
          <w:rFonts w:ascii="Times New Roman" w:hAnsi="Times New Roman" w:cs="Times New Roman"/>
          <w:sz w:val="24"/>
          <w:szCs w:val="24"/>
        </w:rPr>
        <w:instrText xml:space="preserve"> ADDIN ZOTERO_ITEM CSL_CITATION {"citationID":"YiXJOzEP","properties":{"formattedCitation":"(Fenn &amp; Liang, 2001)","plainCitation":"(Fenn &amp; Liang, 2001)"},"citationItems":[{"id":1274,"uris":["http://zotero.org/users/local/OIzcCmGi/items/4D36HHAQ"],"uri":["http://zotero.org/users/local/OIzcCmGi/items/4D36HHAQ"],"itemData":{"id":1274,"type":"article-journal","title":"Corporate payout policy and managerial stock incentives","container-title":"Journal of Financial Economics","page":"45-72","volume":"60","issue":"1","ISSN":"0304405x","author":[{"family":"Fenn","given":"George W."},{"family":"Liang","given":"Nellie"}],"issued":{"date-parts":[["2001"]]}}}],"schema":"https://github.com/citation-style-language/schema/raw/master/csl-citation.json"} </w:instrText>
      </w:r>
      <w:r w:rsidR="00704908" w:rsidRPr="00893E6D">
        <w:rPr>
          <w:rFonts w:ascii="Times New Roman" w:hAnsi="Times New Roman" w:cs="Times New Roman"/>
          <w:sz w:val="24"/>
          <w:szCs w:val="24"/>
        </w:rPr>
        <w:fldChar w:fldCharType="separate"/>
      </w:r>
      <w:r w:rsidR="00704908" w:rsidRPr="00893E6D">
        <w:rPr>
          <w:rFonts w:ascii="Times New Roman" w:hAnsi="Times New Roman" w:cs="Times New Roman"/>
          <w:sz w:val="24"/>
          <w:szCs w:val="24"/>
        </w:rPr>
        <w:t>(Fenn and Liang, 2001; Kulchania, 2016)</w:t>
      </w:r>
      <w:r w:rsidR="00704908" w:rsidRPr="00893E6D">
        <w:rPr>
          <w:rFonts w:ascii="Times New Roman" w:hAnsi="Times New Roman" w:cs="Times New Roman"/>
          <w:sz w:val="24"/>
          <w:szCs w:val="24"/>
        </w:rPr>
        <w:fldChar w:fldCharType="end"/>
      </w:r>
      <w:r w:rsidR="009C5899">
        <w:rPr>
          <w:rFonts w:ascii="Times New Roman" w:hAnsi="Times New Roman" w:cs="Times New Roman"/>
          <w:sz w:val="24"/>
          <w:szCs w:val="24"/>
        </w:rPr>
        <w:t xml:space="preserve">. </w:t>
      </w:r>
      <w:r w:rsidR="00450266" w:rsidRPr="00893E6D">
        <w:rPr>
          <w:rFonts w:ascii="Times New Roman" w:hAnsi="Times New Roman" w:cs="Times New Roman"/>
          <w:i/>
          <w:sz w:val="24"/>
          <w:szCs w:val="24"/>
        </w:rPr>
        <w:t>RET</w:t>
      </w:r>
      <w:r w:rsidR="00450266" w:rsidRPr="00893E6D">
        <w:rPr>
          <w:rFonts w:ascii="Times New Roman" w:hAnsi="Times New Roman" w:cs="Times New Roman"/>
          <w:sz w:val="24"/>
          <w:szCs w:val="24"/>
        </w:rPr>
        <w:t xml:space="preserve"> and </w:t>
      </w:r>
      <w:r w:rsidR="00450266" w:rsidRPr="00893E6D">
        <w:rPr>
          <w:rFonts w:ascii="Times New Roman" w:hAnsi="Times New Roman" w:cs="Times New Roman"/>
          <w:i/>
          <w:sz w:val="24"/>
          <w:szCs w:val="24"/>
        </w:rPr>
        <w:t>SIGMA</w:t>
      </w:r>
      <w:r w:rsidR="00450266" w:rsidRPr="00893E6D">
        <w:rPr>
          <w:rFonts w:ascii="Times New Roman" w:hAnsi="Times New Roman" w:cs="Times New Roman"/>
          <w:sz w:val="24"/>
          <w:szCs w:val="24"/>
        </w:rPr>
        <w:t xml:space="preserve"> </w:t>
      </w:r>
      <w:r w:rsidR="00FD4235" w:rsidRPr="00893E6D">
        <w:rPr>
          <w:rFonts w:ascii="Times New Roman" w:hAnsi="Times New Roman" w:cs="Times New Roman"/>
          <w:sz w:val="24"/>
          <w:szCs w:val="24"/>
        </w:rPr>
        <w:t xml:space="preserve">represent </w:t>
      </w:r>
      <w:r w:rsidR="00450266" w:rsidRPr="00893E6D">
        <w:rPr>
          <w:rFonts w:ascii="Times New Roman" w:hAnsi="Times New Roman" w:cs="Times New Roman"/>
          <w:sz w:val="24"/>
          <w:szCs w:val="24"/>
        </w:rPr>
        <w:t xml:space="preserve">the average and </w:t>
      </w:r>
      <w:r w:rsidR="00DF744D" w:rsidRPr="00893E6D">
        <w:rPr>
          <w:rFonts w:ascii="Times New Roman" w:hAnsi="Times New Roman" w:cs="Times New Roman"/>
          <w:sz w:val="24"/>
          <w:szCs w:val="24"/>
        </w:rPr>
        <w:t xml:space="preserve">the </w:t>
      </w:r>
      <w:r w:rsidR="00450266" w:rsidRPr="00893E6D">
        <w:rPr>
          <w:rFonts w:ascii="Times New Roman" w:hAnsi="Times New Roman" w:cs="Times New Roman"/>
          <w:sz w:val="24"/>
          <w:szCs w:val="24"/>
        </w:rPr>
        <w:t>standard deviation</w:t>
      </w:r>
      <w:r w:rsidR="003708C4" w:rsidRPr="00893E6D">
        <w:rPr>
          <w:rFonts w:ascii="Times New Roman" w:hAnsi="Times New Roman" w:cs="Times New Roman"/>
          <w:sz w:val="24"/>
          <w:szCs w:val="24"/>
        </w:rPr>
        <w:t xml:space="preserve"> </w:t>
      </w:r>
      <w:r w:rsidR="00450266" w:rsidRPr="00893E6D">
        <w:rPr>
          <w:rFonts w:ascii="Times New Roman" w:hAnsi="Times New Roman" w:cs="Times New Roman"/>
          <w:sz w:val="24"/>
          <w:szCs w:val="24"/>
        </w:rPr>
        <w:t>of the firm-specific weekly return</w:t>
      </w:r>
      <w:r w:rsidR="00DF744D" w:rsidRPr="00893E6D">
        <w:rPr>
          <w:rFonts w:ascii="Times New Roman" w:hAnsi="Times New Roman" w:cs="Times New Roman"/>
          <w:sz w:val="24"/>
          <w:szCs w:val="24"/>
        </w:rPr>
        <w:t>s</w:t>
      </w:r>
      <w:r w:rsidR="00450266" w:rsidRPr="00893E6D">
        <w:rPr>
          <w:rFonts w:ascii="Times New Roman" w:hAnsi="Times New Roman" w:cs="Times New Roman"/>
          <w:sz w:val="24"/>
          <w:szCs w:val="24"/>
        </w:rPr>
        <w:t xml:space="preserve"> over the preceding fiscal year</w:t>
      </w:r>
      <w:r w:rsidR="003708C4" w:rsidRPr="00893E6D">
        <w:rPr>
          <w:rFonts w:ascii="Times New Roman" w:hAnsi="Times New Roman" w:cs="Times New Roman"/>
          <w:sz w:val="24"/>
          <w:szCs w:val="24"/>
        </w:rPr>
        <w:t>, respectively</w:t>
      </w:r>
      <w:r w:rsidR="00450266" w:rsidRPr="00893E6D">
        <w:rPr>
          <w:rFonts w:ascii="Times New Roman" w:hAnsi="Times New Roman" w:cs="Times New Roman"/>
          <w:sz w:val="24"/>
          <w:szCs w:val="24"/>
        </w:rPr>
        <w:t>. Detrended turnover</w:t>
      </w:r>
      <w:r w:rsidR="00C5279B">
        <w:rPr>
          <w:rFonts w:ascii="Times New Roman" w:hAnsi="Times New Roman" w:cs="Times New Roman"/>
          <w:sz w:val="24"/>
          <w:szCs w:val="24"/>
        </w:rPr>
        <w:t xml:space="preserve"> (</w:t>
      </w:r>
      <w:r w:rsidR="00450266" w:rsidRPr="00893E6D">
        <w:rPr>
          <w:rFonts w:ascii="Times New Roman" w:hAnsi="Times New Roman" w:cs="Times New Roman"/>
          <w:i/>
          <w:sz w:val="24"/>
          <w:szCs w:val="24"/>
        </w:rPr>
        <w:t>DTURN</w:t>
      </w:r>
      <w:r w:rsidR="00C5279B">
        <w:rPr>
          <w:rFonts w:ascii="Times New Roman" w:hAnsi="Times New Roman" w:cs="Times New Roman"/>
          <w:i/>
          <w:sz w:val="24"/>
          <w:szCs w:val="24"/>
        </w:rPr>
        <w:t>)</w:t>
      </w:r>
      <w:r w:rsidR="00C5279B" w:rsidRPr="00893E6D">
        <w:rPr>
          <w:rFonts w:ascii="Times New Roman" w:hAnsi="Times New Roman" w:cs="Times New Roman"/>
          <w:i/>
          <w:sz w:val="24"/>
          <w:szCs w:val="24"/>
        </w:rPr>
        <w:t xml:space="preserve"> </w:t>
      </w:r>
      <w:r w:rsidR="00450266" w:rsidRPr="00893E6D">
        <w:rPr>
          <w:rFonts w:ascii="Times New Roman" w:hAnsi="Times New Roman" w:cs="Times New Roman"/>
          <w:sz w:val="24"/>
          <w:szCs w:val="24"/>
        </w:rPr>
        <w:t xml:space="preserve">is the difference </w:t>
      </w:r>
      <w:r w:rsidR="00051BBA" w:rsidRPr="00893E6D">
        <w:rPr>
          <w:rFonts w:ascii="Times New Roman" w:hAnsi="Times New Roman" w:cs="Times New Roman"/>
          <w:sz w:val="24"/>
          <w:szCs w:val="24"/>
        </w:rPr>
        <w:t xml:space="preserve">of the </w:t>
      </w:r>
      <w:r w:rsidR="00450266" w:rsidRPr="00893E6D">
        <w:rPr>
          <w:rFonts w:ascii="Times New Roman" w:hAnsi="Times New Roman" w:cs="Times New Roman"/>
          <w:sz w:val="24"/>
          <w:szCs w:val="24"/>
        </w:rPr>
        <w:t xml:space="preserve">average monthly turnover </w:t>
      </w:r>
      <w:r w:rsidR="00051BBA" w:rsidRPr="00893E6D">
        <w:rPr>
          <w:rFonts w:ascii="Times New Roman" w:hAnsi="Times New Roman" w:cs="Times New Roman"/>
          <w:sz w:val="24"/>
          <w:szCs w:val="24"/>
        </w:rPr>
        <w:t xml:space="preserve">between </w:t>
      </w:r>
      <w:r w:rsidR="00450266" w:rsidRPr="00893E6D">
        <w:rPr>
          <w:rFonts w:ascii="Times New Roman" w:hAnsi="Times New Roman" w:cs="Times New Roman"/>
          <w:sz w:val="24"/>
          <w:szCs w:val="24"/>
        </w:rPr>
        <w:t>fiscal year</w:t>
      </w:r>
      <w:r w:rsidR="004530F0">
        <w:rPr>
          <w:rFonts w:ascii="Times New Roman" w:hAnsi="Times New Roman" w:cs="Times New Roman"/>
          <w:sz w:val="24"/>
          <w:szCs w:val="24"/>
        </w:rPr>
        <w:t>s</w:t>
      </w:r>
      <w:r w:rsidR="00450266" w:rsidRPr="00893E6D">
        <w:rPr>
          <w:rFonts w:ascii="Times New Roman" w:hAnsi="Times New Roman" w:cs="Times New Roman"/>
          <w:sz w:val="24"/>
          <w:szCs w:val="24"/>
        </w:rPr>
        <w:t xml:space="preserve"> t-1 and </w:t>
      </w:r>
      <w:r w:rsidR="00051BBA" w:rsidRPr="00893E6D">
        <w:rPr>
          <w:rFonts w:ascii="Times New Roman" w:hAnsi="Times New Roman" w:cs="Times New Roman"/>
          <w:sz w:val="24"/>
          <w:szCs w:val="24"/>
        </w:rPr>
        <w:t>t-2</w:t>
      </w:r>
      <w:r w:rsidR="00450266" w:rsidRPr="00893E6D">
        <w:rPr>
          <w:rFonts w:ascii="Times New Roman" w:hAnsi="Times New Roman" w:cs="Times New Roman"/>
          <w:sz w:val="24"/>
          <w:szCs w:val="24"/>
        </w:rPr>
        <w:t xml:space="preserve">. </w:t>
      </w:r>
    </w:p>
    <w:p w14:paraId="4F7E1B35" w14:textId="08FB2B9B" w:rsidR="003A4433" w:rsidRPr="00893E6D" w:rsidRDefault="00450266" w:rsidP="00A1062B">
      <w:pPr>
        <w:spacing w:line="480" w:lineRule="auto"/>
        <w:ind w:firstLine="720"/>
        <w:jc w:val="both"/>
        <w:rPr>
          <w:rFonts w:ascii="Times New Roman" w:hAnsi="Times New Roman" w:cs="Times New Roman"/>
          <w:sz w:val="24"/>
          <w:szCs w:val="24"/>
        </w:rPr>
      </w:pPr>
      <w:r w:rsidRPr="00893E6D">
        <w:rPr>
          <w:rFonts w:ascii="Times New Roman" w:hAnsi="Times New Roman" w:cs="Times New Roman"/>
          <w:sz w:val="24"/>
          <w:szCs w:val="24"/>
        </w:rPr>
        <w:t xml:space="preserve">Hutton et al. (2009) and Zhu (2016) suggest that managers use income-increasing accruals to hoard bad news. </w:t>
      </w:r>
      <w:r w:rsidR="00EB319D">
        <w:rPr>
          <w:rFonts w:ascii="Times New Roman" w:hAnsi="Times New Roman" w:cs="Times New Roman"/>
          <w:sz w:val="24"/>
          <w:szCs w:val="24"/>
        </w:rPr>
        <w:t>This practice</w:t>
      </w:r>
      <w:r w:rsidR="00981A3E" w:rsidRPr="00981A3E">
        <w:rPr>
          <w:rFonts w:ascii="Times New Roman" w:hAnsi="Times New Roman" w:cs="Times New Roman"/>
          <w:sz w:val="24"/>
          <w:szCs w:val="24"/>
        </w:rPr>
        <w:t xml:space="preserve"> hold</w:t>
      </w:r>
      <w:r w:rsidR="00EB319D">
        <w:rPr>
          <w:rFonts w:ascii="Times New Roman" w:hAnsi="Times New Roman" w:cs="Times New Roman"/>
          <w:sz w:val="24"/>
          <w:szCs w:val="24"/>
        </w:rPr>
        <w:t>s</w:t>
      </w:r>
      <w:r w:rsidR="00981A3E" w:rsidRPr="00981A3E">
        <w:rPr>
          <w:rFonts w:ascii="Times New Roman" w:hAnsi="Times New Roman" w:cs="Times New Roman"/>
          <w:sz w:val="24"/>
          <w:szCs w:val="24"/>
        </w:rPr>
        <w:t xml:space="preserve"> up to a certain point beyond which a stock price crash risk becomes </w:t>
      </w:r>
      <w:r w:rsidR="00EB319D" w:rsidRPr="00981A3E">
        <w:rPr>
          <w:rFonts w:ascii="Times New Roman" w:hAnsi="Times New Roman" w:cs="Times New Roman"/>
          <w:sz w:val="24"/>
          <w:szCs w:val="24"/>
        </w:rPr>
        <w:t>unavoidable</w:t>
      </w:r>
      <w:r w:rsidR="00981A3E" w:rsidRPr="00981A3E">
        <w:rPr>
          <w:rFonts w:ascii="Times New Roman" w:hAnsi="Times New Roman" w:cs="Times New Roman"/>
          <w:sz w:val="24"/>
          <w:szCs w:val="24"/>
        </w:rPr>
        <w:t>.</w:t>
      </w:r>
      <w:r w:rsidRPr="00893E6D">
        <w:rPr>
          <w:rFonts w:ascii="Times New Roman" w:hAnsi="Times New Roman" w:cs="Times New Roman"/>
          <w:sz w:val="24"/>
          <w:szCs w:val="24"/>
        </w:rPr>
        <w:t xml:space="preserve"> </w:t>
      </w:r>
      <w:r w:rsidR="003A4433" w:rsidRPr="00893E6D">
        <w:rPr>
          <w:rFonts w:ascii="Times New Roman" w:hAnsi="Times New Roman" w:cs="Times New Roman"/>
          <w:sz w:val="24"/>
          <w:szCs w:val="24"/>
        </w:rPr>
        <w:t xml:space="preserve">We </w:t>
      </w:r>
      <w:r w:rsidRPr="00893E6D">
        <w:rPr>
          <w:rFonts w:ascii="Times New Roman" w:hAnsi="Times New Roman" w:cs="Times New Roman"/>
          <w:sz w:val="24"/>
          <w:szCs w:val="24"/>
        </w:rPr>
        <w:t xml:space="preserve">estimate abnormal discretionary accrual </w:t>
      </w:r>
      <w:r w:rsidR="003A4433" w:rsidRPr="00893E6D">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DISACC</m:t>
            </m:r>
          </m:e>
          <m:sub>
            <m:r>
              <w:rPr>
                <w:rFonts w:ascii="Cambria Math" w:hAnsi="Cambria Math" w:cs="Times New Roman"/>
                <w:sz w:val="24"/>
                <w:szCs w:val="24"/>
              </w:rPr>
              <m:t>i,t-1</m:t>
            </m:r>
          </m:sub>
        </m:sSub>
      </m:oMath>
      <w:r w:rsidR="003A4433" w:rsidRPr="00893E6D">
        <w:rPr>
          <w:rFonts w:ascii="Times New Roman" w:eastAsiaTheme="minorEastAsia" w:hAnsi="Times New Roman" w:cs="Times New Roman"/>
          <w:sz w:val="24"/>
          <w:szCs w:val="24"/>
        </w:rPr>
        <w:t>)</w:t>
      </w:r>
      <w:r w:rsidRPr="00893E6D">
        <w:rPr>
          <w:rFonts w:ascii="Times New Roman" w:hAnsi="Times New Roman" w:cs="Times New Roman"/>
          <w:sz w:val="24"/>
          <w:szCs w:val="24"/>
        </w:rPr>
        <w:t xml:space="preserve"> as the residual from the following modified Jones model</w:t>
      </w:r>
      <w:r w:rsidR="00EF7AA8">
        <w:rPr>
          <w:rFonts w:ascii="Times New Roman" w:hAnsi="Times New Roman" w:cs="Times New Roman"/>
          <w:sz w:val="24"/>
          <w:szCs w:val="24"/>
        </w:rPr>
        <w:t xml:space="preserve"> </w:t>
      </w:r>
      <w:r w:rsidR="00EF7AA8" w:rsidRPr="00893E6D">
        <w:rPr>
          <w:rFonts w:ascii="Times New Roman" w:hAnsi="Times New Roman" w:cs="Times New Roman"/>
          <w:sz w:val="24"/>
          <w:szCs w:val="24"/>
        </w:rPr>
        <w:t>(Jones</w:t>
      </w:r>
      <w:r w:rsidR="00EF7AA8">
        <w:rPr>
          <w:rFonts w:ascii="Times New Roman" w:hAnsi="Times New Roman" w:cs="Times New Roman"/>
          <w:sz w:val="24"/>
          <w:szCs w:val="24"/>
        </w:rPr>
        <w:t xml:space="preserve">, </w:t>
      </w:r>
      <w:r w:rsidR="00EF7AA8" w:rsidRPr="00893E6D">
        <w:rPr>
          <w:rFonts w:ascii="Times New Roman" w:hAnsi="Times New Roman" w:cs="Times New Roman"/>
          <w:sz w:val="24"/>
          <w:szCs w:val="24"/>
        </w:rPr>
        <w:t>1991)</w:t>
      </w:r>
      <w:r w:rsidRPr="00893E6D">
        <w:rPr>
          <w:rFonts w:ascii="Times New Roman" w:hAnsi="Times New Roman" w:cs="Times New Roman"/>
          <w:sz w:val="24"/>
          <w:szCs w:val="24"/>
        </w:rPr>
        <w:t xml:space="preserve">: </w:t>
      </w:r>
    </w:p>
    <w:p w14:paraId="053490E6" w14:textId="22E295A2" w:rsidR="003A4433" w:rsidRPr="00893E6D" w:rsidRDefault="002D2F83" w:rsidP="00A1062B">
      <w:pPr>
        <w:spacing w:line="480" w:lineRule="auto"/>
        <w:ind w:firstLine="720"/>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AC</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vertAlign w:val="subscript"/>
                  </w:rPr>
                  <m:t>n</m:t>
                </m:r>
              </m:sub>
            </m:sSub>
          </m:num>
          <m:den>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vertAlign w:val="subscript"/>
                  </w:rPr>
                  <m:t>n-1</m:t>
                </m:r>
              </m:sub>
            </m:sSub>
          </m:den>
        </m:f>
        <m:r>
          <w:rPr>
            <w:rFonts w:ascii="Cambria Math" w:hAnsi="Cambria Math" w:cs="Times New Roman"/>
            <w:sz w:val="24"/>
            <w:szCs w:val="24"/>
            <w:vertAlign w:val="subscript"/>
          </w:rPr>
          <m:t xml:space="preserve">  </m:t>
        </m:r>
        <m:r>
          <w:rPr>
            <w:rFonts w:ascii="Cambria Math" w:hAnsi="Cambria Math" w:cs="Times New Roman"/>
            <w:sz w:val="24"/>
            <w:szCs w:val="24"/>
          </w:rPr>
          <m:t>= a</m:t>
        </m:r>
        <m:r>
          <w:rPr>
            <w:rFonts w:ascii="Cambria Math" w:hAnsi="Cambria Math" w:cs="Times New Roman"/>
            <w:sz w:val="24"/>
            <w:szCs w:val="24"/>
            <w:vertAlign w:val="subscript"/>
          </w:rPr>
          <m:t>1</m:t>
        </m:r>
        <m:r>
          <w:rPr>
            <w:rFonts w:ascii="Cambria Math" w:hAnsi="Cambria Math" w:cs="Times New Roman"/>
            <w:sz w:val="24"/>
            <w:szCs w:val="24"/>
          </w:rPr>
          <m:t xml:space="preserve"> + a</m:t>
        </m:r>
        <m:r>
          <w:rPr>
            <w:rFonts w:ascii="Cambria Math" w:hAnsi="Cambria Math" w:cs="Times New Roman"/>
            <w:sz w:val="24"/>
            <w:szCs w:val="24"/>
            <w:vertAlign w:val="subscript"/>
          </w:rPr>
          <m:t>1</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vertAlign w:val="subscript"/>
                      </w:rPr>
                      <m:t>n-1</m:t>
                    </m:r>
                  </m:sub>
                </m:sSub>
              </m:den>
            </m:f>
          </m:e>
        </m:d>
        <m:r>
          <w:rPr>
            <w:rFonts w:ascii="Cambria Math" w:hAnsi="Cambria Math" w:cs="Times New Roman"/>
            <w:sz w:val="24"/>
            <w:szCs w:val="24"/>
          </w:rPr>
          <m:t xml:space="preserve"> + a</m:t>
        </m:r>
        <m:r>
          <w:rPr>
            <w:rFonts w:ascii="Cambria Math" w:hAnsi="Cambria Math" w:cs="Times New Roman"/>
            <w:sz w:val="24"/>
            <w:szCs w:val="24"/>
            <w:vertAlign w:val="subscript"/>
          </w:rPr>
          <m:t>2</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vertAlign w:val="subscript"/>
                      </w:rPr>
                      <m:t>n</m:t>
                    </m:r>
                  </m:sub>
                </m:sSub>
              </m:num>
              <m:den>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vertAlign w:val="subscript"/>
                      </w:rPr>
                      <m:t>n-1</m:t>
                    </m:r>
                  </m:sub>
                </m:sSub>
              </m:den>
            </m:f>
          </m:e>
        </m:d>
        <m:r>
          <w:rPr>
            <w:rFonts w:ascii="Cambria Math" w:hAnsi="Cambria Math" w:cs="Times New Roman"/>
            <w:sz w:val="24"/>
            <w:szCs w:val="24"/>
          </w:rPr>
          <m:t xml:space="preserve"> + a</m:t>
        </m:r>
        <m:r>
          <w:rPr>
            <w:rFonts w:ascii="Cambria Math" w:hAnsi="Cambria Math" w:cs="Times New Roman"/>
            <w:sz w:val="24"/>
            <w:szCs w:val="24"/>
            <w:vertAlign w:val="subscript"/>
          </w:rPr>
          <m:t>3</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PP</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vertAlign w:val="subscript"/>
                      </w:rPr>
                      <m:t>n</m:t>
                    </m:r>
                  </m:sub>
                </m:sSub>
              </m:num>
              <m:den>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vertAlign w:val="subscript"/>
                      </w:rPr>
                      <m:t>n-1</m:t>
                    </m:r>
                  </m:sub>
                </m:sSub>
              </m:den>
            </m:f>
          </m:e>
        </m:d>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vertAlign w:val="subscript"/>
              </w:rPr>
              <m:t>n</m:t>
            </m:r>
          </m:sub>
        </m:sSub>
      </m:oMath>
      <w:r w:rsidR="003A4433" w:rsidRPr="00893E6D">
        <w:rPr>
          <w:rFonts w:ascii="Times New Roman" w:hAnsi="Times New Roman" w:cs="Times New Roman"/>
          <w:sz w:val="24"/>
          <w:szCs w:val="24"/>
        </w:rPr>
        <w:t xml:space="preserve"> </w:t>
      </w:r>
      <w:r w:rsidR="002B2A52" w:rsidRPr="00893E6D">
        <w:rPr>
          <w:rFonts w:ascii="Times New Roman" w:hAnsi="Times New Roman" w:cs="Times New Roman"/>
          <w:sz w:val="24"/>
          <w:szCs w:val="24"/>
        </w:rPr>
        <w:t xml:space="preserve">  </w:t>
      </w:r>
      <w:r w:rsidR="005E35F9">
        <w:rPr>
          <w:rFonts w:ascii="Times New Roman" w:hAnsi="Times New Roman" w:cs="Times New Roman"/>
          <w:sz w:val="24"/>
          <w:szCs w:val="24"/>
        </w:rPr>
        <w:t xml:space="preserve">                                  </w:t>
      </w:r>
      <w:r w:rsidR="003A4433" w:rsidRPr="00893E6D">
        <w:rPr>
          <w:rFonts w:ascii="Times New Roman" w:hAnsi="Times New Roman" w:cs="Times New Roman"/>
          <w:sz w:val="24"/>
          <w:szCs w:val="24"/>
        </w:rPr>
        <w:t>(4)</w:t>
      </w:r>
    </w:p>
    <w:p w14:paraId="51953364" w14:textId="08F371A6" w:rsidR="00450266" w:rsidRPr="00893E6D" w:rsidRDefault="00EB319D" w:rsidP="00636C4A">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r w:rsidR="00450266" w:rsidRPr="00893E6D">
        <w:rPr>
          <w:rFonts w:ascii="Times New Roman" w:hAnsi="Times New Roman" w:cs="Times New Roman"/>
          <w:sz w:val="24"/>
          <w:szCs w:val="24"/>
        </w:rPr>
        <w:t xml:space="preserve">, </w:t>
      </w:r>
      <w:r w:rsidR="00450266" w:rsidRPr="00893E6D">
        <w:rPr>
          <w:rFonts w:ascii="Times New Roman" w:hAnsi="Times New Roman" w:cs="Times New Roman"/>
          <w:i/>
          <w:sz w:val="24"/>
          <w:szCs w:val="24"/>
        </w:rPr>
        <w:t>ACC</w:t>
      </w:r>
      <w:r w:rsidR="00450266" w:rsidRPr="00893E6D">
        <w:rPr>
          <w:rFonts w:ascii="Times New Roman" w:hAnsi="Times New Roman" w:cs="Times New Roman"/>
          <w:sz w:val="24"/>
          <w:szCs w:val="24"/>
        </w:rPr>
        <w:t xml:space="preserve"> is earnings before extraordinary items and discontinued operations </w:t>
      </w:r>
      <w:r w:rsidR="00450266" w:rsidRPr="004530F0">
        <w:rPr>
          <w:rFonts w:ascii="Times New Roman" w:hAnsi="Times New Roman" w:cs="Times New Roman"/>
          <w:sz w:val="24"/>
          <w:szCs w:val="24"/>
        </w:rPr>
        <w:t xml:space="preserve">minus </w:t>
      </w:r>
      <w:r w:rsidR="00450266" w:rsidRPr="00893E6D">
        <w:rPr>
          <w:rFonts w:ascii="Times New Roman" w:hAnsi="Times New Roman" w:cs="Times New Roman"/>
          <w:sz w:val="24"/>
          <w:szCs w:val="24"/>
        </w:rPr>
        <w:t xml:space="preserve">operating cash flows reported in the statement of cash flows in year </w:t>
      </w:r>
      <w:r w:rsidR="00450266" w:rsidRPr="00893E6D">
        <w:rPr>
          <w:rFonts w:ascii="Times New Roman" w:hAnsi="Times New Roman" w:cs="Times New Roman"/>
          <w:i/>
          <w:sz w:val="24"/>
          <w:szCs w:val="24"/>
        </w:rPr>
        <w:t>n</w:t>
      </w:r>
      <w:r w:rsidR="00450266" w:rsidRPr="00893E6D">
        <w:rPr>
          <w:rFonts w:ascii="Times New Roman" w:hAnsi="Times New Roman" w:cs="Times New Roman"/>
          <w:sz w:val="24"/>
          <w:szCs w:val="24"/>
        </w:rPr>
        <w:t xml:space="preserve">. </w:t>
      </w:r>
      <w:r w:rsidR="00450266" w:rsidRPr="00893E6D">
        <w:rPr>
          <w:rFonts w:ascii="Times New Roman" w:hAnsi="Times New Roman" w:cs="Times New Roman"/>
          <w:i/>
          <w:sz w:val="24"/>
          <w:szCs w:val="24"/>
        </w:rPr>
        <w:t>AT</w:t>
      </w:r>
      <w:r w:rsidR="00450266" w:rsidRPr="00893E6D">
        <w:rPr>
          <w:rFonts w:ascii="Times New Roman" w:hAnsi="Times New Roman" w:cs="Times New Roman"/>
          <w:sz w:val="24"/>
          <w:szCs w:val="24"/>
        </w:rPr>
        <w:t xml:space="preserve"> is total asset</w:t>
      </w:r>
      <w:r w:rsidR="001B1068" w:rsidRPr="00893E6D">
        <w:rPr>
          <w:rFonts w:ascii="Times New Roman" w:hAnsi="Times New Roman" w:cs="Times New Roman"/>
          <w:sz w:val="24"/>
          <w:szCs w:val="24"/>
        </w:rPr>
        <w:t>s</w:t>
      </w:r>
      <w:r w:rsidR="00450266" w:rsidRPr="00893E6D">
        <w:rPr>
          <w:rFonts w:ascii="Times New Roman" w:hAnsi="Times New Roman" w:cs="Times New Roman"/>
          <w:sz w:val="24"/>
          <w:szCs w:val="24"/>
        </w:rPr>
        <w:t xml:space="preserve">. </w:t>
      </w:r>
      <w:r w:rsidR="00450266" w:rsidRPr="00893E6D">
        <w:rPr>
          <w:rFonts w:ascii="Times New Roman" w:hAnsi="Times New Roman" w:cs="Times New Roman"/>
          <w:i/>
          <w:sz w:val="24"/>
          <w:szCs w:val="24"/>
        </w:rPr>
        <w:t xml:space="preserve">ΔS </w:t>
      </w:r>
      <w:r w:rsidR="00450266" w:rsidRPr="00893E6D">
        <w:rPr>
          <w:rFonts w:ascii="Times New Roman" w:hAnsi="Times New Roman" w:cs="Times New Roman"/>
          <w:sz w:val="24"/>
          <w:szCs w:val="24"/>
        </w:rPr>
        <w:t>is the change in sale</w:t>
      </w:r>
      <w:r w:rsidR="00051BBA" w:rsidRPr="00893E6D">
        <w:rPr>
          <w:rFonts w:ascii="Times New Roman" w:hAnsi="Times New Roman" w:cs="Times New Roman"/>
          <w:sz w:val="24"/>
          <w:szCs w:val="24"/>
        </w:rPr>
        <w:t>s</w:t>
      </w:r>
      <w:r w:rsidR="009A67A6">
        <w:rPr>
          <w:rFonts w:ascii="Times New Roman" w:hAnsi="Times New Roman" w:cs="Times New Roman"/>
          <w:sz w:val="24"/>
          <w:szCs w:val="24"/>
        </w:rPr>
        <w:t xml:space="preserve"> from year n-1 to year n</w:t>
      </w:r>
      <w:r w:rsidR="003A4433" w:rsidRPr="00893E6D">
        <w:rPr>
          <w:rFonts w:ascii="Times New Roman" w:hAnsi="Times New Roman" w:cs="Times New Roman"/>
          <w:sz w:val="24"/>
          <w:szCs w:val="24"/>
        </w:rPr>
        <w:t>,</w:t>
      </w:r>
      <w:r w:rsidR="00450266" w:rsidRPr="00893E6D">
        <w:rPr>
          <w:rFonts w:ascii="Times New Roman" w:hAnsi="Times New Roman" w:cs="Times New Roman"/>
          <w:sz w:val="24"/>
          <w:szCs w:val="24"/>
        </w:rPr>
        <w:t xml:space="preserve"> and </w:t>
      </w:r>
      <m:oMath>
        <m:r>
          <w:rPr>
            <w:rFonts w:ascii="Cambria Math" w:hAnsi="Cambria Math" w:cs="Times New Roman"/>
            <w:sz w:val="24"/>
            <w:szCs w:val="24"/>
          </w:rPr>
          <m:t>PPE</m:t>
        </m:r>
      </m:oMath>
      <w:r w:rsidR="00450266" w:rsidRPr="00893E6D">
        <w:rPr>
          <w:rFonts w:ascii="Times New Roman" w:hAnsi="Times New Roman" w:cs="Times New Roman"/>
          <w:sz w:val="24"/>
          <w:szCs w:val="24"/>
        </w:rPr>
        <w:t xml:space="preserve"> is gross property, plant, and equipment. </w:t>
      </w:r>
    </w:p>
    <w:p w14:paraId="7A8670F6" w14:textId="28587737" w:rsidR="003A4433" w:rsidRPr="00893E6D" w:rsidRDefault="00450266" w:rsidP="00A1062B">
      <w:pPr>
        <w:spacing w:line="480" w:lineRule="auto"/>
        <w:ind w:firstLine="720"/>
        <w:jc w:val="both"/>
        <w:rPr>
          <w:rFonts w:ascii="Times New Roman" w:hAnsi="Times New Roman" w:cs="Times New Roman"/>
          <w:sz w:val="24"/>
          <w:szCs w:val="24"/>
        </w:rPr>
      </w:pPr>
      <w:r w:rsidRPr="00893E6D">
        <w:rPr>
          <w:rFonts w:ascii="Times New Roman" w:hAnsi="Times New Roman" w:cs="Times New Roman"/>
          <w:sz w:val="24"/>
          <w:szCs w:val="24"/>
        </w:rPr>
        <w:t xml:space="preserve">Managers can also hoard bad news using real earnings management activities. Francis </w:t>
      </w:r>
      <w:r w:rsidRPr="00893E6D">
        <w:rPr>
          <w:rFonts w:ascii="Times New Roman" w:hAnsi="Times New Roman" w:cs="Times New Roman"/>
          <w:i/>
          <w:sz w:val="24"/>
          <w:szCs w:val="24"/>
        </w:rPr>
        <w:t>et al</w:t>
      </w:r>
      <w:r w:rsidRPr="00893E6D">
        <w:rPr>
          <w:rFonts w:ascii="Times New Roman" w:hAnsi="Times New Roman" w:cs="Times New Roman"/>
          <w:sz w:val="24"/>
          <w:szCs w:val="24"/>
        </w:rPr>
        <w:t xml:space="preserve">. (2016) document that real earnings management is positively associated with </w:t>
      </w:r>
      <w:r w:rsidR="001B1068" w:rsidRPr="00893E6D">
        <w:rPr>
          <w:rFonts w:ascii="Times New Roman" w:hAnsi="Times New Roman" w:cs="Times New Roman"/>
          <w:sz w:val="24"/>
          <w:szCs w:val="24"/>
        </w:rPr>
        <w:t xml:space="preserve">future </w:t>
      </w:r>
      <w:r w:rsidRPr="00893E6D">
        <w:rPr>
          <w:rFonts w:ascii="Times New Roman" w:hAnsi="Times New Roman" w:cs="Times New Roman"/>
          <w:sz w:val="24"/>
          <w:szCs w:val="24"/>
        </w:rPr>
        <w:t xml:space="preserve">stock crash </w:t>
      </w:r>
      <w:r w:rsidRPr="00893E6D">
        <w:rPr>
          <w:rFonts w:ascii="Times New Roman" w:hAnsi="Times New Roman" w:cs="Times New Roman"/>
          <w:sz w:val="24"/>
          <w:szCs w:val="24"/>
        </w:rPr>
        <w:lastRenderedPageBreak/>
        <w:t xml:space="preserve">risk. Accordingly, </w:t>
      </w:r>
      <w:r w:rsidR="00051BBA" w:rsidRPr="00893E6D">
        <w:rPr>
          <w:rFonts w:ascii="Times New Roman" w:hAnsi="Times New Roman" w:cs="Times New Roman"/>
          <w:sz w:val="24"/>
          <w:szCs w:val="24"/>
        </w:rPr>
        <w:t>we</w:t>
      </w:r>
      <w:r w:rsidRPr="00893E6D">
        <w:rPr>
          <w:rFonts w:ascii="Times New Roman" w:hAnsi="Times New Roman" w:cs="Times New Roman"/>
          <w:sz w:val="24"/>
          <w:szCs w:val="24"/>
        </w:rPr>
        <w:t xml:space="preserve"> control for a composite measure of real </w:t>
      </w:r>
      <w:r w:rsidR="00DF744D" w:rsidRPr="00893E6D">
        <w:rPr>
          <w:rFonts w:ascii="Times New Roman" w:hAnsi="Times New Roman" w:cs="Times New Roman"/>
          <w:sz w:val="24"/>
          <w:szCs w:val="24"/>
        </w:rPr>
        <w:t xml:space="preserve">earnings </w:t>
      </w:r>
      <w:r w:rsidRPr="00893E6D">
        <w:rPr>
          <w:rFonts w:ascii="Times New Roman" w:hAnsi="Times New Roman" w:cs="Times New Roman"/>
          <w:sz w:val="24"/>
          <w:szCs w:val="24"/>
        </w:rPr>
        <w:t xml:space="preserve">manipulation </w:t>
      </w:r>
      <w:r w:rsidR="004807BF">
        <w:rPr>
          <w:rFonts w:ascii="Times New Roman" w:hAnsi="Times New Roman" w:cs="Times New Roman"/>
          <w:sz w:val="24"/>
          <w:szCs w:val="24"/>
        </w:rPr>
        <w:t>(</w:t>
      </w:r>
      <w:r w:rsidRPr="00893E6D">
        <w:rPr>
          <w:rFonts w:ascii="Times New Roman" w:hAnsi="Times New Roman" w:cs="Times New Roman"/>
          <w:i/>
          <w:sz w:val="24"/>
          <w:szCs w:val="24"/>
        </w:rPr>
        <w:t>REALEM</w:t>
      </w:r>
      <w:r w:rsidR="004807BF">
        <w:rPr>
          <w:rFonts w:ascii="Times New Roman" w:hAnsi="Times New Roman" w:cs="Times New Roman"/>
          <w:i/>
          <w:sz w:val="24"/>
          <w:szCs w:val="24"/>
        </w:rPr>
        <w:t>)</w:t>
      </w:r>
      <w:r w:rsidR="004807BF" w:rsidRPr="00893E6D">
        <w:rPr>
          <w:rFonts w:ascii="Times New Roman" w:hAnsi="Times New Roman" w:cs="Times New Roman"/>
          <w:i/>
          <w:sz w:val="24"/>
          <w:szCs w:val="24"/>
        </w:rPr>
        <w:t xml:space="preserve"> </w:t>
      </w:r>
      <w:r w:rsidRPr="00893E6D">
        <w:rPr>
          <w:rFonts w:ascii="Times New Roman" w:hAnsi="Times New Roman" w:cs="Times New Roman"/>
          <w:sz w:val="24"/>
          <w:szCs w:val="24"/>
        </w:rPr>
        <w:t xml:space="preserve">in </w:t>
      </w:r>
      <w:r w:rsidR="008B3EBE" w:rsidRPr="00893E6D">
        <w:rPr>
          <w:rFonts w:ascii="Times New Roman" w:hAnsi="Times New Roman" w:cs="Times New Roman"/>
          <w:sz w:val="24"/>
          <w:szCs w:val="24"/>
        </w:rPr>
        <w:t>analyzing the re</w:t>
      </w:r>
      <w:r w:rsidR="003708C4" w:rsidRPr="00893E6D">
        <w:rPr>
          <w:rFonts w:ascii="Times New Roman" w:hAnsi="Times New Roman" w:cs="Times New Roman"/>
          <w:sz w:val="24"/>
          <w:szCs w:val="24"/>
        </w:rPr>
        <w:t>l</w:t>
      </w:r>
      <w:r w:rsidR="008B3EBE" w:rsidRPr="00893E6D">
        <w:rPr>
          <w:rFonts w:ascii="Times New Roman" w:hAnsi="Times New Roman" w:cs="Times New Roman"/>
          <w:sz w:val="24"/>
          <w:szCs w:val="24"/>
        </w:rPr>
        <w:t>ation between non-operating income and stock price volatility</w:t>
      </w:r>
      <w:r w:rsidRPr="00893E6D">
        <w:rPr>
          <w:rFonts w:ascii="Times New Roman" w:hAnsi="Times New Roman" w:cs="Times New Roman"/>
          <w:sz w:val="24"/>
          <w:szCs w:val="24"/>
        </w:rPr>
        <w:t>.</w:t>
      </w:r>
      <w:r w:rsidRPr="00893E6D">
        <w:rPr>
          <w:rFonts w:ascii="Times New Roman" w:hAnsi="Times New Roman" w:cs="Times New Roman"/>
          <w:i/>
          <w:sz w:val="24"/>
          <w:szCs w:val="24"/>
        </w:rPr>
        <w:t xml:space="preserve"> REALEM</w:t>
      </w:r>
      <w:r w:rsidRPr="00893E6D">
        <w:rPr>
          <w:rFonts w:ascii="Times New Roman" w:hAnsi="Times New Roman" w:cs="Times New Roman"/>
          <w:sz w:val="24"/>
          <w:szCs w:val="24"/>
        </w:rPr>
        <w:t xml:space="preserve"> is the sum of abnormal discretionary expenditures (</w:t>
      </w:r>
      <w:r w:rsidRPr="00893E6D">
        <w:rPr>
          <w:rFonts w:ascii="Times New Roman" w:hAnsi="Times New Roman" w:cs="Times New Roman"/>
          <w:i/>
          <w:sz w:val="24"/>
          <w:szCs w:val="24"/>
        </w:rPr>
        <w:t>ABDISEXP)</w:t>
      </w:r>
      <w:r w:rsidRPr="00893E6D">
        <w:rPr>
          <w:rFonts w:ascii="Times New Roman" w:hAnsi="Times New Roman" w:cs="Times New Roman"/>
          <w:sz w:val="24"/>
          <w:szCs w:val="24"/>
        </w:rPr>
        <w:t>, abnormal production costs (</w:t>
      </w:r>
      <w:r w:rsidRPr="00893E6D">
        <w:rPr>
          <w:rFonts w:ascii="Times New Roman" w:hAnsi="Times New Roman" w:cs="Times New Roman"/>
          <w:i/>
          <w:sz w:val="24"/>
          <w:szCs w:val="24"/>
        </w:rPr>
        <w:t>ABPROD)</w:t>
      </w:r>
      <w:r w:rsidR="00291448" w:rsidRPr="00893E6D">
        <w:rPr>
          <w:rFonts w:ascii="Times New Roman" w:hAnsi="Times New Roman" w:cs="Times New Roman"/>
          <w:i/>
          <w:sz w:val="24"/>
          <w:szCs w:val="24"/>
        </w:rPr>
        <w:t>,</w:t>
      </w:r>
      <w:r w:rsidRPr="00893E6D">
        <w:rPr>
          <w:rFonts w:ascii="Times New Roman" w:hAnsi="Times New Roman" w:cs="Times New Roman"/>
          <w:i/>
          <w:sz w:val="24"/>
          <w:szCs w:val="24"/>
        </w:rPr>
        <w:t xml:space="preserve"> </w:t>
      </w:r>
      <w:r w:rsidRPr="00893E6D">
        <w:rPr>
          <w:rFonts w:ascii="Times New Roman" w:hAnsi="Times New Roman" w:cs="Times New Roman"/>
          <w:sz w:val="24"/>
          <w:szCs w:val="24"/>
        </w:rPr>
        <w:t>and abnormal operating cash flows (</w:t>
      </w:r>
      <w:r w:rsidRPr="00893E6D">
        <w:rPr>
          <w:rFonts w:ascii="Times New Roman" w:hAnsi="Times New Roman" w:cs="Times New Roman"/>
          <w:i/>
          <w:sz w:val="24"/>
          <w:szCs w:val="24"/>
        </w:rPr>
        <w:t>ABCFO</w:t>
      </w:r>
      <w:r w:rsidRPr="00893E6D">
        <w:rPr>
          <w:rFonts w:ascii="Times New Roman" w:hAnsi="Times New Roman" w:cs="Times New Roman"/>
          <w:sz w:val="24"/>
          <w:szCs w:val="24"/>
        </w:rPr>
        <w:t xml:space="preserve">). </w:t>
      </w:r>
    </w:p>
    <w:p w14:paraId="67EA04BF" w14:textId="77777777" w:rsidR="003A4433" w:rsidRPr="00893E6D" w:rsidRDefault="00450266" w:rsidP="00A1062B">
      <w:pPr>
        <w:spacing w:line="480" w:lineRule="auto"/>
        <w:ind w:firstLine="720"/>
        <w:jc w:val="both"/>
        <w:rPr>
          <w:rFonts w:ascii="Times New Roman" w:hAnsi="Times New Roman" w:cs="Times New Roman"/>
          <w:sz w:val="24"/>
          <w:szCs w:val="24"/>
        </w:rPr>
      </w:pPr>
      <w:r w:rsidRPr="00893E6D">
        <w:rPr>
          <w:rFonts w:ascii="Times New Roman" w:hAnsi="Times New Roman" w:cs="Times New Roman"/>
          <w:sz w:val="24"/>
          <w:szCs w:val="24"/>
        </w:rPr>
        <w:t xml:space="preserve">Following </w:t>
      </w:r>
      <w:proofErr w:type="spellStart"/>
      <w:r w:rsidRPr="00893E6D">
        <w:rPr>
          <w:rFonts w:ascii="Times New Roman" w:hAnsi="Times New Roman" w:cs="Times New Roman"/>
          <w:sz w:val="24"/>
          <w:szCs w:val="24"/>
        </w:rPr>
        <w:t>Roychowdhury</w:t>
      </w:r>
      <w:proofErr w:type="spellEnd"/>
      <w:r w:rsidRPr="00893E6D">
        <w:rPr>
          <w:rFonts w:ascii="Times New Roman" w:hAnsi="Times New Roman" w:cs="Times New Roman"/>
          <w:sz w:val="24"/>
          <w:szCs w:val="24"/>
        </w:rPr>
        <w:t xml:space="preserve"> (2006), </w:t>
      </w:r>
      <w:r w:rsidRPr="00893E6D">
        <w:rPr>
          <w:rFonts w:ascii="Times New Roman" w:hAnsi="Times New Roman" w:cs="Times New Roman"/>
          <w:i/>
          <w:sz w:val="24"/>
          <w:szCs w:val="24"/>
        </w:rPr>
        <w:t>ABDISEXP</w:t>
      </w:r>
      <w:r w:rsidRPr="00893E6D">
        <w:rPr>
          <w:rFonts w:ascii="Times New Roman" w:hAnsi="Times New Roman" w:cs="Times New Roman"/>
          <w:sz w:val="24"/>
          <w:szCs w:val="24"/>
        </w:rPr>
        <w:t xml:space="preserve"> is the </w:t>
      </w:r>
      <w:r w:rsidRPr="00C50C23">
        <w:rPr>
          <w:rFonts w:ascii="Times New Roman" w:hAnsi="Times New Roman" w:cs="Times New Roman"/>
          <w:sz w:val="24"/>
          <w:szCs w:val="24"/>
        </w:rPr>
        <w:t xml:space="preserve">product of -1 and the residual </w:t>
      </w:r>
      <w:r w:rsidRPr="00893E6D">
        <w:rPr>
          <w:rFonts w:ascii="Times New Roman" w:hAnsi="Times New Roman" w:cs="Times New Roman"/>
          <w:sz w:val="24"/>
          <w:szCs w:val="24"/>
        </w:rPr>
        <w:t xml:space="preserve">from the following regression: </w:t>
      </w:r>
    </w:p>
    <w:p w14:paraId="7B5A1E62" w14:textId="63A786B7" w:rsidR="003A4433" w:rsidRPr="00893E6D" w:rsidRDefault="002D2F83" w:rsidP="00A1062B">
      <w:pPr>
        <w:spacing w:line="480" w:lineRule="auto"/>
        <w:ind w:firstLine="720"/>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DISEX</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vertAlign w:val="subscript"/>
                  </w:rPr>
                  <m:t>n</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vertAlign w:val="subscript"/>
                  </w:rPr>
                  <m:t>n-1</m:t>
                </m:r>
              </m:sub>
            </m:sSub>
          </m:den>
        </m:f>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vertAlign w:val="subscript"/>
              </w:rPr>
              <m:t>0</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vertAlign w:val="subscript"/>
              </w:rPr>
              <m:t>1</m:t>
            </m:r>
          </m:sub>
        </m:sSub>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vertAlign w:val="subscript"/>
                      </w:rPr>
                      <m:t>n-1</m:t>
                    </m:r>
                  </m:sub>
                </m:sSub>
              </m:den>
            </m:f>
          </m:e>
        </m:d>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vertAlign w:val="subscript"/>
              </w:rPr>
              <m:t>2</m:t>
            </m:r>
          </m:sub>
        </m:sSub>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vertAlign w:val="subscript"/>
                      </w:rPr>
                      <m:t>n-1</m:t>
                    </m:r>
                  </m:sub>
                </m:sSub>
              </m:num>
              <m:den>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vertAlign w:val="subscript"/>
                      </w:rPr>
                      <m:t>n-1</m:t>
                    </m:r>
                  </m:sub>
                </m:sSub>
              </m:den>
            </m:f>
          </m:e>
        </m:d>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vertAlign w:val="subscript"/>
              </w:rPr>
              <m:t>n</m:t>
            </m:r>
          </m:sub>
        </m:sSub>
      </m:oMath>
      <w:r w:rsidR="003A4433" w:rsidRPr="00893E6D">
        <w:rPr>
          <w:rFonts w:ascii="Times New Roman" w:hAnsi="Times New Roman" w:cs="Times New Roman"/>
          <w:sz w:val="24"/>
          <w:szCs w:val="24"/>
        </w:rPr>
        <w:t xml:space="preserve"> </w:t>
      </w:r>
      <w:r w:rsidR="002B2A52" w:rsidRPr="00893E6D">
        <w:rPr>
          <w:rFonts w:ascii="Times New Roman" w:hAnsi="Times New Roman" w:cs="Times New Roman"/>
          <w:sz w:val="24"/>
          <w:szCs w:val="24"/>
        </w:rPr>
        <w:t xml:space="preserve">  </w:t>
      </w:r>
      <w:r w:rsidR="005E35F9">
        <w:rPr>
          <w:rFonts w:ascii="Times New Roman" w:hAnsi="Times New Roman" w:cs="Times New Roman"/>
          <w:sz w:val="24"/>
          <w:szCs w:val="24"/>
        </w:rPr>
        <w:t xml:space="preserve">                                                        (</w:t>
      </w:r>
      <w:r w:rsidR="003A4433" w:rsidRPr="00893E6D">
        <w:rPr>
          <w:rFonts w:ascii="Times New Roman" w:hAnsi="Times New Roman" w:cs="Times New Roman"/>
          <w:sz w:val="24"/>
          <w:szCs w:val="24"/>
        </w:rPr>
        <w:t>5)</w:t>
      </w:r>
    </w:p>
    <w:p w14:paraId="663E2434" w14:textId="5D450318" w:rsidR="003A4433" w:rsidRPr="00893E6D" w:rsidRDefault="00543667" w:rsidP="00BA50BC">
      <w:pPr>
        <w:spacing w:line="480" w:lineRule="auto"/>
        <w:jc w:val="both"/>
        <w:rPr>
          <w:rFonts w:ascii="Times New Roman" w:hAnsi="Times New Roman" w:cs="Times New Roman"/>
          <w:sz w:val="24"/>
          <w:szCs w:val="24"/>
        </w:rPr>
      </w:pPr>
      <w:r>
        <w:rPr>
          <w:rFonts w:ascii="Times New Roman" w:hAnsi="Times New Roman" w:cs="Times New Roman"/>
          <w:sz w:val="24"/>
          <w:szCs w:val="24"/>
        </w:rPr>
        <w:t>w</w:t>
      </w:r>
      <w:r w:rsidR="003A4433" w:rsidRPr="00893E6D">
        <w:rPr>
          <w:rFonts w:ascii="Times New Roman" w:hAnsi="Times New Roman" w:cs="Times New Roman"/>
          <w:sz w:val="24"/>
          <w:szCs w:val="24"/>
        </w:rPr>
        <w:t>here</w:t>
      </w:r>
      <w:r w:rsidR="007C6302" w:rsidRPr="00893E6D">
        <w:rPr>
          <w:rFonts w:ascii="Times New Roman" w:hAnsi="Times New Roman" w:cs="Times New Roman"/>
          <w:sz w:val="24"/>
          <w:szCs w:val="24"/>
        </w:rPr>
        <w:t xml:space="preserve"> </w:t>
      </w:r>
      <w:r w:rsidR="00450266" w:rsidRPr="00893E6D">
        <w:rPr>
          <w:rFonts w:ascii="Times New Roman" w:hAnsi="Times New Roman" w:cs="Times New Roman"/>
          <w:i/>
          <w:sz w:val="24"/>
          <w:szCs w:val="24"/>
        </w:rPr>
        <w:t xml:space="preserve">DISEXP </w:t>
      </w:r>
      <w:r w:rsidR="00450266" w:rsidRPr="00893E6D">
        <w:rPr>
          <w:rFonts w:ascii="Times New Roman" w:hAnsi="Times New Roman" w:cs="Times New Roman"/>
          <w:sz w:val="24"/>
          <w:szCs w:val="24"/>
        </w:rPr>
        <w:t>is the sum of selling, general</w:t>
      </w:r>
      <w:r w:rsidR="00051BBA" w:rsidRPr="00893E6D">
        <w:rPr>
          <w:rFonts w:ascii="Times New Roman" w:hAnsi="Times New Roman" w:cs="Times New Roman"/>
          <w:sz w:val="24"/>
          <w:szCs w:val="24"/>
        </w:rPr>
        <w:t>,</w:t>
      </w:r>
      <w:r w:rsidR="00450266" w:rsidRPr="00893E6D">
        <w:rPr>
          <w:rFonts w:ascii="Times New Roman" w:hAnsi="Times New Roman" w:cs="Times New Roman"/>
          <w:sz w:val="24"/>
          <w:szCs w:val="24"/>
        </w:rPr>
        <w:t xml:space="preserve"> administrative expenses, research and development expenses, and advertising expenses in year </w:t>
      </w:r>
      <w:r w:rsidR="00450266" w:rsidRPr="00893E6D">
        <w:rPr>
          <w:rFonts w:ascii="Times New Roman" w:hAnsi="Times New Roman" w:cs="Times New Roman"/>
          <w:i/>
          <w:sz w:val="24"/>
          <w:szCs w:val="24"/>
        </w:rPr>
        <w:t>n</w:t>
      </w:r>
      <w:r w:rsidR="007C6302" w:rsidRPr="00893E6D">
        <w:rPr>
          <w:rFonts w:ascii="Times New Roman" w:hAnsi="Times New Roman" w:cs="Times New Roman"/>
          <w:sz w:val="24"/>
          <w:szCs w:val="24"/>
        </w:rPr>
        <w:t xml:space="preserve">, </w:t>
      </w:r>
      <w:r w:rsidR="00450266" w:rsidRPr="00893E6D">
        <w:rPr>
          <w:rFonts w:ascii="Times New Roman" w:hAnsi="Times New Roman" w:cs="Times New Roman"/>
          <w:i/>
          <w:sz w:val="24"/>
          <w:szCs w:val="24"/>
        </w:rPr>
        <w:t>AT</w:t>
      </w:r>
      <w:r w:rsidR="00450266" w:rsidRPr="00893E6D">
        <w:rPr>
          <w:rFonts w:ascii="Times New Roman" w:hAnsi="Times New Roman" w:cs="Times New Roman"/>
          <w:sz w:val="24"/>
          <w:szCs w:val="24"/>
        </w:rPr>
        <w:t xml:space="preserve"> is total asset</w:t>
      </w:r>
      <w:r w:rsidR="00051BBA" w:rsidRPr="00893E6D">
        <w:rPr>
          <w:rFonts w:ascii="Times New Roman" w:hAnsi="Times New Roman" w:cs="Times New Roman"/>
          <w:sz w:val="24"/>
          <w:szCs w:val="24"/>
        </w:rPr>
        <w:t>s</w:t>
      </w:r>
      <w:r w:rsidR="007C6302" w:rsidRPr="00893E6D">
        <w:rPr>
          <w:rFonts w:ascii="Times New Roman" w:hAnsi="Times New Roman" w:cs="Times New Roman"/>
          <w:sz w:val="24"/>
          <w:szCs w:val="24"/>
        </w:rPr>
        <w:t xml:space="preserve">, </w:t>
      </w:r>
      <w:r w:rsidR="00450266" w:rsidRPr="00893E6D">
        <w:rPr>
          <w:rFonts w:ascii="Times New Roman" w:hAnsi="Times New Roman" w:cs="Times New Roman"/>
          <w:sz w:val="24"/>
          <w:szCs w:val="24"/>
        </w:rPr>
        <w:t xml:space="preserve">and </w:t>
      </w:r>
      <w:r w:rsidR="00450266" w:rsidRPr="00893E6D">
        <w:rPr>
          <w:rFonts w:ascii="Times New Roman" w:hAnsi="Times New Roman" w:cs="Times New Roman"/>
          <w:i/>
          <w:sz w:val="24"/>
          <w:szCs w:val="24"/>
        </w:rPr>
        <w:t xml:space="preserve">S </w:t>
      </w:r>
      <w:r w:rsidR="00450266" w:rsidRPr="00893E6D">
        <w:rPr>
          <w:rFonts w:ascii="Times New Roman" w:hAnsi="Times New Roman" w:cs="Times New Roman"/>
          <w:sz w:val="24"/>
          <w:szCs w:val="24"/>
        </w:rPr>
        <w:t xml:space="preserve">is </w:t>
      </w:r>
      <w:r w:rsidR="00051BBA" w:rsidRPr="00893E6D">
        <w:rPr>
          <w:rFonts w:ascii="Times New Roman" w:hAnsi="Times New Roman" w:cs="Times New Roman"/>
          <w:sz w:val="24"/>
          <w:szCs w:val="24"/>
        </w:rPr>
        <w:t>total sales</w:t>
      </w:r>
      <w:r w:rsidR="00450266" w:rsidRPr="00893E6D">
        <w:rPr>
          <w:rFonts w:ascii="Times New Roman" w:hAnsi="Times New Roman" w:cs="Times New Roman"/>
          <w:sz w:val="24"/>
          <w:szCs w:val="24"/>
        </w:rPr>
        <w:t xml:space="preserve">. </w:t>
      </w:r>
    </w:p>
    <w:p w14:paraId="091EC46A" w14:textId="77777777" w:rsidR="003A4433" w:rsidRPr="00893E6D" w:rsidRDefault="00450266" w:rsidP="00A1062B">
      <w:pPr>
        <w:spacing w:line="480" w:lineRule="auto"/>
        <w:ind w:firstLine="720"/>
        <w:jc w:val="both"/>
        <w:rPr>
          <w:rFonts w:ascii="Times New Roman" w:hAnsi="Times New Roman" w:cs="Times New Roman"/>
          <w:sz w:val="24"/>
          <w:szCs w:val="24"/>
        </w:rPr>
      </w:pPr>
      <w:r w:rsidRPr="00893E6D">
        <w:rPr>
          <w:rFonts w:ascii="Times New Roman" w:hAnsi="Times New Roman" w:cs="Times New Roman"/>
          <w:i/>
          <w:sz w:val="24"/>
          <w:szCs w:val="24"/>
        </w:rPr>
        <w:t>ABPROD</w:t>
      </w:r>
      <w:r w:rsidRPr="00893E6D">
        <w:rPr>
          <w:rFonts w:ascii="Times New Roman" w:hAnsi="Times New Roman" w:cs="Times New Roman"/>
          <w:sz w:val="24"/>
          <w:szCs w:val="24"/>
        </w:rPr>
        <w:t xml:space="preserve"> is the residual from the following regression: </w:t>
      </w:r>
    </w:p>
    <w:p w14:paraId="4F2F92FA" w14:textId="2CE812E4" w:rsidR="003A4433" w:rsidRPr="00893E6D" w:rsidRDefault="002D2F83" w:rsidP="00A1062B">
      <w:pPr>
        <w:spacing w:line="480" w:lineRule="auto"/>
        <w:ind w:firstLine="720"/>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PRO</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vertAlign w:val="subscript"/>
                  </w:rPr>
                  <m:t>n</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vertAlign w:val="subscript"/>
                  </w:rPr>
                  <m:t>n-1</m:t>
                </m:r>
              </m:sub>
            </m:sSub>
          </m:den>
        </m:f>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vertAlign w:val="subscript"/>
              </w:rPr>
              <m:t>0</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vertAlign w:val="subscript"/>
              </w:rPr>
              <m:t>1</m:t>
            </m:r>
          </m:sub>
        </m:sSub>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vertAlign w:val="subscript"/>
                      </w:rPr>
                      <m:t>n-1</m:t>
                    </m:r>
                  </m:sub>
                </m:sSub>
              </m:den>
            </m:f>
          </m:e>
        </m:d>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vertAlign w:val="subscript"/>
              </w:rPr>
              <m:t>2</m:t>
            </m:r>
          </m:sub>
        </m:sSub>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vertAlign w:val="subscript"/>
                      </w:rPr>
                      <m:t>n-1</m:t>
                    </m:r>
                  </m:sub>
                </m:sSub>
              </m:num>
              <m:den>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vertAlign w:val="subscript"/>
                      </w:rPr>
                      <m:t>n-1</m:t>
                    </m:r>
                  </m:sub>
                </m:sSub>
              </m:den>
            </m:f>
          </m:e>
        </m:d>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vertAlign w:val="subscript"/>
              </w:rPr>
              <m:t>3</m:t>
            </m:r>
          </m:sub>
        </m:sSub>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vertAlign w:val="subscript"/>
                      </w:rPr>
                      <m:t>n</m:t>
                    </m:r>
                  </m:sub>
                </m:sSub>
              </m:num>
              <m:den>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vertAlign w:val="subscript"/>
                      </w:rPr>
                      <m:t>n-1</m:t>
                    </m:r>
                  </m:sub>
                </m:sSub>
              </m:den>
            </m:f>
          </m:e>
        </m:d>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vertAlign w:val="subscript"/>
              </w:rPr>
              <m:t>n</m:t>
            </m:r>
          </m:sub>
        </m:sSub>
      </m:oMath>
      <w:r w:rsidR="003A4433" w:rsidRPr="00893E6D">
        <w:rPr>
          <w:rFonts w:ascii="Times New Roman" w:hAnsi="Times New Roman" w:cs="Times New Roman"/>
          <w:sz w:val="24"/>
          <w:szCs w:val="24"/>
        </w:rPr>
        <w:t xml:space="preserve"> </w:t>
      </w:r>
      <w:r w:rsidR="002B2A52" w:rsidRPr="00893E6D">
        <w:rPr>
          <w:rFonts w:ascii="Times New Roman" w:hAnsi="Times New Roman" w:cs="Times New Roman"/>
          <w:sz w:val="24"/>
          <w:szCs w:val="24"/>
        </w:rPr>
        <w:t xml:space="preserve">  </w:t>
      </w:r>
      <w:r w:rsidR="005E35F9">
        <w:rPr>
          <w:rFonts w:ascii="Times New Roman" w:hAnsi="Times New Roman" w:cs="Times New Roman"/>
          <w:sz w:val="24"/>
          <w:szCs w:val="24"/>
        </w:rPr>
        <w:t xml:space="preserve">                                  </w:t>
      </w:r>
      <w:r w:rsidR="003A4433" w:rsidRPr="00893E6D">
        <w:rPr>
          <w:rFonts w:ascii="Times New Roman" w:hAnsi="Times New Roman" w:cs="Times New Roman"/>
          <w:sz w:val="24"/>
          <w:szCs w:val="24"/>
        </w:rPr>
        <w:t>(6)</w:t>
      </w:r>
    </w:p>
    <w:p w14:paraId="7ECD026A" w14:textId="05C597C3" w:rsidR="005E43B6" w:rsidRPr="00893E6D" w:rsidRDefault="00543667" w:rsidP="00BA50BC">
      <w:pPr>
        <w:spacing w:line="480" w:lineRule="auto"/>
        <w:jc w:val="both"/>
        <w:rPr>
          <w:rFonts w:ascii="Times New Roman" w:hAnsi="Times New Roman" w:cs="Times New Roman"/>
          <w:sz w:val="24"/>
          <w:szCs w:val="24"/>
        </w:rPr>
      </w:pPr>
      <w:r>
        <w:rPr>
          <w:rFonts w:ascii="Times New Roman" w:hAnsi="Times New Roman" w:cs="Times New Roman"/>
          <w:sz w:val="24"/>
          <w:szCs w:val="24"/>
        </w:rPr>
        <w:t>w</w:t>
      </w:r>
      <w:r w:rsidR="003A4433" w:rsidRPr="00893E6D">
        <w:rPr>
          <w:rFonts w:ascii="Times New Roman" w:hAnsi="Times New Roman" w:cs="Times New Roman"/>
          <w:sz w:val="24"/>
          <w:szCs w:val="24"/>
        </w:rPr>
        <w:t xml:space="preserve">here, </w:t>
      </w:r>
      <w:r w:rsidR="00450266" w:rsidRPr="00893E6D">
        <w:rPr>
          <w:rFonts w:ascii="Times New Roman" w:hAnsi="Times New Roman" w:cs="Times New Roman"/>
          <w:i/>
          <w:sz w:val="24"/>
          <w:szCs w:val="24"/>
        </w:rPr>
        <w:t>PROD</w:t>
      </w:r>
      <w:r w:rsidR="00450266" w:rsidRPr="00893E6D">
        <w:rPr>
          <w:rFonts w:ascii="Times New Roman" w:hAnsi="Times New Roman" w:cs="Times New Roman"/>
          <w:sz w:val="24"/>
          <w:szCs w:val="24"/>
        </w:rPr>
        <w:t xml:space="preserve"> is the sum of cost of goods sold and </w:t>
      </w:r>
      <w:r>
        <w:rPr>
          <w:rFonts w:ascii="Times New Roman" w:hAnsi="Times New Roman" w:cs="Times New Roman"/>
          <w:sz w:val="24"/>
          <w:szCs w:val="24"/>
        </w:rPr>
        <w:t>the</w:t>
      </w:r>
      <w:r w:rsidRPr="00893E6D">
        <w:rPr>
          <w:rFonts w:ascii="Times New Roman" w:hAnsi="Times New Roman" w:cs="Times New Roman"/>
          <w:sz w:val="24"/>
          <w:szCs w:val="24"/>
        </w:rPr>
        <w:t xml:space="preserve"> change</w:t>
      </w:r>
      <w:r w:rsidR="00450266" w:rsidRPr="00893E6D">
        <w:rPr>
          <w:rFonts w:ascii="Times New Roman" w:hAnsi="Times New Roman" w:cs="Times New Roman"/>
          <w:sz w:val="24"/>
          <w:szCs w:val="24"/>
        </w:rPr>
        <w:t xml:space="preserve"> in inventory</w:t>
      </w:r>
      <w:r>
        <w:rPr>
          <w:rFonts w:ascii="Times New Roman" w:hAnsi="Times New Roman" w:cs="Times New Roman"/>
          <w:sz w:val="24"/>
          <w:szCs w:val="24"/>
        </w:rPr>
        <w:t>;</w:t>
      </w:r>
      <w:r w:rsidR="005E43B6" w:rsidRPr="00893E6D">
        <w:rPr>
          <w:rFonts w:ascii="Times New Roman" w:hAnsi="Times New Roman" w:cs="Times New Roman"/>
          <w:sz w:val="24"/>
          <w:szCs w:val="24"/>
        </w:rPr>
        <w:t xml:space="preserve"> the </w:t>
      </w:r>
      <w:r w:rsidR="004530F0">
        <w:rPr>
          <w:rFonts w:ascii="Times New Roman" w:hAnsi="Times New Roman" w:cs="Times New Roman"/>
          <w:sz w:val="24"/>
          <w:szCs w:val="24"/>
        </w:rPr>
        <w:t>remaining</w:t>
      </w:r>
      <w:r w:rsidR="005E43B6" w:rsidRPr="00893E6D">
        <w:rPr>
          <w:rFonts w:ascii="Times New Roman" w:hAnsi="Times New Roman" w:cs="Times New Roman"/>
          <w:sz w:val="24"/>
          <w:szCs w:val="24"/>
        </w:rPr>
        <w:t xml:space="preserve"> variables are as previously defined</w:t>
      </w:r>
      <w:r w:rsidR="00450266" w:rsidRPr="00893E6D">
        <w:rPr>
          <w:rFonts w:ascii="Times New Roman" w:hAnsi="Times New Roman" w:cs="Times New Roman"/>
          <w:sz w:val="24"/>
          <w:szCs w:val="24"/>
        </w:rPr>
        <w:t xml:space="preserve">. </w:t>
      </w:r>
    </w:p>
    <w:p w14:paraId="22754864" w14:textId="77777777" w:rsidR="005E43B6" w:rsidRPr="00893E6D" w:rsidRDefault="00450266" w:rsidP="00A1062B">
      <w:pPr>
        <w:spacing w:line="480" w:lineRule="auto"/>
        <w:ind w:firstLine="720"/>
        <w:jc w:val="both"/>
        <w:rPr>
          <w:rFonts w:ascii="Times New Roman" w:hAnsi="Times New Roman" w:cs="Times New Roman"/>
          <w:sz w:val="24"/>
          <w:szCs w:val="24"/>
        </w:rPr>
      </w:pPr>
      <w:r w:rsidRPr="00893E6D">
        <w:rPr>
          <w:rFonts w:ascii="Times New Roman" w:hAnsi="Times New Roman" w:cs="Times New Roman"/>
          <w:i/>
          <w:sz w:val="24"/>
          <w:szCs w:val="24"/>
        </w:rPr>
        <w:t>ABCFO</w:t>
      </w:r>
      <w:r w:rsidRPr="00893E6D">
        <w:rPr>
          <w:rFonts w:ascii="Times New Roman" w:hAnsi="Times New Roman" w:cs="Times New Roman"/>
          <w:sz w:val="24"/>
          <w:szCs w:val="24"/>
        </w:rPr>
        <w:t xml:space="preserve"> is the product of -1 and the residual from the following regression:</w:t>
      </w:r>
    </w:p>
    <w:p w14:paraId="6EADD1C5" w14:textId="0A26BC4D" w:rsidR="005E43B6" w:rsidRPr="00893E6D" w:rsidRDefault="00450266" w:rsidP="00A1062B">
      <w:pPr>
        <w:spacing w:line="480" w:lineRule="auto"/>
        <w:ind w:firstLine="720"/>
        <w:jc w:val="both"/>
        <w:rPr>
          <w:rFonts w:ascii="Times New Roman" w:eastAsiaTheme="minorEastAsia" w:hAnsi="Times New Roman" w:cs="Times New Roman"/>
          <w:sz w:val="24"/>
          <w:szCs w:val="24"/>
        </w:rPr>
      </w:pPr>
      <w:r w:rsidRPr="00893E6D">
        <w:rPr>
          <w:rFonts w:ascii="Times New Roman" w:hAnsi="Times New Roman" w:cs="Times New Roman"/>
          <w:sz w:val="24"/>
          <w:szCs w:val="24"/>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CFO</m:t>
                </m:r>
              </m:e>
              <m:sub>
                <m:r>
                  <w:rPr>
                    <w:rFonts w:ascii="Cambria Math" w:hAnsi="Cambria Math" w:cs="Times New Roman"/>
                    <w:sz w:val="24"/>
                    <w:szCs w:val="24"/>
                  </w:rPr>
                  <m:t>i,t</m:t>
                </m:r>
              </m:sub>
            </m:sSub>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SALE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i,t</m:t>
                    </m:r>
                  </m:sub>
                </m:sSub>
              </m:num>
              <m:den>
                <m:r>
                  <w:rPr>
                    <w:rFonts w:ascii="Cambria Math" w:eastAsiaTheme="minorEastAsia" w:hAnsi="Cambria Math" w:cs="Times New Roman"/>
                    <w:sz w:val="24"/>
                    <w:szCs w:val="24"/>
                  </w:rPr>
                  <m:t>Asset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i,t-1</m:t>
                    </m:r>
                  </m:sub>
                </m:sSub>
              </m:den>
            </m:f>
            <m:r>
              <w:rPr>
                <w:rFonts w:ascii="Cambria Math" w:eastAsiaTheme="minorEastAsia" w:hAnsi="Cambria Math" w:cs="Times New Roman"/>
                <w:sz w:val="24"/>
                <w:szCs w:val="24"/>
              </w:rPr>
              <m:t>+ k</m:t>
            </m:r>
          </m:e>
          <m:sub>
            <m:r>
              <w:rPr>
                <w:rFonts w:ascii="Cambria Math" w:eastAsiaTheme="minorEastAsia" w:hAnsi="Cambria Math" w:cs="Times New Roman"/>
                <w:sz w:val="24"/>
                <w:szCs w:val="24"/>
              </w:rPr>
              <m:t>3</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∆SALE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i,t</m:t>
                </m:r>
              </m:sub>
            </m:sSub>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i,t</m:t>
            </m:r>
          </m:sub>
        </m:sSub>
      </m:oMath>
      <w:r w:rsidR="005E43B6" w:rsidRPr="00893E6D">
        <w:rPr>
          <w:rFonts w:ascii="Times New Roman" w:eastAsiaTheme="minorEastAsia" w:hAnsi="Times New Roman" w:cs="Times New Roman"/>
          <w:sz w:val="24"/>
          <w:szCs w:val="24"/>
        </w:rPr>
        <w:t xml:space="preserve"> </w:t>
      </w:r>
      <w:r w:rsidR="002B2A52" w:rsidRPr="00893E6D">
        <w:rPr>
          <w:rFonts w:ascii="Times New Roman" w:eastAsiaTheme="minorEastAsia" w:hAnsi="Times New Roman" w:cs="Times New Roman"/>
          <w:sz w:val="24"/>
          <w:szCs w:val="24"/>
        </w:rPr>
        <w:t xml:space="preserve">  </w:t>
      </w:r>
      <w:r w:rsidR="005E35F9">
        <w:rPr>
          <w:rFonts w:ascii="Times New Roman" w:eastAsiaTheme="minorEastAsia" w:hAnsi="Times New Roman" w:cs="Times New Roman"/>
          <w:sz w:val="24"/>
          <w:szCs w:val="24"/>
        </w:rPr>
        <w:t xml:space="preserve">                            </w:t>
      </w:r>
      <w:r w:rsidR="005E43B6" w:rsidRPr="00893E6D">
        <w:rPr>
          <w:rFonts w:ascii="Times New Roman" w:eastAsiaTheme="minorEastAsia" w:hAnsi="Times New Roman" w:cs="Times New Roman"/>
          <w:sz w:val="24"/>
          <w:szCs w:val="24"/>
        </w:rPr>
        <w:t>(7)</w:t>
      </w:r>
    </w:p>
    <w:p w14:paraId="0A72ED70" w14:textId="6633B6D9" w:rsidR="00F106DE" w:rsidRDefault="00450266" w:rsidP="00BA50BC">
      <w:pPr>
        <w:spacing w:line="480" w:lineRule="auto"/>
        <w:jc w:val="both"/>
        <w:rPr>
          <w:rFonts w:ascii="Times New Roman" w:hAnsi="Times New Roman" w:cs="Times New Roman"/>
          <w:sz w:val="24"/>
          <w:szCs w:val="24"/>
        </w:rPr>
      </w:pPr>
      <w:r w:rsidRPr="00893E6D">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CFO</m:t>
            </m:r>
          </m:e>
          <m:sub>
            <m:r>
              <w:rPr>
                <w:rFonts w:ascii="Cambria Math" w:hAnsi="Cambria Math" w:cs="Times New Roman"/>
                <w:sz w:val="24"/>
                <w:szCs w:val="24"/>
              </w:rPr>
              <m:t>i,t</m:t>
            </m:r>
          </m:sub>
        </m:sSub>
      </m:oMath>
      <w:r w:rsidRPr="00893E6D">
        <w:rPr>
          <w:rFonts w:ascii="Times New Roman" w:hAnsi="Times New Roman" w:cs="Times New Roman"/>
          <w:sz w:val="24"/>
          <w:szCs w:val="24"/>
        </w:rPr>
        <w:t xml:space="preserve"> is the difference between net cash flow from operating activities and extraordinary items and discontinued operations scaled by asset</w:t>
      </w:r>
      <w:r w:rsidR="00051BBA" w:rsidRPr="00893E6D">
        <w:rPr>
          <w:rFonts w:ascii="Times New Roman" w:hAnsi="Times New Roman" w:cs="Times New Roman"/>
          <w:sz w:val="24"/>
          <w:szCs w:val="24"/>
        </w:rPr>
        <w:t>s</w:t>
      </w:r>
      <w:r w:rsidRPr="00893E6D">
        <w:rPr>
          <w:rFonts w:ascii="Times New Roman" w:hAnsi="Times New Roman" w:cs="Times New Roman"/>
          <w:sz w:val="24"/>
          <w:szCs w:val="24"/>
        </w:rPr>
        <w:t xml:space="preserve"> during the year for firm </w:t>
      </w:r>
      <m:oMath>
        <m:r>
          <w:rPr>
            <w:rFonts w:ascii="Cambria Math" w:hAnsi="Cambria Math" w:cs="Times New Roman"/>
            <w:sz w:val="24"/>
            <w:szCs w:val="24"/>
          </w:rPr>
          <m:t>i</m:t>
        </m:r>
      </m:oMath>
      <w:r w:rsidRPr="00893E6D">
        <w:rPr>
          <w:rFonts w:ascii="Times New Roman" w:hAnsi="Times New Roman" w:cs="Times New Roman"/>
          <w:sz w:val="24"/>
          <w:szCs w:val="24"/>
        </w:rPr>
        <w:t>.</w:t>
      </w:r>
      <w:r w:rsidR="00543667">
        <w:rPr>
          <w:rFonts w:ascii="Times New Roman" w:hAnsi="Times New Roman" w:cs="Times New Roman"/>
          <w:sz w:val="24"/>
          <w:szCs w:val="24"/>
        </w:rPr>
        <w:t xml:space="preserve"> </w:t>
      </w:r>
      <w:r w:rsidR="005E43B6" w:rsidRPr="00893E6D">
        <w:rPr>
          <w:rFonts w:ascii="Times New Roman" w:hAnsi="Times New Roman" w:cs="Times New Roman"/>
          <w:sz w:val="24"/>
          <w:szCs w:val="24"/>
        </w:rPr>
        <w:t>Equations (</w:t>
      </w:r>
      <w:r w:rsidR="00874EA3">
        <w:rPr>
          <w:rFonts w:ascii="Times New Roman" w:hAnsi="Times New Roman" w:cs="Times New Roman"/>
          <w:sz w:val="24"/>
          <w:szCs w:val="24"/>
        </w:rPr>
        <w:t>4</w:t>
      </w:r>
      <w:r w:rsidR="003B0F62">
        <w:rPr>
          <w:rFonts w:ascii="Times New Roman" w:hAnsi="Times New Roman" w:cs="Times New Roman"/>
          <w:sz w:val="24"/>
          <w:szCs w:val="24"/>
        </w:rPr>
        <w:t>)</w:t>
      </w:r>
      <w:r w:rsidR="00543667">
        <w:rPr>
          <w:rFonts w:ascii="Times New Roman" w:hAnsi="Times New Roman" w:cs="Times New Roman"/>
          <w:sz w:val="24"/>
          <w:szCs w:val="24"/>
        </w:rPr>
        <w:t xml:space="preserve"> to </w:t>
      </w:r>
      <w:r w:rsidR="005E43B6" w:rsidRPr="00893E6D">
        <w:rPr>
          <w:rFonts w:ascii="Times New Roman" w:hAnsi="Times New Roman" w:cs="Times New Roman"/>
          <w:sz w:val="24"/>
          <w:szCs w:val="24"/>
        </w:rPr>
        <w:t>(7)</w:t>
      </w:r>
      <w:r w:rsidRPr="00893E6D">
        <w:rPr>
          <w:rFonts w:ascii="Times New Roman" w:hAnsi="Times New Roman" w:cs="Times New Roman"/>
          <w:sz w:val="24"/>
          <w:szCs w:val="24"/>
        </w:rPr>
        <w:t xml:space="preserve"> are estimated </w:t>
      </w:r>
      <w:r w:rsidRPr="008C4D9B">
        <w:rPr>
          <w:rFonts w:ascii="Times New Roman" w:hAnsi="Times New Roman" w:cs="Times New Roman"/>
          <w:sz w:val="24"/>
          <w:szCs w:val="24"/>
        </w:rPr>
        <w:t>cross-sectional</w:t>
      </w:r>
      <w:r w:rsidR="00543667" w:rsidRPr="008C4D9B">
        <w:rPr>
          <w:rFonts w:ascii="Times New Roman" w:hAnsi="Times New Roman" w:cs="Times New Roman"/>
          <w:sz w:val="24"/>
          <w:szCs w:val="24"/>
        </w:rPr>
        <w:t>ly</w:t>
      </w:r>
      <w:r w:rsidRPr="00893E6D">
        <w:rPr>
          <w:rFonts w:ascii="Times New Roman" w:hAnsi="Times New Roman" w:cs="Times New Roman"/>
          <w:sz w:val="24"/>
          <w:szCs w:val="24"/>
        </w:rPr>
        <w:t xml:space="preserve"> for industry-years with at least 15 observations.</w:t>
      </w:r>
    </w:p>
    <w:p w14:paraId="41926C11" w14:textId="5A944EDB" w:rsidR="001D6958" w:rsidRPr="00893E6D" w:rsidRDefault="00715761" w:rsidP="00A1062B">
      <w:pPr>
        <w:pStyle w:val="ListParagraph"/>
        <w:numPr>
          <w:ilvl w:val="1"/>
          <w:numId w:val="1"/>
        </w:numPr>
        <w:spacing w:line="480" w:lineRule="auto"/>
        <w:jc w:val="both"/>
        <w:rPr>
          <w:rFonts w:ascii="Times New Roman" w:hAnsi="Times New Roman" w:cs="Times New Roman"/>
          <w:b/>
          <w:i/>
          <w:sz w:val="24"/>
          <w:szCs w:val="24"/>
        </w:rPr>
      </w:pPr>
      <w:r w:rsidRPr="00893E6D">
        <w:rPr>
          <w:rFonts w:ascii="Times New Roman" w:hAnsi="Times New Roman" w:cs="Times New Roman"/>
          <w:b/>
          <w:i/>
          <w:sz w:val="24"/>
          <w:szCs w:val="24"/>
        </w:rPr>
        <w:t xml:space="preserve">Multivariate </w:t>
      </w:r>
      <w:r w:rsidR="00D2441F">
        <w:rPr>
          <w:rFonts w:ascii="Times New Roman" w:hAnsi="Times New Roman" w:cs="Times New Roman"/>
          <w:b/>
          <w:i/>
          <w:sz w:val="24"/>
          <w:szCs w:val="24"/>
        </w:rPr>
        <w:t>r</w:t>
      </w:r>
      <w:r w:rsidR="0034610E" w:rsidRPr="00893E6D">
        <w:rPr>
          <w:rFonts w:ascii="Times New Roman" w:hAnsi="Times New Roman" w:cs="Times New Roman"/>
          <w:b/>
          <w:i/>
          <w:sz w:val="24"/>
          <w:szCs w:val="24"/>
        </w:rPr>
        <w:t>egression</w:t>
      </w:r>
      <w:r w:rsidR="0076652A" w:rsidRPr="00893E6D">
        <w:rPr>
          <w:rFonts w:ascii="Times New Roman" w:hAnsi="Times New Roman" w:cs="Times New Roman"/>
          <w:b/>
          <w:i/>
          <w:sz w:val="24"/>
          <w:szCs w:val="24"/>
        </w:rPr>
        <w:t>s</w:t>
      </w:r>
      <w:r w:rsidR="0034610E" w:rsidRPr="00893E6D">
        <w:rPr>
          <w:rFonts w:ascii="Times New Roman" w:hAnsi="Times New Roman" w:cs="Times New Roman"/>
          <w:b/>
          <w:i/>
          <w:sz w:val="24"/>
          <w:szCs w:val="24"/>
        </w:rPr>
        <w:t xml:space="preserve"> </w:t>
      </w:r>
    </w:p>
    <w:p w14:paraId="3867BC68" w14:textId="26009740" w:rsidR="00DB137D" w:rsidRPr="00893E6D" w:rsidRDefault="00A05F84" w:rsidP="00A1062B">
      <w:pPr>
        <w:spacing w:line="480" w:lineRule="auto"/>
        <w:ind w:firstLine="720"/>
        <w:jc w:val="both"/>
        <w:rPr>
          <w:rFonts w:ascii="Times New Roman" w:hAnsi="Times New Roman" w:cs="Times New Roman"/>
          <w:sz w:val="24"/>
          <w:szCs w:val="24"/>
        </w:rPr>
      </w:pPr>
      <w:r w:rsidRPr="00893E6D">
        <w:rPr>
          <w:rFonts w:ascii="Times New Roman" w:hAnsi="Times New Roman" w:cs="Times New Roman"/>
          <w:sz w:val="24"/>
          <w:szCs w:val="24"/>
        </w:rPr>
        <w:lastRenderedPageBreak/>
        <w:t>We use the following equation</w:t>
      </w:r>
      <w:r w:rsidR="00CC1039" w:rsidRPr="00893E6D">
        <w:rPr>
          <w:rFonts w:ascii="Times New Roman" w:hAnsi="Times New Roman" w:cs="Times New Roman"/>
          <w:sz w:val="24"/>
          <w:szCs w:val="24"/>
        </w:rPr>
        <w:t>s</w:t>
      </w:r>
      <w:r w:rsidRPr="00893E6D">
        <w:rPr>
          <w:rFonts w:ascii="Times New Roman" w:hAnsi="Times New Roman" w:cs="Times New Roman"/>
          <w:sz w:val="24"/>
          <w:szCs w:val="24"/>
        </w:rPr>
        <w:t xml:space="preserve"> to</w:t>
      </w:r>
      <w:r w:rsidR="007117EF" w:rsidRPr="00893E6D">
        <w:rPr>
          <w:rFonts w:ascii="Times New Roman" w:hAnsi="Times New Roman" w:cs="Times New Roman"/>
          <w:sz w:val="24"/>
          <w:szCs w:val="24"/>
        </w:rPr>
        <w:t xml:space="preserve"> examine the </w:t>
      </w:r>
      <w:r w:rsidR="0034610E" w:rsidRPr="00893E6D">
        <w:rPr>
          <w:rFonts w:ascii="Times New Roman" w:hAnsi="Times New Roman" w:cs="Times New Roman"/>
          <w:sz w:val="24"/>
          <w:szCs w:val="24"/>
        </w:rPr>
        <w:t>association</w:t>
      </w:r>
      <w:r w:rsidR="00BE74C8" w:rsidRPr="00893E6D">
        <w:rPr>
          <w:rFonts w:ascii="Times New Roman" w:hAnsi="Times New Roman" w:cs="Times New Roman"/>
          <w:sz w:val="24"/>
          <w:szCs w:val="24"/>
        </w:rPr>
        <w:t>s</w:t>
      </w:r>
      <w:r w:rsidR="0034610E" w:rsidRPr="00893E6D">
        <w:rPr>
          <w:rFonts w:ascii="Times New Roman" w:hAnsi="Times New Roman" w:cs="Times New Roman"/>
          <w:sz w:val="24"/>
          <w:szCs w:val="24"/>
        </w:rPr>
        <w:t xml:space="preserve"> </w:t>
      </w:r>
      <w:r w:rsidR="007117EF" w:rsidRPr="00893E6D">
        <w:rPr>
          <w:rFonts w:ascii="Times New Roman" w:hAnsi="Times New Roman" w:cs="Times New Roman"/>
          <w:sz w:val="24"/>
          <w:szCs w:val="24"/>
        </w:rPr>
        <w:t>between</w:t>
      </w:r>
      <w:r w:rsidR="00CC1039" w:rsidRPr="00893E6D">
        <w:rPr>
          <w:rFonts w:ascii="Times New Roman" w:hAnsi="Times New Roman" w:cs="Times New Roman"/>
          <w:sz w:val="24"/>
          <w:szCs w:val="24"/>
        </w:rPr>
        <w:t xml:space="preserve"> non-operating earnings (</w:t>
      </w:r>
      <m:oMath>
        <m:sSub>
          <m:sSubPr>
            <m:ctrlPr>
              <w:rPr>
                <w:rFonts w:ascii="Cambria Math" w:hAnsi="Cambria Math" w:cs="Times New Roman"/>
                <w:i/>
                <w:sz w:val="24"/>
                <w:szCs w:val="24"/>
              </w:rPr>
            </m:ctrlPr>
          </m:sSubPr>
          <m:e>
            <m:r>
              <w:rPr>
                <w:rFonts w:ascii="Cambria Math" w:hAnsi="Cambria Math" w:cs="Times New Roman"/>
                <w:sz w:val="24"/>
                <w:szCs w:val="24"/>
              </w:rPr>
              <m:t>NONOPERINC</m:t>
            </m:r>
          </m:e>
          <m:sub>
            <m:r>
              <w:rPr>
                <w:rFonts w:ascii="Cambria Math" w:hAnsi="Cambria Math" w:cs="Times New Roman"/>
                <w:sz w:val="24"/>
                <w:szCs w:val="24"/>
              </w:rPr>
              <m:t>i,t</m:t>
            </m:r>
          </m:sub>
        </m:sSub>
        <m:r>
          <w:rPr>
            <w:rFonts w:ascii="Cambria Math" w:hAnsi="Cambria Math" w:cs="Times New Roman"/>
            <w:sz w:val="24"/>
            <w:szCs w:val="24"/>
          </w:rPr>
          <m:t>)</m:t>
        </m:r>
      </m:oMath>
      <w:r w:rsidR="007117EF" w:rsidRPr="00893E6D">
        <w:rPr>
          <w:rFonts w:ascii="Times New Roman" w:hAnsi="Times New Roman" w:cs="Times New Roman"/>
          <w:sz w:val="24"/>
          <w:szCs w:val="24"/>
        </w:rPr>
        <w:t xml:space="preserve"> </w:t>
      </w:r>
      <w:r w:rsidR="00CC1039" w:rsidRPr="00893E6D">
        <w:rPr>
          <w:rFonts w:ascii="Times New Roman" w:hAnsi="Times New Roman" w:cs="Times New Roman"/>
          <w:sz w:val="24"/>
          <w:szCs w:val="24"/>
        </w:rPr>
        <w:t xml:space="preserve">and various firm risk measures, including </w:t>
      </w:r>
      <w:r w:rsidR="007117EF" w:rsidRPr="00893E6D">
        <w:rPr>
          <w:rFonts w:ascii="Times New Roman" w:hAnsi="Times New Roman" w:cs="Times New Roman"/>
          <w:sz w:val="24"/>
          <w:szCs w:val="24"/>
        </w:rPr>
        <w:t>ROA volatility (</w:t>
      </w:r>
      <m:oMath>
        <m:sSub>
          <m:sSubPr>
            <m:ctrlPr>
              <w:rPr>
                <w:rFonts w:ascii="Cambria Math" w:hAnsi="Cambria Math" w:cs="Times New Roman"/>
                <w:i/>
                <w:sz w:val="24"/>
                <w:szCs w:val="24"/>
              </w:rPr>
            </m:ctrlPr>
          </m:sSubPr>
          <m:e>
            <m:r>
              <w:rPr>
                <w:rFonts w:ascii="Cambria Math" w:hAnsi="Cambria Math" w:cs="Times New Roman"/>
                <w:sz w:val="24"/>
                <w:szCs w:val="24"/>
              </w:rPr>
              <m:t>ROAVOL</m:t>
            </m:r>
          </m:e>
          <m:sub>
            <m:r>
              <w:rPr>
                <w:rFonts w:ascii="Cambria Math" w:hAnsi="Cambria Math" w:cs="Times New Roman"/>
                <w:sz w:val="24"/>
                <w:szCs w:val="24"/>
              </w:rPr>
              <m:t>i,t</m:t>
            </m:r>
          </m:sub>
        </m:sSub>
      </m:oMath>
      <w:r w:rsidR="007117EF" w:rsidRPr="00893E6D">
        <w:rPr>
          <w:rFonts w:ascii="Times New Roman" w:hAnsi="Times New Roman" w:cs="Times New Roman"/>
          <w:sz w:val="24"/>
          <w:szCs w:val="24"/>
        </w:rPr>
        <w:t>)</w:t>
      </w:r>
      <w:r w:rsidR="00CC1039" w:rsidRPr="00893E6D">
        <w:rPr>
          <w:rFonts w:ascii="Times New Roman" w:hAnsi="Times New Roman" w:cs="Times New Roman"/>
          <w:sz w:val="24"/>
          <w:szCs w:val="24"/>
        </w:rPr>
        <w:t xml:space="preserve">, stock price </w:t>
      </w:r>
      <w:r w:rsidR="00CA611A" w:rsidRPr="00893E6D">
        <w:rPr>
          <w:rFonts w:ascii="Times New Roman" w:hAnsi="Times New Roman" w:cs="Times New Roman"/>
          <w:sz w:val="24"/>
          <w:szCs w:val="24"/>
        </w:rPr>
        <w:t>volatility (</w:t>
      </w:r>
      <m:oMath>
        <m:sSub>
          <m:sSubPr>
            <m:ctrlPr>
              <w:rPr>
                <w:rFonts w:ascii="Cambria Math" w:hAnsi="Cambria Math" w:cs="Times New Roman"/>
                <w:i/>
                <w:sz w:val="24"/>
                <w:szCs w:val="24"/>
              </w:rPr>
            </m:ctrlPr>
          </m:sSubPr>
          <m:e>
            <m:r>
              <w:rPr>
                <w:rFonts w:ascii="Cambria Math" w:hAnsi="Cambria Math" w:cs="Times New Roman"/>
                <w:sz w:val="24"/>
                <w:szCs w:val="24"/>
              </w:rPr>
              <m:t>STOCKVOL</m:t>
            </m:r>
          </m:e>
          <m:sub>
            <m:r>
              <w:rPr>
                <w:rFonts w:ascii="Cambria Math" w:hAnsi="Cambria Math" w:cs="Times New Roman"/>
                <w:sz w:val="24"/>
                <w:szCs w:val="24"/>
              </w:rPr>
              <m:t>i,t</m:t>
            </m:r>
          </m:sub>
        </m:sSub>
        <m:r>
          <w:rPr>
            <w:rFonts w:ascii="Cambria Math" w:hAnsi="Cambria Math" w:cs="Times New Roman"/>
            <w:sz w:val="24"/>
            <w:szCs w:val="24"/>
          </w:rPr>
          <m:t>)</m:t>
        </m:r>
      </m:oMath>
      <w:r w:rsidR="00CC1039" w:rsidRPr="00893E6D">
        <w:rPr>
          <w:rFonts w:ascii="Times New Roman" w:hAnsi="Times New Roman" w:cs="Times New Roman"/>
          <w:sz w:val="24"/>
          <w:szCs w:val="24"/>
        </w:rPr>
        <w:t>, and crash risk (</w:t>
      </w:r>
      <w:r w:rsidR="00874EA3">
        <w:rPr>
          <w:rFonts w:ascii="Times New Roman" w:hAnsi="Times New Roman" w:cs="Times New Roman"/>
          <w:sz w:val="24"/>
          <w:szCs w:val="24"/>
        </w:rPr>
        <w:t xml:space="preserve">either </w:t>
      </w:r>
      <w:r w:rsidR="00CC1039" w:rsidRPr="00893E6D">
        <w:rPr>
          <w:rFonts w:ascii="Times New Roman" w:hAnsi="Times New Roman" w:cs="Times New Roman"/>
          <w:i/>
          <w:sz w:val="24"/>
          <w:szCs w:val="24"/>
        </w:rPr>
        <w:t xml:space="preserve">NCSKEW, DUVOL </w:t>
      </w:r>
      <w:r w:rsidR="00874EA3">
        <w:rPr>
          <w:rFonts w:ascii="Times New Roman" w:hAnsi="Times New Roman" w:cs="Times New Roman"/>
          <w:sz w:val="24"/>
          <w:szCs w:val="24"/>
        </w:rPr>
        <w:t>or</w:t>
      </w:r>
      <w:r w:rsidR="00874EA3" w:rsidRPr="00893E6D">
        <w:rPr>
          <w:rFonts w:ascii="Times New Roman" w:hAnsi="Times New Roman" w:cs="Times New Roman"/>
          <w:i/>
          <w:sz w:val="24"/>
          <w:szCs w:val="24"/>
        </w:rPr>
        <w:t xml:space="preserve"> </w:t>
      </w:r>
      <w:r w:rsidR="00CC1039" w:rsidRPr="00893E6D">
        <w:rPr>
          <w:rFonts w:ascii="Times New Roman" w:hAnsi="Times New Roman" w:cs="Times New Roman"/>
          <w:i/>
          <w:sz w:val="24"/>
          <w:szCs w:val="24"/>
        </w:rPr>
        <w:t>COUNT</w:t>
      </w:r>
      <w:r w:rsidR="00CC1039" w:rsidRPr="00893E6D">
        <w:rPr>
          <w:rFonts w:ascii="Times New Roman" w:hAnsi="Times New Roman" w:cs="Times New Roman"/>
          <w:sz w:val="24"/>
          <w:szCs w:val="24"/>
        </w:rPr>
        <w:t xml:space="preserve">) </w:t>
      </w:r>
      <w:r w:rsidR="007117EF" w:rsidRPr="00893E6D">
        <w:rPr>
          <w:rFonts w:ascii="Times New Roman" w:hAnsi="Times New Roman" w:cs="Times New Roman"/>
          <w:sz w:val="24"/>
          <w:szCs w:val="24"/>
        </w:rPr>
        <w:t>while controlling for other firm characteristics.</w:t>
      </w:r>
      <w:r w:rsidR="00DB137D" w:rsidRPr="00893E6D">
        <w:rPr>
          <w:rFonts w:ascii="Times New Roman" w:hAnsi="Times New Roman" w:cs="Times New Roman"/>
          <w:sz w:val="24"/>
          <w:szCs w:val="24"/>
        </w:rPr>
        <w:t xml:space="preserve"> </w:t>
      </w:r>
    </w:p>
    <w:p w14:paraId="13F7BDF2" w14:textId="3122FBA0" w:rsidR="006E3361" w:rsidRPr="00893E6D" w:rsidRDefault="002D2F83" w:rsidP="00A1062B">
      <w:pPr>
        <w:spacing w:line="48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ROAVOL</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1,i</m:t>
              </m:r>
            </m:sub>
          </m:sSub>
          <m:sSub>
            <m:sSubPr>
              <m:ctrlPr>
                <w:rPr>
                  <w:rFonts w:ascii="Cambria Math" w:hAnsi="Cambria Math" w:cs="Times New Roman"/>
                  <w:i/>
                  <w:sz w:val="24"/>
                  <w:szCs w:val="24"/>
                </w:rPr>
              </m:ctrlPr>
            </m:sSubPr>
            <m:e>
              <m:r>
                <w:rPr>
                  <w:rFonts w:ascii="Cambria Math" w:hAnsi="Cambria Math" w:cs="Times New Roman"/>
                  <w:sz w:val="24"/>
                  <w:szCs w:val="24"/>
                </w:rPr>
                <m:t>NONOPERINC</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2,i</m:t>
              </m:r>
            </m:sub>
          </m:sSub>
          <m:sSub>
            <m:sSubPr>
              <m:ctrlPr>
                <w:rPr>
                  <w:rFonts w:ascii="Cambria Math" w:hAnsi="Cambria Math" w:cs="Times New Roman"/>
                  <w:i/>
                  <w:sz w:val="24"/>
                  <w:szCs w:val="24"/>
                </w:rPr>
              </m:ctrlPr>
            </m:sSubPr>
            <m:e>
              <m:r>
                <w:rPr>
                  <w:rFonts w:ascii="Cambria Math" w:hAnsi="Cambria Math" w:cs="Times New Roman"/>
                  <w:sz w:val="24"/>
                  <w:szCs w:val="24"/>
                </w:rPr>
                <m:t>OPERINC</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3,i</m:t>
              </m:r>
            </m:sub>
          </m:sSub>
          <m:sSub>
            <m:sSubPr>
              <m:ctrlPr>
                <w:rPr>
                  <w:rFonts w:ascii="Cambria Math" w:hAnsi="Cambria Math" w:cs="Times New Roman"/>
                  <w:i/>
                  <w:sz w:val="24"/>
                  <w:szCs w:val="24"/>
                </w:rPr>
              </m:ctrlPr>
            </m:sSubPr>
            <m:e>
              <m:r>
                <w:rPr>
                  <w:rFonts w:ascii="Cambria Math" w:hAnsi="Cambria Math" w:cs="Times New Roman"/>
                  <w:sz w:val="24"/>
                  <w:szCs w:val="24"/>
                </w:rPr>
                <m:t>LNAT</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4,i</m:t>
              </m:r>
            </m:sub>
          </m:sSub>
          <m:sSub>
            <m:sSubPr>
              <m:ctrlPr>
                <w:rPr>
                  <w:rFonts w:ascii="Cambria Math" w:hAnsi="Cambria Math" w:cs="Times New Roman"/>
                  <w:i/>
                  <w:sz w:val="24"/>
                  <w:szCs w:val="24"/>
                </w:rPr>
              </m:ctrlPr>
            </m:sSubPr>
            <m:e>
              <m:r>
                <w:rPr>
                  <w:rFonts w:ascii="Cambria Math" w:hAnsi="Cambria Math" w:cs="Times New Roman"/>
                  <w:sz w:val="24"/>
                  <w:szCs w:val="24"/>
                </w:rPr>
                <m:t>DEBT</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5,i</m:t>
              </m:r>
            </m:sub>
          </m:sSub>
          <m:sSub>
            <m:sSubPr>
              <m:ctrlPr>
                <w:rPr>
                  <w:rFonts w:ascii="Cambria Math" w:hAnsi="Cambria Math" w:cs="Times New Roman"/>
                  <w:i/>
                  <w:sz w:val="24"/>
                  <w:szCs w:val="24"/>
                </w:rPr>
              </m:ctrlPr>
            </m:sSubPr>
            <m:e>
              <m:r>
                <w:rPr>
                  <w:rFonts w:ascii="Cambria Math" w:hAnsi="Cambria Math" w:cs="Times New Roman"/>
                  <w:sz w:val="24"/>
                  <w:szCs w:val="24"/>
                </w:rPr>
                <m:t>XRD</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6,i</m:t>
              </m:r>
            </m:sub>
          </m:sSub>
          <m:sSub>
            <m:sSubPr>
              <m:ctrlPr>
                <w:rPr>
                  <w:rFonts w:ascii="Cambria Math" w:hAnsi="Cambria Math" w:cs="Times New Roman"/>
                  <w:i/>
                  <w:sz w:val="24"/>
                  <w:szCs w:val="24"/>
                </w:rPr>
              </m:ctrlPr>
            </m:sSubPr>
            <m:e>
              <m:r>
                <w:rPr>
                  <w:rFonts w:ascii="Cambria Math" w:hAnsi="Cambria Math" w:cs="Times New Roman"/>
                  <w:sz w:val="24"/>
                  <w:szCs w:val="24"/>
                </w:rPr>
                <m:t>XAD</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7,i</m:t>
              </m:r>
            </m:sub>
          </m:sSub>
          <m:sSub>
            <m:sSubPr>
              <m:ctrlPr>
                <w:rPr>
                  <w:rFonts w:ascii="Cambria Math" w:hAnsi="Cambria Math" w:cs="Times New Roman"/>
                  <w:i/>
                  <w:sz w:val="24"/>
                  <w:szCs w:val="24"/>
                </w:rPr>
              </m:ctrlPr>
            </m:sSubPr>
            <m:e>
              <m:r>
                <w:rPr>
                  <w:rFonts w:ascii="Cambria Math" w:hAnsi="Cambria Math" w:cs="Times New Roman"/>
                  <w:sz w:val="24"/>
                  <w:szCs w:val="24"/>
                </w:rPr>
                <m:t>INSTOWN_TRAN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8,i</m:t>
              </m:r>
            </m:sub>
          </m:sSub>
          <m:sSub>
            <m:sSubPr>
              <m:ctrlPr>
                <w:rPr>
                  <w:rFonts w:ascii="Cambria Math" w:hAnsi="Cambria Math" w:cs="Times New Roman"/>
                  <w:i/>
                  <w:sz w:val="24"/>
                  <w:szCs w:val="24"/>
                </w:rPr>
              </m:ctrlPr>
            </m:sSubPr>
            <m:e>
              <m:r>
                <w:rPr>
                  <w:rFonts w:ascii="Cambria Math" w:hAnsi="Cambria Math" w:cs="Times New Roman"/>
                  <w:sz w:val="24"/>
                  <w:szCs w:val="24"/>
                </w:rPr>
                <m:t>INSTOWN_QIX</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9,i</m:t>
              </m:r>
            </m:sub>
          </m:sSub>
          <m:sSub>
            <m:sSubPr>
              <m:ctrlPr>
                <w:rPr>
                  <w:rFonts w:ascii="Cambria Math" w:hAnsi="Cambria Math" w:cs="Times New Roman"/>
                  <w:i/>
                  <w:sz w:val="24"/>
                  <w:szCs w:val="24"/>
                </w:rPr>
              </m:ctrlPr>
            </m:sSubPr>
            <m:e>
              <m:r>
                <w:rPr>
                  <w:rFonts w:ascii="Cambria Math" w:hAnsi="Cambria Math" w:cs="Times New Roman"/>
                  <w:sz w:val="24"/>
                  <w:szCs w:val="24"/>
                </w:rPr>
                <m:t>INSTOWN_DED</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10,i</m:t>
              </m:r>
            </m:sub>
          </m:sSub>
          <m:sSub>
            <m:sSubPr>
              <m:ctrlPr>
                <w:rPr>
                  <w:rFonts w:ascii="Cambria Math" w:hAnsi="Cambria Math" w:cs="Times New Roman"/>
                  <w:i/>
                  <w:sz w:val="24"/>
                  <w:szCs w:val="24"/>
                </w:rPr>
              </m:ctrlPr>
            </m:sSubPr>
            <m:e>
              <m:r>
                <w:rPr>
                  <w:rFonts w:ascii="Cambria Math" w:hAnsi="Cambria Math" w:cs="Times New Roman"/>
                  <w:sz w:val="24"/>
                  <w:szCs w:val="24"/>
                </w:rPr>
                <m:t>SKILL</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11,i</m:t>
              </m:r>
            </m:sub>
          </m:sSub>
          <m:sSub>
            <m:sSubPr>
              <m:ctrlPr>
                <w:rPr>
                  <w:rFonts w:ascii="Cambria Math" w:hAnsi="Cambria Math" w:cs="Times New Roman"/>
                  <w:i/>
                  <w:sz w:val="24"/>
                  <w:szCs w:val="24"/>
                </w:rPr>
              </m:ctrlPr>
            </m:sSubPr>
            <m:e>
              <m:r>
                <w:rPr>
                  <w:rFonts w:ascii="Cambria Math" w:hAnsi="Cambria Math" w:cs="Times New Roman"/>
                  <w:sz w:val="24"/>
                  <w:szCs w:val="24"/>
                </w:rPr>
                <m:t>MKTCON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 xml:space="preserve">i,t  </m:t>
              </m:r>
            </m:sub>
          </m:sSub>
          <m:r>
            <w:rPr>
              <w:rFonts w:ascii="Cambria Math" w:hAnsi="Cambria Math" w:cs="Times New Roman"/>
              <w:sz w:val="24"/>
              <w:szCs w:val="24"/>
            </w:rPr>
            <m:t xml:space="preserve">                    (8)</m:t>
          </m:r>
        </m:oMath>
      </m:oMathPara>
    </w:p>
    <w:p w14:paraId="36D4940E" w14:textId="661807F5" w:rsidR="006E3361" w:rsidRPr="00893E6D" w:rsidRDefault="002D2F83" w:rsidP="00A1062B">
      <w:pPr>
        <w:spacing w:line="480" w:lineRule="auto"/>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STOCKVOL</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1,i</m:t>
              </m:r>
            </m:sub>
          </m:sSub>
          <m:sSub>
            <m:sSubPr>
              <m:ctrlPr>
                <w:rPr>
                  <w:rFonts w:ascii="Cambria Math" w:hAnsi="Cambria Math" w:cs="Times New Roman"/>
                  <w:i/>
                  <w:sz w:val="24"/>
                  <w:szCs w:val="24"/>
                </w:rPr>
              </m:ctrlPr>
            </m:sSubPr>
            <m:e>
              <m:r>
                <w:rPr>
                  <w:rFonts w:ascii="Cambria Math" w:hAnsi="Cambria Math" w:cs="Times New Roman"/>
                  <w:sz w:val="24"/>
                  <w:szCs w:val="24"/>
                </w:rPr>
                <m:t>NONOPERINC</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2,i</m:t>
              </m:r>
            </m:sub>
          </m:sSub>
          <m:sSub>
            <m:sSubPr>
              <m:ctrlPr>
                <w:rPr>
                  <w:rFonts w:ascii="Cambria Math" w:hAnsi="Cambria Math" w:cs="Times New Roman"/>
                  <w:i/>
                  <w:sz w:val="24"/>
                  <w:szCs w:val="24"/>
                </w:rPr>
              </m:ctrlPr>
            </m:sSubPr>
            <m:e>
              <m:r>
                <w:rPr>
                  <w:rFonts w:ascii="Cambria Math" w:hAnsi="Cambria Math" w:cs="Times New Roman"/>
                  <w:sz w:val="24"/>
                  <w:szCs w:val="24"/>
                </w:rPr>
                <m:t>OPERINC</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3,i</m:t>
              </m:r>
            </m:sub>
          </m:sSub>
          <m:sSub>
            <m:sSubPr>
              <m:ctrlPr>
                <w:rPr>
                  <w:rFonts w:ascii="Cambria Math" w:hAnsi="Cambria Math" w:cs="Times New Roman"/>
                  <w:i/>
                  <w:sz w:val="24"/>
                  <w:szCs w:val="24"/>
                </w:rPr>
              </m:ctrlPr>
            </m:sSubPr>
            <m:e>
              <m:r>
                <w:rPr>
                  <w:rFonts w:ascii="Cambria Math" w:hAnsi="Cambria Math" w:cs="Times New Roman"/>
                  <w:sz w:val="24"/>
                  <w:szCs w:val="24"/>
                </w:rPr>
                <m:t>LNAT</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4,i</m:t>
              </m:r>
            </m:sub>
          </m:sSub>
          <m:sSub>
            <m:sSubPr>
              <m:ctrlPr>
                <w:rPr>
                  <w:rFonts w:ascii="Cambria Math" w:hAnsi="Cambria Math" w:cs="Times New Roman"/>
                  <w:i/>
                  <w:sz w:val="24"/>
                  <w:szCs w:val="24"/>
                </w:rPr>
              </m:ctrlPr>
            </m:sSubPr>
            <m:e>
              <m:r>
                <w:rPr>
                  <w:rFonts w:ascii="Cambria Math" w:hAnsi="Cambria Math" w:cs="Times New Roman"/>
                  <w:sz w:val="24"/>
                  <w:szCs w:val="24"/>
                </w:rPr>
                <m:t>TURNOVER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5,i</m:t>
              </m:r>
            </m:sub>
          </m:sSub>
          <m:sSub>
            <m:sSubPr>
              <m:ctrlPr>
                <w:rPr>
                  <w:rFonts w:ascii="Cambria Math" w:hAnsi="Cambria Math" w:cs="Times New Roman"/>
                  <w:i/>
                  <w:sz w:val="24"/>
                  <w:szCs w:val="24"/>
                </w:rPr>
              </m:ctrlPr>
            </m:sSubPr>
            <m:e>
              <m:r>
                <w:rPr>
                  <w:rFonts w:ascii="Cambria Math" w:hAnsi="Cambria Math" w:cs="Times New Roman"/>
                  <w:sz w:val="24"/>
                  <w:szCs w:val="24"/>
                </w:rPr>
                <m:t>MKBK</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6,i</m:t>
              </m:r>
            </m:sub>
          </m:sSub>
          <m:sSub>
            <m:sSubPr>
              <m:ctrlPr>
                <w:rPr>
                  <w:rFonts w:ascii="Cambria Math" w:hAnsi="Cambria Math" w:cs="Times New Roman"/>
                  <w:i/>
                  <w:sz w:val="24"/>
                  <w:szCs w:val="24"/>
                </w:rPr>
              </m:ctrlPr>
            </m:sSubPr>
            <m:e>
              <m:r>
                <w:rPr>
                  <w:rFonts w:ascii="Cambria Math" w:hAnsi="Cambria Math" w:cs="Times New Roman"/>
                  <w:sz w:val="24"/>
                  <w:szCs w:val="24"/>
                </w:rPr>
                <m:t>DEBT</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7,i</m:t>
              </m:r>
            </m:sub>
          </m:sSub>
          <m:sSub>
            <m:sSubPr>
              <m:ctrlPr>
                <w:rPr>
                  <w:rFonts w:ascii="Cambria Math" w:hAnsi="Cambria Math" w:cs="Times New Roman"/>
                  <w:i/>
                  <w:sz w:val="24"/>
                  <w:szCs w:val="24"/>
                </w:rPr>
              </m:ctrlPr>
            </m:sSubPr>
            <m:e>
              <m:r>
                <w:rPr>
                  <w:rFonts w:ascii="Cambria Math" w:hAnsi="Cambria Math" w:cs="Times New Roman"/>
                  <w:sz w:val="24"/>
                  <w:szCs w:val="24"/>
                </w:rPr>
                <m:t>OPERLEV</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8,i</m:t>
              </m:r>
            </m:sub>
          </m:sSub>
          <m:sSub>
            <m:sSubPr>
              <m:ctrlPr>
                <w:rPr>
                  <w:rFonts w:ascii="Cambria Math" w:hAnsi="Cambria Math" w:cs="Times New Roman"/>
                  <w:i/>
                  <w:sz w:val="24"/>
                  <w:szCs w:val="24"/>
                </w:rPr>
              </m:ctrlPr>
            </m:sSubPr>
            <m:e>
              <m:r>
                <w:rPr>
                  <w:rFonts w:ascii="Cambria Math" w:hAnsi="Cambria Math" w:cs="Times New Roman"/>
                  <w:sz w:val="24"/>
                  <w:szCs w:val="24"/>
                </w:rPr>
                <m:t>DIVYIELD</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9,i</m:t>
              </m:r>
            </m:sub>
          </m:sSub>
          <m:sSub>
            <m:sSubPr>
              <m:ctrlPr>
                <w:rPr>
                  <w:rFonts w:ascii="Cambria Math" w:hAnsi="Cambria Math" w:cs="Times New Roman"/>
                  <w:i/>
                  <w:sz w:val="24"/>
                  <w:szCs w:val="24"/>
                </w:rPr>
              </m:ctrlPr>
            </m:sSubPr>
            <m:e>
              <m:r>
                <w:rPr>
                  <w:rFonts w:ascii="Cambria Math" w:hAnsi="Cambria Math" w:cs="Times New Roman"/>
                  <w:sz w:val="24"/>
                  <w:szCs w:val="24"/>
                </w:rPr>
                <m:t>INSTOWN_TRAN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10,i</m:t>
              </m:r>
            </m:sub>
          </m:sSub>
          <m:sSub>
            <m:sSubPr>
              <m:ctrlPr>
                <w:rPr>
                  <w:rFonts w:ascii="Cambria Math" w:hAnsi="Cambria Math" w:cs="Times New Roman"/>
                  <w:i/>
                  <w:sz w:val="24"/>
                  <w:szCs w:val="24"/>
                </w:rPr>
              </m:ctrlPr>
            </m:sSubPr>
            <m:e>
              <m:r>
                <w:rPr>
                  <w:rFonts w:ascii="Cambria Math" w:hAnsi="Cambria Math" w:cs="Times New Roman"/>
                  <w:sz w:val="24"/>
                  <w:szCs w:val="24"/>
                </w:rPr>
                <m:t>INSTOWN_QIX</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11,i</m:t>
              </m:r>
            </m:sub>
          </m:sSub>
          <m:sSub>
            <m:sSubPr>
              <m:ctrlPr>
                <w:rPr>
                  <w:rFonts w:ascii="Cambria Math" w:hAnsi="Cambria Math" w:cs="Times New Roman"/>
                  <w:i/>
                  <w:sz w:val="24"/>
                  <w:szCs w:val="24"/>
                </w:rPr>
              </m:ctrlPr>
            </m:sSubPr>
            <m:e>
              <m:r>
                <w:rPr>
                  <w:rFonts w:ascii="Cambria Math" w:hAnsi="Cambria Math" w:cs="Times New Roman"/>
                  <w:sz w:val="24"/>
                  <w:szCs w:val="24"/>
                </w:rPr>
                <m:t>INSTOWN_DED</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12,t</m:t>
              </m:r>
            </m:sub>
          </m:sSub>
          <m:sSub>
            <m:sSubPr>
              <m:ctrlPr>
                <w:rPr>
                  <w:rFonts w:ascii="Cambria Math" w:hAnsi="Cambria Math" w:cs="Times New Roman"/>
                  <w:i/>
                  <w:sz w:val="24"/>
                  <w:szCs w:val="24"/>
                </w:rPr>
              </m:ctrlPr>
            </m:sSubPr>
            <m:e>
              <m:r>
                <w:rPr>
                  <w:rFonts w:ascii="Cambria Math" w:hAnsi="Cambria Math" w:cs="Times New Roman"/>
                  <w:sz w:val="24"/>
                  <w:szCs w:val="24"/>
                </w:rPr>
                <m:t>SKILL</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13,i</m:t>
              </m:r>
            </m:sub>
          </m:sSub>
          <m:sSub>
            <m:sSubPr>
              <m:ctrlPr>
                <w:rPr>
                  <w:rFonts w:ascii="Cambria Math" w:hAnsi="Cambria Math" w:cs="Times New Roman"/>
                  <w:i/>
                  <w:sz w:val="24"/>
                  <w:szCs w:val="24"/>
                </w:rPr>
              </m:ctrlPr>
            </m:sSubPr>
            <m:e>
              <m:r>
                <w:rPr>
                  <w:rFonts w:ascii="Cambria Math" w:hAnsi="Cambria Math" w:cs="Times New Roman"/>
                  <w:sz w:val="24"/>
                  <w:szCs w:val="24"/>
                </w:rPr>
                <m:t>MKTCON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 xml:space="preserve">i,t  </m:t>
              </m:r>
            </m:sub>
          </m:sSub>
          <m:r>
            <w:rPr>
              <w:rFonts w:ascii="Cambria Math" w:hAnsi="Cambria Math" w:cs="Times New Roman"/>
              <w:sz w:val="24"/>
              <w:szCs w:val="24"/>
            </w:rPr>
            <m:t xml:space="preserve">                  (9)</m:t>
          </m:r>
        </m:oMath>
      </m:oMathPara>
    </w:p>
    <w:p w14:paraId="0D57C665" w14:textId="7258EC3A" w:rsidR="006E3361" w:rsidRPr="00893E6D" w:rsidRDefault="002D2F83" w:rsidP="00A1062B">
      <w:pPr>
        <w:spacing w:line="480" w:lineRule="auto"/>
        <w:ind w:firstLine="72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CRASH</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1,i</m:t>
              </m:r>
            </m:sub>
          </m:sSub>
          <m:sSub>
            <m:sSubPr>
              <m:ctrlPr>
                <w:rPr>
                  <w:rFonts w:ascii="Cambria Math" w:hAnsi="Cambria Math" w:cs="Times New Roman"/>
                  <w:i/>
                  <w:sz w:val="24"/>
                  <w:szCs w:val="24"/>
                </w:rPr>
              </m:ctrlPr>
            </m:sSubPr>
            <m:e>
              <m:r>
                <w:rPr>
                  <w:rFonts w:ascii="Cambria Math" w:hAnsi="Cambria Math" w:cs="Times New Roman"/>
                  <w:sz w:val="24"/>
                  <w:szCs w:val="24"/>
                </w:rPr>
                <m:t>NONOPERINC</m:t>
              </m:r>
            </m:e>
            <m:sub>
              <m: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2,i</m:t>
              </m:r>
            </m:sub>
          </m:sSub>
          <m:sSub>
            <m:sSubPr>
              <m:ctrlPr>
                <w:rPr>
                  <w:rFonts w:ascii="Cambria Math" w:hAnsi="Cambria Math" w:cs="Times New Roman"/>
                  <w:i/>
                  <w:sz w:val="24"/>
                  <w:szCs w:val="24"/>
                </w:rPr>
              </m:ctrlPr>
            </m:sSubPr>
            <m:e>
              <m:r>
                <w:rPr>
                  <w:rFonts w:ascii="Cambria Math" w:hAnsi="Cambria Math" w:cs="Times New Roman"/>
                  <w:sz w:val="24"/>
                  <w:szCs w:val="24"/>
                </w:rPr>
                <m:t>OPERINC</m:t>
              </m:r>
            </m:e>
            <m:sub>
              <m: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3,i</m:t>
              </m:r>
            </m:sub>
          </m:sSub>
          <m:sSub>
            <m:sSubPr>
              <m:ctrlPr>
                <w:rPr>
                  <w:rFonts w:ascii="Cambria Math" w:hAnsi="Cambria Math" w:cs="Times New Roman"/>
                  <w:i/>
                  <w:sz w:val="24"/>
                  <w:szCs w:val="24"/>
                </w:rPr>
              </m:ctrlPr>
            </m:sSubPr>
            <m:e>
              <m:r>
                <w:rPr>
                  <w:rFonts w:ascii="Cambria Math" w:hAnsi="Cambria Math" w:cs="Times New Roman"/>
                  <w:sz w:val="24"/>
                  <w:szCs w:val="24"/>
                </w:rPr>
                <m:t>LNAT</m:t>
              </m:r>
            </m:e>
            <m:sub>
              <m: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4,i</m:t>
              </m:r>
            </m:sub>
          </m:sSub>
          <m:sSub>
            <m:sSubPr>
              <m:ctrlPr>
                <w:rPr>
                  <w:rFonts w:ascii="Cambria Math" w:hAnsi="Cambria Math" w:cs="Times New Roman"/>
                  <w:i/>
                  <w:sz w:val="24"/>
                  <w:szCs w:val="24"/>
                </w:rPr>
              </m:ctrlPr>
            </m:sSubPr>
            <m:e>
              <m:r>
                <w:rPr>
                  <w:rFonts w:ascii="Cambria Math" w:hAnsi="Cambria Math" w:cs="Times New Roman"/>
                  <w:sz w:val="24"/>
                  <w:szCs w:val="24"/>
                </w:rPr>
                <m:t>RET</m:t>
              </m:r>
            </m:e>
            <m:sub>
              <m: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5,i</m:t>
              </m:r>
            </m:sub>
          </m:sSub>
          <m:sSub>
            <m:sSubPr>
              <m:ctrlPr>
                <w:rPr>
                  <w:rFonts w:ascii="Cambria Math" w:hAnsi="Cambria Math" w:cs="Times New Roman"/>
                  <w:i/>
                  <w:sz w:val="24"/>
                  <w:szCs w:val="24"/>
                </w:rPr>
              </m:ctrlPr>
            </m:sSubPr>
            <m:e>
              <m:r>
                <w:rPr>
                  <w:rFonts w:ascii="Cambria Math" w:hAnsi="Cambria Math" w:cs="Times New Roman"/>
                  <w:sz w:val="24"/>
                  <w:szCs w:val="24"/>
                </w:rPr>
                <m:t>SIGMA</m:t>
              </m:r>
            </m:e>
            <m:sub>
              <m: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6,i</m:t>
              </m:r>
            </m:sub>
          </m:sSub>
          <m:sSub>
            <m:sSubPr>
              <m:ctrlPr>
                <w:rPr>
                  <w:rFonts w:ascii="Cambria Math" w:hAnsi="Cambria Math" w:cs="Times New Roman"/>
                  <w:i/>
                  <w:sz w:val="24"/>
                  <w:szCs w:val="24"/>
                </w:rPr>
              </m:ctrlPr>
            </m:sSubPr>
            <m:e>
              <m:r>
                <w:rPr>
                  <w:rFonts w:ascii="Cambria Math" w:hAnsi="Cambria Math" w:cs="Times New Roman"/>
                  <w:sz w:val="24"/>
                  <w:szCs w:val="24"/>
                </w:rPr>
                <m:t>DTURN</m:t>
              </m:r>
            </m:e>
            <m:sub>
              <m: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7,i</m:t>
              </m:r>
            </m:sub>
          </m:sSub>
          <m:sSub>
            <m:sSubPr>
              <m:ctrlPr>
                <w:rPr>
                  <w:rFonts w:ascii="Cambria Math" w:hAnsi="Cambria Math" w:cs="Times New Roman"/>
                  <w:i/>
                  <w:sz w:val="24"/>
                  <w:szCs w:val="24"/>
                </w:rPr>
              </m:ctrlPr>
            </m:sSubPr>
            <m:e>
              <m:r>
                <w:rPr>
                  <w:rFonts w:ascii="Cambria Math" w:hAnsi="Cambria Math" w:cs="Times New Roman"/>
                  <w:sz w:val="24"/>
                  <w:szCs w:val="24"/>
                </w:rPr>
                <m:t>MKBK</m:t>
              </m:r>
            </m:e>
            <m:sub>
              <m: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8,i</m:t>
              </m:r>
            </m:sub>
          </m:sSub>
          <m:sSub>
            <m:sSubPr>
              <m:ctrlPr>
                <w:rPr>
                  <w:rFonts w:ascii="Cambria Math" w:hAnsi="Cambria Math" w:cs="Times New Roman"/>
                  <w:i/>
                  <w:sz w:val="24"/>
                  <w:szCs w:val="24"/>
                </w:rPr>
              </m:ctrlPr>
            </m:sSubPr>
            <m:e>
              <m:r>
                <w:rPr>
                  <w:rFonts w:ascii="Cambria Math" w:hAnsi="Cambria Math" w:cs="Times New Roman"/>
                  <w:sz w:val="24"/>
                  <w:szCs w:val="24"/>
                </w:rPr>
                <m:t>DEBT</m:t>
              </m:r>
            </m:e>
            <m:sub>
              <m: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9,i</m:t>
              </m:r>
            </m:sub>
          </m:sSub>
          <m:sSub>
            <m:sSubPr>
              <m:ctrlPr>
                <w:rPr>
                  <w:rFonts w:ascii="Cambria Math" w:hAnsi="Cambria Math" w:cs="Times New Roman"/>
                  <w:i/>
                  <w:sz w:val="24"/>
                  <w:szCs w:val="24"/>
                </w:rPr>
              </m:ctrlPr>
            </m:sSubPr>
            <m:e>
              <m:r>
                <w:rPr>
                  <w:rFonts w:ascii="Cambria Math" w:hAnsi="Cambria Math" w:cs="Times New Roman"/>
                  <w:sz w:val="24"/>
                  <w:szCs w:val="24"/>
                </w:rPr>
                <m:t>DISACC</m:t>
              </m:r>
            </m:e>
            <m:sub>
              <m: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10,i</m:t>
              </m:r>
            </m:sub>
          </m:sSub>
          <m:sSub>
            <m:sSubPr>
              <m:ctrlPr>
                <w:rPr>
                  <w:rFonts w:ascii="Cambria Math" w:hAnsi="Cambria Math" w:cs="Times New Roman"/>
                  <w:i/>
                  <w:sz w:val="24"/>
                  <w:szCs w:val="24"/>
                </w:rPr>
              </m:ctrlPr>
            </m:sSubPr>
            <m:e>
              <m:r>
                <w:rPr>
                  <w:rFonts w:ascii="Cambria Math" w:hAnsi="Cambria Math" w:cs="Times New Roman"/>
                  <w:sz w:val="24"/>
                  <w:szCs w:val="24"/>
                </w:rPr>
                <m:t>REALEM</m:t>
              </m:r>
            </m:e>
            <m:sub>
              <m: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11,i</m:t>
              </m:r>
            </m:sub>
          </m:sSub>
          <m:sSub>
            <m:sSubPr>
              <m:ctrlPr>
                <w:rPr>
                  <w:rFonts w:ascii="Cambria Math" w:hAnsi="Cambria Math" w:cs="Times New Roman"/>
                  <w:i/>
                  <w:sz w:val="24"/>
                  <w:szCs w:val="24"/>
                </w:rPr>
              </m:ctrlPr>
            </m:sSubPr>
            <m:e>
              <m:r>
                <w:rPr>
                  <w:rFonts w:ascii="Cambria Math" w:hAnsi="Cambria Math" w:cs="Times New Roman"/>
                  <w:sz w:val="24"/>
                  <w:szCs w:val="24"/>
                </w:rPr>
                <m:t>INSTOWN_TRAN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12,i</m:t>
              </m:r>
            </m:sub>
          </m:sSub>
          <m:sSub>
            <m:sSubPr>
              <m:ctrlPr>
                <w:rPr>
                  <w:rFonts w:ascii="Cambria Math" w:hAnsi="Cambria Math" w:cs="Times New Roman"/>
                  <w:i/>
                  <w:sz w:val="24"/>
                  <w:szCs w:val="24"/>
                </w:rPr>
              </m:ctrlPr>
            </m:sSubPr>
            <m:e>
              <m:r>
                <w:rPr>
                  <w:rFonts w:ascii="Cambria Math" w:hAnsi="Cambria Math" w:cs="Times New Roman"/>
                  <w:sz w:val="24"/>
                  <w:szCs w:val="24"/>
                </w:rPr>
                <m:t>INSTOWN_QIX</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13,i</m:t>
              </m:r>
            </m:sub>
          </m:sSub>
          <m:sSub>
            <m:sSubPr>
              <m:ctrlPr>
                <w:rPr>
                  <w:rFonts w:ascii="Cambria Math" w:hAnsi="Cambria Math" w:cs="Times New Roman"/>
                  <w:i/>
                  <w:sz w:val="24"/>
                  <w:szCs w:val="24"/>
                </w:rPr>
              </m:ctrlPr>
            </m:sSubPr>
            <m:e>
              <m:r>
                <w:rPr>
                  <w:rFonts w:ascii="Cambria Math" w:hAnsi="Cambria Math" w:cs="Times New Roman"/>
                  <w:sz w:val="24"/>
                  <w:szCs w:val="24"/>
                </w:rPr>
                <m:t>INSTOWN_DED</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14,t</m:t>
              </m:r>
            </m:sub>
          </m:sSub>
          <m:sSub>
            <m:sSubPr>
              <m:ctrlPr>
                <w:rPr>
                  <w:rFonts w:ascii="Cambria Math" w:hAnsi="Cambria Math" w:cs="Times New Roman"/>
                  <w:i/>
                  <w:sz w:val="24"/>
                  <w:szCs w:val="24"/>
                </w:rPr>
              </m:ctrlPr>
            </m:sSubPr>
            <m:e>
              <m:r>
                <w:rPr>
                  <w:rFonts w:ascii="Cambria Math" w:hAnsi="Cambria Math" w:cs="Times New Roman"/>
                  <w:sz w:val="24"/>
                  <w:szCs w:val="24"/>
                </w:rPr>
                <m:t>SKILL</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15,i</m:t>
              </m:r>
            </m:sub>
          </m:sSub>
          <m:sSub>
            <m:sSubPr>
              <m:ctrlPr>
                <w:rPr>
                  <w:rFonts w:ascii="Cambria Math" w:hAnsi="Cambria Math" w:cs="Times New Roman"/>
                  <w:i/>
                  <w:sz w:val="24"/>
                  <w:szCs w:val="24"/>
                </w:rPr>
              </m:ctrlPr>
            </m:sSubPr>
            <m:e>
              <m:r>
                <w:rPr>
                  <w:rFonts w:ascii="Cambria Math" w:hAnsi="Cambria Math" w:cs="Times New Roman"/>
                  <w:sz w:val="24"/>
                  <w:szCs w:val="24"/>
                </w:rPr>
                <m:t>MKTCON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 xml:space="preserve">i,t  </m:t>
              </m:r>
            </m:sub>
          </m:sSub>
          <m:r>
            <w:rPr>
              <w:rFonts w:ascii="Cambria Math" w:hAnsi="Cambria Math" w:cs="Times New Roman"/>
              <w:sz w:val="24"/>
              <w:szCs w:val="24"/>
            </w:rPr>
            <m:t xml:space="preserve">                                                                                              (10)</m:t>
          </m:r>
        </m:oMath>
      </m:oMathPara>
    </w:p>
    <w:p w14:paraId="19EB95F4" w14:textId="64E2421C" w:rsidR="006E5F2E" w:rsidRPr="00893E6D" w:rsidRDefault="006E5F2E" w:rsidP="00A1062B">
      <w:pPr>
        <w:spacing w:line="480" w:lineRule="auto"/>
        <w:ind w:firstLine="720"/>
        <w:jc w:val="both"/>
        <w:rPr>
          <w:rFonts w:ascii="Times New Roman" w:eastAsiaTheme="minorEastAsia" w:hAnsi="Times New Roman" w:cs="Times New Roman"/>
          <w:sz w:val="24"/>
          <w:szCs w:val="24"/>
        </w:rPr>
      </w:pPr>
      <w:r w:rsidRPr="00893E6D">
        <w:rPr>
          <w:rFonts w:ascii="Times New Roman" w:eastAsiaTheme="minorEastAsia" w:hAnsi="Times New Roman" w:cs="Times New Roman"/>
          <w:sz w:val="24"/>
          <w:szCs w:val="24"/>
        </w:rPr>
        <w:t>In Equations (8)</w:t>
      </w:r>
      <w:r w:rsidR="00543667">
        <w:rPr>
          <w:rFonts w:ascii="Times New Roman" w:eastAsiaTheme="minorEastAsia" w:hAnsi="Times New Roman" w:cs="Times New Roman"/>
          <w:sz w:val="24"/>
          <w:szCs w:val="24"/>
        </w:rPr>
        <w:t xml:space="preserve"> to </w:t>
      </w:r>
      <w:r w:rsidRPr="00893E6D">
        <w:rPr>
          <w:rFonts w:ascii="Times New Roman" w:eastAsiaTheme="minorEastAsia" w:hAnsi="Times New Roman" w:cs="Times New Roman"/>
          <w:sz w:val="24"/>
          <w:szCs w:val="24"/>
        </w:rPr>
        <w:t xml:space="preserve">(10), </w:t>
      </w:r>
      <w:r w:rsidR="009C4B5C" w:rsidRPr="00893E6D">
        <w:rPr>
          <w:rFonts w:ascii="Times New Roman" w:eastAsiaTheme="minorEastAsia" w:hAnsi="Times New Roman" w:cs="Times New Roman"/>
          <w:sz w:val="24"/>
          <w:szCs w:val="24"/>
        </w:rPr>
        <w:t xml:space="preserve">the subscript </w:t>
      </w:r>
      <m:oMath>
        <m:r>
          <w:rPr>
            <w:rFonts w:ascii="Cambria Math" w:eastAsiaTheme="minorEastAsia" w:hAnsi="Cambria Math" w:cs="Times New Roman"/>
            <w:sz w:val="24"/>
            <w:szCs w:val="24"/>
          </w:rPr>
          <m:t>i</m:t>
        </m:r>
      </m:oMath>
      <w:r w:rsidR="00450266" w:rsidRPr="00893E6D">
        <w:rPr>
          <w:rFonts w:ascii="Times New Roman" w:eastAsiaTheme="minorEastAsia" w:hAnsi="Times New Roman" w:cs="Times New Roman"/>
          <w:sz w:val="24"/>
          <w:szCs w:val="24"/>
        </w:rPr>
        <w:t xml:space="preserve"> stands for firm </w:t>
      </w:r>
      <m:oMath>
        <m:r>
          <w:rPr>
            <w:rFonts w:ascii="Cambria Math" w:eastAsiaTheme="minorEastAsia" w:hAnsi="Cambria Math" w:cs="Times New Roman"/>
            <w:sz w:val="24"/>
            <w:szCs w:val="24"/>
          </w:rPr>
          <m:t>i</m:t>
        </m:r>
      </m:oMath>
      <w:r w:rsidR="00543667">
        <w:rPr>
          <w:rFonts w:ascii="Times New Roman" w:eastAsiaTheme="minorEastAsia" w:hAnsi="Times New Roman" w:cs="Times New Roman"/>
          <w:sz w:val="24"/>
          <w:szCs w:val="24"/>
        </w:rPr>
        <w:t xml:space="preserve">, and t stands for the year. The independent variables are explained in Section 3.2. (also see Chen et al., 2001; </w:t>
      </w:r>
      <w:proofErr w:type="spellStart"/>
      <w:r w:rsidR="00543667">
        <w:rPr>
          <w:rFonts w:ascii="Times New Roman" w:eastAsiaTheme="minorEastAsia" w:hAnsi="Times New Roman" w:cs="Times New Roman"/>
          <w:sz w:val="24"/>
          <w:szCs w:val="24"/>
        </w:rPr>
        <w:t>Jin</w:t>
      </w:r>
      <w:proofErr w:type="spellEnd"/>
      <w:r w:rsidR="00543667">
        <w:rPr>
          <w:rFonts w:ascii="Times New Roman" w:eastAsiaTheme="minorEastAsia" w:hAnsi="Times New Roman" w:cs="Times New Roman"/>
          <w:sz w:val="24"/>
          <w:szCs w:val="24"/>
        </w:rPr>
        <w:t xml:space="preserve"> and Myers</w:t>
      </w:r>
      <w:r w:rsidR="0082091B">
        <w:rPr>
          <w:rFonts w:ascii="Times New Roman" w:eastAsiaTheme="minorEastAsia" w:hAnsi="Times New Roman" w:cs="Times New Roman"/>
          <w:sz w:val="24"/>
          <w:szCs w:val="24"/>
        </w:rPr>
        <w:t xml:space="preserve">, </w:t>
      </w:r>
      <w:r w:rsidR="00543667">
        <w:rPr>
          <w:rFonts w:ascii="Times New Roman" w:eastAsiaTheme="minorEastAsia" w:hAnsi="Times New Roman" w:cs="Times New Roman"/>
          <w:sz w:val="24"/>
          <w:szCs w:val="24"/>
        </w:rPr>
        <w:t>2006</w:t>
      </w:r>
      <w:r w:rsidR="0082091B">
        <w:rPr>
          <w:rFonts w:ascii="Times New Roman" w:eastAsiaTheme="minorEastAsia" w:hAnsi="Times New Roman" w:cs="Times New Roman"/>
          <w:sz w:val="24"/>
          <w:szCs w:val="24"/>
        </w:rPr>
        <w:t xml:space="preserve">; </w:t>
      </w:r>
      <w:r w:rsidR="00543667">
        <w:rPr>
          <w:rFonts w:ascii="Times New Roman" w:eastAsiaTheme="minorEastAsia" w:hAnsi="Times New Roman" w:cs="Times New Roman"/>
          <w:sz w:val="24"/>
          <w:szCs w:val="24"/>
        </w:rPr>
        <w:t xml:space="preserve">and An </w:t>
      </w:r>
      <w:r w:rsidR="002C7B35">
        <w:rPr>
          <w:rFonts w:ascii="Times New Roman" w:eastAsiaTheme="minorEastAsia" w:hAnsi="Times New Roman" w:cs="Times New Roman"/>
          <w:sz w:val="24"/>
          <w:szCs w:val="24"/>
        </w:rPr>
        <w:t>and Zhang</w:t>
      </w:r>
      <w:r w:rsidR="0082091B">
        <w:rPr>
          <w:rFonts w:ascii="Times New Roman" w:eastAsiaTheme="minorEastAsia" w:hAnsi="Times New Roman" w:cs="Times New Roman"/>
          <w:sz w:val="24"/>
          <w:szCs w:val="24"/>
        </w:rPr>
        <w:t>,</w:t>
      </w:r>
      <w:r w:rsidR="00543667">
        <w:rPr>
          <w:rFonts w:ascii="Times New Roman" w:eastAsiaTheme="minorEastAsia" w:hAnsi="Times New Roman" w:cs="Times New Roman"/>
          <w:sz w:val="24"/>
          <w:szCs w:val="24"/>
        </w:rPr>
        <w:t xml:space="preserve"> 2013).</w:t>
      </w:r>
      <w:r w:rsidR="00450266" w:rsidRPr="00893E6D">
        <w:rPr>
          <w:rFonts w:ascii="Times New Roman" w:eastAsiaTheme="minorEastAsia" w:hAnsi="Times New Roman" w:cs="Times New Roman"/>
          <w:sz w:val="24"/>
          <w:szCs w:val="24"/>
        </w:rPr>
        <w:t xml:space="preserve"> </w:t>
      </w:r>
      <w:bookmarkStart w:id="4" w:name="_Hlk520454907"/>
    </w:p>
    <w:p w14:paraId="1FA63589" w14:textId="52E60A34" w:rsidR="00474FAC" w:rsidRDefault="00933E53" w:rsidP="00A1062B">
      <w:pPr>
        <w:spacing w:line="480" w:lineRule="auto"/>
        <w:ind w:firstLine="720"/>
        <w:jc w:val="both"/>
        <w:rPr>
          <w:rFonts w:ascii="Times New Roman" w:hAnsi="Times New Roman" w:cs="Times New Roman"/>
          <w:sz w:val="24"/>
          <w:szCs w:val="24"/>
        </w:rPr>
      </w:pPr>
      <w:r w:rsidRPr="00933E53">
        <w:rPr>
          <w:rFonts w:ascii="Times New Roman" w:hAnsi="Times New Roman" w:cs="Times New Roman"/>
          <w:sz w:val="24"/>
          <w:szCs w:val="24"/>
        </w:rPr>
        <w:t xml:space="preserve">For robustness checks, the regression equations are estimated using three techniques, alternately. First, we use pooled ordinary least squares regression (OLS) with clustered standard </w:t>
      </w:r>
      <w:r w:rsidRPr="00933E53">
        <w:rPr>
          <w:rFonts w:ascii="Times New Roman" w:hAnsi="Times New Roman" w:cs="Times New Roman"/>
          <w:sz w:val="24"/>
          <w:szCs w:val="24"/>
        </w:rPr>
        <w:lastRenderedPageBreak/>
        <w:t xml:space="preserve">errors by firms while also controlling for year fixed effects and industry fixed effects. Second, we use panel-data fixed effect regression (FE). We perform the Hausman test to see whether the fixed effects model or the random effects model is appropriate. The Hausman test statistics are significant at the 1% level in favor of the fixed effects model. Third, because ROA volatility is measured using data for five consecutive years, autocorrelation among observations for the same firm may exist. As such, we estimate the equations using feasible generalized least squares regression (FGLS) to correct for both heteroskedasticity and autocorrelation. </w:t>
      </w:r>
      <w:r w:rsidR="000F10FF" w:rsidRPr="00893E6D">
        <w:rPr>
          <w:rFonts w:ascii="Times New Roman" w:hAnsi="Times New Roman" w:cs="Times New Roman"/>
          <w:sz w:val="24"/>
          <w:szCs w:val="24"/>
        </w:rPr>
        <w:t xml:space="preserve"> </w:t>
      </w:r>
    </w:p>
    <w:bookmarkEnd w:id="4"/>
    <w:p w14:paraId="2E620956" w14:textId="45C30EE6" w:rsidR="00933E53" w:rsidRPr="00BA50BC" w:rsidRDefault="00933E53" w:rsidP="00BA50BC">
      <w:pPr>
        <w:pStyle w:val="ListParagraph"/>
        <w:numPr>
          <w:ilvl w:val="1"/>
          <w:numId w:val="1"/>
        </w:numPr>
        <w:spacing w:line="480" w:lineRule="auto"/>
        <w:jc w:val="both"/>
        <w:rPr>
          <w:rFonts w:ascii="Times New Roman" w:hAnsi="Times New Roman" w:cs="Times New Roman"/>
          <w:b/>
          <w:bCs/>
          <w:i/>
          <w:iCs/>
          <w:sz w:val="24"/>
          <w:szCs w:val="24"/>
        </w:rPr>
      </w:pPr>
      <w:r w:rsidRPr="00BA50BC">
        <w:rPr>
          <w:rFonts w:ascii="Times New Roman" w:hAnsi="Times New Roman" w:cs="Times New Roman"/>
          <w:b/>
          <w:bCs/>
          <w:i/>
          <w:iCs/>
          <w:sz w:val="24"/>
          <w:szCs w:val="24"/>
        </w:rPr>
        <w:t>Descriptive Statistics</w:t>
      </w:r>
    </w:p>
    <w:p w14:paraId="46607E58" w14:textId="3470913B" w:rsidR="00994661" w:rsidRPr="00893E6D" w:rsidRDefault="00994661" w:rsidP="00A1062B">
      <w:pPr>
        <w:spacing w:line="480" w:lineRule="auto"/>
        <w:ind w:firstLine="720"/>
        <w:jc w:val="both"/>
        <w:rPr>
          <w:rFonts w:ascii="Times New Roman" w:hAnsi="Times New Roman" w:cs="Times New Roman"/>
          <w:sz w:val="24"/>
          <w:szCs w:val="24"/>
        </w:rPr>
      </w:pPr>
      <w:r w:rsidRPr="00893E6D">
        <w:rPr>
          <w:rFonts w:ascii="Times New Roman" w:hAnsi="Times New Roman" w:cs="Times New Roman"/>
          <w:sz w:val="24"/>
          <w:szCs w:val="24"/>
        </w:rPr>
        <w:t xml:space="preserve">Table </w:t>
      </w:r>
      <w:r w:rsidR="00696DC0">
        <w:rPr>
          <w:rFonts w:ascii="Times New Roman" w:hAnsi="Times New Roman" w:cs="Times New Roman"/>
          <w:sz w:val="24"/>
          <w:szCs w:val="24"/>
        </w:rPr>
        <w:t>2</w:t>
      </w:r>
      <w:r w:rsidR="00696DC0" w:rsidRPr="00893E6D">
        <w:rPr>
          <w:rFonts w:ascii="Times New Roman" w:hAnsi="Times New Roman" w:cs="Times New Roman"/>
          <w:sz w:val="24"/>
          <w:szCs w:val="24"/>
        </w:rPr>
        <w:t xml:space="preserve"> </w:t>
      </w:r>
      <w:r w:rsidRPr="00893E6D">
        <w:rPr>
          <w:rFonts w:ascii="Times New Roman" w:hAnsi="Times New Roman" w:cs="Times New Roman"/>
          <w:sz w:val="24"/>
          <w:szCs w:val="24"/>
        </w:rPr>
        <w:t>report</w:t>
      </w:r>
      <w:r w:rsidR="009B114E" w:rsidRPr="00893E6D">
        <w:rPr>
          <w:rFonts w:ascii="Times New Roman" w:hAnsi="Times New Roman" w:cs="Times New Roman"/>
          <w:sz w:val="24"/>
          <w:szCs w:val="24"/>
        </w:rPr>
        <w:t>s</w:t>
      </w:r>
      <w:r w:rsidRPr="00893E6D">
        <w:rPr>
          <w:rFonts w:ascii="Times New Roman" w:hAnsi="Times New Roman" w:cs="Times New Roman"/>
          <w:sz w:val="24"/>
          <w:szCs w:val="24"/>
        </w:rPr>
        <w:t xml:space="preserve"> the summary statistics of the variables. </w:t>
      </w:r>
      <w:r w:rsidR="00AB2468" w:rsidRPr="00893E6D">
        <w:rPr>
          <w:rFonts w:ascii="Times New Roman" w:hAnsi="Times New Roman" w:cs="Times New Roman"/>
          <w:sz w:val="24"/>
          <w:szCs w:val="24"/>
        </w:rPr>
        <w:t>Non-operating</w:t>
      </w:r>
      <w:r w:rsidR="00B71803" w:rsidRPr="00893E6D">
        <w:rPr>
          <w:rFonts w:ascii="Times New Roman" w:hAnsi="Times New Roman" w:cs="Times New Roman"/>
          <w:sz w:val="24"/>
          <w:szCs w:val="24"/>
        </w:rPr>
        <w:t xml:space="preserve"> income-to-asset</w:t>
      </w:r>
      <w:r w:rsidR="00454081" w:rsidRPr="00893E6D">
        <w:rPr>
          <w:rFonts w:ascii="Times New Roman" w:hAnsi="Times New Roman" w:cs="Times New Roman"/>
          <w:sz w:val="24"/>
          <w:szCs w:val="24"/>
        </w:rPr>
        <w:t>s</w:t>
      </w:r>
      <w:r w:rsidR="00B71803" w:rsidRPr="00893E6D">
        <w:rPr>
          <w:rFonts w:ascii="Times New Roman" w:hAnsi="Times New Roman" w:cs="Times New Roman"/>
          <w:sz w:val="24"/>
          <w:szCs w:val="24"/>
        </w:rPr>
        <w:t xml:space="preserve"> ratio</w:t>
      </w:r>
      <w:r w:rsidR="001C0C9A" w:rsidRPr="00893E6D">
        <w:rPr>
          <w:rFonts w:ascii="Times New Roman" w:hAnsi="Times New Roman" w:cs="Times New Roman"/>
          <w:sz w:val="24"/>
          <w:szCs w:val="24"/>
        </w:rPr>
        <w:t xml:space="preserve"> (</w:t>
      </w:r>
      <w:r w:rsidR="001C0C9A" w:rsidRPr="00893E6D">
        <w:rPr>
          <w:rFonts w:ascii="Times New Roman" w:hAnsi="Times New Roman" w:cs="Times New Roman"/>
          <w:i/>
          <w:sz w:val="24"/>
          <w:szCs w:val="24"/>
        </w:rPr>
        <w:t>NONOPERINC</w:t>
      </w:r>
      <w:r w:rsidR="001C0C9A" w:rsidRPr="00893E6D">
        <w:rPr>
          <w:rFonts w:ascii="Times New Roman" w:hAnsi="Times New Roman" w:cs="Times New Roman"/>
          <w:sz w:val="24"/>
          <w:szCs w:val="24"/>
        </w:rPr>
        <w:t>)</w:t>
      </w:r>
      <w:r w:rsidR="00B71803" w:rsidRPr="00893E6D">
        <w:rPr>
          <w:rFonts w:ascii="Times New Roman" w:hAnsi="Times New Roman" w:cs="Times New Roman"/>
          <w:sz w:val="24"/>
          <w:szCs w:val="24"/>
        </w:rPr>
        <w:t xml:space="preserve"> averages </w:t>
      </w:r>
      <w:r w:rsidR="002468D7" w:rsidRPr="00893E6D">
        <w:rPr>
          <w:rFonts w:ascii="Times New Roman" w:hAnsi="Times New Roman" w:cs="Times New Roman"/>
          <w:sz w:val="24"/>
          <w:szCs w:val="24"/>
        </w:rPr>
        <w:t>0.008</w:t>
      </w:r>
      <w:r w:rsidR="00B71803" w:rsidRPr="00893E6D">
        <w:rPr>
          <w:rFonts w:ascii="Times New Roman" w:hAnsi="Times New Roman" w:cs="Times New Roman"/>
          <w:sz w:val="24"/>
          <w:szCs w:val="24"/>
        </w:rPr>
        <w:t xml:space="preserve"> while operating income-to-asset</w:t>
      </w:r>
      <w:r w:rsidR="00454081" w:rsidRPr="00893E6D">
        <w:rPr>
          <w:rFonts w:ascii="Times New Roman" w:hAnsi="Times New Roman" w:cs="Times New Roman"/>
          <w:sz w:val="24"/>
          <w:szCs w:val="24"/>
        </w:rPr>
        <w:t>s</w:t>
      </w:r>
      <w:r w:rsidR="00B71803" w:rsidRPr="00893E6D">
        <w:rPr>
          <w:rFonts w:ascii="Times New Roman" w:hAnsi="Times New Roman" w:cs="Times New Roman"/>
          <w:sz w:val="24"/>
          <w:szCs w:val="24"/>
        </w:rPr>
        <w:t xml:space="preserve"> ratio</w:t>
      </w:r>
      <w:r w:rsidR="001C0C9A" w:rsidRPr="00893E6D">
        <w:rPr>
          <w:rFonts w:ascii="Times New Roman" w:hAnsi="Times New Roman" w:cs="Times New Roman"/>
          <w:sz w:val="24"/>
          <w:szCs w:val="24"/>
        </w:rPr>
        <w:t xml:space="preserve"> (</w:t>
      </w:r>
      <w:r w:rsidR="001C0C9A" w:rsidRPr="00893E6D">
        <w:rPr>
          <w:rFonts w:ascii="Times New Roman" w:hAnsi="Times New Roman" w:cs="Times New Roman"/>
          <w:i/>
          <w:sz w:val="24"/>
          <w:szCs w:val="24"/>
        </w:rPr>
        <w:t>OPERINC</w:t>
      </w:r>
      <w:r w:rsidR="001C0C9A" w:rsidRPr="00893E6D">
        <w:rPr>
          <w:rFonts w:ascii="Times New Roman" w:hAnsi="Times New Roman" w:cs="Times New Roman"/>
          <w:sz w:val="24"/>
          <w:szCs w:val="24"/>
        </w:rPr>
        <w:t>)</w:t>
      </w:r>
      <w:r w:rsidR="00B71803" w:rsidRPr="00893E6D">
        <w:rPr>
          <w:rFonts w:ascii="Times New Roman" w:hAnsi="Times New Roman" w:cs="Times New Roman"/>
          <w:sz w:val="24"/>
          <w:szCs w:val="24"/>
        </w:rPr>
        <w:t xml:space="preserve"> averages </w:t>
      </w:r>
      <w:r w:rsidR="002468D7" w:rsidRPr="00893E6D">
        <w:rPr>
          <w:rFonts w:ascii="Times New Roman" w:hAnsi="Times New Roman" w:cs="Times New Roman"/>
          <w:sz w:val="24"/>
          <w:szCs w:val="24"/>
        </w:rPr>
        <w:t>0.038.</w:t>
      </w:r>
      <w:r w:rsidR="00B71803" w:rsidRPr="00893E6D">
        <w:rPr>
          <w:rFonts w:ascii="Times New Roman" w:hAnsi="Times New Roman" w:cs="Times New Roman"/>
          <w:sz w:val="24"/>
          <w:szCs w:val="24"/>
        </w:rPr>
        <w:t xml:space="preserve"> </w:t>
      </w:r>
      <w:r w:rsidR="005211C4" w:rsidRPr="00893E6D">
        <w:rPr>
          <w:rFonts w:ascii="Times New Roman" w:hAnsi="Times New Roman" w:cs="Times New Roman"/>
          <w:sz w:val="24"/>
          <w:szCs w:val="24"/>
        </w:rPr>
        <w:t xml:space="preserve">The standard deviation of </w:t>
      </w:r>
      <w:r w:rsidR="005211C4" w:rsidRPr="00893E6D">
        <w:rPr>
          <w:rFonts w:ascii="Times New Roman" w:hAnsi="Times New Roman" w:cs="Times New Roman"/>
          <w:i/>
          <w:sz w:val="24"/>
          <w:szCs w:val="24"/>
        </w:rPr>
        <w:t xml:space="preserve">NONOPERINC </w:t>
      </w:r>
      <w:r w:rsidR="005211C4" w:rsidRPr="00893E6D">
        <w:rPr>
          <w:rFonts w:ascii="Times New Roman" w:hAnsi="Times New Roman" w:cs="Times New Roman"/>
          <w:sz w:val="24"/>
          <w:szCs w:val="24"/>
        </w:rPr>
        <w:t>(0.01</w:t>
      </w:r>
      <w:r w:rsidR="002468D7" w:rsidRPr="00893E6D">
        <w:rPr>
          <w:rFonts w:ascii="Times New Roman" w:hAnsi="Times New Roman" w:cs="Times New Roman"/>
          <w:sz w:val="24"/>
          <w:szCs w:val="24"/>
        </w:rPr>
        <w:t>7</w:t>
      </w:r>
      <w:r w:rsidR="005211C4" w:rsidRPr="00893E6D">
        <w:rPr>
          <w:rFonts w:ascii="Times New Roman" w:hAnsi="Times New Roman" w:cs="Times New Roman"/>
          <w:sz w:val="24"/>
          <w:szCs w:val="24"/>
        </w:rPr>
        <w:t xml:space="preserve">) is smaller than that of </w:t>
      </w:r>
      <w:r w:rsidR="005211C4" w:rsidRPr="00893E6D">
        <w:rPr>
          <w:rFonts w:ascii="Times New Roman" w:hAnsi="Times New Roman" w:cs="Times New Roman"/>
          <w:i/>
          <w:sz w:val="24"/>
          <w:szCs w:val="24"/>
        </w:rPr>
        <w:t>OPERINC</w:t>
      </w:r>
      <w:r w:rsidR="005211C4" w:rsidRPr="00893E6D">
        <w:rPr>
          <w:rFonts w:ascii="Times New Roman" w:hAnsi="Times New Roman" w:cs="Times New Roman"/>
          <w:sz w:val="24"/>
          <w:szCs w:val="24"/>
        </w:rPr>
        <w:t xml:space="preserve"> (</w:t>
      </w:r>
      <w:r w:rsidR="00E3265E" w:rsidRPr="00893E6D">
        <w:rPr>
          <w:rFonts w:ascii="Times New Roman" w:hAnsi="Times New Roman" w:cs="Times New Roman"/>
          <w:sz w:val="24"/>
          <w:szCs w:val="24"/>
        </w:rPr>
        <w:t>0.</w:t>
      </w:r>
      <w:r w:rsidR="002468D7" w:rsidRPr="00893E6D">
        <w:rPr>
          <w:rFonts w:ascii="Times New Roman" w:hAnsi="Times New Roman" w:cs="Times New Roman"/>
          <w:sz w:val="24"/>
          <w:szCs w:val="24"/>
        </w:rPr>
        <w:t>176</w:t>
      </w:r>
      <w:r w:rsidR="00E3265E" w:rsidRPr="00893E6D">
        <w:rPr>
          <w:rFonts w:ascii="Times New Roman" w:hAnsi="Times New Roman" w:cs="Times New Roman"/>
          <w:sz w:val="24"/>
          <w:szCs w:val="24"/>
        </w:rPr>
        <w:t>).</w:t>
      </w:r>
      <w:r w:rsidR="00BF2F46" w:rsidRPr="00893E6D">
        <w:rPr>
          <w:rFonts w:ascii="Times New Roman" w:hAnsi="Times New Roman" w:cs="Times New Roman"/>
          <w:sz w:val="24"/>
          <w:szCs w:val="24"/>
        </w:rPr>
        <w:t xml:space="preserve"> </w:t>
      </w:r>
      <w:r w:rsidR="00BE010D" w:rsidRPr="00893E6D">
        <w:rPr>
          <w:rFonts w:ascii="Times New Roman" w:hAnsi="Times New Roman" w:cs="Times New Roman"/>
          <w:sz w:val="24"/>
          <w:szCs w:val="24"/>
        </w:rPr>
        <w:t>N</w:t>
      </w:r>
      <w:r w:rsidR="00AB2468" w:rsidRPr="00893E6D">
        <w:rPr>
          <w:rFonts w:ascii="Times New Roman" w:hAnsi="Times New Roman" w:cs="Times New Roman"/>
          <w:sz w:val="24"/>
          <w:szCs w:val="24"/>
        </w:rPr>
        <w:t>on-operating</w:t>
      </w:r>
      <w:r w:rsidR="00841E72" w:rsidRPr="00893E6D">
        <w:rPr>
          <w:rFonts w:ascii="Times New Roman" w:hAnsi="Times New Roman" w:cs="Times New Roman"/>
          <w:sz w:val="24"/>
          <w:szCs w:val="24"/>
        </w:rPr>
        <w:t xml:space="preserve"> earnings </w:t>
      </w:r>
      <w:r w:rsidR="007C6302" w:rsidRPr="00893E6D">
        <w:rPr>
          <w:rFonts w:ascii="Times New Roman" w:hAnsi="Times New Roman" w:cs="Times New Roman"/>
          <w:sz w:val="24"/>
          <w:szCs w:val="24"/>
        </w:rPr>
        <w:t xml:space="preserve">are </w:t>
      </w:r>
      <w:r w:rsidR="00841E72" w:rsidRPr="00893E6D">
        <w:rPr>
          <w:rFonts w:ascii="Times New Roman" w:hAnsi="Times New Roman" w:cs="Times New Roman"/>
          <w:sz w:val="24"/>
          <w:szCs w:val="24"/>
        </w:rPr>
        <w:t xml:space="preserve">smaller than operating earnings, </w:t>
      </w:r>
      <w:r w:rsidR="00BE010D" w:rsidRPr="00893E6D">
        <w:rPr>
          <w:rFonts w:ascii="Times New Roman" w:hAnsi="Times New Roman" w:cs="Times New Roman"/>
          <w:sz w:val="24"/>
          <w:szCs w:val="24"/>
        </w:rPr>
        <w:t xml:space="preserve">but </w:t>
      </w:r>
      <w:r w:rsidR="007E4375" w:rsidRPr="00893E6D">
        <w:rPr>
          <w:rFonts w:ascii="Times New Roman" w:hAnsi="Times New Roman" w:cs="Times New Roman"/>
          <w:sz w:val="24"/>
          <w:szCs w:val="24"/>
        </w:rPr>
        <w:t>tend to be</w:t>
      </w:r>
      <w:r w:rsidR="00841E72" w:rsidRPr="00893E6D">
        <w:rPr>
          <w:rFonts w:ascii="Times New Roman" w:hAnsi="Times New Roman" w:cs="Times New Roman"/>
          <w:sz w:val="24"/>
          <w:szCs w:val="24"/>
        </w:rPr>
        <w:t xml:space="preserve"> more stable</w:t>
      </w:r>
      <w:r w:rsidR="00D97D0B" w:rsidRPr="00893E6D">
        <w:rPr>
          <w:rFonts w:ascii="Times New Roman" w:hAnsi="Times New Roman" w:cs="Times New Roman"/>
          <w:sz w:val="24"/>
          <w:szCs w:val="24"/>
        </w:rPr>
        <w:t xml:space="preserve">. </w:t>
      </w:r>
    </w:p>
    <w:p w14:paraId="7EDBCAEF" w14:textId="631A0505" w:rsidR="00994661" w:rsidRDefault="00994661" w:rsidP="00B73A42">
      <w:pPr>
        <w:spacing w:line="480" w:lineRule="auto"/>
        <w:jc w:val="center"/>
        <w:rPr>
          <w:rFonts w:ascii="Times New Roman" w:hAnsi="Times New Roman" w:cs="Times New Roman"/>
          <w:sz w:val="24"/>
          <w:szCs w:val="24"/>
        </w:rPr>
      </w:pPr>
      <w:r w:rsidRPr="00893E6D">
        <w:rPr>
          <w:rFonts w:ascii="Times New Roman" w:hAnsi="Times New Roman" w:cs="Times New Roman"/>
          <w:sz w:val="24"/>
          <w:szCs w:val="24"/>
        </w:rPr>
        <w:t xml:space="preserve">[INSERT TABLE </w:t>
      </w:r>
      <w:r w:rsidR="00696DC0">
        <w:rPr>
          <w:rFonts w:ascii="Times New Roman" w:hAnsi="Times New Roman" w:cs="Times New Roman"/>
          <w:sz w:val="24"/>
          <w:szCs w:val="24"/>
        </w:rPr>
        <w:t>2</w:t>
      </w:r>
      <w:r w:rsidR="00696DC0" w:rsidRPr="00893E6D">
        <w:rPr>
          <w:rFonts w:ascii="Times New Roman" w:hAnsi="Times New Roman" w:cs="Times New Roman"/>
          <w:sz w:val="24"/>
          <w:szCs w:val="24"/>
        </w:rPr>
        <w:t xml:space="preserve"> </w:t>
      </w:r>
      <w:r w:rsidRPr="00893E6D">
        <w:rPr>
          <w:rFonts w:ascii="Times New Roman" w:hAnsi="Times New Roman" w:cs="Times New Roman"/>
          <w:sz w:val="24"/>
          <w:szCs w:val="24"/>
        </w:rPr>
        <w:t>ABOUT HERE]</w:t>
      </w:r>
    </w:p>
    <w:p w14:paraId="70BE6377" w14:textId="03B89510" w:rsidR="00503293" w:rsidRDefault="00933E53" w:rsidP="00A1062B">
      <w:pPr>
        <w:spacing w:line="480" w:lineRule="auto"/>
        <w:ind w:firstLine="720"/>
        <w:jc w:val="both"/>
        <w:rPr>
          <w:rFonts w:ascii="Times New Roman" w:hAnsi="Times New Roman" w:cs="Times New Roman"/>
          <w:sz w:val="24"/>
          <w:szCs w:val="24"/>
        </w:rPr>
      </w:pPr>
      <w:r w:rsidRPr="00933E53">
        <w:rPr>
          <w:rFonts w:ascii="Times New Roman" w:hAnsi="Times New Roman" w:cs="Times New Roman"/>
          <w:sz w:val="24"/>
          <w:szCs w:val="24"/>
        </w:rPr>
        <w:t xml:space="preserve">As mentioned earlier, Figure 1 displays the time series of operating earnings and non-operating earnings </w:t>
      </w:r>
      <w:r w:rsidR="00874EA3">
        <w:rPr>
          <w:rFonts w:ascii="Times New Roman" w:hAnsi="Times New Roman" w:cs="Times New Roman"/>
          <w:sz w:val="24"/>
          <w:szCs w:val="24"/>
        </w:rPr>
        <w:t>as a proportion of total assets for</w:t>
      </w:r>
      <w:r w:rsidR="00874EA3" w:rsidRPr="00933E53">
        <w:rPr>
          <w:rFonts w:ascii="Times New Roman" w:hAnsi="Times New Roman" w:cs="Times New Roman"/>
          <w:sz w:val="24"/>
          <w:szCs w:val="24"/>
        </w:rPr>
        <w:t xml:space="preserve"> </w:t>
      </w:r>
      <w:r w:rsidRPr="00933E53">
        <w:rPr>
          <w:rFonts w:ascii="Times New Roman" w:hAnsi="Times New Roman" w:cs="Times New Roman"/>
          <w:sz w:val="24"/>
          <w:szCs w:val="24"/>
        </w:rPr>
        <w:t xml:space="preserve">our sample firms </w:t>
      </w:r>
      <w:r w:rsidR="00874EA3">
        <w:rPr>
          <w:rFonts w:ascii="Times New Roman" w:hAnsi="Times New Roman" w:cs="Times New Roman"/>
          <w:sz w:val="24"/>
          <w:szCs w:val="24"/>
        </w:rPr>
        <w:t>during</w:t>
      </w:r>
      <w:r w:rsidRPr="00933E53">
        <w:rPr>
          <w:rFonts w:ascii="Times New Roman" w:hAnsi="Times New Roman" w:cs="Times New Roman"/>
          <w:sz w:val="24"/>
          <w:szCs w:val="24"/>
        </w:rPr>
        <w:t xml:space="preserve"> 1990-2016. The </w:t>
      </w:r>
      <w:r w:rsidR="00874EA3" w:rsidRPr="00933E53">
        <w:rPr>
          <w:rFonts w:ascii="Times New Roman" w:hAnsi="Times New Roman" w:cs="Times New Roman"/>
          <w:sz w:val="24"/>
          <w:szCs w:val="24"/>
        </w:rPr>
        <w:t xml:space="preserve">operating-earnings-to-asset </w:t>
      </w:r>
      <w:r w:rsidRPr="00933E53">
        <w:rPr>
          <w:rFonts w:ascii="Times New Roman" w:hAnsi="Times New Roman" w:cs="Times New Roman"/>
          <w:sz w:val="24"/>
          <w:szCs w:val="24"/>
        </w:rPr>
        <w:t>ratio fluctuates considerably over time, but the non-operating-earnings-to-asset ratio stays relatively stable.</w:t>
      </w:r>
    </w:p>
    <w:p w14:paraId="30118556" w14:textId="4927C0ED" w:rsidR="00A94F22" w:rsidRPr="00893E6D" w:rsidRDefault="009C781E" w:rsidP="00A1062B">
      <w:pPr>
        <w:pStyle w:val="ListParagraph"/>
        <w:numPr>
          <w:ilvl w:val="0"/>
          <w:numId w:val="1"/>
        </w:numPr>
        <w:spacing w:line="480" w:lineRule="auto"/>
        <w:jc w:val="both"/>
        <w:rPr>
          <w:rFonts w:ascii="Times New Roman" w:hAnsi="Times New Roman" w:cs="Times New Roman"/>
          <w:b/>
          <w:sz w:val="24"/>
          <w:szCs w:val="24"/>
        </w:rPr>
      </w:pPr>
      <w:r w:rsidRPr="00893E6D">
        <w:rPr>
          <w:rFonts w:ascii="Times New Roman" w:hAnsi="Times New Roman" w:cs="Times New Roman"/>
          <w:b/>
          <w:sz w:val="24"/>
          <w:szCs w:val="24"/>
        </w:rPr>
        <w:t>R</w:t>
      </w:r>
      <w:r w:rsidR="00994661" w:rsidRPr="00893E6D">
        <w:rPr>
          <w:rFonts w:ascii="Times New Roman" w:hAnsi="Times New Roman" w:cs="Times New Roman"/>
          <w:b/>
          <w:sz w:val="24"/>
          <w:szCs w:val="24"/>
        </w:rPr>
        <w:t>esults</w:t>
      </w:r>
    </w:p>
    <w:p w14:paraId="2A7EAEED" w14:textId="06D39C76" w:rsidR="00994661" w:rsidRPr="00893E6D" w:rsidRDefault="007E4375" w:rsidP="00A1062B">
      <w:pPr>
        <w:pStyle w:val="ListParagraph"/>
        <w:numPr>
          <w:ilvl w:val="1"/>
          <w:numId w:val="1"/>
        </w:numPr>
        <w:spacing w:line="480" w:lineRule="auto"/>
        <w:jc w:val="both"/>
        <w:rPr>
          <w:rFonts w:ascii="Times New Roman" w:hAnsi="Times New Roman" w:cs="Times New Roman"/>
          <w:b/>
          <w:i/>
          <w:sz w:val="24"/>
          <w:szCs w:val="24"/>
        </w:rPr>
      </w:pPr>
      <w:r w:rsidRPr="00893E6D">
        <w:rPr>
          <w:rFonts w:ascii="Times New Roman" w:hAnsi="Times New Roman" w:cs="Times New Roman"/>
          <w:b/>
          <w:i/>
          <w:sz w:val="24"/>
          <w:szCs w:val="24"/>
        </w:rPr>
        <w:t>Non-</w:t>
      </w:r>
      <w:r w:rsidR="00D2441F">
        <w:rPr>
          <w:rFonts w:ascii="Times New Roman" w:hAnsi="Times New Roman" w:cs="Times New Roman"/>
          <w:b/>
          <w:i/>
          <w:sz w:val="24"/>
          <w:szCs w:val="24"/>
        </w:rPr>
        <w:t>o</w:t>
      </w:r>
      <w:r w:rsidRPr="00893E6D">
        <w:rPr>
          <w:rFonts w:ascii="Times New Roman" w:hAnsi="Times New Roman" w:cs="Times New Roman"/>
          <w:b/>
          <w:i/>
          <w:sz w:val="24"/>
          <w:szCs w:val="24"/>
        </w:rPr>
        <w:t xml:space="preserve">perating </w:t>
      </w:r>
      <w:r w:rsidR="00D2441F">
        <w:rPr>
          <w:rFonts w:ascii="Times New Roman" w:hAnsi="Times New Roman" w:cs="Times New Roman"/>
          <w:b/>
          <w:i/>
          <w:sz w:val="24"/>
          <w:szCs w:val="24"/>
        </w:rPr>
        <w:t>i</w:t>
      </w:r>
      <w:r w:rsidRPr="00893E6D">
        <w:rPr>
          <w:rFonts w:ascii="Times New Roman" w:hAnsi="Times New Roman" w:cs="Times New Roman"/>
          <w:b/>
          <w:i/>
          <w:sz w:val="24"/>
          <w:szCs w:val="24"/>
        </w:rPr>
        <w:t xml:space="preserve">ncome and </w:t>
      </w:r>
      <w:r w:rsidR="009B5923" w:rsidRPr="00893E6D">
        <w:rPr>
          <w:rFonts w:ascii="Times New Roman" w:hAnsi="Times New Roman" w:cs="Times New Roman"/>
          <w:b/>
          <w:i/>
          <w:sz w:val="24"/>
          <w:szCs w:val="24"/>
        </w:rPr>
        <w:t xml:space="preserve">ROA </w:t>
      </w:r>
      <w:r w:rsidR="00D2441F">
        <w:rPr>
          <w:rFonts w:ascii="Times New Roman" w:hAnsi="Times New Roman" w:cs="Times New Roman"/>
          <w:b/>
          <w:i/>
          <w:sz w:val="24"/>
          <w:szCs w:val="24"/>
        </w:rPr>
        <w:t>v</w:t>
      </w:r>
      <w:r w:rsidRPr="00893E6D">
        <w:rPr>
          <w:rFonts w:ascii="Times New Roman" w:hAnsi="Times New Roman" w:cs="Times New Roman"/>
          <w:b/>
          <w:i/>
          <w:sz w:val="24"/>
          <w:szCs w:val="24"/>
        </w:rPr>
        <w:t xml:space="preserve">olatility. </w:t>
      </w:r>
    </w:p>
    <w:p w14:paraId="590990CA" w14:textId="2ABBD7F2" w:rsidR="005D567F" w:rsidRPr="00893E6D" w:rsidRDefault="008955C1" w:rsidP="00A1062B">
      <w:pPr>
        <w:pStyle w:val="ListParagraph"/>
        <w:spacing w:line="480" w:lineRule="auto"/>
        <w:ind w:left="0" w:firstLine="720"/>
        <w:jc w:val="both"/>
        <w:rPr>
          <w:rFonts w:ascii="Times New Roman" w:hAnsi="Times New Roman" w:cs="Times New Roman"/>
          <w:sz w:val="24"/>
          <w:szCs w:val="24"/>
        </w:rPr>
      </w:pPr>
      <w:r w:rsidRPr="00893E6D">
        <w:rPr>
          <w:rFonts w:ascii="Times New Roman" w:hAnsi="Times New Roman" w:cs="Times New Roman"/>
          <w:sz w:val="24"/>
          <w:szCs w:val="24"/>
        </w:rPr>
        <w:t>To estimate the impact of non-operating earnings on earnings volatility (</w:t>
      </w:r>
      <w:r w:rsidR="00B14430">
        <w:rPr>
          <w:rFonts w:ascii="Times New Roman" w:hAnsi="Times New Roman" w:cs="Times New Roman"/>
          <w:sz w:val="24"/>
          <w:szCs w:val="24"/>
        </w:rPr>
        <w:t xml:space="preserve">i.e., </w:t>
      </w:r>
      <w:r w:rsidRPr="00893E6D">
        <w:rPr>
          <w:rFonts w:ascii="Times New Roman" w:hAnsi="Times New Roman" w:cs="Times New Roman"/>
          <w:sz w:val="24"/>
          <w:szCs w:val="24"/>
        </w:rPr>
        <w:t xml:space="preserve">ROA volatility), we run </w:t>
      </w:r>
      <w:r w:rsidR="00DF744D" w:rsidRPr="00893E6D">
        <w:rPr>
          <w:rFonts w:ascii="Times New Roman" w:hAnsi="Times New Roman" w:cs="Times New Roman"/>
          <w:sz w:val="24"/>
          <w:szCs w:val="24"/>
        </w:rPr>
        <w:t>three</w:t>
      </w:r>
      <w:r w:rsidRPr="00893E6D">
        <w:rPr>
          <w:rFonts w:ascii="Times New Roman" w:hAnsi="Times New Roman" w:cs="Times New Roman"/>
          <w:sz w:val="24"/>
          <w:szCs w:val="24"/>
        </w:rPr>
        <w:t xml:space="preserve"> </w:t>
      </w:r>
      <w:r w:rsidR="00594544" w:rsidRPr="00893E6D">
        <w:rPr>
          <w:rFonts w:ascii="Times New Roman" w:hAnsi="Times New Roman" w:cs="Times New Roman"/>
          <w:sz w:val="24"/>
          <w:szCs w:val="24"/>
        </w:rPr>
        <w:t>regression</w:t>
      </w:r>
      <w:r w:rsidR="00DB3AD9" w:rsidRPr="00893E6D">
        <w:rPr>
          <w:rFonts w:ascii="Times New Roman" w:hAnsi="Times New Roman" w:cs="Times New Roman"/>
          <w:sz w:val="24"/>
          <w:szCs w:val="24"/>
        </w:rPr>
        <w:t>s</w:t>
      </w:r>
      <w:r w:rsidR="00594544" w:rsidRPr="00893E6D">
        <w:rPr>
          <w:rFonts w:ascii="Times New Roman" w:hAnsi="Times New Roman" w:cs="Times New Roman"/>
          <w:sz w:val="24"/>
          <w:szCs w:val="24"/>
        </w:rPr>
        <w:t xml:space="preserve"> </w:t>
      </w:r>
      <w:r w:rsidR="00B14430">
        <w:rPr>
          <w:rFonts w:ascii="Times New Roman" w:hAnsi="Times New Roman" w:cs="Times New Roman"/>
          <w:sz w:val="24"/>
          <w:szCs w:val="24"/>
        </w:rPr>
        <w:t>based on</w:t>
      </w:r>
      <w:r w:rsidR="00B14430" w:rsidRPr="00893E6D">
        <w:rPr>
          <w:rFonts w:ascii="Times New Roman" w:hAnsi="Times New Roman" w:cs="Times New Roman"/>
          <w:sz w:val="24"/>
          <w:szCs w:val="24"/>
        </w:rPr>
        <w:t xml:space="preserve"> </w:t>
      </w:r>
      <w:r w:rsidR="00454081" w:rsidRPr="00893E6D">
        <w:rPr>
          <w:rFonts w:ascii="Times New Roman" w:hAnsi="Times New Roman" w:cs="Times New Roman"/>
          <w:sz w:val="24"/>
          <w:szCs w:val="24"/>
        </w:rPr>
        <w:t>E</w:t>
      </w:r>
      <w:r w:rsidRPr="00893E6D">
        <w:rPr>
          <w:rFonts w:ascii="Times New Roman" w:hAnsi="Times New Roman" w:cs="Times New Roman"/>
          <w:sz w:val="24"/>
          <w:szCs w:val="24"/>
        </w:rPr>
        <w:t xml:space="preserve">quation (8). Table </w:t>
      </w:r>
      <w:r w:rsidR="00696DC0">
        <w:rPr>
          <w:rFonts w:ascii="Times New Roman" w:hAnsi="Times New Roman" w:cs="Times New Roman"/>
          <w:sz w:val="24"/>
          <w:szCs w:val="24"/>
        </w:rPr>
        <w:t>3</w:t>
      </w:r>
      <w:r w:rsidR="00696DC0" w:rsidRPr="00893E6D">
        <w:rPr>
          <w:rFonts w:ascii="Times New Roman" w:hAnsi="Times New Roman" w:cs="Times New Roman"/>
          <w:sz w:val="24"/>
          <w:szCs w:val="24"/>
        </w:rPr>
        <w:t xml:space="preserve"> </w:t>
      </w:r>
      <w:r w:rsidRPr="00893E6D">
        <w:rPr>
          <w:rFonts w:ascii="Times New Roman" w:hAnsi="Times New Roman" w:cs="Times New Roman"/>
          <w:sz w:val="24"/>
          <w:szCs w:val="24"/>
        </w:rPr>
        <w:t>displays the results from</w:t>
      </w:r>
      <w:r w:rsidR="00EA20A9" w:rsidRPr="00893E6D">
        <w:rPr>
          <w:rFonts w:ascii="Times New Roman" w:hAnsi="Times New Roman" w:cs="Times New Roman"/>
          <w:sz w:val="24"/>
          <w:szCs w:val="24"/>
        </w:rPr>
        <w:t xml:space="preserve"> </w:t>
      </w:r>
      <w:r w:rsidR="00C46B70" w:rsidRPr="00893E6D">
        <w:rPr>
          <w:rFonts w:ascii="Times New Roman" w:hAnsi="Times New Roman" w:cs="Times New Roman"/>
          <w:sz w:val="24"/>
          <w:szCs w:val="24"/>
        </w:rPr>
        <w:t xml:space="preserve">(i) </w:t>
      </w:r>
      <w:r w:rsidR="00694A41" w:rsidRPr="00893E6D">
        <w:rPr>
          <w:rFonts w:ascii="Times New Roman" w:hAnsi="Times New Roman" w:cs="Times New Roman"/>
          <w:sz w:val="24"/>
          <w:szCs w:val="24"/>
        </w:rPr>
        <w:lastRenderedPageBreak/>
        <w:t>pooled ordinary least squares regression</w:t>
      </w:r>
      <w:r w:rsidR="00EA20A9" w:rsidRPr="00893E6D">
        <w:rPr>
          <w:rFonts w:ascii="Times New Roman" w:hAnsi="Times New Roman" w:cs="Times New Roman"/>
          <w:sz w:val="24"/>
          <w:szCs w:val="24"/>
        </w:rPr>
        <w:t xml:space="preserve"> (Panel A)</w:t>
      </w:r>
      <w:r w:rsidR="00B221BA" w:rsidRPr="00893E6D">
        <w:rPr>
          <w:rFonts w:ascii="Times New Roman" w:hAnsi="Times New Roman" w:cs="Times New Roman"/>
          <w:sz w:val="24"/>
          <w:szCs w:val="24"/>
        </w:rPr>
        <w:t xml:space="preserve"> with year fixed effect and industry fixed effect</w:t>
      </w:r>
      <w:r w:rsidR="00EA20A9" w:rsidRPr="00893E6D">
        <w:rPr>
          <w:rFonts w:ascii="Times New Roman" w:hAnsi="Times New Roman" w:cs="Times New Roman"/>
          <w:sz w:val="24"/>
          <w:szCs w:val="24"/>
        </w:rPr>
        <w:t xml:space="preserve">, </w:t>
      </w:r>
      <w:r w:rsidR="00C46B70" w:rsidRPr="00893E6D">
        <w:rPr>
          <w:rFonts w:ascii="Times New Roman" w:hAnsi="Times New Roman" w:cs="Times New Roman"/>
          <w:sz w:val="24"/>
          <w:szCs w:val="24"/>
        </w:rPr>
        <w:t xml:space="preserve">(ii) </w:t>
      </w:r>
      <w:r w:rsidR="00EA20A9" w:rsidRPr="00893E6D">
        <w:rPr>
          <w:rFonts w:ascii="Times New Roman" w:hAnsi="Times New Roman" w:cs="Times New Roman"/>
          <w:sz w:val="24"/>
          <w:szCs w:val="24"/>
        </w:rPr>
        <w:t>panel-data fixed effect approach (Panel B)</w:t>
      </w:r>
      <w:r w:rsidR="00B221BA" w:rsidRPr="00893E6D">
        <w:rPr>
          <w:rFonts w:ascii="Times New Roman" w:hAnsi="Times New Roman" w:cs="Times New Roman"/>
          <w:sz w:val="24"/>
          <w:szCs w:val="24"/>
        </w:rPr>
        <w:t xml:space="preserve"> with year fixed effect</w:t>
      </w:r>
      <w:r w:rsidR="00B14430">
        <w:rPr>
          <w:rFonts w:ascii="Times New Roman" w:hAnsi="Times New Roman" w:cs="Times New Roman"/>
          <w:sz w:val="24"/>
          <w:szCs w:val="24"/>
        </w:rPr>
        <w:t>,</w:t>
      </w:r>
      <w:r w:rsidR="00B221BA" w:rsidRPr="00893E6D">
        <w:rPr>
          <w:rFonts w:ascii="Times New Roman" w:hAnsi="Times New Roman" w:cs="Times New Roman"/>
          <w:sz w:val="24"/>
          <w:szCs w:val="24"/>
        </w:rPr>
        <w:t xml:space="preserve"> </w:t>
      </w:r>
      <w:r w:rsidR="00EA20A9" w:rsidRPr="00893E6D">
        <w:rPr>
          <w:rFonts w:ascii="Times New Roman" w:hAnsi="Times New Roman" w:cs="Times New Roman"/>
          <w:sz w:val="24"/>
          <w:szCs w:val="24"/>
        </w:rPr>
        <w:t xml:space="preserve">and </w:t>
      </w:r>
      <w:r w:rsidR="00C46B70" w:rsidRPr="00893E6D">
        <w:rPr>
          <w:rFonts w:ascii="Times New Roman" w:hAnsi="Times New Roman" w:cs="Times New Roman"/>
          <w:sz w:val="24"/>
          <w:szCs w:val="24"/>
        </w:rPr>
        <w:t xml:space="preserve">(iii) </w:t>
      </w:r>
      <w:r w:rsidR="00EA20A9" w:rsidRPr="00893E6D">
        <w:rPr>
          <w:rFonts w:ascii="Times New Roman" w:hAnsi="Times New Roman" w:cs="Times New Roman"/>
          <w:sz w:val="24"/>
          <w:szCs w:val="24"/>
        </w:rPr>
        <w:t>feasible generalized least squared approach (Panel C)</w:t>
      </w:r>
      <w:r w:rsidR="00B221BA" w:rsidRPr="00893E6D">
        <w:rPr>
          <w:rFonts w:ascii="Times New Roman" w:hAnsi="Times New Roman" w:cs="Times New Roman"/>
          <w:sz w:val="24"/>
          <w:szCs w:val="24"/>
        </w:rPr>
        <w:t xml:space="preserve"> with year fixed effect</w:t>
      </w:r>
      <w:r w:rsidR="00EA20A9" w:rsidRPr="00893E6D">
        <w:rPr>
          <w:rFonts w:ascii="Times New Roman" w:hAnsi="Times New Roman" w:cs="Times New Roman"/>
          <w:sz w:val="24"/>
          <w:szCs w:val="24"/>
        </w:rPr>
        <w:t xml:space="preserve">. </w:t>
      </w:r>
      <w:r w:rsidR="00A24F00" w:rsidRPr="00893E6D">
        <w:rPr>
          <w:rFonts w:ascii="Times New Roman" w:hAnsi="Times New Roman" w:cs="Times New Roman"/>
          <w:sz w:val="24"/>
          <w:szCs w:val="24"/>
        </w:rPr>
        <w:t>The dependent variable is ROA volatility</w:t>
      </w:r>
      <w:r w:rsidR="00B221BA" w:rsidRPr="00893E6D">
        <w:rPr>
          <w:rFonts w:ascii="Times New Roman" w:hAnsi="Times New Roman" w:cs="Times New Roman"/>
          <w:sz w:val="24"/>
          <w:szCs w:val="24"/>
        </w:rPr>
        <w:t xml:space="preserve"> over the past five years</w:t>
      </w:r>
      <w:r w:rsidR="00A24F00" w:rsidRPr="00893E6D">
        <w:rPr>
          <w:rFonts w:ascii="Times New Roman" w:hAnsi="Times New Roman" w:cs="Times New Roman"/>
          <w:sz w:val="24"/>
          <w:szCs w:val="24"/>
        </w:rPr>
        <w:t xml:space="preserve"> (</w:t>
      </w:r>
      <w:r w:rsidR="00A24F00" w:rsidRPr="00893E6D">
        <w:rPr>
          <w:rFonts w:ascii="Times New Roman" w:hAnsi="Times New Roman" w:cs="Times New Roman"/>
          <w:i/>
          <w:sz w:val="24"/>
          <w:szCs w:val="24"/>
        </w:rPr>
        <w:t>ROAVOL</w:t>
      </w:r>
      <w:r w:rsidR="00A24F00" w:rsidRPr="00893E6D">
        <w:rPr>
          <w:rFonts w:ascii="Times New Roman" w:hAnsi="Times New Roman" w:cs="Times New Roman"/>
          <w:sz w:val="24"/>
          <w:szCs w:val="24"/>
        </w:rPr>
        <w:t xml:space="preserve">). </w:t>
      </w:r>
      <w:r w:rsidR="00F53D4D" w:rsidRPr="00893E6D">
        <w:rPr>
          <w:rFonts w:ascii="Times New Roman" w:hAnsi="Times New Roman" w:cs="Times New Roman"/>
          <w:sz w:val="24"/>
          <w:szCs w:val="24"/>
        </w:rPr>
        <w:t xml:space="preserve">All reported coefficients are standardized coefficients. </w:t>
      </w:r>
      <w:r w:rsidR="00FE59A6" w:rsidRPr="00893E6D">
        <w:rPr>
          <w:rFonts w:ascii="Times New Roman" w:hAnsi="Times New Roman" w:cs="Times New Roman"/>
          <w:sz w:val="24"/>
          <w:szCs w:val="24"/>
        </w:rPr>
        <w:t xml:space="preserve">The coefficient on </w:t>
      </w:r>
      <w:r w:rsidR="00FE59A6" w:rsidRPr="00893E6D">
        <w:rPr>
          <w:rFonts w:ascii="Times New Roman" w:hAnsi="Times New Roman" w:cs="Times New Roman"/>
          <w:i/>
          <w:sz w:val="24"/>
          <w:szCs w:val="24"/>
        </w:rPr>
        <w:t>NONOPERINC</w:t>
      </w:r>
      <w:r w:rsidR="00FE59A6" w:rsidRPr="00893E6D">
        <w:rPr>
          <w:rFonts w:ascii="Times New Roman" w:hAnsi="Times New Roman" w:cs="Times New Roman"/>
          <w:sz w:val="24"/>
          <w:szCs w:val="24"/>
        </w:rPr>
        <w:t xml:space="preserve"> is </w:t>
      </w:r>
      <w:r w:rsidR="00BD1468" w:rsidRPr="00893E6D">
        <w:rPr>
          <w:rFonts w:ascii="Times New Roman" w:hAnsi="Times New Roman" w:cs="Times New Roman"/>
          <w:sz w:val="24"/>
          <w:szCs w:val="24"/>
        </w:rPr>
        <w:t xml:space="preserve">negative and significant in all three </w:t>
      </w:r>
      <w:r w:rsidR="00D97D0B" w:rsidRPr="00893E6D">
        <w:rPr>
          <w:rFonts w:ascii="Times New Roman" w:hAnsi="Times New Roman" w:cs="Times New Roman"/>
          <w:sz w:val="24"/>
          <w:szCs w:val="24"/>
        </w:rPr>
        <w:t>models</w:t>
      </w:r>
      <w:r w:rsidR="00BD1468" w:rsidRPr="00893E6D">
        <w:rPr>
          <w:rFonts w:ascii="Times New Roman" w:hAnsi="Times New Roman" w:cs="Times New Roman"/>
          <w:sz w:val="24"/>
          <w:szCs w:val="24"/>
        </w:rPr>
        <w:t xml:space="preserve">, suggesting that higher </w:t>
      </w:r>
      <w:r w:rsidR="00AB2468" w:rsidRPr="00893E6D">
        <w:rPr>
          <w:rFonts w:ascii="Times New Roman" w:hAnsi="Times New Roman" w:cs="Times New Roman"/>
          <w:sz w:val="24"/>
          <w:szCs w:val="24"/>
        </w:rPr>
        <w:t>non-operating</w:t>
      </w:r>
      <w:r w:rsidR="00BD1468" w:rsidRPr="00893E6D">
        <w:rPr>
          <w:rFonts w:ascii="Times New Roman" w:hAnsi="Times New Roman" w:cs="Times New Roman"/>
          <w:sz w:val="24"/>
          <w:szCs w:val="24"/>
        </w:rPr>
        <w:t xml:space="preserve"> </w:t>
      </w:r>
      <w:r w:rsidR="00B45F25" w:rsidRPr="00893E6D">
        <w:rPr>
          <w:rFonts w:ascii="Times New Roman" w:hAnsi="Times New Roman" w:cs="Times New Roman"/>
          <w:sz w:val="24"/>
          <w:szCs w:val="24"/>
        </w:rPr>
        <w:t>earnings</w:t>
      </w:r>
      <w:r w:rsidR="00BD1468" w:rsidRPr="00893E6D">
        <w:rPr>
          <w:rFonts w:ascii="Times New Roman" w:hAnsi="Times New Roman" w:cs="Times New Roman"/>
          <w:sz w:val="24"/>
          <w:szCs w:val="24"/>
        </w:rPr>
        <w:t xml:space="preserve"> </w:t>
      </w:r>
      <w:r w:rsidR="00B45F25" w:rsidRPr="00893E6D">
        <w:rPr>
          <w:rFonts w:ascii="Times New Roman" w:hAnsi="Times New Roman" w:cs="Times New Roman"/>
          <w:sz w:val="24"/>
          <w:szCs w:val="24"/>
        </w:rPr>
        <w:t>are</w:t>
      </w:r>
      <w:r w:rsidR="00BD1468" w:rsidRPr="00893E6D">
        <w:rPr>
          <w:rFonts w:ascii="Times New Roman" w:hAnsi="Times New Roman" w:cs="Times New Roman"/>
          <w:sz w:val="24"/>
          <w:szCs w:val="24"/>
        </w:rPr>
        <w:t xml:space="preserve"> associated with lower </w:t>
      </w:r>
      <w:r w:rsidR="00B14430">
        <w:rPr>
          <w:rFonts w:ascii="Times New Roman" w:hAnsi="Times New Roman" w:cs="Times New Roman"/>
          <w:sz w:val="24"/>
          <w:szCs w:val="24"/>
        </w:rPr>
        <w:t xml:space="preserve">ROA volatility and, </w:t>
      </w:r>
      <w:r w:rsidR="00874EA3">
        <w:rPr>
          <w:rFonts w:ascii="Times New Roman" w:hAnsi="Times New Roman" w:cs="Times New Roman"/>
          <w:sz w:val="24"/>
          <w:szCs w:val="24"/>
        </w:rPr>
        <w:t>consequently</w:t>
      </w:r>
      <w:r w:rsidR="00B14430">
        <w:rPr>
          <w:rFonts w:ascii="Times New Roman" w:hAnsi="Times New Roman" w:cs="Times New Roman"/>
          <w:sz w:val="24"/>
          <w:szCs w:val="24"/>
        </w:rPr>
        <w:t>, lower</w:t>
      </w:r>
      <w:r w:rsidR="00B14430" w:rsidRPr="00893E6D">
        <w:rPr>
          <w:rFonts w:ascii="Times New Roman" w:hAnsi="Times New Roman" w:cs="Times New Roman"/>
          <w:sz w:val="24"/>
          <w:szCs w:val="24"/>
        </w:rPr>
        <w:t xml:space="preserve"> total</w:t>
      </w:r>
      <w:r w:rsidR="00BD1468" w:rsidRPr="00893E6D">
        <w:rPr>
          <w:rFonts w:ascii="Times New Roman" w:hAnsi="Times New Roman" w:cs="Times New Roman"/>
          <w:sz w:val="24"/>
          <w:szCs w:val="24"/>
        </w:rPr>
        <w:t xml:space="preserve"> </w:t>
      </w:r>
      <w:r w:rsidR="00B45F25" w:rsidRPr="00893E6D">
        <w:rPr>
          <w:rFonts w:ascii="Times New Roman" w:hAnsi="Times New Roman" w:cs="Times New Roman"/>
          <w:sz w:val="24"/>
          <w:szCs w:val="24"/>
        </w:rPr>
        <w:t>earnings</w:t>
      </w:r>
      <w:r w:rsidR="00BD1468" w:rsidRPr="00893E6D">
        <w:rPr>
          <w:rFonts w:ascii="Times New Roman" w:hAnsi="Times New Roman" w:cs="Times New Roman"/>
          <w:sz w:val="24"/>
          <w:szCs w:val="24"/>
        </w:rPr>
        <w:t xml:space="preserve"> volatility. </w:t>
      </w:r>
    </w:p>
    <w:p w14:paraId="3183B9F6" w14:textId="3CAE3B2E" w:rsidR="00734B2A" w:rsidRPr="00893E6D" w:rsidRDefault="00734B2A" w:rsidP="00B73A42">
      <w:pPr>
        <w:spacing w:line="480" w:lineRule="auto"/>
        <w:jc w:val="center"/>
        <w:rPr>
          <w:rFonts w:ascii="Times New Roman" w:hAnsi="Times New Roman" w:cs="Times New Roman"/>
          <w:sz w:val="24"/>
          <w:szCs w:val="24"/>
        </w:rPr>
      </w:pPr>
      <w:r w:rsidRPr="00893E6D">
        <w:rPr>
          <w:rFonts w:ascii="Times New Roman" w:hAnsi="Times New Roman" w:cs="Times New Roman"/>
          <w:sz w:val="24"/>
          <w:szCs w:val="24"/>
        </w:rPr>
        <w:t xml:space="preserve">[INSERT TABLE </w:t>
      </w:r>
      <w:r w:rsidR="00696DC0">
        <w:rPr>
          <w:rFonts w:ascii="Times New Roman" w:hAnsi="Times New Roman" w:cs="Times New Roman"/>
          <w:sz w:val="24"/>
          <w:szCs w:val="24"/>
        </w:rPr>
        <w:t>3</w:t>
      </w:r>
      <w:r w:rsidR="00696DC0" w:rsidRPr="00893E6D">
        <w:rPr>
          <w:rFonts w:ascii="Times New Roman" w:hAnsi="Times New Roman" w:cs="Times New Roman"/>
          <w:sz w:val="24"/>
          <w:szCs w:val="24"/>
        </w:rPr>
        <w:t xml:space="preserve"> </w:t>
      </w:r>
      <w:r w:rsidRPr="00893E6D">
        <w:rPr>
          <w:rFonts w:ascii="Times New Roman" w:hAnsi="Times New Roman" w:cs="Times New Roman"/>
          <w:sz w:val="24"/>
          <w:szCs w:val="24"/>
        </w:rPr>
        <w:t>ABOUT HERE]</w:t>
      </w:r>
    </w:p>
    <w:p w14:paraId="5CD5DF03" w14:textId="03582952" w:rsidR="007D2F46" w:rsidRPr="00893E6D" w:rsidRDefault="00FB4BBB" w:rsidP="00A1062B">
      <w:pPr>
        <w:pStyle w:val="ListParagraph"/>
        <w:spacing w:line="480" w:lineRule="auto"/>
        <w:ind w:left="0" w:firstLine="720"/>
        <w:jc w:val="both"/>
        <w:rPr>
          <w:rFonts w:ascii="Times New Roman" w:hAnsi="Times New Roman" w:cs="Times New Roman"/>
          <w:sz w:val="24"/>
          <w:szCs w:val="24"/>
        </w:rPr>
      </w:pPr>
      <w:r w:rsidRPr="00893E6D">
        <w:rPr>
          <w:rFonts w:ascii="Times New Roman" w:hAnsi="Times New Roman" w:cs="Times New Roman"/>
          <w:sz w:val="24"/>
          <w:szCs w:val="24"/>
        </w:rPr>
        <w:t>In Panel C</w:t>
      </w:r>
      <w:r w:rsidR="00BD1468" w:rsidRPr="00893E6D">
        <w:rPr>
          <w:rFonts w:ascii="Times New Roman" w:hAnsi="Times New Roman" w:cs="Times New Roman"/>
          <w:sz w:val="24"/>
          <w:szCs w:val="24"/>
        </w:rPr>
        <w:t>,</w:t>
      </w:r>
      <w:r w:rsidR="007D2F46" w:rsidRPr="00893E6D">
        <w:rPr>
          <w:rFonts w:ascii="Times New Roman" w:hAnsi="Times New Roman" w:cs="Times New Roman"/>
          <w:sz w:val="24"/>
          <w:szCs w:val="24"/>
        </w:rPr>
        <w:t xml:space="preserve"> where the </w:t>
      </w:r>
      <w:r w:rsidR="00B85D46" w:rsidRPr="00893E6D">
        <w:rPr>
          <w:rFonts w:ascii="Times New Roman" w:hAnsi="Times New Roman" w:cs="Times New Roman"/>
          <w:sz w:val="24"/>
          <w:szCs w:val="24"/>
        </w:rPr>
        <w:t>impact of</w:t>
      </w:r>
      <w:r w:rsidR="00E15513" w:rsidRPr="00893E6D">
        <w:rPr>
          <w:rFonts w:ascii="Times New Roman" w:hAnsi="Times New Roman" w:cs="Times New Roman"/>
          <w:sz w:val="24"/>
          <w:szCs w:val="24"/>
        </w:rPr>
        <w:t xml:space="preserve"> </w:t>
      </w:r>
      <w:r w:rsidR="007D2F46" w:rsidRPr="00893E6D">
        <w:rPr>
          <w:rFonts w:ascii="Times New Roman" w:hAnsi="Times New Roman" w:cs="Times New Roman"/>
          <w:i/>
          <w:sz w:val="24"/>
          <w:szCs w:val="24"/>
        </w:rPr>
        <w:t>NONOPERINC</w:t>
      </w:r>
      <w:r w:rsidR="007D2F46" w:rsidRPr="00893E6D">
        <w:rPr>
          <w:rFonts w:ascii="Times New Roman" w:hAnsi="Times New Roman" w:cs="Times New Roman"/>
          <w:sz w:val="24"/>
          <w:szCs w:val="24"/>
        </w:rPr>
        <w:t xml:space="preserve"> </w:t>
      </w:r>
      <w:r w:rsidR="00B85D46" w:rsidRPr="00893E6D">
        <w:rPr>
          <w:rFonts w:ascii="Times New Roman" w:hAnsi="Times New Roman" w:cs="Times New Roman"/>
          <w:sz w:val="24"/>
          <w:szCs w:val="24"/>
        </w:rPr>
        <w:t xml:space="preserve">on ROA volatility </w:t>
      </w:r>
      <w:r w:rsidR="007D2F46" w:rsidRPr="00893E6D">
        <w:rPr>
          <w:rFonts w:ascii="Times New Roman" w:hAnsi="Times New Roman" w:cs="Times New Roman"/>
          <w:sz w:val="24"/>
          <w:szCs w:val="24"/>
        </w:rPr>
        <w:t xml:space="preserve">is </w:t>
      </w:r>
      <w:r w:rsidR="007E4375" w:rsidRPr="00893E6D">
        <w:rPr>
          <w:rFonts w:ascii="Times New Roman" w:hAnsi="Times New Roman" w:cs="Times New Roman"/>
          <w:sz w:val="24"/>
          <w:szCs w:val="24"/>
        </w:rPr>
        <w:t xml:space="preserve">the </w:t>
      </w:r>
      <w:r w:rsidR="007D2F46" w:rsidRPr="00893E6D">
        <w:rPr>
          <w:rFonts w:ascii="Times New Roman" w:hAnsi="Times New Roman" w:cs="Times New Roman"/>
          <w:sz w:val="24"/>
          <w:szCs w:val="24"/>
        </w:rPr>
        <w:t>smallest,</w:t>
      </w:r>
      <w:r w:rsidR="00BD1468" w:rsidRPr="00893E6D">
        <w:rPr>
          <w:rFonts w:ascii="Times New Roman" w:hAnsi="Times New Roman" w:cs="Times New Roman"/>
          <w:sz w:val="24"/>
          <w:szCs w:val="24"/>
        </w:rPr>
        <w:t xml:space="preserve"> </w:t>
      </w:r>
      <w:r w:rsidRPr="00893E6D">
        <w:rPr>
          <w:rFonts w:ascii="Times New Roman" w:hAnsi="Times New Roman" w:cs="Times New Roman"/>
          <w:sz w:val="24"/>
          <w:szCs w:val="24"/>
        </w:rPr>
        <w:t xml:space="preserve">an increase of one standard deviation in </w:t>
      </w:r>
      <w:r w:rsidR="00C15791" w:rsidRPr="00893E6D">
        <w:rPr>
          <w:rFonts w:ascii="Times New Roman" w:hAnsi="Times New Roman" w:cs="Times New Roman"/>
          <w:i/>
          <w:sz w:val="24"/>
          <w:szCs w:val="24"/>
        </w:rPr>
        <w:t>NONOPERINC</w:t>
      </w:r>
      <w:r w:rsidR="00C15791" w:rsidRPr="00893E6D">
        <w:rPr>
          <w:rFonts w:ascii="Times New Roman" w:hAnsi="Times New Roman" w:cs="Times New Roman"/>
          <w:sz w:val="24"/>
          <w:szCs w:val="24"/>
        </w:rPr>
        <w:t xml:space="preserve"> </w:t>
      </w:r>
      <w:r w:rsidR="0025086B" w:rsidRPr="00893E6D">
        <w:rPr>
          <w:rFonts w:ascii="Times New Roman" w:hAnsi="Times New Roman" w:cs="Times New Roman"/>
          <w:sz w:val="24"/>
          <w:szCs w:val="24"/>
        </w:rPr>
        <w:t xml:space="preserve">is associated with </w:t>
      </w:r>
      <w:r w:rsidRPr="00893E6D">
        <w:rPr>
          <w:rFonts w:ascii="Times New Roman" w:hAnsi="Times New Roman" w:cs="Times New Roman"/>
          <w:sz w:val="24"/>
          <w:szCs w:val="24"/>
        </w:rPr>
        <w:t>a decrease of 0.</w:t>
      </w:r>
      <w:r w:rsidR="00B221BA" w:rsidRPr="00893E6D">
        <w:rPr>
          <w:rFonts w:ascii="Times New Roman" w:hAnsi="Times New Roman" w:cs="Times New Roman"/>
          <w:sz w:val="24"/>
          <w:szCs w:val="24"/>
        </w:rPr>
        <w:t>008</w:t>
      </w:r>
      <w:r w:rsidR="009E37E4" w:rsidRPr="00893E6D">
        <w:rPr>
          <w:rFonts w:ascii="Times New Roman" w:hAnsi="Times New Roman" w:cs="Times New Roman"/>
          <w:sz w:val="24"/>
          <w:szCs w:val="24"/>
        </w:rPr>
        <w:t xml:space="preserve"> </w:t>
      </w:r>
      <w:r w:rsidR="00694A41" w:rsidRPr="00893E6D">
        <w:rPr>
          <w:rFonts w:ascii="Times New Roman" w:hAnsi="Times New Roman" w:cs="Times New Roman"/>
          <w:sz w:val="24"/>
          <w:szCs w:val="24"/>
        </w:rPr>
        <w:t>×</w:t>
      </w:r>
      <w:r w:rsidRPr="00893E6D">
        <w:rPr>
          <w:rFonts w:ascii="Times New Roman" w:hAnsi="Times New Roman" w:cs="Times New Roman"/>
          <w:sz w:val="24"/>
          <w:szCs w:val="24"/>
        </w:rPr>
        <w:t xml:space="preserve"> stand</w:t>
      </w:r>
      <w:r w:rsidR="00C37D7F" w:rsidRPr="00893E6D">
        <w:rPr>
          <w:rFonts w:ascii="Times New Roman" w:hAnsi="Times New Roman" w:cs="Times New Roman"/>
          <w:sz w:val="24"/>
          <w:szCs w:val="24"/>
        </w:rPr>
        <w:t xml:space="preserve">ard deviation in </w:t>
      </w:r>
      <w:r w:rsidR="00C37D7F" w:rsidRPr="00893E6D">
        <w:rPr>
          <w:rFonts w:ascii="Times New Roman" w:hAnsi="Times New Roman" w:cs="Times New Roman"/>
          <w:i/>
          <w:sz w:val="24"/>
          <w:szCs w:val="24"/>
        </w:rPr>
        <w:t>ROA</w:t>
      </w:r>
      <w:r w:rsidR="00C15791" w:rsidRPr="00893E6D">
        <w:rPr>
          <w:rFonts w:ascii="Times New Roman" w:hAnsi="Times New Roman" w:cs="Times New Roman"/>
          <w:i/>
          <w:sz w:val="24"/>
          <w:szCs w:val="24"/>
        </w:rPr>
        <w:t>VOL</w:t>
      </w:r>
      <w:r w:rsidR="007D2F46" w:rsidRPr="00893E6D">
        <w:rPr>
          <w:rFonts w:ascii="Times New Roman" w:hAnsi="Times New Roman" w:cs="Times New Roman"/>
          <w:sz w:val="24"/>
          <w:szCs w:val="24"/>
        </w:rPr>
        <w:t>.</w:t>
      </w:r>
      <w:r w:rsidR="00154303" w:rsidRPr="00893E6D">
        <w:rPr>
          <w:rFonts w:ascii="Times New Roman" w:hAnsi="Times New Roman" w:cs="Times New Roman"/>
          <w:sz w:val="24"/>
          <w:szCs w:val="24"/>
        </w:rPr>
        <w:t xml:space="preserve"> </w:t>
      </w:r>
      <w:r w:rsidR="00144C39" w:rsidRPr="00893E6D">
        <w:rPr>
          <w:rFonts w:ascii="Times New Roman" w:hAnsi="Times New Roman" w:cs="Times New Roman"/>
          <w:sz w:val="24"/>
          <w:szCs w:val="24"/>
        </w:rPr>
        <w:t>Specifically, a</w:t>
      </w:r>
      <w:r w:rsidR="00C37D7F" w:rsidRPr="00893E6D">
        <w:rPr>
          <w:rFonts w:ascii="Times New Roman" w:hAnsi="Times New Roman" w:cs="Times New Roman"/>
          <w:sz w:val="24"/>
          <w:szCs w:val="24"/>
        </w:rPr>
        <w:t xml:space="preserve"> 1.</w:t>
      </w:r>
      <w:r w:rsidR="00551ACC" w:rsidRPr="00893E6D">
        <w:rPr>
          <w:rFonts w:ascii="Times New Roman" w:hAnsi="Times New Roman" w:cs="Times New Roman"/>
          <w:sz w:val="24"/>
          <w:szCs w:val="24"/>
        </w:rPr>
        <w:t>7</w:t>
      </w:r>
      <w:r w:rsidR="00C37D7F" w:rsidRPr="00893E6D">
        <w:rPr>
          <w:rFonts w:ascii="Times New Roman" w:hAnsi="Times New Roman" w:cs="Times New Roman"/>
          <w:sz w:val="24"/>
          <w:szCs w:val="24"/>
        </w:rPr>
        <w:t xml:space="preserve">% increase in </w:t>
      </w:r>
      <w:r w:rsidR="00C15791" w:rsidRPr="00893E6D">
        <w:rPr>
          <w:rFonts w:ascii="Times New Roman" w:hAnsi="Times New Roman" w:cs="Times New Roman"/>
          <w:i/>
          <w:sz w:val="24"/>
          <w:szCs w:val="24"/>
        </w:rPr>
        <w:t>NONOPERINC</w:t>
      </w:r>
      <w:r w:rsidR="00C15791" w:rsidRPr="00893E6D">
        <w:rPr>
          <w:rFonts w:ascii="Times New Roman" w:hAnsi="Times New Roman" w:cs="Times New Roman"/>
          <w:sz w:val="24"/>
          <w:szCs w:val="24"/>
        </w:rPr>
        <w:t xml:space="preserve"> </w:t>
      </w:r>
      <w:r w:rsidR="00C37D7F" w:rsidRPr="00893E6D">
        <w:rPr>
          <w:rFonts w:ascii="Times New Roman" w:hAnsi="Times New Roman" w:cs="Times New Roman"/>
          <w:sz w:val="24"/>
          <w:szCs w:val="24"/>
        </w:rPr>
        <w:t xml:space="preserve">leads to a </w:t>
      </w:r>
      <w:r w:rsidR="0025086B" w:rsidRPr="00893E6D">
        <w:rPr>
          <w:rFonts w:ascii="Times New Roman" w:hAnsi="Times New Roman" w:cs="Times New Roman"/>
          <w:sz w:val="24"/>
          <w:szCs w:val="24"/>
        </w:rPr>
        <w:t>0.</w:t>
      </w:r>
      <w:r w:rsidR="005D567F" w:rsidRPr="00893E6D">
        <w:rPr>
          <w:rFonts w:ascii="Times New Roman" w:hAnsi="Times New Roman" w:cs="Times New Roman"/>
          <w:sz w:val="24"/>
          <w:szCs w:val="24"/>
        </w:rPr>
        <w:t>1</w:t>
      </w:r>
      <w:r w:rsidR="00B221BA" w:rsidRPr="00893E6D">
        <w:rPr>
          <w:rFonts w:ascii="Times New Roman" w:hAnsi="Times New Roman" w:cs="Times New Roman"/>
          <w:sz w:val="24"/>
          <w:szCs w:val="24"/>
        </w:rPr>
        <w:t>0</w:t>
      </w:r>
      <w:r w:rsidR="00551ACC" w:rsidRPr="00893E6D">
        <w:rPr>
          <w:rFonts w:ascii="Times New Roman" w:hAnsi="Times New Roman" w:cs="Times New Roman"/>
          <w:sz w:val="24"/>
          <w:szCs w:val="24"/>
        </w:rPr>
        <w:t>1</w:t>
      </w:r>
      <w:r w:rsidR="00C37D7F" w:rsidRPr="00893E6D">
        <w:rPr>
          <w:rFonts w:ascii="Times New Roman" w:hAnsi="Times New Roman" w:cs="Times New Roman"/>
          <w:sz w:val="24"/>
          <w:szCs w:val="24"/>
        </w:rPr>
        <w:t xml:space="preserve">% </w:t>
      </w:r>
      <w:r w:rsidR="0025086B" w:rsidRPr="00893E6D">
        <w:rPr>
          <w:rFonts w:ascii="Times New Roman" w:hAnsi="Times New Roman" w:cs="Times New Roman"/>
          <w:sz w:val="24"/>
          <w:szCs w:val="24"/>
        </w:rPr>
        <w:t xml:space="preserve">decrease </w:t>
      </w:r>
      <w:r w:rsidR="00C37D7F" w:rsidRPr="00893E6D">
        <w:rPr>
          <w:rFonts w:ascii="Times New Roman" w:hAnsi="Times New Roman" w:cs="Times New Roman"/>
          <w:sz w:val="24"/>
          <w:szCs w:val="24"/>
        </w:rPr>
        <w:t>(</w:t>
      </w:r>
      <w:r w:rsidR="00B221BA" w:rsidRPr="00893E6D">
        <w:rPr>
          <w:rFonts w:ascii="Times New Roman" w:hAnsi="Times New Roman" w:cs="Times New Roman"/>
          <w:sz w:val="24"/>
          <w:szCs w:val="24"/>
        </w:rPr>
        <w:t>0.008</w:t>
      </w:r>
      <w:r w:rsidR="00C37D7F" w:rsidRPr="00893E6D">
        <w:rPr>
          <w:rFonts w:ascii="Times New Roman" w:hAnsi="Times New Roman" w:cs="Times New Roman"/>
          <w:sz w:val="24"/>
          <w:szCs w:val="24"/>
        </w:rPr>
        <w:t>×0.1</w:t>
      </w:r>
      <w:r w:rsidR="00551ACC" w:rsidRPr="00893E6D">
        <w:rPr>
          <w:rFonts w:ascii="Times New Roman" w:hAnsi="Times New Roman" w:cs="Times New Roman"/>
          <w:sz w:val="24"/>
          <w:szCs w:val="24"/>
        </w:rPr>
        <w:t>26</w:t>
      </w:r>
      <w:r w:rsidR="00C37D7F" w:rsidRPr="00893E6D">
        <w:rPr>
          <w:rFonts w:ascii="Times New Roman" w:hAnsi="Times New Roman" w:cs="Times New Roman"/>
          <w:sz w:val="24"/>
          <w:szCs w:val="24"/>
        </w:rPr>
        <w:t xml:space="preserve">) in </w:t>
      </w:r>
      <w:r w:rsidR="00C15791" w:rsidRPr="00893E6D">
        <w:rPr>
          <w:rFonts w:ascii="Times New Roman" w:hAnsi="Times New Roman" w:cs="Times New Roman"/>
          <w:i/>
          <w:sz w:val="24"/>
          <w:szCs w:val="24"/>
        </w:rPr>
        <w:t>ROAVOL</w:t>
      </w:r>
      <w:r w:rsidR="00C0498F" w:rsidRPr="00893E6D">
        <w:rPr>
          <w:rFonts w:ascii="Times New Roman" w:hAnsi="Times New Roman" w:cs="Times New Roman"/>
          <w:i/>
          <w:sz w:val="24"/>
          <w:szCs w:val="24"/>
        </w:rPr>
        <w:t xml:space="preserve">, </w:t>
      </w:r>
      <w:r w:rsidR="00154303" w:rsidRPr="00893E6D">
        <w:rPr>
          <w:rFonts w:ascii="Times New Roman" w:hAnsi="Times New Roman" w:cs="Times New Roman"/>
          <w:sz w:val="24"/>
          <w:szCs w:val="24"/>
        </w:rPr>
        <w:t>yielding an impact r</w:t>
      </w:r>
      <w:r w:rsidR="00C0498F" w:rsidRPr="00893E6D">
        <w:rPr>
          <w:rFonts w:ascii="Times New Roman" w:hAnsi="Times New Roman" w:cs="Times New Roman"/>
          <w:sz w:val="24"/>
          <w:szCs w:val="24"/>
        </w:rPr>
        <w:t xml:space="preserve">atio of </w:t>
      </w:r>
      <w:r w:rsidR="0025086B" w:rsidRPr="00893E6D">
        <w:rPr>
          <w:rFonts w:ascii="Times New Roman" w:hAnsi="Times New Roman" w:cs="Times New Roman"/>
          <w:sz w:val="24"/>
          <w:szCs w:val="24"/>
        </w:rPr>
        <w:t>0.</w:t>
      </w:r>
      <w:r w:rsidR="005D567F" w:rsidRPr="00893E6D">
        <w:rPr>
          <w:rFonts w:ascii="Times New Roman" w:hAnsi="Times New Roman" w:cs="Times New Roman"/>
          <w:sz w:val="24"/>
          <w:szCs w:val="24"/>
        </w:rPr>
        <w:t>0</w:t>
      </w:r>
      <w:r w:rsidR="00551ACC" w:rsidRPr="00893E6D">
        <w:rPr>
          <w:rFonts w:ascii="Times New Roman" w:hAnsi="Times New Roman" w:cs="Times New Roman"/>
          <w:sz w:val="24"/>
          <w:szCs w:val="24"/>
        </w:rPr>
        <w:t>59</w:t>
      </w:r>
      <w:r w:rsidR="00154303" w:rsidRPr="00893E6D">
        <w:rPr>
          <w:rFonts w:ascii="Times New Roman" w:hAnsi="Times New Roman" w:cs="Times New Roman"/>
          <w:sz w:val="24"/>
          <w:szCs w:val="24"/>
        </w:rPr>
        <w:t xml:space="preserve"> (</w:t>
      </w:r>
      <w:r w:rsidR="005D567F" w:rsidRPr="00893E6D">
        <w:rPr>
          <w:rFonts w:ascii="Times New Roman" w:hAnsi="Times New Roman" w:cs="Times New Roman"/>
          <w:sz w:val="24"/>
          <w:szCs w:val="24"/>
        </w:rPr>
        <w:t>0.</w:t>
      </w:r>
      <w:r w:rsidR="00F16958" w:rsidRPr="00893E6D">
        <w:rPr>
          <w:rFonts w:ascii="Times New Roman" w:hAnsi="Times New Roman" w:cs="Times New Roman"/>
          <w:sz w:val="24"/>
          <w:szCs w:val="24"/>
        </w:rPr>
        <w:t>10</w:t>
      </w:r>
      <w:r w:rsidR="00551ACC" w:rsidRPr="00893E6D">
        <w:rPr>
          <w:rFonts w:ascii="Times New Roman" w:hAnsi="Times New Roman" w:cs="Times New Roman"/>
          <w:sz w:val="24"/>
          <w:szCs w:val="24"/>
        </w:rPr>
        <w:t>1</w:t>
      </w:r>
      <w:r w:rsidR="00154303" w:rsidRPr="00893E6D">
        <w:rPr>
          <w:rFonts w:ascii="Times New Roman" w:hAnsi="Times New Roman" w:cs="Times New Roman"/>
          <w:sz w:val="24"/>
          <w:szCs w:val="24"/>
        </w:rPr>
        <w:t>%</w:t>
      </w:r>
      <w:r w:rsidR="00CB14B9" w:rsidRPr="00893E6D">
        <w:rPr>
          <w:rFonts w:ascii="Times New Roman" w:hAnsi="Times New Roman" w:cs="Times New Roman"/>
          <w:sz w:val="24"/>
          <w:szCs w:val="24"/>
        </w:rPr>
        <w:t xml:space="preserve"> divided</w:t>
      </w:r>
      <w:r w:rsidR="000C436B" w:rsidRPr="00893E6D">
        <w:rPr>
          <w:rFonts w:ascii="Times New Roman" w:hAnsi="Times New Roman" w:cs="Times New Roman"/>
          <w:sz w:val="24"/>
          <w:szCs w:val="24"/>
        </w:rPr>
        <w:t xml:space="preserve"> </w:t>
      </w:r>
      <w:r w:rsidR="00CB14B9" w:rsidRPr="00893E6D">
        <w:rPr>
          <w:rFonts w:ascii="Times New Roman" w:hAnsi="Times New Roman" w:cs="Times New Roman"/>
          <w:sz w:val="24"/>
          <w:szCs w:val="24"/>
        </w:rPr>
        <w:t xml:space="preserve">by </w:t>
      </w:r>
      <w:r w:rsidR="000C436B" w:rsidRPr="00893E6D">
        <w:rPr>
          <w:rFonts w:ascii="Times New Roman" w:hAnsi="Times New Roman" w:cs="Times New Roman"/>
          <w:sz w:val="24"/>
          <w:szCs w:val="24"/>
        </w:rPr>
        <w:t>1.</w:t>
      </w:r>
      <w:r w:rsidR="00551ACC" w:rsidRPr="00893E6D">
        <w:rPr>
          <w:rFonts w:ascii="Times New Roman" w:hAnsi="Times New Roman" w:cs="Times New Roman"/>
          <w:sz w:val="24"/>
          <w:szCs w:val="24"/>
        </w:rPr>
        <w:t>7</w:t>
      </w:r>
      <w:r w:rsidR="000C436B" w:rsidRPr="00893E6D">
        <w:rPr>
          <w:rFonts w:ascii="Times New Roman" w:hAnsi="Times New Roman" w:cs="Times New Roman"/>
          <w:sz w:val="24"/>
          <w:szCs w:val="24"/>
        </w:rPr>
        <w:t>%</w:t>
      </w:r>
      <w:r w:rsidR="00154303" w:rsidRPr="00893E6D">
        <w:rPr>
          <w:rFonts w:ascii="Times New Roman" w:hAnsi="Times New Roman" w:cs="Times New Roman"/>
          <w:sz w:val="24"/>
          <w:szCs w:val="24"/>
        </w:rPr>
        <w:t>)</w:t>
      </w:r>
      <w:r w:rsidR="00C37D7F" w:rsidRPr="00893E6D">
        <w:rPr>
          <w:rFonts w:ascii="Times New Roman" w:hAnsi="Times New Roman" w:cs="Times New Roman"/>
          <w:sz w:val="24"/>
          <w:szCs w:val="24"/>
        </w:rPr>
        <w:t>.</w:t>
      </w:r>
      <w:r w:rsidR="00CB14B9" w:rsidRPr="00893E6D">
        <w:rPr>
          <w:rFonts w:ascii="Times New Roman" w:hAnsi="Times New Roman" w:cs="Times New Roman"/>
          <w:sz w:val="24"/>
          <w:szCs w:val="24"/>
        </w:rPr>
        <w:t xml:space="preserve"> </w:t>
      </w:r>
      <w:r w:rsidR="00C13044" w:rsidRPr="00893E6D">
        <w:rPr>
          <w:rFonts w:ascii="Times New Roman" w:hAnsi="Times New Roman" w:cs="Times New Roman"/>
          <w:sz w:val="24"/>
          <w:szCs w:val="24"/>
        </w:rPr>
        <w:t>At the same time</w:t>
      </w:r>
      <w:r w:rsidR="00154303" w:rsidRPr="00893E6D">
        <w:rPr>
          <w:rFonts w:ascii="Times New Roman" w:hAnsi="Times New Roman" w:cs="Times New Roman"/>
          <w:sz w:val="24"/>
          <w:szCs w:val="24"/>
        </w:rPr>
        <w:t>, an i</w:t>
      </w:r>
      <w:r w:rsidR="00C15791" w:rsidRPr="00893E6D">
        <w:rPr>
          <w:rFonts w:ascii="Times New Roman" w:hAnsi="Times New Roman" w:cs="Times New Roman"/>
          <w:sz w:val="24"/>
          <w:szCs w:val="24"/>
        </w:rPr>
        <w:t xml:space="preserve">ncrease of one standard deviation in </w:t>
      </w:r>
      <w:r w:rsidR="00084D58" w:rsidRPr="00893E6D">
        <w:rPr>
          <w:rFonts w:ascii="Times New Roman" w:hAnsi="Times New Roman" w:cs="Times New Roman"/>
          <w:i/>
          <w:sz w:val="24"/>
          <w:szCs w:val="24"/>
        </w:rPr>
        <w:t>OPERINC</w:t>
      </w:r>
      <w:r w:rsidR="00C15791" w:rsidRPr="00893E6D">
        <w:rPr>
          <w:rFonts w:ascii="Times New Roman" w:hAnsi="Times New Roman" w:cs="Times New Roman"/>
          <w:sz w:val="24"/>
          <w:szCs w:val="24"/>
        </w:rPr>
        <w:t xml:space="preserve"> leads to a decrease of </w:t>
      </w:r>
      <w:r w:rsidR="00084D58" w:rsidRPr="00893E6D">
        <w:rPr>
          <w:rFonts w:ascii="Times New Roman" w:hAnsi="Times New Roman" w:cs="Times New Roman"/>
          <w:sz w:val="24"/>
          <w:szCs w:val="24"/>
        </w:rPr>
        <w:t>0.</w:t>
      </w:r>
      <w:r w:rsidR="005D567F" w:rsidRPr="00893E6D">
        <w:rPr>
          <w:rFonts w:ascii="Times New Roman" w:hAnsi="Times New Roman" w:cs="Times New Roman"/>
          <w:sz w:val="24"/>
          <w:szCs w:val="24"/>
        </w:rPr>
        <w:t>1</w:t>
      </w:r>
      <w:r w:rsidR="00C5528E" w:rsidRPr="00893E6D">
        <w:rPr>
          <w:rFonts w:ascii="Times New Roman" w:hAnsi="Times New Roman" w:cs="Times New Roman"/>
          <w:sz w:val="24"/>
          <w:szCs w:val="24"/>
        </w:rPr>
        <w:t>66</w:t>
      </w:r>
      <w:r w:rsidR="00C15791" w:rsidRPr="00893E6D">
        <w:rPr>
          <w:rFonts w:ascii="Times New Roman" w:hAnsi="Times New Roman" w:cs="Times New Roman"/>
          <w:sz w:val="24"/>
          <w:szCs w:val="24"/>
        </w:rPr>
        <w:t>× stand</w:t>
      </w:r>
      <w:r w:rsidR="00084D58" w:rsidRPr="00893E6D">
        <w:rPr>
          <w:rFonts w:ascii="Times New Roman" w:hAnsi="Times New Roman" w:cs="Times New Roman"/>
          <w:sz w:val="24"/>
          <w:szCs w:val="24"/>
        </w:rPr>
        <w:t xml:space="preserve">ard deviation in </w:t>
      </w:r>
      <w:r w:rsidR="00084D58" w:rsidRPr="00893E6D">
        <w:rPr>
          <w:rFonts w:ascii="Times New Roman" w:hAnsi="Times New Roman" w:cs="Times New Roman"/>
          <w:i/>
          <w:sz w:val="24"/>
          <w:szCs w:val="24"/>
        </w:rPr>
        <w:t>ROAVOL</w:t>
      </w:r>
      <w:r w:rsidR="00154303" w:rsidRPr="00893E6D">
        <w:rPr>
          <w:rFonts w:ascii="Times New Roman" w:hAnsi="Times New Roman" w:cs="Times New Roman"/>
          <w:sz w:val="24"/>
          <w:szCs w:val="24"/>
        </w:rPr>
        <w:t xml:space="preserve">; </w:t>
      </w:r>
      <w:r w:rsidR="00C13044">
        <w:rPr>
          <w:rFonts w:ascii="Times New Roman" w:hAnsi="Times New Roman" w:cs="Times New Roman"/>
          <w:sz w:val="24"/>
          <w:szCs w:val="24"/>
        </w:rPr>
        <w:t xml:space="preserve">i.e., </w:t>
      </w:r>
      <w:r w:rsidR="00C15791" w:rsidRPr="00893E6D">
        <w:rPr>
          <w:rFonts w:ascii="Times New Roman" w:hAnsi="Times New Roman" w:cs="Times New Roman"/>
          <w:sz w:val="24"/>
          <w:szCs w:val="24"/>
        </w:rPr>
        <w:t xml:space="preserve">a </w:t>
      </w:r>
      <w:r w:rsidR="00654950" w:rsidRPr="00893E6D">
        <w:rPr>
          <w:rFonts w:ascii="Times New Roman" w:hAnsi="Times New Roman" w:cs="Times New Roman"/>
          <w:sz w:val="24"/>
          <w:szCs w:val="24"/>
        </w:rPr>
        <w:t xml:space="preserve">17.6% </w:t>
      </w:r>
      <w:r w:rsidR="00C15791" w:rsidRPr="00893E6D">
        <w:rPr>
          <w:rFonts w:ascii="Times New Roman" w:hAnsi="Times New Roman" w:cs="Times New Roman"/>
          <w:sz w:val="24"/>
          <w:szCs w:val="24"/>
        </w:rPr>
        <w:t xml:space="preserve">increase in </w:t>
      </w:r>
      <w:r w:rsidR="00084D58" w:rsidRPr="00893E6D">
        <w:rPr>
          <w:rFonts w:ascii="Times New Roman" w:hAnsi="Times New Roman" w:cs="Times New Roman"/>
          <w:i/>
          <w:sz w:val="24"/>
          <w:szCs w:val="24"/>
        </w:rPr>
        <w:t>OPERINC</w:t>
      </w:r>
      <w:r w:rsidR="00084D58" w:rsidRPr="00893E6D">
        <w:rPr>
          <w:rFonts w:ascii="Times New Roman" w:hAnsi="Times New Roman" w:cs="Times New Roman"/>
          <w:sz w:val="24"/>
          <w:szCs w:val="24"/>
        </w:rPr>
        <w:t xml:space="preserve"> </w:t>
      </w:r>
      <w:r w:rsidR="00C15791" w:rsidRPr="00893E6D">
        <w:rPr>
          <w:rFonts w:ascii="Times New Roman" w:hAnsi="Times New Roman" w:cs="Times New Roman"/>
          <w:sz w:val="24"/>
          <w:szCs w:val="24"/>
        </w:rPr>
        <w:t>leads to a 2.</w:t>
      </w:r>
      <w:r w:rsidR="00654950" w:rsidRPr="00893E6D">
        <w:rPr>
          <w:rFonts w:ascii="Times New Roman" w:hAnsi="Times New Roman" w:cs="Times New Roman"/>
          <w:sz w:val="24"/>
          <w:szCs w:val="24"/>
        </w:rPr>
        <w:t>09</w:t>
      </w:r>
      <w:r w:rsidR="00C15791" w:rsidRPr="00893E6D">
        <w:rPr>
          <w:rFonts w:ascii="Times New Roman" w:hAnsi="Times New Roman" w:cs="Times New Roman"/>
          <w:sz w:val="24"/>
          <w:szCs w:val="24"/>
        </w:rPr>
        <w:t>%</w:t>
      </w:r>
      <w:r w:rsidR="006803B1" w:rsidRPr="00893E6D">
        <w:rPr>
          <w:rFonts w:ascii="Times New Roman" w:hAnsi="Times New Roman" w:cs="Times New Roman"/>
          <w:sz w:val="24"/>
          <w:szCs w:val="24"/>
        </w:rPr>
        <w:t xml:space="preserve"> decrease</w:t>
      </w:r>
      <w:r w:rsidR="00C15791" w:rsidRPr="00893E6D">
        <w:rPr>
          <w:rFonts w:ascii="Times New Roman" w:hAnsi="Times New Roman" w:cs="Times New Roman"/>
          <w:sz w:val="24"/>
          <w:szCs w:val="24"/>
        </w:rPr>
        <w:t xml:space="preserve"> (0.</w:t>
      </w:r>
      <w:r w:rsidR="00207E01" w:rsidRPr="00893E6D">
        <w:rPr>
          <w:rFonts w:ascii="Times New Roman" w:hAnsi="Times New Roman" w:cs="Times New Roman"/>
          <w:sz w:val="24"/>
          <w:szCs w:val="24"/>
        </w:rPr>
        <w:t>1</w:t>
      </w:r>
      <w:r w:rsidR="00654950" w:rsidRPr="00893E6D">
        <w:rPr>
          <w:rFonts w:ascii="Times New Roman" w:hAnsi="Times New Roman" w:cs="Times New Roman"/>
          <w:sz w:val="24"/>
          <w:szCs w:val="24"/>
        </w:rPr>
        <w:t xml:space="preserve">66 </w:t>
      </w:r>
      <w:r w:rsidR="00C15791" w:rsidRPr="00893E6D">
        <w:rPr>
          <w:rFonts w:ascii="Times New Roman" w:hAnsi="Times New Roman" w:cs="Times New Roman"/>
          <w:sz w:val="24"/>
          <w:szCs w:val="24"/>
        </w:rPr>
        <w:t>×</w:t>
      </w:r>
      <w:r w:rsidR="00654950" w:rsidRPr="00893E6D">
        <w:rPr>
          <w:rFonts w:ascii="Times New Roman" w:hAnsi="Times New Roman" w:cs="Times New Roman"/>
          <w:sz w:val="24"/>
          <w:szCs w:val="24"/>
        </w:rPr>
        <w:t xml:space="preserve"> </w:t>
      </w:r>
      <w:r w:rsidR="00C15791" w:rsidRPr="00893E6D">
        <w:rPr>
          <w:rFonts w:ascii="Times New Roman" w:hAnsi="Times New Roman" w:cs="Times New Roman"/>
          <w:sz w:val="24"/>
          <w:szCs w:val="24"/>
        </w:rPr>
        <w:t>0.1</w:t>
      </w:r>
      <w:r w:rsidR="00654950" w:rsidRPr="00893E6D">
        <w:rPr>
          <w:rFonts w:ascii="Times New Roman" w:hAnsi="Times New Roman" w:cs="Times New Roman"/>
          <w:sz w:val="24"/>
          <w:szCs w:val="24"/>
        </w:rPr>
        <w:t>26</w:t>
      </w:r>
      <w:r w:rsidR="00C15791" w:rsidRPr="00893E6D">
        <w:rPr>
          <w:rFonts w:ascii="Times New Roman" w:hAnsi="Times New Roman" w:cs="Times New Roman"/>
          <w:sz w:val="24"/>
          <w:szCs w:val="24"/>
        </w:rPr>
        <w:t>) in ROA vo</w:t>
      </w:r>
      <w:r w:rsidR="00D60632" w:rsidRPr="00893E6D">
        <w:rPr>
          <w:rFonts w:ascii="Times New Roman" w:hAnsi="Times New Roman" w:cs="Times New Roman"/>
          <w:sz w:val="24"/>
          <w:szCs w:val="24"/>
        </w:rPr>
        <w:t xml:space="preserve">latility, </w:t>
      </w:r>
      <w:r w:rsidR="00B3623E" w:rsidRPr="00893E6D">
        <w:rPr>
          <w:rFonts w:ascii="Times New Roman" w:hAnsi="Times New Roman" w:cs="Times New Roman"/>
          <w:sz w:val="24"/>
          <w:szCs w:val="24"/>
        </w:rPr>
        <w:t xml:space="preserve">yielding an impact ratio of </w:t>
      </w:r>
      <w:r w:rsidR="00654950" w:rsidRPr="00893E6D">
        <w:rPr>
          <w:rFonts w:ascii="Times New Roman" w:hAnsi="Times New Roman" w:cs="Times New Roman"/>
          <w:sz w:val="24"/>
          <w:szCs w:val="24"/>
        </w:rPr>
        <w:t>0.119</w:t>
      </w:r>
      <w:r w:rsidR="000C436B" w:rsidRPr="00893E6D">
        <w:rPr>
          <w:rFonts w:ascii="Times New Roman" w:hAnsi="Times New Roman" w:cs="Times New Roman"/>
          <w:sz w:val="24"/>
          <w:szCs w:val="24"/>
        </w:rPr>
        <w:t xml:space="preserve"> </w:t>
      </w:r>
      <w:r w:rsidR="00B3623E" w:rsidRPr="00893E6D">
        <w:rPr>
          <w:rFonts w:ascii="Times New Roman" w:hAnsi="Times New Roman" w:cs="Times New Roman"/>
          <w:sz w:val="24"/>
          <w:szCs w:val="24"/>
        </w:rPr>
        <w:t>(2.</w:t>
      </w:r>
      <w:r w:rsidR="00654950" w:rsidRPr="00893E6D">
        <w:rPr>
          <w:rFonts w:ascii="Times New Roman" w:hAnsi="Times New Roman" w:cs="Times New Roman"/>
          <w:sz w:val="24"/>
          <w:szCs w:val="24"/>
        </w:rPr>
        <w:t>09</w:t>
      </w:r>
      <w:r w:rsidR="00B3623E" w:rsidRPr="00893E6D">
        <w:rPr>
          <w:rFonts w:ascii="Times New Roman" w:hAnsi="Times New Roman" w:cs="Times New Roman"/>
          <w:sz w:val="24"/>
          <w:szCs w:val="24"/>
        </w:rPr>
        <w:t>%</w:t>
      </w:r>
      <w:r w:rsidR="006803B1" w:rsidRPr="00893E6D">
        <w:rPr>
          <w:rFonts w:ascii="Times New Roman" w:hAnsi="Times New Roman" w:cs="Times New Roman"/>
          <w:sz w:val="24"/>
          <w:szCs w:val="24"/>
        </w:rPr>
        <w:t xml:space="preserve"> divided by</w:t>
      </w:r>
      <w:r w:rsidR="000C436B" w:rsidRPr="00893E6D">
        <w:rPr>
          <w:rFonts w:ascii="Times New Roman" w:hAnsi="Times New Roman" w:cs="Times New Roman"/>
          <w:sz w:val="24"/>
          <w:szCs w:val="24"/>
        </w:rPr>
        <w:t xml:space="preserve"> </w:t>
      </w:r>
      <w:r w:rsidR="00654950" w:rsidRPr="00893E6D">
        <w:rPr>
          <w:rFonts w:ascii="Times New Roman" w:hAnsi="Times New Roman" w:cs="Times New Roman"/>
          <w:sz w:val="24"/>
          <w:szCs w:val="24"/>
        </w:rPr>
        <w:t>17.6%</w:t>
      </w:r>
      <w:r w:rsidR="00B3623E" w:rsidRPr="00893E6D">
        <w:rPr>
          <w:rFonts w:ascii="Times New Roman" w:hAnsi="Times New Roman" w:cs="Times New Roman"/>
          <w:sz w:val="24"/>
          <w:szCs w:val="24"/>
        </w:rPr>
        <w:t>)</w:t>
      </w:r>
      <w:r w:rsidR="00D60632" w:rsidRPr="00893E6D">
        <w:rPr>
          <w:rFonts w:ascii="Times New Roman" w:hAnsi="Times New Roman" w:cs="Times New Roman"/>
          <w:sz w:val="24"/>
          <w:szCs w:val="24"/>
        </w:rPr>
        <w:t xml:space="preserve">. </w:t>
      </w:r>
      <w:r w:rsidR="00DC299D" w:rsidRPr="00893E6D">
        <w:rPr>
          <w:rFonts w:ascii="Times New Roman" w:hAnsi="Times New Roman" w:cs="Times New Roman"/>
          <w:sz w:val="24"/>
          <w:szCs w:val="24"/>
        </w:rPr>
        <w:t xml:space="preserve">Thus, the impact of </w:t>
      </w:r>
      <w:r w:rsidR="00DC299D" w:rsidRPr="00893E6D">
        <w:rPr>
          <w:rFonts w:ascii="Times New Roman" w:hAnsi="Times New Roman" w:cs="Times New Roman"/>
          <w:i/>
          <w:sz w:val="24"/>
          <w:szCs w:val="24"/>
        </w:rPr>
        <w:t>OPERINC</w:t>
      </w:r>
      <w:r w:rsidR="00DC299D" w:rsidRPr="00893E6D">
        <w:rPr>
          <w:rFonts w:ascii="Times New Roman" w:hAnsi="Times New Roman" w:cs="Times New Roman"/>
          <w:sz w:val="24"/>
          <w:szCs w:val="24"/>
        </w:rPr>
        <w:t xml:space="preserve"> on </w:t>
      </w:r>
      <w:r w:rsidR="00DC299D" w:rsidRPr="00893E6D">
        <w:rPr>
          <w:rFonts w:ascii="Times New Roman" w:hAnsi="Times New Roman" w:cs="Times New Roman"/>
          <w:i/>
          <w:sz w:val="24"/>
          <w:szCs w:val="24"/>
        </w:rPr>
        <w:t>ROAVOL</w:t>
      </w:r>
      <w:r w:rsidR="00DC299D" w:rsidRPr="00893E6D">
        <w:rPr>
          <w:rFonts w:ascii="Times New Roman" w:hAnsi="Times New Roman" w:cs="Times New Roman"/>
          <w:sz w:val="24"/>
          <w:szCs w:val="24"/>
        </w:rPr>
        <w:t xml:space="preserve"> is approximately double that of </w:t>
      </w:r>
      <w:r w:rsidR="00DC299D" w:rsidRPr="00893E6D">
        <w:rPr>
          <w:rFonts w:ascii="Times New Roman" w:hAnsi="Times New Roman" w:cs="Times New Roman"/>
          <w:i/>
          <w:sz w:val="24"/>
          <w:szCs w:val="24"/>
        </w:rPr>
        <w:t xml:space="preserve">NONOPERINC </w:t>
      </w:r>
      <w:r w:rsidR="00DC299D" w:rsidRPr="00893E6D">
        <w:rPr>
          <w:rFonts w:ascii="Times New Roman" w:hAnsi="Times New Roman" w:cs="Times New Roman"/>
          <w:sz w:val="24"/>
          <w:szCs w:val="24"/>
        </w:rPr>
        <w:t xml:space="preserve">(0.119 </w:t>
      </w:r>
      <w:r w:rsidR="001D2DCC" w:rsidRPr="00893E6D">
        <w:rPr>
          <w:rFonts w:ascii="Times New Roman" w:hAnsi="Times New Roman" w:cs="Times New Roman"/>
          <w:sz w:val="24"/>
          <w:szCs w:val="24"/>
        </w:rPr>
        <w:t xml:space="preserve">vs. </w:t>
      </w:r>
      <w:r w:rsidR="00DC299D" w:rsidRPr="00893E6D">
        <w:rPr>
          <w:rFonts w:ascii="Times New Roman" w:hAnsi="Times New Roman" w:cs="Times New Roman"/>
          <w:sz w:val="24"/>
          <w:szCs w:val="24"/>
        </w:rPr>
        <w:t xml:space="preserve">0.059). </w:t>
      </w:r>
      <w:r w:rsidR="00A35B0A" w:rsidRPr="00893E6D">
        <w:rPr>
          <w:rFonts w:ascii="Times New Roman" w:hAnsi="Times New Roman" w:cs="Times New Roman"/>
          <w:sz w:val="24"/>
          <w:szCs w:val="24"/>
        </w:rPr>
        <w:t>Likewise</w:t>
      </w:r>
      <w:r w:rsidR="006857DC" w:rsidRPr="00893E6D">
        <w:rPr>
          <w:rFonts w:ascii="Times New Roman" w:hAnsi="Times New Roman" w:cs="Times New Roman"/>
          <w:sz w:val="24"/>
          <w:szCs w:val="24"/>
        </w:rPr>
        <w:t xml:space="preserve">, </w:t>
      </w:r>
      <w:r w:rsidR="0025086B" w:rsidRPr="00893E6D">
        <w:rPr>
          <w:rFonts w:ascii="Times New Roman" w:hAnsi="Times New Roman" w:cs="Times New Roman"/>
          <w:sz w:val="24"/>
          <w:szCs w:val="24"/>
        </w:rPr>
        <w:t>the impact ratio</w:t>
      </w:r>
      <w:r w:rsidR="005D567F" w:rsidRPr="00893E6D">
        <w:rPr>
          <w:rFonts w:ascii="Times New Roman" w:hAnsi="Times New Roman" w:cs="Times New Roman"/>
          <w:sz w:val="24"/>
          <w:szCs w:val="24"/>
        </w:rPr>
        <w:t>s</w:t>
      </w:r>
      <w:r w:rsidR="0025086B" w:rsidRPr="00893E6D">
        <w:rPr>
          <w:rFonts w:ascii="Times New Roman" w:hAnsi="Times New Roman" w:cs="Times New Roman"/>
          <w:sz w:val="24"/>
          <w:szCs w:val="24"/>
        </w:rPr>
        <w:t xml:space="preserve"> of </w:t>
      </w:r>
      <w:r w:rsidR="0025086B" w:rsidRPr="00893E6D">
        <w:rPr>
          <w:rFonts w:ascii="Times New Roman" w:hAnsi="Times New Roman" w:cs="Times New Roman"/>
          <w:i/>
          <w:sz w:val="24"/>
          <w:szCs w:val="24"/>
        </w:rPr>
        <w:t>NONOPERINC</w:t>
      </w:r>
      <w:r w:rsidR="0025086B" w:rsidRPr="00893E6D">
        <w:rPr>
          <w:rFonts w:ascii="Times New Roman" w:hAnsi="Times New Roman" w:cs="Times New Roman"/>
          <w:sz w:val="24"/>
          <w:szCs w:val="24"/>
        </w:rPr>
        <w:t xml:space="preserve"> </w:t>
      </w:r>
      <w:r w:rsidR="005D567F" w:rsidRPr="00893E6D">
        <w:rPr>
          <w:rFonts w:ascii="Times New Roman" w:hAnsi="Times New Roman" w:cs="Times New Roman"/>
          <w:sz w:val="24"/>
          <w:szCs w:val="24"/>
        </w:rPr>
        <w:t>are</w:t>
      </w:r>
      <w:r w:rsidR="0025086B" w:rsidRPr="00893E6D">
        <w:rPr>
          <w:rFonts w:ascii="Times New Roman" w:hAnsi="Times New Roman" w:cs="Times New Roman"/>
          <w:sz w:val="24"/>
          <w:szCs w:val="24"/>
        </w:rPr>
        <w:t xml:space="preserve"> </w:t>
      </w:r>
      <w:r w:rsidR="005D567F" w:rsidRPr="00893E6D">
        <w:rPr>
          <w:rFonts w:ascii="Times New Roman" w:hAnsi="Times New Roman" w:cs="Times New Roman"/>
          <w:sz w:val="24"/>
          <w:szCs w:val="24"/>
        </w:rPr>
        <w:t>0.</w:t>
      </w:r>
      <w:r w:rsidR="007D2F46" w:rsidRPr="00893E6D">
        <w:rPr>
          <w:rFonts w:ascii="Times New Roman" w:hAnsi="Times New Roman" w:cs="Times New Roman"/>
          <w:sz w:val="24"/>
          <w:szCs w:val="24"/>
        </w:rPr>
        <w:t>126</w:t>
      </w:r>
      <w:r w:rsidR="00E671F7" w:rsidRPr="00893E6D">
        <w:rPr>
          <w:rStyle w:val="FootnoteReference"/>
          <w:rFonts w:ascii="Times New Roman" w:hAnsi="Times New Roman" w:cs="Times New Roman"/>
          <w:sz w:val="24"/>
          <w:szCs w:val="24"/>
        </w:rPr>
        <w:footnoteReference w:id="8"/>
      </w:r>
      <w:r w:rsidR="002D0E24" w:rsidRPr="00893E6D">
        <w:rPr>
          <w:rFonts w:ascii="Times New Roman" w:hAnsi="Times New Roman" w:cs="Times New Roman"/>
          <w:sz w:val="24"/>
          <w:szCs w:val="24"/>
        </w:rPr>
        <w:t xml:space="preserve"> </w:t>
      </w:r>
      <w:r w:rsidR="007D2F46" w:rsidRPr="00893E6D">
        <w:rPr>
          <w:rFonts w:ascii="Times New Roman" w:hAnsi="Times New Roman" w:cs="Times New Roman"/>
          <w:sz w:val="24"/>
          <w:szCs w:val="24"/>
        </w:rPr>
        <w:t>under OLS</w:t>
      </w:r>
      <w:r w:rsidR="00F726C1" w:rsidRPr="00893E6D">
        <w:rPr>
          <w:rFonts w:ascii="Times New Roman" w:hAnsi="Times New Roman" w:cs="Times New Roman"/>
          <w:sz w:val="24"/>
          <w:szCs w:val="24"/>
        </w:rPr>
        <w:t xml:space="preserve"> regression</w:t>
      </w:r>
      <w:r w:rsidR="007D2F46" w:rsidRPr="00893E6D">
        <w:rPr>
          <w:rFonts w:ascii="Times New Roman" w:hAnsi="Times New Roman" w:cs="Times New Roman"/>
          <w:sz w:val="24"/>
          <w:szCs w:val="24"/>
        </w:rPr>
        <w:t xml:space="preserve"> (in Panel A) </w:t>
      </w:r>
      <w:r w:rsidR="002D0E24" w:rsidRPr="00893E6D">
        <w:rPr>
          <w:rFonts w:ascii="Times New Roman" w:hAnsi="Times New Roman" w:cs="Times New Roman"/>
          <w:sz w:val="24"/>
          <w:szCs w:val="24"/>
        </w:rPr>
        <w:t xml:space="preserve">and </w:t>
      </w:r>
      <w:r w:rsidR="006803B1" w:rsidRPr="00893E6D">
        <w:rPr>
          <w:rFonts w:ascii="Times New Roman" w:hAnsi="Times New Roman" w:cs="Times New Roman"/>
          <w:sz w:val="24"/>
          <w:szCs w:val="24"/>
        </w:rPr>
        <w:t>0.</w:t>
      </w:r>
      <w:r w:rsidR="007D2F46" w:rsidRPr="00893E6D">
        <w:rPr>
          <w:rFonts w:ascii="Times New Roman" w:hAnsi="Times New Roman" w:cs="Times New Roman"/>
          <w:sz w:val="24"/>
          <w:szCs w:val="24"/>
        </w:rPr>
        <w:t>074</w:t>
      </w:r>
      <w:r w:rsidR="004158F8" w:rsidRPr="00893E6D">
        <w:rPr>
          <w:rStyle w:val="FootnoteReference"/>
          <w:rFonts w:ascii="Times New Roman" w:hAnsi="Times New Roman" w:cs="Times New Roman"/>
          <w:sz w:val="24"/>
          <w:szCs w:val="24"/>
        </w:rPr>
        <w:footnoteReference w:id="9"/>
      </w:r>
      <w:r w:rsidR="00E44C49" w:rsidRPr="00893E6D">
        <w:rPr>
          <w:rFonts w:ascii="Times New Roman" w:hAnsi="Times New Roman" w:cs="Times New Roman"/>
          <w:sz w:val="24"/>
          <w:szCs w:val="24"/>
        </w:rPr>
        <w:t xml:space="preserve"> </w:t>
      </w:r>
      <w:r w:rsidR="00F726C1" w:rsidRPr="00893E6D">
        <w:rPr>
          <w:rFonts w:ascii="Times New Roman" w:hAnsi="Times New Roman" w:cs="Times New Roman"/>
          <w:sz w:val="24"/>
          <w:szCs w:val="24"/>
        </w:rPr>
        <w:t>under</w:t>
      </w:r>
      <w:r w:rsidR="00E44C49" w:rsidRPr="00893E6D">
        <w:rPr>
          <w:rFonts w:ascii="Times New Roman" w:hAnsi="Times New Roman" w:cs="Times New Roman"/>
          <w:sz w:val="24"/>
          <w:szCs w:val="24"/>
        </w:rPr>
        <w:t xml:space="preserve"> </w:t>
      </w:r>
      <w:r w:rsidR="00F726C1" w:rsidRPr="00893E6D">
        <w:rPr>
          <w:rFonts w:ascii="Times New Roman" w:hAnsi="Times New Roman" w:cs="Times New Roman"/>
          <w:sz w:val="24"/>
          <w:szCs w:val="24"/>
        </w:rPr>
        <w:t xml:space="preserve">the </w:t>
      </w:r>
      <w:r w:rsidR="00E44C49" w:rsidRPr="00893E6D">
        <w:rPr>
          <w:rFonts w:ascii="Times New Roman" w:hAnsi="Times New Roman" w:cs="Times New Roman"/>
          <w:sz w:val="24"/>
          <w:szCs w:val="24"/>
        </w:rPr>
        <w:t xml:space="preserve">panel-data fixed effect </w:t>
      </w:r>
      <w:r w:rsidR="00F726C1" w:rsidRPr="00893E6D">
        <w:rPr>
          <w:rFonts w:ascii="Times New Roman" w:hAnsi="Times New Roman" w:cs="Times New Roman"/>
          <w:sz w:val="24"/>
          <w:szCs w:val="24"/>
        </w:rPr>
        <w:t>regression (in Panel B)</w:t>
      </w:r>
      <w:r w:rsidR="00E44C49" w:rsidRPr="00893E6D">
        <w:rPr>
          <w:rFonts w:ascii="Times New Roman" w:hAnsi="Times New Roman" w:cs="Times New Roman"/>
          <w:sz w:val="24"/>
          <w:szCs w:val="24"/>
        </w:rPr>
        <w:t xml:space="preserve">; the impact ratios of </w:t>
      </w:r>
      <w:r w:rsidR="00E44C49" w:rsidRPr="00893E6D">
        <w:rPr>
          <w:rFonts w:ascii="Times New Roman" w:hAnsi="Times New Roman" w:cs="Times New Roman"/>
          <w:i/>
          <w:sz w:val="24"/>
          <w:szCs w:val="24"/>
        </w:rPr>
        <w:lastRenderedPageBreak/>
        <w:t>OPERINC</w:t>
      </w:r>
      <w:r w:rsidR="00E44C49" w:rsidRPr="00893E6D">
        <w:rPr>
          <w:rFonts w:ascii="Times New Roman" w:hAnsi="Times New Roman" w:cs="Times New Roman"/>
          <w:sz w:val="24"/>
          <w:szCs w:val="24"/>
        </w:rPr>
        <w:t xml:space="preserve"> are</w:t>
      </w:r>
      <w:r w:rsidR="002D0E24" w:rsidRPr="00893E6D">
        <w:rPr>
          <w:rFonts w:ascii="Times New Roman" w:hAnsi="Times New Roman" w:cs="Times New Roman"/>
          <w:sz w:val="24"/>
          <w:szCs w:val="24"/>
        </w:rPr>
        <w:t xml:space="preserve"> </w:t>
      </w:r>
      <w:r w:rsidR="007D2F46" w:rsidRPr="00893E6D">
        <w:rPr>
          <w:rFonts w:ascii="Times New Roman" w:hAnsi="Times New Roman" w:cs="Times New Roman"/>
          <w:sz w:val="24"/>
          <w:szCs w:val="24"/>
        </w:rPr>
        <w:t>0.258</w:t>
      </w:r>
      <w:r w:rsidR="00B25554" w:rsidRPr="00893E6D">
        <w:rPr>
          <w:rStyle w:val="FootnoteReference"/>
          <w:rFonts w:ascii="Times New Roman" w:hAnsi="Times New Roman" w:cs="Times New Roman"/>
          <w:sz w:val="24"/>
          <w:szCs w:val="24"/>
        </w:rPr>
        <w:footnoteReference w:id="10"/>
      </w:r>
      <w:r w:rsidR="002D0E24" w:rsidRPr="00893E6D">
        <w:rPr>
          <w:rFonts w:ascii="Times New Roman" w:hAnsi="Times New Roman" w:cs="Times New Roman"/>
          <w:sz w:val="24"/>
          <w:szCs w:val="24"/>
        </w:rPr>
        <w:t xml:space="preserve"> and </w:t>
      </w:r>
      <w:r w:rsidR="007D2F46" w:rsidRPr="00893E6D">
        <w:rPr>
          <w:rFonts w:ascii="Times New Roman" w:hAnsi="Times New Roman" w:cs="Times New Roman"/>
          <w:sz w:val="24"/>
          <w:szCs w:val="24"/>
        </w:rPr>
        <w:t>0.1</w:t>
      </w:r>
      <w:r w:rsidR="00FF49E2" w:rsidRPr="00893E6D">
        <w:rPr>
          <w:rFonts w:ascii="Times New Roman" w:hAnsi="Times New Roman" w:cs="Times New Roman"/>
          <w:sz w:val="24"/>
          <w:szCs w:val="24"/>
        </w:rPr>
        <w:t>20</w:t>
      </w:r>
      <w:r w:rsidR="00B25554" w:rsidRPr="00893E6D">
        <w:rPr>
          <w:rStyle w:val="FootnoteReference"/>
          <w:rFonts w:ascii="Times New Roman" w:hAnsi="Times New Roman" w:cs="Times New Roman"/>
          <w:sz w:val="24"/>
          <w:szCs w:val="24"/>
        </w:rPr>
        <w:footnoteReference w:id="11"/>
      </w:r>
      <w:r w:rsidR="007D2F46" w:rsidRPr="00893E6D">
        <w:rPr>
          <w:rFonts w:ascii="Times New Roman" w:hAnsi="Times New Roman" w:cs="Times New Roman"/>
          <w:sz w:val="24"/>
          <w:szCs w:val="24"/>
        </w:rPr>
        <w:t xml:space="preserve">, respectively. </w:t>
      </w:r>
      <w:r w:rsidR="00C13044">
        <w:rPr>
          <w:rFonts w:ascii="Times New Roman" w:hAnsi="Times New Roman" w:cs="Times New Roman"/>
          <w:sz w:val="24"/>
          <w:szCs w:val="24"/>
        </w:rPr>
        <w:t>We reject null hypothesis H1a in favor of an inverse association between non-operating earnings and earnings volatility.</w:t>
      </w:r>
    </w:p>
    <w:p w14:paraId="48B0FED4" w14:textId="62EF1C36" w:rsidR="00DE7045" w:rsidRPr="00893E6D" w:rsidRDefault="00C43D0E" w:rsidP="00A1062B">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C</w:t>
      </w:r>
      <w:r w:rsidR="008F561C" w:rsidRPr="00893E6D">
        <w:rPr>
          <w:rFonts w:ascii="Times New Roman" w:hAnsi="Times New Roman" w:cs="Times New Roman"/>
          <w:sz w:val="24"/>
          <w:szCs w:val="24"/>
        </w:rPr>
        <w:t xml:space="preserve">onsistent with prior studies, </w:t>
      </w:r>
      <w:r w:rsidR="00BE010D" w:rsidRPr="00893E6D">
        <w:rPr>
          <w:rFonts w:ascii="Times New Roman" w:hAnsi="Times New Roman" w:cs="Times New Roman"/>
          <w:sz w:val="24"/>
          <w:szCs w:val="24"/>
        </w:rPr>
        <w:t xml:space="preserve">we document that large </w:t>
      </w:r>
      <w:r w:rsidR="008F561C" w:rsidRPr="00893E6D">
        <w:rPr>
          <w:rFonts w:ascii="Times New Roman" w:hAnsi="Times New Roman" w:cs="Times New Roman"/>
          <w:sz w:val="24"/>
          <w:szCs w:val="24"/>
        </w:rPr>
        <w:t xml:space="preserve">firms </w:t>
      </w:r>
      <w:r w:rsidR="00FF40E1" w:rsidRPr="00893E6D">
        <w:rPr>
          <w:rFonts w:ascii="Times New Roman" w:hAnsi="Times New Roman" w:cs="Times New Roman"/>
          <w:sz w:val="24"/>
          <w:szCs w:val="24"/>
        </w:rPr>
        <w:t>experience</w:t>
      </w:r>
      <w:r w:rsidR="008F561C" w:rsidRPr="00893E6D">
        <w:rPr>
          <w:rFonts w:ascii="Times New Roman" w:hAnsi="Times New Roman" w:cs="Times New Roman"/>
          <w:sz w:val="24"/>
          <w:szCs w:val="24"/>
        </w:rPr>
        <w:t xml:space="preserve"> lower income volatility</w:t>
      </w:r>
      <w:r w:rsidR="00BE010D" w:rsidRPr="00893E6D">
        <w:rPr>
          <w:rFonts w:ascii="Times New Roman" w:hAnsi="Times New Roman" w:cs="Times New Roman"/>
          <w:sz w:val="24"/>
          <w:szCs w:val="24"/>
        </w:rPr>
        <w:t xml:space="preserve">, but firms with high </w:t>
      </w:r>
      <w:r w:rsidR="006928C0" w:rsidRPr="00893E6D">
        <w:rPr>
          <w:rFonts w:ascii="Times New Roman" w:hAnsi="Times New Roman" w:cs="Times New Roman"/>
          <w:sz w:val="24"/>
          <w:szCs w:val="24"/>
        </w:rPr>
        <w:t xml:space="preserve">financial </w:t>
      </w:r>
      <w:r w:rsidR="008F561C" w:rsidRPr="00893E6D">
        <w:rPr>
          <w:rFonts w:ascii="Times New Roman" w:hAnsi="Times New Roman" w:cs="Times New Roman"/>
          <w:sz w:val="24"/>
          <w:szCs w:val="24"/>
        </w:rPr>
        <w:t>leverage (</w:t>
      </w:r>
      <w:r w:rsidR="008F561C" w:rsidRPr="00893E6D">
        <w:rPr>
          <w:rFonts w:ascii="Times New Roman" w:hAnsi="Times New Roman" w:cs="Times New Roman"/>
          <w:i/>
          <w:sz w:val="24"/>
          <w:szCs w:val="24"/>
        </w:rPr>
        <w:t>DEBT</w:t>
      </w:r>
      <w:r w:rsidR="008F561C" w:rsidRPr="00893E6D">
        <w:rPr>
          <w:rFonts w:ascii="Times New Roman" w:hAnsi="Times New Roman" w:cs="Times New Roman"/>
          <w:sz w:val="24"/>
          <w:szCs w:val="24"/>
        </w:rPr>
        <w:t xml:space="preserve">) </w:t>
      </w:r>
      <w:r w:rsidR="00C13044">
        <w:rPr>
          <w:rFonts w:ascii="Times New Roman" w:hAnsi="Times New Roman" w:cs="Times New Roman"/>
          <w:sz w:val="24"/>
          <w:szCs w:val="24"/>
        </w:rPr>
        <w:t>face</w:t>
      </w:r>
      <w:r w:rsidR="00C13044" w:rsidRPr="00893E6D">
        <w:rPr>
          <w:rFonts w:ascii="Times New Roman" w:hAnsi="Times New Roman" w:cs="Times New Roman"/>
          <w:sz w:val="24"/>
          <w:szCs w:val="24"/>
        </w:rPr>
        <w:t xml:space="preserve"> </w:t>
      </w:r>
      <w:r w:rsidR="00BE010D" w:rsidRPr="00893E6D">
        <w:rPr>
          <w:rFonts w:ascii="Times New Roman" w:hAnsi="Times New Roman" w:cs="Times New Roman"/>
          <w:sz w:val="24"/>
          <w:szCs w:val="24"/>
        </w:rPr>
        <w:t>high</w:t>
      </w:r>
      <w:r w:rsidR="008F561C" w:rsidRPr="00893E6D">
        <w:rPr>
          <w:rFonts w:ascii="Times New Roman" w:hAnsi="Times New Roman" w:cs="Times New Roman"/>
          <w:sz w:val="24"/>
          <w:szCs w:val="24"/>
        </w:rPr>
        <w:t xml:space="preserve"> income volatility</w:t>
      </w:r>
      <w:r w:rsidR="003301EC" w:rsidRPr="00893E6D">
        <w:rPr>
          <w:rFonts w:ascii="Times New Roman" w:hAnsi="Times New Roman" w:cs="Times New Roman"/>
          <w:sz w:val="24"/>
          <w:szCs w:val="24"/>
        </w:rPr>
        <w:t>.</w:t>
      </w:r>
      <w:r w:rsidR="008F561C" w:rsidRPr="00893E6D">
        <w:rPr>
          <w:rFonts w:ascii="Times New Roman" w:hAnsi="Times New Roman" w:cs="Times New Roman"/>
          <w:sz w:val="24"/>
          <w:szCs w:val="24"/>
        </w:rPr>
        <w:t xml:space="preserve"> </w:t>
      </w:r>
      <w:r>
        <w:rPr>
          <w:rFonts w:ascii="Times New Roman" w:hAnsi="Times New Roman" w:cs="Times New Roman"/>
          <w:sz w:val="24"/>
          <w:szCs w:val="24"/>
        </w:rPr>
        <w:t>In line</w:t>
      </w:r>
      <w:r w:rsidR="00DD7686" w:rsidRPr="00893E6D">
        <w:rPr>
          <w:rFonts w:ascii="Times New Roman" w:hAnsi="Times New Roman" w:cs="Times New Roman"/>
          <w:sz w:val="24"/>
          <w:szCs w:val="24"/>
        </w:rPr>
        <w:t xml:space="preserve"> with Kothari</w:t>
      </w:r>
      <w:r w:rsidR="00C171BE">
        <w:rPr>
          <w:rFonts w:ascii="Times New Roman" w:hAnsi="Times New Roman" w:cs="Times New Roman"/>
          <w:sz w:val="24"/>
          <w:szCs w:val="24"/>
        </w:rPr>
        <w:t xml:space="preserve"> </w:t>
      </w:r>
      <w:r w:rsidR="00C171BE" w:rsidRPr="006A07BC">
        <w:rPr>
          <w:rFonts w:ascii="Times New Roman" w:hAnsi="Times New Roman" w:cs="Times New Roman"/>
          <w:i/>
          <w:sz w:val="24"/>
          <w:szCs w:val="24"/>
        </w:rPr>
        <w:t>et al</w:t>
      </w:r>
      <w:r w:rsidR="00C171BE">
        <w:rPr>
          <w:rFonts w:ascii="Times New Roman" w:hAnsi="Times New Roman" w:cs="Times New Roman"/>
          <w:sz w:val="24"/>
          <w:szCs w:val="24"/>
        </w:rPr>
        <w:t xml:space="preserve">. </w:t>
      </w:r>
      <w:r w:rsidR="00DD7686" w:rsidRPr="00893E6D">
        <w:rPr>
          <w:rFonts w:ascii="Times New Roman" w:hAnsi="Times New Roman" w:cs="Times New Roman"/>
          <w:sz w:val="24"/>
          <w:szCs w:val="24"/>
        </w:rPr>
        <w:t xml:space="preserve">(2002), </w:t>
      </w:r>
      <w:r w:rsidR="00582DCB">
        <w:rPr>
          <w:rFonts w:ascii="Times New Roman" w:hAnsi="Times New Roman" w:cs="Times New Roman"/>
          <w:sz w:val="24"/>
          <w:szCs w:val="24"/>
        </w:rPr>
        <w:t>we find</w:t>
      </w:r>
      <w:r>
        <w:rPr>
          <w:rFonts w:ascii="Times New Roman" w:hAnsi="Times New Roman" w:cs="Times New Roman"/>
          <w:sz w:val="24"/>
          <w:szCs w:val="24"/>
        </w:rPr>
        <w:t xml:space="preserve"> that </w:t>
      </w:r>
      <w:r w:rsidR="00AD0B80" w:rsidRPr="00893E6D">
        <w:rPr>
          <w:rFonts w:ascii="Times New Roman" w:hAnsi="Times New Roman" w:cs="Times New Roman"/>
          <w:sz w:val="24"/>
          <w:szCs w:val="24"/>
        </w:rPr>
        <w:t xml:space="preserve">firms with </w:t>
      </w:r>
      <w:r w:rsidR="006114B3" w:rsidRPr="00893E6D">
        <w:rPr>
          <w:rFonts w:ascii="Times New Roman" w:hAnsi="Times New Roman" w:cs="Times New Roman"/>
          <w:sz w:val="24"/>
          <w:szCs w:val="24"/>
        </w:rPr>
        <w:t xml:space="preserve">higher </w:t>
      </w:r>
      <w:r w:rsidR="00582DCB" w:rsidRPr="00893E6D">
        <w:rPr>
          <w:rFonts w:ascii="Times New Roman" w:hAnsi="Times New Roman" w:cs="Times New Roman"/>
          <w:sz w:val="24"/>
          <w:szCs w:val="24"/>
        </w:rPr>
        <w:t>R&amp;D (</w:t>
      </w:r>
      <w:r w:rsidR="00582DCB" w:rsidRPr="00893E6D">
        <w:rPr>
          <w:rFonts w:ascii="Times New Roman" w:hAnsi="Times New Roman" w:cs="Times New Roman"/>
          <w:i/>
          <w:sz w:val="24"/>
          <w:szCs w:val="24"/>
        </w:rPr>
        <w:t>XRD</w:t>
      </w:r>
      <w:r w:rsidR="00582DCB" w:rsidRPr="00893E6D">
        <w:rPr>
          <w:rFonts w:ascii="Times New Roman" w:hAnsi="Times New Roman" w:cs="Times New Roman"/>
          <w:sz w:val="24"/>
          <w:szCs w:val="24"/>
        </w:rPr>
        <w:t>) and advertising (</w:t>
      </w:r>
      <w:r w:rsidR="00582DCB" w:rsidRPr="00893E6D">
        <w:rPr>
          <w:rFonts w:ascii="Times New Roman" w:hAnsi="Times New Roman" w:cs="Times New Roman"/>
          <w:i/>
          <w:sz w:val="24"/>
          <w:szCs w:val="24"/>
        </w:rPr>
        <w:t>XAD</w:t>
      </w:r>
      <w:r w:rsidR="00582DCB" w:rsidRPr="00893E6D">
        <w:rPr>
          <w:rFonts w:ascii="Times New Roman" w:hAnsi="Times New Roman" w:cs="Times New Roman"/>
          <w:sz w:val="24"/>
          <w:szCs w:val="24"/>
        </w:rPr>
        <w:t>) expenditures</w:t>
      </w:r>
      <w:r w:rsidR="00AD0B80" w:rsidRPr="00893E6D">
        <w:rPr>
          <w:rFonts w:ascii="Times New Roman" w:hAnsi="Times New Roman" w:cs="Times New Roman"/>
          <w:sz w:val="24"/>
          <w:szCs w:val="24"/>
        </w:rPr>
        <w:t xml:space="preserve"> experience more volatile income.</w:t>
      </w:r>
      <w:r w:rsidR="00AE7E1D" w:rsidRPr="00893E6D">
        <w:rPr>
          <w:rFonts w:ascii="Times New Roman" w:hAnsi="Times New Roman" w:cs="Times New Roman"/>
          <w:sz w:val="24"/>
          <w:szCs w:val="24"/>
        </w:rPr>
        <w:t xml:space="preserve"> </w:t>
      </w:r>
      <w:r w:rsidR="00775917" w:rsidRPr="00893E6D">
        <w:rPr>
          <w:rFonts w:ascii="Times New Roman" w:hAnsi="Times New Roman" w:cs="Times New Roman"/>
          <w:sz w:val="24"/>
          <w:szCs w:val="24"/>
        </w:rPr>
        <w:t>We also find that q</w:t>
      </w:r>
      <w:r w:rsidR="001157F4" w:rsidRPr="00893E6D">
        <w:rPr>
          <w:rFonts w:ascii="Times New Roman" w:hAnsi="Times New Roman" w:cs="Times New Roman"/>
          <w:sz w:val="24"/>
          <w:szCs w:val="24"/>
        </w:rPr>
        <w:t xml:space="preserve">uasi-index and dedicated institutional ownership </w:t>
      </w:r>
      <w:r w:rsidR="00E64C81" w:rsidRPr="00893E6D">
        <w:rPr>
          <w:rFonts w:ascii="Times New Roman" w:hAnsi="Times New Roman" w:cs="Times New Roman"/>
          <w:sz w:val="24"/>
          <w:szCs w:val="24"/>
        </w:rPr>
        <w:t>(</w:t>
      </w:r>
      <w:r w:rsidR="00E64C81" w:rsidRPr="00893E6D">
        <w:rPr>
          <w:rFonts w:ascii="Times New Roman" w:hAnsi="Times New Roman" w:cs="Times New Roman"/>
          <w:i/>
          <w:sz w:val="24"/>
          <w:szCs w:val="24"/>
        </w:rPr>
        <w:t>INSTOWN_QIX</w:t>
      </w:r>
      <w:r w:rsidR="00E64C81" w:rsidRPr="00893E6D">
        <w:rPr>
          <w:rFonts w:ascii="Times New Roman" w:hAnsi="Times New Roman" w:cs="Times New Roman"/>
          <w:sz w:val="24"/>
          <w:szCs w:val="24"/>
        </w:rPr>
        <w:t xml:space="preserve"> and </w:t>
      </w:r>
      <w:r w:rsidR="00E64C81" w:rsidRPr="00893E6D">
        <w:rPr>
          <w:rFonts w:ascii="Times New Roman" w:hAnsi="Times New Roman" w:cs="Times New Roman"/>
          <w:i/>
          <w:sz w:val="24"/>
          <w:szCs w:val="24"/>
        </w:rPr>
        <w:t>INSTOWN_DED</w:t>
      </w:r>
      <w:r w:rsidR="00E64C81" w:rsidRPr="00893E6D">
        <w:rPr>
          <w:rFonts w:ascii="Times New Roman" w:hAnsi="Times New Roman" w:cs="Times New Roman"/>
          <w:sz w:val="24"/>
          <w:szCs w:val="24"/>
        </w:rPr>
        <w:t xml:space="preserve">) </w:t>
      </w:r>
      <w:r w:rsidR="00F0353E" w:rsidRPr="00893E6D">
        <w:rPr>
          <w:rFonts w:ascii="Times New Roman" w:hAnsi="Times New Roman" w:cs="Times New Roman"/>
          <w:sz w:val="24"/>
          <w:szCs w:val="24"/>
        </w:rPr>
        <w:t>are</w:t>
      </w:r>
      <w:r w:rsidR="00E64C81" w:rsidRPr="00893E6D">
        <w:rPr>
          <w:rFonts w:ascii="Times New Roman" w:hAnsi="Times New Roman" w:cs="Times New Roman"/>
          <w:sz w:val="24"/>
          <w:szCs w:val="24"/>
        </w:rPr>
        <w:t xml:space="preserve"> negatively associated with</w:t>
      </w:r>
      <w:r w:rsidR="001157F4" w:rsidRPr="00893E6D">
        <w:rPr>
          <w:rFonts w:ascii="Times New Roman" w:hAnsi="Times New Roman" w:cs="Times New Roman"/>
          <w:sz w:val="24"/>
          <w:szCs w:val="24"/>
        </w:rPr>
        <w:t xml:space="preserve"> earnings volatility while transient institutional ownership </w:t>
      </w:r>
      <w:r w:rsidR="00E64C81" w:rsidRPr="00893E6D">
        <w:rPr>
          <w:rFonts w:ascii="Times New Roman" w:hAnsi="Times New Roman" w:cs="Times New Roman"/>
          <w:sz w:val="24"/>
          <w:szCs w:val="24"/>
        </w:rPr>
        <w:t>(</w:t>
      </w:r>
      <w:r w:rsidR="00E64C81" w:rsidRPr="00893E6D">
        <w:rPr>
          <w:rFonts w:ascii="Times New Roman" w:hAnsi="Times New Roman" w:cs="Times New Roman"/>
          <w:i/>
          <w:sz w:val="24"/>
          <w:szCs w:val="24"/>
        </w:rPr>
        <w:t>INSTOWN_TRAN</w:t>
      </w:r>
      <w:r w:rsidR="00E64C81" w:rsidRPr="00893E6D">
        <w:rPr>
          <w:rFonts w:ascii="Times New Roman" w:hAnsi="Times New Roman" w:cs="Times New Roman"/>
          <w:sz w:val="24"/>
          <w:szCs w:val="24"/>
        </w:rPr>
        <w:t xml:space="preserve">) </w:t>
      </w:r>
      <w:r w:rsidR="001157F4" w:rsidRPr="00893E6D">
        <w:rPr>
          <w:rFonts w:ascii="Times New Roman" w:hAnsi="Times New Roman" w:cs="Times New Roman"/>
          <w:sz w:val="24"/>
          <w:szCs w:val="24"/>
        </w:rPr>
        <w:t>is positively related to earnings volatility.</w:t>
      </w:r>
      <w:r w:rsidR="00E40FEF" w:rsidRPr="00893E6D">
        <w:rPr>
          <w:rFonts w:ascii="Times New Roman" w:hAnsi="Times New Roman" w:cs="Times New Roman"/>
          <w:sz w:val="24"/>
          <w:szCs w:val="24"/>
        </w:rPr>
        <w:t xml:space="preserve"> Firms in less competitive industries (higher </w:t>
      </w:r>
      <w:r w:rsidR="00E40FEF" w:rsidRPr="00893E6D">
        <w:rPr>
          <w:rFonts w:ascii="Times New Roman" w:hAnsi="Times New Roman" w:cs="Times New Roman"/>
          <w:i/>
          <w:sz w:val="24"/>
          <w:szCs w:val="24"/>
        </w:rPr>
        <w:t>MKTCON</w:t>
      </w:r>
      <w:r w:rsidR="00E40FEF" w:rsidRPr="00893E6D">
        <w:rPr>
          <w:rFonts w:ascii="Times New Roman" w:hAnsi="Times New Roman" w:cs="Times New Roman"/>
          <w:sz w:val="24"/>
          <w:szCs w:val="24"/>
        </w:rPr>
        <w:t xml:space="preserve"> value) experience less volatile income as </w:t>
      </w:r>
      <w:r w:rsidR="00C13044">
        <w:rPr>
          <w:rFonts w:ascii="Times New Roman" w:hAnsi="Times New Roman" w:cs="Times New Roman"/>
          <w:sz w:val="24"/>
          <w:szCs w:val="24"/>
        </w:rPr>
        <w:t>in</w:t>
      </w:r>
      <w:r w:rsidR="00E40FEF" w:rsidRPr="00893E6D">
        <w:rPr>
          <w:rFonts w:ascii="Times New Roman" w:hAnsi="Times New Roman" w:cs="Times New Roman"/>
          <w:sz w:val="24"/>
          <w:szCs w:val="24"/>
        </w:rPr>
        <w:t xml:space="preserve"> </w:t>
      </w:r>
      <w:proofErr w:type="spellStart"/>
      <w:r w:rsidR="00E40FEF" w:rsidRPr="00893E6D">
        <w:rPr>
          <w:rFonts w:ascii="Times New Roman" w:hAnsi="Times New Roman" w:cs="Times New Roman"/>
          <w:sz w:val="24"/>
          <w:szCs w:val="24"/>
        </w:rPr>
        <w:t>Raith</w:t>
      </w:r>
      <w:proofErr w:type="spellEnd"/>
      <w:r w:rsidR="00E40FEF" w:rsidRPr="00893E6D">
        <w:rPr>
          <w:rFonts w:ascii="Times New Roman" w:hAnsi="Times New Roman" w:cs="Times New Roman"/>
          <w:sz w:val="24"/>
          <w:szCs w:val="24"/>
        </w:rPr>
        <w:t xml:space="preserve"> (2003).</w:t>
      </w:r>
      <w:r w:rsidR="00A35B0A">
        <w:rPr>
          <w:rFonts w:ascii="Times New Roman" w:hAnsi="Times New Roman" w:cs="Times New Roman"/>
          <w:sz w:val="24"/>
          <w:szCs w:val="24"/>
        </w:rPr>
        <w:t xml:space="preserve"> </w:t>
      </w:r>
      <w:r w:rsidR="00DE7045" w:rsidRPr="00893E6D">
        <w:rPr>
          <w:rFonts w:ascii="Times New Roman" w:hAnsi="Times New Roman" w:cs="Times New Roman"/>
          <w:sz w:val="24"/>
          <w:szCs w:val="24"/>
        </w:rPr>
        <w:t xml:space="preserve">The results in Table </w:t>
      </w:r>
      <w:r w:rsidR="00C740ED">
        <w:rPr>
          <w:rFonts w:ascii="Times New Roman" w:hAnsi="Times New Roman" w:cs="Times New Roman"/>
          <w:sz w:val="24"/>
          <w:szCs w:val="24"/>
        </w:rPr>
        <w:t>3</w:t>
      </w:r>
      <w:r w:rsidR="00C740ED" w:rsidRPr="00893E6D">
        <w:rPr>
          <w:rFonts w:ascii="Times New Roman" w:hAnsi="Times New Roman" w:cs="Times New Roman"/>
          <w:sz w:val="24"/>
          <w:szCs w:val="24"/>
        </w:rPr>
        <w:t xml:space="preserve"> </w:t>
      </w:r>
      <w:r w:rsidR="00DE7045" w:rsidRPr="00893E6D">
        <w:rPr>
          <w:rFonts w:ascii="Times New Roman" w:hAnsi="Times New Roman" w:cs="Times New Roman"/>
          <w:sz w:val="24"/>
          <w:szCs w:val="24"/>
        </w:rPr>
        <w:t xml:space="preserve">suggest that </w:t>
      </w:r>
      <w:r w:rsidR="00AB2468" w:rsidRPr="00893E6D">
        <w:rPr>
          <w:rFonts w:ascii="Times New Roman" w:hAnsi="Times New Roman" w:cs="Times New Roman"/>
          <w:sz w:val="24"/>
          <w:szCs w:val="24"/>
        </w:rPr>
        <w:t>non-operating</w:t>
      </w:r>
      <w:r w:rsidR="00DE7045" w:rsidRPr="00893E6D">
        <w:rPr>
          <w:rFonts w:ascii="Times New Roman" w:hAnsi="Times New Roman" w:cs="Times New Roman"/>
          <w:sz w:val="24"/>
          <w:szCs w:val="24"/>
        </w:rPr>
        <w:t xml:space="preserve"> earnings reduce total earnings volatility</w:t>
      </w:r>
      <w:r w:rsidR="00A35B0A">
        <w:rPr>
          <w:rFonts w:ascii="Times New Roman" w:hAnsi="Times New Roman" w:cs="Times New Roman"/>
          <w:sz w:val="24"/>
          <w:szCs w:val="24"/>
        </w:rPr>
        <w:t>, and that the</w:t>
      </w:r>
      <w:r w:rsidR="00DE7045" w:rsidRPr="00893E6D">
        <w:rPr>
          <w:rFonts w:ascii="Times New Roman" w:hAnsi="Times New Roman" w:cs="Times New Roman"/>
          <w:sz w:val="24"/>
          <w:szCs w:val="24"/>
        </w:rPr>
        <w:t xml:space="preserve"> </w:t>
      </w:r>
      <w:r w:rsidR="009D6EDE" w:rsidRPr="00893E6D">
        <w:rPr>
          <w:rFonts w:ascii="Times New Roman" w:hAnsi="Times New Roman" w:cs="Times New Roman"/>
          <w:sz w:val="24"/>
          <w:szCs w:val="24"/>
        </w:rPr>
        <w:t>impact of</w:t>
      </w:r>
      <w:r w:rsidR="00DE7045" w:rsidRPr="00893E6D">
        <w:rPr>
          <w:rFonts w:ascii="Times New Roman" w:hAnsi="Times New Roman" w:cs="Times New Roman"/>
          <w:sz w:val="24"/>
          <w:szCs w:val="24"/>
        </w:rPr>
        <w:t xml:space="preserve"> </w:t>
      </w:r>
      <w:r w:rsidR="00AB2468" w:rsidRPr="00893E6D">
        <w:rPr>
          <w:rFonts w:ascii="Times New Roman" w:hAnsi="Times New Roman" w:cs="Times New Roman"/>
          <w:sz w:val="24"/>
          <w:szCs w:val="24"/>
        </w:rPr>
        <w:t>non-operating</w:t>
      </w:r>
      <w:r w:rsidR="001E53AA" w:rsidRPr="00893E6D">
        <w:rPr>
          <w:rFonts w:ascii="Times New Roman" w:hAnsi="Times New Roman" w:cs="Times New Roman"/>
          <w:sz w:val="24"/>
          <w:szCs w:val="24"/>
        </w:rPr>
        <w:t xml:space="preserve"> earnings</w:t>
      </w:r>
      <w:r w:rsidR="00DE7045" w:rsidRPr="00893E6D">
        <w:rPr>
          <w:rFonts w:ascii="Times New Roman" w:hAnsi="Times New Roman" w:cs="Times New Roman"/>
          <w:sz w:val="24"/>
          <w:szCs w:val="24"/>
        </w:rPr>
        <w:t xml:space="preserve"> on earnings volatility is not trivial. </w:t>
      </w:r>
    </w:p>
    <w:p w14:paraId="0B485024" w14:textId="45869A23" w:rsidR="00151F3C" w:rsidRPr="00893E6D" w:rsidRDefault="007E4375" w:rsidP="00A1062B">
      <w:pPr>
        <w:pStyle w:val="ListParagraph"/>
        <w:numPr>
          <w:ilvl w:val="1"/>
          <w:numId w:val="1"/>
        </w:numPr>
        <w:spacing w:line="480" w:lineRule="auto"/>
        <w:jc w:val="both"/>
        <w:rPr>
          <w:rFonts w:ascii="Times New Roman" w:hAnsi="Times New Roman" w:cs="Times New Roman"/>
          <w:sz w:val="24"/>
          <w:szCs w:val="24"/>
        </w:rPr>
      </w:pPr>
      <w:r w:rsidRPr="00893E6D">
        <w:rPr>
          <w:rFonts w:ascii="Times New Roman" w:hAnsi="Times New Roman" w:cs="Times New Roman"/>
          <w:b/>
          <w:i/>
          <w:sz w:val="24"/>
          <w:szCs w:val="24"/>
        </w:rPr>
        <w:t>Non-</w:t>
      </w:r>
      <w:r w:rsidR="00D2441F">
        <w:rPr>
          <w:rFonts w:ascii="Times New Roman" w:hAnsi="Times New Roman" w:cs="Times New Roman"/>
          <w:b/>
          <w:i/>
          <w:sz w:val="24"/>
          <w:szCs w:val="24"/>
        </w:rPr>
        <w:t>o</w:t>
      </w:r>
      <w:r w:rsidRPr="00893E6D">
        <w:rPr>
          <w:rFonts w:ascii="Times New Roman" w:hAnsi="Times New Roman" w:cs="Times New Roman"/>
          <w:b/>
          <w:i/>
          <w:sz w:val="24"/>
          <w:szCs w:val="24"/>
        </w:rPr>
        <w:t xml:space="preserve">perating </w:t>
      </w:r>
      <w:r w:rsidR="00D2441F">
        <w:rPr>
          <w:rFonts w:ascii="Times New Roman" w:hAnsi="Times New Roman" w:cs="Times New Roman"/>
          <w:b/>
          <w:i/>
          <w:sz w:val="24"/>
          <w:szCs w:val="24"/>
        </w:rPr>
        <w:t>i</w:t>
      </w:r>
      <w:r w:rsidRPr="00893E6D">
        <w:rPr>
          <w:rFonts w:ascii="Times New Roman" w:hAnsi="Times New Roman" w:cs="Times New Roman"/>
          <w:b/>
          <w:i/>
          <w:sz w:val="24"/>
          <w:szCs w:val="24"/>
        </w:rPr>
        <w:t xml:space="preserve">ncome and </w:t>
      </w:r>
      <w:r w:rsidR="00D2441F">
        <w:rPr>
          <w:rFonts w:ascii="Times New Roman" w:hAnsi="Times New Roman" w:cs="Times New Roman"/>
          <w:b/>
          <w:i/>
          <w:sz w:val="24"/>
          <w:szCs w:val="24"/>
        </w:rPr>
        <w:t>s</w:t>
      </w:r>
      <w:r w:rsidRPr="00893E6D">
        <w:rPr>
          <w:rFonts w:ascii="Times New Roman" w:hAnsi="Times New Roman" w:cs="Times New Roman"/>
          <w:b/>
          <w:i/>
          <w:sz w:val="24"/>
          <w:szCs w:val="24"/>
        </w:rPr>
        <w:t xml:space="preserve">tock </w:t>
      </w:r>
      <w:r w:rsidR="00D2441F">
        <w:rPr>
          <w:rFonts w:ascii="Times New Roman" w:hAnsi="Times New Roman" w:cs="Times New Roman"/>
          <w:b/>
          <w:i/>
          <w:sz w:val="24"/>
          <w:szCs w:val="24"/>
        </w:rPr>
        <w:t>p</w:t>
      </w:r>
      <w:r w:rsidRPr="00893E6D">
        <w:rPr>
          <w:rFonts w:ascii="Times New Roman" w:hAnsi="Times New Roman" w:cs="Times New Roman"/>
          <w:b/>
          <w:i/>
          <w:sz w:val="24"/>
          <w:szCs w:val="24"/>
        </w:rPr>
        <w:t xml:space="preserve">rice </w:t>
      </w:r>
      <w:r w:rsidR="00D2441F">
        <w:rPr>
          <w:rFonts w:ascii="Times New Roman" w:hAnsi="Times New Roman" w:cs="Times New Roman"/>
          <w:b/>
          <w:i/>
          <w:sz w:val="24"/>
          <w:szCs w:val="24"/>
        </w:rPr>
        <w:t>v</w:t>
      </w:r>
      <w:r w:rsidRPr="00893E6D">
        <w:rPr>
          <w:rFonts w:ascii="Times New Roman" w:hAnsi="Times New Roman" w:cs="Times New Roman"/>
          <w:b/>
          <w:i/>
          <w:sz w:val="24"/>
          <w:szCs w:val="24"/>
        </w:rPr>
        <w:t>olatility.</w:t>
      </w:r>
    </w:p>
    <w:p w14:paraId="389F890A" w14:textId="43AC9035" w:rsidR="007A1072" w:rsidRPr="00893E6D" w:rsidRDefault="0092777A" w:rsidP="00A1062B">
      <w:pPr>
        <w:pStyle w:val="ListParagraph"/>
        <w:spacing w:line="480" w:lineRule="auto"/>
        <w:ind w:left="0" w:firstLine="720"/>
        <w:jc w:val="both"/>
        <w:rPr>
          <w:rFonts w:ascii="Times New Roman" w:hAnsi="Times New Roman" w:cs="Times New Roman"/>
          <w:sz w:val="24"/>
          <w:szCs w:val="24"/>
        </w:rPr>
      </w:pPr>
      <w:r w:rsidRPr="00893E6D">
        <w:rPr>
          <w:rFonts w:ascii="Times New Roman" w:hAnsi="Times New Roman" w:cs="Times New Roman"/>
          <w:sz w:val="24"/>
          <w:szCs w:val="24"/>
        </w:rPr>
        <w:t xml:space="preserve">Table </w:t>
      </w:r>
      <w:r w:rsidR="00C740ED">
        <w:rPr>
          <w:rFonts w:ascii="Times New Roman" w:hAnsi="Times New Roman" w:cs="Times New Roman"/>
          <w:sz w:val="24"/>
          <w:szCs w:val="24"/>
        </w:rPr>
        <w:t>4</w:t>
      </w:r>
      <w:r w:rsidR="00C740ED" w:rsidRPr="00893E6D">
        <w:rPr>
          <w:rFonts w:ascii="Times New Roman" w:hAnsi="Times New Roman" w:cs="Times New Roman"/>
          <w:sz w:val="24"/>
          <w:szCs w:val="24"/>
        </w:rPr>
        <w:t xml:space="preserve"> </w:t>
      </w:r>
      <w:r w:rsidR="00576FF9" w:rsidRPr="00893E6D">
        <w:rPr>
          <w:rFonts w:ascii="Times New Roman" w:hAnsi="Times New Roman" w:cs="Times New Roman"/>
          <w:sz w:val="24"/>
          <w:szCs w:val="24"/>
        </w:rPr>
        <w:t>displays</w:t>
      </w:r>
      <w:r w:rsidR="000459CF" w:rsidRPr="00893E6D">
        <w:rPr>
          <w:rFonts w:ascii="Times New Roman" w:hAnsi="Times New Roman" w:cs="Times New Roman"/>
          <w:sz w:val="24"/>
          <w:szCs w:val="24"/>
        </w:rPr>
        <w:t xml:space="preserve"> the </w:t>
      </w:r>
      <w:r w:rsidR="003237F7" w:rsidRPr="00893E6D">
        <w:rPr>
          <w:rFonts w:ascii="Times New Roman" w:hAnsi="Times New Roman" w:cs="Times New Roman"/>
          <w:sz w:val="24"/>
          <w:szCs w:val="24"/>
        </w:rPr>
        <w:t xml:space="preserve">estimation </w:t>
      </w:r>
      <w:r w:rsidR="000459CF" w:rsidRPr="00893E6D">
        <w:rPr>
          <w:rFonts w:ascii="Times New Roman" w:hAnsi="Times New Roman" w:cs="Times New Roman"/>
          <w:sz w:val="24"/>
          <w:szCs w:val="24"/>
        </w:rPr>
        <w:t xml:space="preserve">results from </w:t>
      </w:r>
      <w:r w:rsidR="003237F7" w:rsidRPr="00893E6D">
        <w:rPr>
          <w:rFonts w:ascii="Times New Roman" w:hAnsi="Times New Roman" w:cs="Times New Roman"/>
          <w:sz w:val="24"/>
          <w:szCs w:val="24"/>
        </w:rPr>
        <w:t>regression</w:t>
      </w:r>
      <w:r w:rsidR="001E53AA" w:rsidRPr="00893E6D">
        <w:rPr>
          <w:rFonts w:ascii="Times New Roman" w:hAnsi="Times New Roman" w:cs="Times New Roman"/>
          <w:sz w:val="24"/>
          <w:szCs w:val="24"/>
        </w:rPr>
        <w:t>s</w:t>
      </w:r>
      <w:r w:rsidR="003237F7" w:rsidRPr="00893E6D">
        <w:rPr>
          <w:rFonts w:ascii="Times New Roman" w:hAnsi="Times New Roman" w:cs="Times New Roman"/>
          <w:sz w:val="24"/>
          <w:szCs w:val="24"/>
        </w:rPr>
        <w:t xml:space="preserve"> of stock price volatility on </w:t>
      </w:r>
      <w:r w:rsidR="00AB2468" w:rsidRPr="00893E6D">
        <w:rPr>
          <w:rFonts w:ascii="Times New Roman" w:hAnsi="Times New Roman" w:cs="Times New Roman"/>
          <w:sz w:val="24"/>
          <w:szCs w:val="24"/>
        </w:rPr>
        <w:t>non-operating</w:t>
      </w:r>
      <w:r w:rsidR="003237F7" w:rsidRPr="00893E6D">
        <w:rPr>
          <w:rFonts w:ascii="Times New Roman" w:hAnsi="Times New Roman" w:cs="Times New Roman"/>
          <w:sz w:val="24"/>
          <w:szCs w:val="24"/>
        </w:rPr>
        <w:t xml:space="preserve"> </w:t>
      </w:r>
      <w:r w:rsidR="001E53AA" w:rsidRPr="00893E6D">
        <w:rPr>
          <w:rFonts w:ascii="Times New Roman" w:hAnsi="Times New Roman" w:cs="Times New Roman"/>
          <w:sz w:val="24"/>
          <w:szCs w:val="24"/>
        </w:rPr>
        <w:t>earnings</w:t>
      </w:r>
      <w:r w:rsidR="003237F7" w:rsidRPr="00893E6D">
        <w:rPr>
          <w:rFonts w:ascii="Times New Roman" w:hAnsi="Times New Roman" w:cs="Times New Roman"/>
          <w:sz w:val="24"/>
          <w:szCs w:val="24"/>
        </w:rPr>
        <w:t xml:space="preserve"> (</w:t>
      </w:r>
      <w:r w:rsidR="00DA5231">
        <w:rPr>
          <w:rFonts w:ascii="Times New Roman" w:hAnsi="Times New Roman" w:cs="Times New Roman"/>
          <w:sz w:val="24"/>
          <w:szCs w:val="24"/>
        </w:rPr>
        <w:t xml:space="preserve">i.e., </w:t>
      </w:r>
      <w:r w:rsidR="009D6EDE" w:rsidRPr="00893E6D">
        <w:rPr>
          <w:rFonts w:ascii="Times New Roman" w:hAnsi="Times New Roman" w:cs="Times New Roman"/>
          <w:sz w:val="24"/>
          <w:szCs w:val="24"/>
        </w:rPr>
        <w:t xml:space="preserve">Equation </w:t>
      </w:r>
      <w:r w:rsidR="000459CF" w:rsidRPr="00893E6D">
        <w:rPr>
          <w:rFonts w:ascii="Times New Roman" w:hAnsi="Times New Roman" w:cs="Times New Roman"/>
          <w:sz w:val="24"/>
          <w:szCs w:val="24"/>
        </w:rPr>
        <w:t>(</w:t>
      </w:r>
      <w:r w:rsidR="00775917" w:rsidRPr="00893E6D">
        <w:rPr>
          <w:rFonts w:ascii="Times New Roman" w:hAnsi="Times New Roman" w:cs="Times New Roman"/>
          <w:sz w:val="24"/>
          <w:szCs w:val="24"/>
        </w:rPr>
        <w:t>9</w:t>
      </w:r>
      <w:r w:rsidR="000459CF" w:rsidRPr="00893E6D">
        <w:rPr>
          <w:rFonts w:ascii="Times New Roman" w:hAnsi="Times New Roman" w:cs="Times New Roman"/>
          <w:sz w:val="24"/>
          <w:szCs w:val="24"/>
        </w:rPr>
        <w:t>)</w:t>
      </w:r>
      <w:r w:rsidR="003237F7" w:rsidRPr="00893E6D">
        <w:rPr>
          <w:rFonts w:ascii="Times New Roman" w:hAnsi="Times New Roman" w:cs="Times New Roman"/>
          <w:sz w:val="24"/>
          <w:szCs w:val="24"/>
        </w:rPr>
        <w:t>)</w:t>
      </w:r>
      <w:r w:rsidR="000459CF" w:rsidRPr="00893E6D">
        <w:rPr>
          <w:rFonts w:ascii="Times New Roman" w:hAnsi="Times New Roman" w:cs="Times New Roman"/>
          <w:sz w:val="24"/>
          <w:szCs w:val="24"/>
        </w:rPr>
        <w:t xml:space="preserve"> using </w:t>
      </w:r>
      <w:r w:rsidR="00EB37F6" w:rsidRPr="00893E6D">
        <w:rPr>
          <w:rFonts w:ascii="Times New Roman" w:hAnsi="Times New Roman" w:cs="Times New Roman"/>
          <w:sz w:val="24"/>
          <w:szCs w:val="24"/>
        </w:rPr>
        <w:t>panel-data fixed effect estimation</w:t>
      </w:r>
      <w:r w:rsidR="000459CF" w:rsidRPr="00893E6D">
        <w:rPr>
          <w:rFonts w:ascii="Times New Roman" w:hAnsi="Times New Roman" w:cs="Times New Roman"/>
          <w:sz w:val="24"/>
          <w:szCs w:val="24"/>
        </w:rPr>
        <w:t xml:space="preserve"> approach.</w:t>
      </w:r>
      <w:r w:rsidR="00FA6563" w:rsidRPr="00893E6D">
        <w:rPr>
          <w:rStyle w:val="FootnoteReference"/>
          <w:rFonts w:ascii="Times New Roman" w:hAnsi="Times New Roman" w:cs="Times New Roman"/>
          <w:sz w:val="24"/>
          <w:szCs w:val="24"/>
        </w:rPr>
        <w:footnoteReference w:id="12"/>
      </w:r>
      <w:r w:rsidR="000459CF" w:rsidRPr="00893E6D">
        <w:rPr>
          <w:rFonts w:ascii="Times New Roman" w:hAnsi="Times New Roman" w:cs="Times New Roman"/>
          <w:sz w:val="24"/>
          <w:szCs w:val="24"/>
        </w:rPr>
        <w:t xml:space="preserve"> </w:t>
      </w:r>
      <w:r w:rsidR="003E7F8F" w:rsidRPr="00893E6D">
        <w:rPr>
          <w:rFonts w:ascii="Times New Roman" w:hAnsi="Times New Roman" w:cs="Times New Roman"/>
          <w:sz w:val="24"/>
          <w:szCs w:val="24"/>
        </w:rPr>
        <w:t>The</w:t>
      </w:r>
      <w:r w:rsidR="00EB37F6" w:rsidRPr="00893E6D">
        <w:rPr>
          <w:rFonts w:ascii="Times New Roman" w:hAnsi="Times New Roman" w:cs="Times New Roman"/>
          <w:sz w:val="24"/>
          <w:szCs w:val="24"/>
        </w:rPr>
        <w:t xml:space="preserve"> </w:t>
      </w:r>
      <w:r w:rsidR="003E7F8F" w:rsidRPr="00893E6D">
        <w:rPr>
          <w:rFonts w:ascii="Times New Roman" w:hAnsi="Times New Roman" w:cs="Times New Roman"/>
          <w:sz w:val="24"/>
          <w:szCs w:val="24"/>
        </w:rPr>
        <w:t xml:space="preserve">dependent variable </w:t>
      </w:r>
      <w:r w:rsidR="00775917" w:rsidRPr="00893E6D">
        <w:rPr>
          <w:rFonts w:ascii="Times New Roman" w:hAnsi="Times New Roman" w:cs="Times New Roman"/>
          <w:sz w:val="24"/>
          <w:szCs w:val="24"/>
        </w:rPr>
        <w:t xml:space="preserve">is </w:t>
      </w:r>
      <w:r w:rsidR="003E7F8F" w:rsidRPr="00893E6D">
        <w:rPr>
          <w:rFonts w:ascii="Times New Roman" w:hAnsi="Times New Roman" w:cs="Times New Roman"/>
          <w:sz w:val="24"/>
          <w:szCs w:val="24"/>
        </w:rPr>
        <w:t xml:space="preserve">annualized </w:t>
      </w:r>
      <w:r w:rsidR="00EB37F6" w:rsidRPr="00893E6D">
        <w:rPr>
          <w:rFonts w:ascii="Times New Roman" w:hAnsi="Times New Roman" w:cs="Times New Roman"/>
          <w:sz w:val="24"/>
          <w:szCs w:val="24"/>
        </w:rPr>
        <w:t>total risk (</w:t>
      </w:r>
      <w:r w:rsidR="00EB37F6" w:rsidRPr="00893E6D">
        <w:rPr>
          <w:rFonts w:ascii="Times New Roman" w:hAnsi="Times New Roman" w:cs="Times New Roman"/>
          <w:i/>
          <w:sz w:val="24"/>
          <w:szCs w:val="24"/>
        </w:rPr>
        <w:t>TOTRISK</w:t>
      </w:r>
      <w:r w:rsidR="00EB37F6" w:rsidRPr="00893E6D">
        <w:rPr>
          <w:rFonts w:ascii="Times New Roman" w:hAnsi="Times New Roman" w:cs="Times New Roman"/>
          <w:sz w:val="24"/>
          <w:szCs w:val="24"/>
        </w:rPr>
        <w:t xml:space="preserve">) in Panel A and annualized </w:t>
      </w:r>
      <w:r w:rsidR="003E7F8F" w:rsidRPr="00893E6D">
        <w:rPr>
          <w:rFonts w:ascii="Times New Roman" w:hAnsi="Times New Roman" w:cs="Times New Roman"/>
          <w:sz w:val="24"/>
          <w:szCs w:val="24"/>
        </w:rPr>
        <w:t>idiosyncratic risk (</w:t>
      </w:r>
      <w:r w:rsidR="003E7F8F" w:rsidRPr="00893E6D">
        <w:rPr>
          <w:rFonts w:ascii="Times New Roman" w:hAnsi="Times New Roman" w:cs="Times New Roman"/>
          <w:i/>
          <w:sz w:val="24"/>
          <w:szCs w:val="24"/>
        </w:rPr>
        <w:t>IDIORISK</w:t>
      </w:r>
      <w:r w:rsidR="003E7F8F" w:rsidRPr="00893E6D">
        <w:rPr>
          <w:rFonts w:ascii="Times New Roman" w:hAnsi="Times New Roman" w:cs="Times New Roman"/>
          <w:sz w:val="24"/>
          <w:szCs w:val="24"/>
        </w:rPr>
        <w:t>)</w:t>
      </w:r>
      <w:r w:rsidR="00EB37F6" w:rsidRPr="00893E6D">
        <w:rPr>
          <w:rFonts w:ascii="Times New Roman" w:hAnsi="Times New Roman" w:cs="Times New Roman"/>
          <w:sz w:val="24"/>
          <w:szCs w:val="24"/>
        </w:rPr>
        <w:t xml:space="preserve"> </w:t>
      </w:r>
      <w:r w:rsidR="007E01ED" w:rsidRPr="00893E6D">
        <w:rPr>
          <w:rFonts w:ascii="Times New Roman" w:hAnsi="Times New Roman" w:cs="Times New Roman"/>
          <w:sz w:val="24"/>
          <w:szCs w:val="24"/>
        </w:rPr>
        <w:t xml:space="preserve">in Panel </w:t>
      </w:r>
      <w:r w:rsidR="00EB37F6" w:rsidRPr="00893E6D">
        <w:rPr>
          <w:rFonts w:ascii="Times New Roman" w:hAnsi="Times New Roman" w:cs="Times New Roman"/>
          <w:sz w:val="24"/>
          <w:szCs w:val="24"/>
        </w:rPr>
        <w:t>B</w:t>
      </w:r>
      <w:r w:rsidR="00775917" w:rsidRPr="00893E6D">
        <w:rPr>
          <w:rFonts w:ascii="Times New Roman" w:hAnsi="Times New Roman" w:cs="Times New Roman"/>
          <w:sz w:val="24"/>
          <w:szCs w:val="24"/>
        </w:rPr>
        <w:t>, respectively</w:t>
      </w:r>
      <w:r w:rsidR="003E7F8F" w:rsidRPr="00893E6D">
        <w:rPr>
          <w:rFonts w:ascii="Times New Roman" w:hAnsi="Times New Roman" w:cs="Times New Roman"/>
          <w:sz w:val="24"/>
          <w:szCs w:val="24"/>
        </w:rPr>
        <w:t>.</w:t>
      </w:r>
      <w:r w:rsidR="00F53D4D" w:rsidRPr="00893E6D">
        <w:rPr>
          <w:rFonts w:ascii="Times New Roman" w:hAnsi="Times New Roman" w:cs="Times New Roman"/>
          <w:sz w:val="24"/>
          <w:szCs w:val="24"/>
        </w:rPr>
        <w:t xml:space="preserve"> All reported coefficients are standardized coefficients. </w:t>
      </w:r>
    </w:p>
    <w:p w14:paraId="2F63FF81" w14:textId="7ACF9CC5" w:rsidR="00734B2A" w:rsidRPr="00893E6D" w:rsidRDefault="00734B2A" w:rsidP="00B73A42">
      <w:pPr>
        <w:spacing w:line="480" w:lineRule="auto"/>
        <w:jc w:val="center"/>
        <w:rPr>
          <w:rFonts w:ascii="Times New Roman" w:hAnsi="Times New Roman" w:cs="Times New Roman"/>
          <w:sz w:val="24"/>
          <w:szCs w:val="24"/>
        </w:rPr>
      </w:pPr>
      <w:r w:rsidRPr="00893E6D">
        <w:rPr>
          <w:rFonts w:ascii="Times New Roman" w:hAnsi="Times New Roman" w:cs="Times New Roman"/>
          <w:sz w:val="24"/>
          <w:szCs w:val="24"/>
        </w:rPr>
        <w:t xml:space="preserve">[INSERT TABLE </w:t>
      </w:r>
      <w:r w:rsidR="00C740ED">
        <w:rPr>
          <w:rFonts w:ascii="Times New Roman" w:hAnsi="Times New Roman" w:cs="Times New Roman"/>
          <w:sz w:val="24"/>
          <w:szCs w:val="24"/>
        </w:rPr>
        <w:t>4</w:t>
      </w:r>
      <w:r w:rsidR="00C740ED" w:rsidRPr="00893E6D">
        <w:rPr>
          <w:rFonts w:ascii="Times New Roman" w:hAnsi="Times New Roman" w:cs="Times New Roman"/>
          <w:sz w:val="24"/>
          <w:szCs w:val="24"/>
        </w:rPr>
        <w:t xml:space="preserve"> </w:t>
      </w:r>
      <w:r w:rsidRPr="00893E6D">
        <w:rPr>
          <w:rFonts w:ascii="Times New Roman" w:hAnsi="Times New Roman" w:cs="Times New Roman"/>
          <w:sz w:val="24"/>
          <w:szCs w:val="24"/>
        </w:rPr>
        <w:t>ABOUT HERE]</w:t>
      </w:r>
    </w:p>
    <w:p w14:paraId="06F9F37B" w14:textId="4EA71F8B" w:rsidR="00DA0B25" w:rsidRPr="00893E6D" w:rsidRDefault="007F5249" w:rsidP="00A1062B">
      <w:pPr>
        <w:pStyle w:val="ListParagraph"/>
        <w:spacing w:line="480" w:lineRule="auto"/>
        <w:ind w:left="0" w:firstLine="720"/>
        <w:jc w:val="both"/>
        <w:rPr>
          <w:rFonts w:ascii="Times New Roman" w:hAnsi="Times New Roman" w:cs="Times New Roman"/>
          <w:sz w:val="24"/>
          <w:szCs w:val="24"/>
        </w:rPr>
      </w:pPr>
      <w:r w:rsidRPr="00893E6D">
        <w:rPr>
          <w:rFonts w:ascii="Times New Roman" w:hAnsi="Times New Roman" w:cs="Times New Roman"/>
          <w:sz w:val="24"/>
          <w:szCs w:val="24"/>
        </w:rPr>
        <w:lastRenderedPageBreak/>
        <w:t xml:space="preserve">In Panel A, an increase of one standard deviation in </w:t>
      </w:r>
      <w:r w:rsidR="00AB2468" w:rsidRPr="00893E6D">
        <w:rPr>
          <w:rFonts w:ascii="Times New Roman" w:hAnsi="Times New Roman" w:cs="Times New Roman"/>
          <w:sz w:val="24"/>
          <w:szCs w:val="24"/>
        </w:rPr>
        <w:t>non-operating</w:t>
      </w:r>
      <w:r w:rsidR="007A660A" w:rsidRPr="00893E6D">
        <w:rPr>
          <w:rFonts w:ascii="Times New Roman" w:hAnsi="Times New Roman" w:cs="Times New Roman"/>
          <w:sz w:val="24"/>
          <w:szCs w:val="24"/>
        </w:rPr>
        <w:t xml:space="preserve"> earnings </w:t>
      </w:r>
      <w:r w:rsidRPr="00893E6D">
        <w:rPr>
          <w:rFonts w:ascii="Times New Roman" w:hAnsi="Times New Roman" w:cs="Times New Roman"/>
          <w:i/>
          <w:sz w:val="24"/>
          <w:szCs w:val="24"/>
        </w:rPr>
        <w:t>NONOPERINC</w:t>
      </w:r>
      <w:r w:rsidRPr="00893E6D">
        <w:rPr>
          <w:rFonts w:ascii="Times New Roman" w:hAnsi="Times New Roman" w:cs="Times New Roman"/>
          <w:sz w:val="24"/>
          <w:szCs w:val="24"/>
        </w:rPr>
        <w:t xml:space="preserve"> is associated with a decrease of 0.</w:t>
      </w:r>
      <w:r w:rsidR="00B96FCD" w:rsidRPr="00893E6D">
        <w:rPr>
          <w:rFonts w:ascii="Times New Roman" w:hAnsi="Times New Roman" w:cs="Times New Roman"/>
          <w:sz w:val="24"/>
          <w:szCs w:val="24"/>
        </w:rPr>
        <w:t>01</w:t>
      </w:r>
      <w:r w:rsidR="00E84C59" w:rsidRPr="00893E6D">
        <w:rPr>
          <w:rFonts w:ascii="Times New Roman" w:hAnsi="Times New Roman" w:cs="Times New Roman"/>
          <w:sz w:val="24"/>
          <w:szCs w:val="24"/>
        </w:rPr>
        <w:t>9</w:t>
      </w:r>
      <w:r w:rsidRPr="00893E6D">
        <w:rPr>
          <w:rFonts w:ascii="Times New Roman" w:hAnsi="Times New Roman" w:cs="Times New Roman"/>
          <w:sz w:val="24"/>
          <w:szCs w:val="24"/>
        </w:rPr>
        <w:t xml:space="preserve"> × standard deviation in </w:t>
      </w:r>
      <w:r w:rsidR="007A660A" w:rsidRPr="00893E6D">
        <w:rPr>
          <w:rFonts w:ascii="Times New Roman" w:hAnsi="Times New Roman" w:cs="Times New Roman"/>
          <w:sz w:val="24"/>
          <w:szCs w:val="24"/>
        </w:rPr>
        <w:t xml:space="preserve">total risk </w:t>
      </w:r>
      <w:r w:rsidR="00335877">
        <w:rPr>
          <w:rFonts w:ascii="Times New Roman" w:hAnsi="Times New Roman" w:cs="Times New Roman"/>
          <w:sz w:val="24"/>
          <w:szCs w:val="24"/>
        </w:rPr>
        <w:t>(</w:t>
      </w:r>
      <w:r w:rsidR="00B96FCD" w:rsidRPr="00893E6D">
        <w:rPr>
          <w:rFonts w:ascii="Times New Roman" w:hAnsi="Times New Roman" w:cs="Times New Roman"/>
          <w:i/>
          <w:sz w:val="24"/>
          <w:szCs w:val="24"/>
        </w:rPr>
        <w:t>TOTRISK</w:t>
      </w:r>
      <w:r w:rsidR="00335877">
        <w:rPr>
          <w:rFonts w:ascii="Times New Roman" w:hAnsi="Times New Roman" w:cs="Times New Roman"/>
          <w:i/>
          <w:sz w:val="24"/>
          <w:szCs w:val="24"/>
        </w:rPr>
        <w:t>)</w:t>
      </w:r>
      <w:r w:rsidRPr="00893E6D">
        <w:rPr>
          <w:rFonts w:ascii="Times New Roman" w:hAnsi="Times New Roman" w:cs="Times New Roman"/>
          <w:sz w:val="24"/>
          <w:szCs w:val="24"/>
        </w:rPr>
        <w:t xml:space="preserve">. Specifically, a 1.7% increase in </w:t>
      </w:r>
      <w:r w:rsidRPr="00893E6D">
        <w:rPr>
          <w:rFonts w:ascii="Times New Roman" w:hAnsi="Times New Roman" w:cs="Times New Roman"/>
          <w:i/>
          <w:sz w:val="24"/>
          <w:szCs w:val="24"/>
        </w:rPr>
        <w:t>NONOPERINC</w:t>
      </w:r>
      <w:r w:rsidRPr="00893E6D">
        <w:rPr>
          <w:rFonts w:ascii="Times New Roman" w:hAnsi="Times New Roman" w:cs="Times New Roman"/>
          <w:sz w:val="24"/>
          <w:szCs w:val="24"/>
        </w:rPr>
        <w:t xml:space="preserve"> leads to a 0.</w:t>
      </w:r>
      <w:r w:rsidR="00E84C59" w:rsidRPr="00893E6D">
        <w:rPr>
          <w:rFonts w:ascii="Times New Roman" w:hAnsi="Times New Roman" w:cs="Times New Roman"/>
          <w:sz w:val="24"/>
          <w:szCs w:val="24"/>
        </w:rPr>
        <w:t>638</w:t>
      </w:r>
      <w:r w:rsidRPr="00893E6D">
        <w:rPr>
          <w:rFonts w:ascii="Times New Roman" w:hAnsi="Times New Roman" w:cs="Times New Roman"/>
          <w:sz w:val="24"/>
          <w:szCs w:val="24"/>
        </w:rPr>
        <w:t>% decrease (0.0</w:t>
      </w:r>
      <w:r w:rsidR="0022510E" w:rsidRPr="00893E6D">
        <w:rPr>
          <w:rFonts w:ascii="Times New Roman" w:hAnsi="Times New Roman" w:cs="Times New Roman"/>
          <w:sz w:val="24"/>
          <w:szCs w:val="24"/>
        </w:rPr>
        <w:t>1</w:t>
      </w:r>
      <w:r w:rsidR="00E84C59" w:rsidRPr="00893E6D">
        <w:rPr>
          <w:rFonts w:ascii="Times New Roman" w:hAnsi="Times New Roman" w:cs="Times New Roman"/>
          <w:sz w:val="24"/>
          <w:szCs w:val="24"/>
        </w:rPr>
        <w:t>9</w:t>
      </w:r>
      <w:r w:rsidR="0022510E" w:rsidRPr="00893E6D">
        <w:rPr>
          <w:rFonts w:ascii="Times New Roman" w:hAnsi="Times New Roman" w:cs="Times New Roman"/>
          <w:sz w:val="24"/>
          <w:szCs w:val="24"/>
        </w:rPr>
        <w:t xml:space="preserve"> </w:t>
      </w:r>
      <w:r w:rsidRPr="00893E6D">
        <w:rPr>
          <w:rFonts w:ascii="Times New Roman" w:hAnsi="Times New Roman" w:cs="Times New Roman"/>
          <w:sz w:val="24"/>
          <w:szCs w:val="24"/>
        </w:rPr>
        <w:t>×</w:t>
      </w:r>
      <w:r w:rsidR="0022510E" w:rsidRPr="00893E6D">
        <w:rPr>
          <w:rFonts w:ascii="Times New Roman" w:hAnsi="Times New Roman" w:cs="Times New Roman"/>
          <w:sz w:val="24"/>
          <w:szCs w:val="24"/>
        </w:rPr>
        <w:t xml:space="preserve"> </w:t>
      </w:r>
      <w:r w:rsidRPr="00893E6D">
        <w:rPr>
          <w:rFonts w:ascii="Times New Roman" w:hAnsi="Times New Roman" w:cs="Times New Roman"/>
          <w:sz w:val="24"/>
          <w:szCs w:val="24"/>
        </w:rPr>
        <w:t>0.</w:t>
      </w:r>
      <w:r w:rsidR="0022510E" w:rsidRPr="00893E6D">
        <w:rPr>
          <w:rFonts w:ascii="Times New Roman" w:hAnsi="Times New Roman" w:cs="Times New Roman"/>
          <w:sz w:val="24"/>
          <w:szCs w:val="24"/>
        </w:rPr>
        <w:t>33</w:t>
      </w:r>
      <w:r w:rsidRPr="00893E6D">
        <w:rPr>
          <w:rFonts w:ascii="Times New Roman" w:hAnsi="Times New Roman" w:cs="Times New Roman"/>
          <w:sz w:val="24"/>
          <w:szCs w:val="24"/>
        </w:rPr>
        <w:t xml:space="preserve">6) in </w:t>
      </w:r>
      <w:r w:rsidR="0022510E" w:rsidRPr="00893E6D">
        <w:rPr>
          <w:rFonts w:ascii="Times New Roman" w:hAnsi="Times New Roman" w:cs="Times New Roman"/>
          <w:i/>
          <w:sz w:val="24"/>
          <w:szCs w:val="24"/>
        </w:rPr>
        <w:t>TOTRISK</w:t>
      </w:r>
      <w:r w:rsidRPr="00893E6D">
        <w:rPr>
          <w:rFonts w:ascii="Times New Roman" w:hAnsi="Times New Roman" w:cs="Times New Roman"/>
          <w:i/>
          <w:sz w:val="24"/>
          <w:szCs w:val="24"/>
        </w:rPr>
        <w:t xml:space="preserve">, </w:t>
      </w:r>
      <w:r w:rsidRPr="00893E6D">
        <w:rPr>
          <w:rFonts w:ascii="Times New Roman" w:hAnsi="Times New Roman" w:cs="Times New Roman"/>
          <w:sz w:val="24"/>
          <w:szCs w:val="24"/>
        </w:rPr>
        <w:t>yielding an impact ratio of 0.</w:t>
      </w:r>
      <w:r w:rsidR="00E84C59" w:rsidRPr="00893E6D">
        <w:rPr>
          <w:rFonts w:ascii="Times New Roman" w:hAnsi="Times New Roman" w:cs="Times New Roman"/>
          <w:sz w:val="24"/>
          <w:szCs w:val="24"/>
        </w:rPr>
        <w:t>376</w:t>
      </w:r>
      <w:r w:rsidRPr="00893E6D">
        <w:rPr>
          <w:rFonts w:ascii="Times New Roman" w:hAnsi="Times New Roman" w:cs="Times New Roman"/>
          <w:sz w:val="24"/>
          <w:szCs w:val="24"/>
        </w:rPr>
        <w:t xml:space="preserve"> (</w:t>
      </w:r>
      <w:r w:rsidR="00E84C59" w:rsidRPr="00893E6D">
        <w:rPr>
          <w:rFonts w:ascii="Times New Roman" w:hAnsi="Times New Roman" w:cs="Times New Roman"/>
          <w:sz w:val="24"/>
          <w:szCs w:val="24"/>
        </w:rPr>
        <w:t xml:space="preserve">0.638% </w:t>
      </w:r>
      <w:r w:rsidRPr="00893E6D">
        <w:rPr>
          <w:rFonts w:ascii="Times New Roman" w:hAnsi="Times New Roman" w:cs="Times New Roman"/>
          <w:sz w:val="24"/>
          <w:szCs w:val="24"/>
        </w:rPr>
        <w:t xml:space="preserve">divided by 1.7%). </w:t>
      </w:r>
      <w:r w:rsidR="00335877">
        <w:rPr>
          <w:rFonts w:ascii="Times New Roman" w:hAnsi="Times New Roman" w:cs="Times New Roman"/>
          <w:sz w:val="24"/>
          <w:szCs w:val="24"/>
        </w:rPr>
        <w:t>A</w:t>
      </w:r>
      <w:r w:rsidRPr="00893E6D">
        <w:rPr>
          <w:rFonts w:ascii="Times New Roman" w:hAnsi="Times New Roman" w:cs="Times New Roman"/>
          <w:sz w:val="24"/>
          <w:szCs w:val="24"/>
        </w:rPr>
        <w:t xml:space="preserve">n increase of one standard deviation in </w:t>
      </w:r>
      <w:r w:rsidRPr="00893E6D">
        <w:rPr>
          <w:rFonts w:ascii="Times New Roman" w:hAnsi="Times New Roman" w:cs="Times New Roman"/>
          <w:i/>
          <w:sz w:val="24"/>
          <w:szCs w:val="24"/>
        </w:rPr>
        <w:t>OPERINC</w:t>
      </w:r>
      <w:r w:rsidRPr="00893E6D">
        <w:rPr>
          <w:rFonts w:ascii="Times New Roman" w:hAnsi="Times New Roman" w:cs="Times New Roman"/>
          <w:sz w:val="24"/>
          <w:szCs w:val="24"/>
        </w:rPr>
        <w:t xml:space="preserve"> leads to a decrease of 0.</w:t>
      </w:r>
      <w:r w:rsidR="00BC1D9B" w:rsidRPr="00893E6D">
        <w:rPr>
          <w:rFonts w:ascii="Times New Roman" w:hAnsi="Times New Roman" w:cs="Times New Roman"/>
          <w:sz w:val="24"/>
          <w:szCs w:val="24"/>
        </w:rPr>
        <w:t xml:space="preserve">196 </w:t>
      </w:r>
      <w:r w:rsidRPr="00893E6D">
        <w:rPr>
          <w:rFonts w:ascii="Times New Roman" w:hAnsi="Times New Roman" w:cs="Times New Roman"/>
          <w:sz w:val="24"/>
          <w:szCs w:val="24"/>
        </w:rPr>
        <w:t xml:space="preserve">× standard deviation in </w:t>
      </w:r>
      <w:r w:rsidR="0022510E" w:rsidRPr="00893E6D">
        <w:rPr>
          <w:rFonts w:ascii="Times New Roman" w:hAnsi="Times New Roman" w:cs="Times New Roman"/>
          <w:i/>
          <w:sz w:val="24"/>
          <w:szCs w:val="24"/>
        </w:rPr>
        <w:t>TOTRISK</w:t>
      </w:r>
      <w:r w:rsidR="00F374B0" w:rsidRPr="00893E6D">
        <w:rPr>
          <w:rFonts w:ascii="Times New Roman" w:hAnsi="Times New Roman" w:cs="Times New Roman"/>
          <w:sz w:val="24"/>
          <w:szCs w:val="24"/>
        </w:rPr>
        <w:t xml:space="preserve">, i.e., </w:t>
      </w:r>
      <w:r w:rsidRPr="00893E6D">
        <w:rPr>
          <w:rFonts w:ascii="Times New Roman" w:hAnsi="Times New Roman" w:cs="Times New Roman"/>
          <w:sz w:val="24"/>
          <w:szCs w:val="24"/>
        </w:rPr>
        <w:t xml:space="preserve">a 17.6% increase in </w:t>
      </w:r>
      <w:r w:rsidR="0096584E" w:rsidRPr="00F15FF6">
        <w:rPr>
          <w:rFonts w:ascii="Times New Roman" w:hAnsi="Times New Roman" w:cs="Times New Roman"/>
          <w:sz w:val="24"/>
          <w:szCs w:val="24"/>
        </w:rPr>
        <w:t>operating earnings</w:t>
      </w:r>
      <w:r w:rsidR="0096584E" w:rsidRPr="00893E6D">
        <w:rPr>
          <w:rFonts w:ascii="Times New Roman" w:hAnsi="Times New Roman" w:cs="Times New Roman"/>
          <w:sz w:val="24"/>
          <w:szCs w:val="24"/>
        </w:rPr>
        <w:t xml:space="preserve"> </w:t>
      </w:r>
      <w:r w:rsidRPr="00893E6D">
        <w:rPr>
          <w:rFonts w:ascii="Times New Roman" w:hAnsi="Times New Roman" w:cs="Times New Roman"/>
          <w:sz w:val="24"/>
          <w:szCs w:val="24"/>
        </w:rPr>
        <w:t xml:space="preserve">leads to a </w:t>
      </w:r>
      <w:r w:rsidR="00BC1D9B" w:rsidRPr="00893E6D">
        <w:rPr>
          <w:rFonts w:ascii="Times New Roman" w:hAnsi="Times New Roman" w:cs="Times New Roman"/>
          <w:sz w:val="24"/>
          <w:szCs w:val="24"/>
        </w:rPr>
        <w:t>6.590</w:t>
      </w:r>
      <w:r w:rsidRPr="00893E6D">
        <w:rPr>
          <w:rFonts w:ascii="Times New Roman" w:hAnsi="Times New Roman" w:cs="Times New Roman"/>
          <w:sz w:val="24"/>
          <w:szCs w:val="24"/>
        </w:rPr>
        <w:t>% decrease (0.</w:t>
      </w:r>
      <w:r w:rsidR="00BC1D9B" w:rsidRPr="00893E6D">
        <w:rPr>
          <w:rFonts w:ascii="Times New Roman" w:hAnsi="Times New Roman" w:cs="Times New Roman"/>
          <w:sz w:val="24"/>
          <w:szCs w:val="24"/>
        </w:rPr>
        <w:t>196</w:t>
      </w:r>
      <w:r w:rsidRPr="00893E6D">
        <w:rPr>
          <w:rFonts w:ascii="Times New Roman" w:hAnsi="Times New Roman" w:cs="Times New Roman"/>
          <w:sz w:val="24"/>
          <w:szCs w:val="24"/>
        </w:rPr>
        <w:t xml:space="preserve"> × 0.</w:t>
      </w:r>
      <w:r w:rsidR="009B5E6F" w:rsidRPr="00893E6D">
        <w:rPr>
          <w:rFonts w:ascii="Times New Roman" w:hAnsi="Times New Roman" w:cs="Times New Roman"/>
          <w:sz w:val="24"/>
          <w:szCs w:val="24"/>
        </w:rPr>
        <w:t>336</w:t>
      </w:r>
      <w:r w:rsidRPr="00893E6D">
        <w:rPr>
          <w:rFonts w:ascii="Times New Roman" w:hAnsi="Times New Roman" w:cs="Times New Roman"/>
          <w:sz w:val="24"/>
          <w:szCs w:val="24"/>
        </w:rPr>
        <w:t xml:space="preserve">) in </w:t>
      </w:r>
      <w:r w:rsidR="009B5E6F" w:rsidRPr="00893E6D">
        <w:rPr>
          <w:rFonts w:ascii="Times New Roman" w:hAnsi="Times New Roman" w:cs="Times New Roman"/>
          <w:sz w:val="24"/>
          <w:szCs w:val="24"/>
        </w:rPr>
        <w:t>total risk</w:t>
      </w:r>
      <w:r w:rsidRPr="00893E6D">
        <w:rPr>
          <w:rFonts w:ascii="Times New Roman" w:hAnsi="Times New Roman" w:cs="Times New Roman"/>
          <w:sz w:val="24"/>
          <w:szCs w:val="24"/>
        </w:rPr>
        <w:t>, yielding an impact ratio of 0.</w:t>
      </w:r>
      <w:r w:rsidR="00BC1D9B" w:rsidRPr="00893E6D">
        <w:rPr>
          <w:rFonts w:ascii="Times New Roman" w:hAnsi="Times New Roman" w:cs="Times New Roman"/>
          <w:sz w:val="24"/>
          <w:szCs w:val="24"/>
        </w:rPr>
        <w:t>374</w:t>
      </w:r>
      <w:r w:rsidRPr="00893E6D">
        <w:rPr>
          <w:rFonts w:ascii="Times New Roman" w:hAnsi="Times New Roman" w:cs="Times New Roman"/>
          <w:sz w:val="24"/>
          <w:szCs w:val="24"/>
        </w:rPr>
        <w:t xml:space="preserve"> (</w:t>
      </w:r>
      <w:r w:rsidR="00BC1D9B" w:rsidRPr="00893E6D">
        <w:rPr>
          <w:rFonts w:ascii="Times New Roman" w:hAnsi="Times New Roman" w:cs="Times New Roman"/>
          <w:sz w:val="24"/>
          <w:szCs w:val="24"/>
        </w:rPr>
        <w:t xml:space="preserve">6.590% </w:t>
      </w:r>
      <w:r w:rsidRPr="00893E6D">
        <w:rPr>
          <w:rFonts w:ascii="Times New Roman" w:hAnsi="Times New Roman" w:cs="Times New Roman"/>
          <w:sz w:val="24"/>
          <w:szCs w:val="24"/>
        </w:rPr>
        <w:t>divided by 17.6%). Thus, the</w:t>
      </w:r>
      <w:r w:rsidR="00BC1D9B" w:rsidRPr="00893E6D">
        <w:rPr>
          <w:rFonts w:ascii="Times New Roman" w:hAnsi="Times New Roman" w:cs="Times New Roman"/>
          <w:sz w:val="24"/>
          <w:szCs w:val="24"/>
        </w:rPr>
        <w:t xml:space="preserve"> magnitude of the</w:t>
      </w:r>
      <w:r w:rsidRPr="00893E6D">
        <w:rPr>
          <w:rFonts w:ascii="Times New Roman" w:hAnsi="Times New Roman" w:cs="Times New Roman"/>
          <w:sz w:val="24"/>
          <w:szCs w:val="24"/>
        </w:rPr>
        <w:t xml:space="preserve"> impact of </w:t>
      </w:r>
      <w:r w:rsidR="00D97D0B" w:rsidRPr="00893E6D">
        <w:rPr>
          <w:rFonts w:ascii="Times New Roman" w:hAnsi="Times New Roman" w:cs="Times New Roman"/>
          <w:i/>
          <w:sz w:val="24"/>
          <w:szCs w:val="24"/>
        </w:rPr>
        <w:t>NON</w:t>
      </w:r>
      <w:r w:rsidRPr="00893E6D">
        <w:rPr>
          <w:rFonts w:ascii="Times New Roman" w:hAnsi="Times New Roman" w:cs="Times New Roman"/>
          <w:i/>
          <w:sz w:val="24"/>
          <w:szCs w:val="24"/>
        </w:rPr>
        <w:t>OPERINC</w:t>
      </w:r>
      <w:r w:rsidRPr="00893E6D">
        <w:rPr>
          <w:rFonts w:ascii="Times New Roman" w:hAnsi="Times New Roman" w:cs="Times New Roman"/>
          <w:sz w:val="24"/>
          <w:szCs w:val="24"/>
        </w:rPr>
        <w:t xml:space="preserve"> on </w:t>
      </w:r>
      <w:r w:rsidR="00F4726F" w:rsidRPr="00893E6D">
        <w:rPr>
          <w:rFonts w:ascii="Times New Roman" w:hAnsi="Times New Roman" w:cs="Times New Roman"/>
          <w:i/>
          <w:sz w:val="24"/>
          <w:szCs w:val="24"/>
        </w:rPr>
        <w:t>TOTRISK</w:t>
      </w:r>
      <w:r w:rsidRPr="00893E6D">
        <w:rPr>
          <w:rFonts w:ascii="Times New Roman" w:hAnsi="Times New Roman" w:cs="Times New Roman"/>
          <w:sz w:val="24"/>
          <w:szCs w:val="24"/>
        </w:rPr>
        <w:t xml:space="preserve"> is</w:t>
      </w:r>
      <w:r w:rsidR="00775917" w:rsidRPr="00893E6D">
        <w:rPr>
          <w:rFonts w:ascii="Times New Roman" w:hAnsi="Times New Roman" w:cs="Times New Roman"/>
          <w:sz w:val="24"/>
          <w:szCs w:val="24"/>
        </w:rPr>
        <w:t xml:space="preserve"> </w:t>
      </w:r>
      <w:r w:rsidR="004E57AC">
        <w:rPr>
          <w:rFonts w:ascii="Times New Roman" w:hAnsi="Times New Roman" w:cs="Times New Roman"/>
          <w:sz w:val="24"/>
          <w:szCs w:val="24"/>
        </w:rPr>
        <w:t xml:space="preserve">similar </w:t>
      </w:r>
      <w:r w:rsidR="00DA5231">
        <w:rPr>
          <w:rFonts w:ascii="Times New Roman" w:hAnsi="Times New Roman" w:cs="Times New Roman"/>
          <w:sz w:val="24"/>
          <w:szCs w:val="24"/>
        </w:rPr>
        <w:t>to</w:t>
      </w:r>
      <w:r w:rsidR="000B0D23">
        <w:rPr>
          <w:rFonts w:ascii="Times New Roman" w:hAnsi="Times New Roman" w:cs="Times New Roman"/>
          <w:sz w:val="24"/>
          <w:szCs w:val="24"/>
        </w:rPr>
        <w:t>, but a little bit higher</w:t>
      </w:r>
      <w:r w:rsidRPr="00893E6D">
        <w:rPr>
          <w:rFonts w:ascii="Times New Roman" w:hAnsi="Times New Roman" w:cs="Times New Roman"/>
          <w:sz w:val="24"/>
          <w:szCs w:val="24"/>
        </w:rPr>
        <w:t xml:space="preserve"> </w:t>
      </w:r>
      <w:r w:rsidR="00376A74">
        <w:rPr>
          <w:rFonts w:ascii="Times New Roman" w:hAnsi="Times New Roman" w:cs="Times New Roman"/>
          <w:sz w:val="24"/>
          <w:szCs w:val="24"/>
        </w:rPr>
        <w:t xml:space="preserve">that of </w:t>
      </w:r>
      <w:r w:rsidRPr="00893E6D">
        <w:rPr>
          <w:rFonts w:ascii="Times New Roman" w:hAnsi="Times New Roman" w:cs="Times New Roman"/>
          <w:i/>
          <w:sz w:val="24"/>
          <w:szCs w:val="24"/>
        </w:rPr>
        <w:t xml:space="preserve">OPERINC </w:t>
      </w:r>
      <w:r w:rsidRPr="00893E6D">
        <w:rPr>
          <w:rFonts w:ascii="Times New Roman" w:hAnsi="Times New Roman" w:cs="Times New Roman"/>
          <w:sz w:val="24"/>
          <w:szCs w:val="24"/>
        </w:rPr>
        <w:t>(</w:t>
      </w:r>
      <w:r w:rsidR="00BC1D9B" w:rsidRPr="00893E6D">
        <w:rPr>
          <w:rFonts w:ascii="Times New Roman" w:hAnsi="Times New Roman" w:cs="Times New Roman"/>
          <w:sz w:val="24"/>
          <w:szCs w:val="24"/>
        </w:rPr>
        <w:t xml:space="preserve">0.376 </w:t>
      </w:r>
      <w:r w:rsidR="001D2DCC" w:rsidRPr="00893E6D">
        <w:rPr>
          <w:rFonts w:ascii="Times New Roman" w:hAnsi="Times New Roman" w:cs="Times New Roman"/>
          <w:sz w:val="24"/>
          <w:szCs w:val="24"/>
        </w:rPr>
        <w:t>vs.</w:t>
      </w:r>
      <w:r w:rsidR="00A04C83" w:rsidRPr="00893E6D">
        <w:rPr>
          <w:rFonts w:ascii="Times New Roman" w:hAnsi="Times New Roman" w:cs="Times New Roman"/>
          <w:sz w:val="24"/>
          <w:szCs w:val="24"/>
        </w:rPr>
        <w:t xml:space="preserve"> </w:t>
      </w:r>
      <w:r w:rsidR="00BC1D9B" w:rsidRPr="00893E6D">
        <w:rPr>
          <w:rFonts w:ascii="Times New Roman" w:hAnsi="Times New Roman" w:cs="Times New Roman"/>
          <w:sz w:val="24"/>
          <w:szCs w:val="24"/>
        </w:rPr>
        <w:t>0.374</w:t>
      </w:r>
      <w:r w:rsidRPr="00893E6D">
        <w:rPr>
          <w:rFonts w:ascii="Times New Roman" w:hAnsi="Times New Roman" w:cs="Times New Roman"/>
          <w:sz w:val="24"/>
          <w:szCs w:val="24"/>
        </w:rPr>
        <w:t xml:space="preserve">). </w:t>
      </w:r>
    </w:p>
    <w:p w14:paraId="7037301E" w14:textId="035F7128" w:rsidR="003E7F8F" w:rsidRPr="00893E6D" w:rsidRDefault="00F53D4D" w:rsidP="00A1062B">
      <w:pPr>
        <w:pStyle w:val="ListParagraph"/>
        <w:spacing w:line="480" w:lineRule="auto"/>
        <w:ind w:left="0" w:firstLine="720"/>
        <w:jc w:val="both"/>
        <w:rPr>
          <w:rFonts w:ascii="Times New Roman" w:hAnsi="Times New Roman" w:cs="Times New Roman"/>
          <w:sz w:val="24"/>
          <w:szCs w:val="24"/>
        </w:rPr>
      </w:pPr>
      <w:r w:rsidRPr="00893E6D">
        <w:rPr>
          <w:rFonts w:ascii="Times New Roman" w:hAnsi="Times New Roman" w:cs="Times New Roman"/>
          <w:sz w:val="24"/>
          <w:szCs w:val="24"/>
        </w:rPr>
        <w:t xml:space="preserve">In Panel B, a 1.7% increase in </w:t>
      </w:r>
      <w:r w:rsidRPr="00893E6D">
        <w:rPr>
          <w:rFonts w:ascii="Times New Roman" w:hAnsi="Times New Roman" w:cs="Times New Roman"/>
          <w:i/>
          <w:sz w:val="24"/>
          <w:szCs w:val="24"/>
        </w:rPr>
        <w:t>NONOPERINC</w:t>
      </w:r>
      <w:r w:rsidRPr="00893E6D">
        <w:rPr>
          <w:rFonts w:ascii="Times New Roman" w:hAnsi="Times New Roman" w:cs="Times New Roman"/>
          <w:sz w:val="24"/>
          <w:szCs w:val="24"/>
        </w:rPr>
        <w:t xml:space="preserve"> leads to a 0.</w:t>
      </w:r>
      <w:r w:rsidR="00931527" w:rsidRPr="00893E6D">
        <w:rPr>
          <w:rFonts w:ascii="Times New Roman" w:hAnsi="Times New Roman" w:cs="Times New Roman"/>
          <w:sz w:val="24"/>
          <w:szCs w:val="24"/>
        </w:rPr>
        <w:t>737</w:t>
      </w:r>
      <w:r w:rsidRPr="00893E6D">
        <w:rPr>
          <w:rFonts w:ascii="Times New Roman" w:hAnsi="Times New Roman" w:cs="Times New Roman"/>
          <w:sz w:val="24"/>
          <w:szCs w:val="24"/>
        </w:rPr>
        <w:t>%</w:t>
      </w:r>
      <w:r w:rsidR="0051268A" w:rsidRPr="00893E6D">
        <w:rPr>
          <w:rStyle w:val="FootnoteReference"/>
          <w:rFonts w:ascii="Times New Roman" w:hAnsi="Times New Roman" w:cs="Times New Roman"/>
          <w:sz w:val="24"/>
          <w:szCs w:val="24"/>
        </w:rPr>
        <w:footnoteReference w:id="13"/>
      </w:r>
      <w:r w:rsidRPr="00893E6D">
        <w:rPr>
          <w:rFonts w:ascii="Times New Roman" w:hAnsi="Times New Roman" w:cs="Times New Roman"/>
          <w:sz w:val="24"/>
          <w:szCs w:val="24"/>
        </w:rPr>
        <w:t xml:space="preserve"> decrease in </w:t>
      </w:r>
      <w:r w:rsidR="002F3180" w:rsidRPr="00893E6D">
        <w:rPr>
          <w:rFonts w:ascii="Times New Roman" w:hAnsi="Times New Roman" w:cs="Times New Roman"/>
          <w:i/>
          <w:sz w:val="24"/>
          <w:szCs w:val="24"/>
        </w:rPr>
        <w:t>IDIO</w:t>
      </w:r>
      <w:r w:rsidRPr="00893E6D">
        <w:rPr>
          <w:rFonts w:ascii="Times New Roman" w:hAnsi="Times New Roman" w:cs="Times New Roman"/>
          <w:i/>
          <w:sz w:val="24"/>
          <w:szCs w:val="24"/>
        </w:rPr>
        <w:t xml:space="preserve">RISK, </w:t>
      </w:r>
      <w:r w:rsidRPr="00893E6D">
        <w:rPr>
          <w:rFonts w:ascii="Times New Roman" w:hAnsi="Times New Roman" w:cs="Times New Roman"/>
          <w:sz w:val="24"/>
          <w:szCs w:val="24"/>
        </w:rPr>
        <w:t>yielding an impact ratio of 0.</w:t>
      </w:r>
      <w:r w:rsidR="00931527" w:rsidRPr="00893E6D">
        <w:rPr>
          <w:rFonts w:ascii="Times New Roman" w:hAnsi="Times New Roman" w:cs="Times New Roman"/>
          <w:sz w:val="24"/>
          <w:szCs w:val="24"/>
        </w:rPr>
        <w:t>434</w:t>
      </w:r>
      <w:r w:rsidR="005F2202" w:rsidRPr="00893E6D">
        <w:rPr>
          <w:rStyle w:val="FootnoteReference"/>
          <w:rFonts w:ascii="Times New Roman" w:hAnsi="Times New Roman" w:cs="Times New Roman"/>
          <w:sz w:val="24"/>
          <w:szCs w:val="24"/>
        </w:rPr>
        <w:footnoteReference w:id="14"/>
      </w:r>
      <w:r w:rsidR="00F374B0" w:rsidRPr="00893E6D">
        <w:rPr>
          <w:rFonts w:ascii="Times New Roman" w:hAnsi="Times New Roman" w:cs="Times New Roman"/>
          <w:sz w:val="24"/>
          <w:szCs w:val="24"/>
        </w:rPr>
        <w:t>;</w:t>
      </w:r>
      <w:r w:rsidR="005F2202" w:rsidRPr="00893E6D">
        <w:rPr>
          <w:rFonts w:ascii="Times New Roman" w:hAnsi="Times New Roman" w:cs="Times New Roman"/>
          <w:sz w:val="24"/>
          <w:szCs w:val="24"/>
        </w:rPr>
        <w:t xml:space="preserve"> </w:t>
      </w:r>
      <w:r w:rsidR="002D6BFA">
        <w:rPr>
          <w:rFonts w:ascii="Times New Roman" w:hAnsi="Times New Roman" w:cs="Times New Roman"/>
          <w:sz w:val="24"/>
          <w:szCs w:val="24"/>
        </w:rPr>
        <w:t xml:space="preserve">while, </w:t>
      </w:r>
      <w:r w:rsidRPr="00893E6D">
        <w:rPr>
          <w:rFonts w:ascii="Times New Roman" w:hAnsi="Times New Roman" w:cs="Times New Roman"/>
          <w:sz w:val="24"/>
          <w:szCs w:val="24"/>
        </w:rPr>
        <w:t xml:space="preserve">a 17.6% increase in </w:t>
      </w:r>
      <w:r w:rsidRPr="00893E6D">
        <w:rPr>
          <w:rFonts w:ascii="Times New Roman" w:hAnsi="Times New Roman" w:cs="Times New Roman"/>
          <w:i/>
          <w:sz w:val="24"/>
          <w:szCs w:val="24"/>
        </w:rPr>
        <w:t>OPERINC</w:t>
      </w:r>
      <w:r w:rsidRPr="00893E6D">
        <w:rPr>
          <w:rFonts w:ascii="Times New Roman" w:hAnsi="Times New Roman" w:cs="Times New Roman"/>
          <w:sz w:val="24"/>
          <w:szCs w:val="24"/>
        </w:rPr>
        <w:t xml:space="preserve"> leads to a</w:t>
      </w:r>
      <w:r w:rsidR="00741FFF" w:rsidRPr="00893E6D">
        <w:rPr>
          <w:rFonts w:ascii="Times New Roman" w:hAnsi="Times New Roman" w:cs="Times New Roman"/>
          <w:sz w:val="24"/>
          <w:szCs w:val="24"/>
        </w:rPr>
        <w:t xml:space="preserve"> </w:t>
      </w:r>
      <w:r w:rsidR="002F3180" w:rsidRPr="00893E6D">
        <w:rPr>
          <w:rFonts w:ascii="Times New Roman" w:hAnsi="Times New Roman" w:cs="Times New Roman"/>
          <w:sz w:val="24"/>
          <w:szCs w:val="24"/>
        </w:rPr>
        <w:t>6.</w:t>
      </w:r>
      <w:r w:rsidR="00931527" w:rsidRPr="00893E6D">
        <w:rPr>
          <w:rFonts w:ascii="Times New Roman" w:hAnsi="Times New Roman" w:cs="Times New Roman"/>
          <w:sz w:val="24"/>
          <w:szCs w:val="24"/>
        </w:rPr>
        <w:t>231</w:t>
      </w:r>
      <w:r w:rsidRPr="00893E6D">
        <w:rPr>
          <w:rFonts w:ascii="Times New Roman" w:hAnsi="Times New Roman" w:cs="Times New Roman"/>
          <w:sz w:val="24"/>
          <w:szCs w:val="24"/>
        </w:rPr>
        <w:t>%</w:t>
      </w:r>
      <w:r w:rsidR="005E49C1" w:rsidRPr="00893E6D">
        <w:rPr>
          <w:rStyle w:val="FootnoteReference"/>
          <w:rFonts w:ascii="Times New Roman" w:hAnsi="Times New Roman" w:cs="Times New Roman"/>
          <w:sz w:val="24"/>
          <w:szCs w:val="24"/>
        </w:rPr>
        <w:footnoteReference w:id="15"/>
      </w:r>
      <w:r w:rsidRPr="00893E6D">
        <w:rPr>
          <w:rFonts w:ascii="Times New Roman" w:hAnsi="Times New Roman" w:cs="Times New Roman"/>
          <w:sz w:val="24"/>
          <w:szCs w:val="24"/>
        </w:rPr>
        <w:t xml:space="preserve"> decrease in </w:t>
      </w:r>
      <w:r w:rsidR="004E4811" w:rsidRPr="00893E6D">
        <w:rPr>
          <w:rFonts w:ascii="Times New Roman" w:hAnsi="Times New Roman" w:cs="Times New Roman"/>
          <w:sz w:val="24"/>
          <w:szCs w:val="24"/>
        </w:rPr>
        <w:t>idiosyncratic risk</w:t>
      </w:r>
      <w:r w:rsidRPr="00893E6D">
        <w:rPr>
          <w:rFonts w:ascii="Times New Roman" w:hAnsi="Times New Roman" w:cs="Times New Roman"/>
          <w:sz w:val="24"/>
          <w:szCs w:val="24"/>
        </w:rPr>
        <w:t>, yielding an impact ratio of 0.</w:t>
      </w:r>
      <w:r w:rsidR="00931527" w:rsidRPr="00893E6D">
        <w:rPr>
          <w:rFonts w:ascii="Times New Roman" w:hAnsi="Times New Roman" w:cs="Times New Roman"/>
          <w:sz w:val="24"/>
          <w:szCs w:val="24"/>
        </w:rPr>
        <w:t>354</w:t>
      </w:r>
      <w:r w:rsidR="00731846" w:rsidRPr="00893E6D">
        <w:rPr>
          <w:rStyle w:val="FootnoteReference"/>
          <w:rFonts w:ascii="Times New Roman" w:hAnsi="Times New Roman" w:cs="Times New Roman"/>
          <w:sz w:val="24"/>
          <w:szCs w:val="24"/>
        </w:rPr>
        <w:footnoteReference w:id="16"/>
      </w:r>
      <w:r w:rsidRPr="00893E6D">
        <w:rPr>
          <w:rFonts w:ascii="Times New Roman" w:hAnsi="Times New Roman" w:cs="Times New Roman"/>
          <w:sz w:val="24"/>
          <w:szCs w:val="24"/>
        </w:rPr>
        <w:t xml:space="preserve">. Thus, the impact of </w:t>
      </w:r>
      <w:r w:rsidR="00DA5231">
        <w:rPr>
          <w:rFonts w:ascii="Times New Roman" w:hAnsi="Times New Roman" w:cs="Times New Roman"/>
          <w:i/>
          <w:sz w:val="24"/>
          <w:szCs w:val="24"/>
        </w:rPr>
        <w:t>NONOPERINC</w:t>
      </w:r>
      <w:r w:rsidR="00DA5231">
        <w:rPr>
          <w:rFonts w:ascii="Times New Roman" w:hAnsi="Times New Roman" w:cs="Times New Roman"/>
          <w:sz w:val="24"/>
          <w:szCs w:val="24"/>
        </w:rPr>
        <w:t xml:space="preserve"> is </w:t>
      </w:r>
      <w:r w:rsidR="004E57AC">
        <w:rPr>
          <w:rFonts w:ascii="Times New Roman" w:hAnsi="Times New Roman" w:cs="Times New Roman"/>
          <w:sz w:val="24"/>
          <w:szCs w:val="24"/>
        </w:rPr>
        <w:t xml:space="preserve">larger </w:t>
      </w:r>
      <w:r w:rsidR="00DA5231">
        <w:rPr>
          <w:rFonts w:ascii="Times New Roman" w:hAnsi="Times New Roman" w:cs="Times New Roman"/>
          <w:sz w:val="24"/>
          <w:szCs w:val="24"/>
        </w:rPr>
        <w:t xml:space="preserve">than that of </w:t>
      </w:r>
      <w:r w:rsidR="00DA5231" w:rsidRPr="00C80810">
        <w:rPr>
          <w:rFonts w:ascii="Times New Roman" w:hAnsi="Times New Roman" w:cs="Times New Roman"/>
          <w:i/>
          <w:iCs/>
          <w:sz w:val="24"/>
          <w:szCs w:val="24"/>
        </w:rPr>
        <w:t>OPERINC</w:t>
      </w:r>
      <w:r w:rsidR="00DA5231">
        <w:rPr>
          <w:rFonts w:ascii="Times New Roman" w:hAnsi="Times New Roman" w:cs="Times New Roman"/>
          <w:sz w:val="24"/>
          <w:szCs w:val="24"/>
        </w:rPr>
        <w:t xml:space="preserve"> on </w:t>
      </w:r>
      <w:r w:rsidR="00DA5231" w:rsidRPr="00C80810">
        <w:rPr>
          <w:rFonts w:ascii="Times New Roman" w:hAnsi="Times New Roman" w:cs="Times New Roman"/>
          <w:i/>
          <w:iCs/>
          <w:sz w:val="24"/>
          <w:szCs w:val="24"/>
        </w:rPr>
        <w:t>IDIORISK</w:t>
      </w:r>
      <w:r w:rsidR="00DA5231">
        <w:rPr>
          <w:rFonts w:ascii="Times New Roman" w:hAnsi="Times New Roman" w:cs="Times New Roman"/>
          <w:sz w:val="24"/>
          <w:szCs w:val="24"/>
        </w:rPr>
        <w:t xml:space="preserve"> (i.e., 0.434 vs. 0.354)</w:t>
      </w:r>
      <w:r w:rsidRPr="00893E6D">
        <w:rPr>
          <w:rFonts w:ascii="Times New Roman" w:hAnsi="Times New Roman" w:cs="Times New Roman"/>
          <w:sz w:val="24"/>
          <w:szCs w:val="24"/>
        </w:rPr>
        <w:t>.</w:t>
      </w:r>
    </w:p>
    <w:p w14:paraId="57594E67" w14:textId="043A5176" w:rsidR="00020F5D" w:rsidRPr="00893E6D" w:rsidRDefault="00744073" w:rsidP="00A1062B">
      <w:pPr>
        <w:spacing w:line="480" w:lineRule="auto"/>
        <w:ind w:firstLine="720"/>
        <w:jc w:val="both"/>
        <w:rPr>
          <w:rFonts w:ascii="Times New Roman" w:hAnsi="Times New Roman" w:cs="Times New Roman"/>
          <w:sz w:val="24"/>
          <w:szCs w:val="24"/>
        </w:rPr>
      </w:pPr>
      <w:r w:rsidRPr="00DA5231">
        <w:rPr>
          <w:rFonts w:ascii="Times New Roman" w:hAnsi="Times New Roman" w:cs="Times New Roman"/>
          <w:sz w:val="24"/>
          <w:szCs w:val="24"/>
        </w:rPr>
        <w:t xml:space="preserve">The results in Table 4 provide empirical evidence that stock price volatility decreases with non-operating earnings. </w:t>
      </w:r>
      <w:r w:rsidR="00DA5231" w:rsidRPr="00DA5231">
        <w:rPr>
          <w:rFonts w:ascii="Times New Roman" w:hAnsi="Times New Roman" w:cs="Times New Roman"/>
          <w:sz w:val="24"/>
          <w:szCs w:val="24"/>
        </w:rPr>
        <w:t>The estimated coefficients on the control variables suggest that stock price volatility is higher for more liquid stocks (</w:t>
      </w:r>
      <w:r w:rsidR="00DA5231" w:rsidRPr="00BA50BC">
        <w:rPr>
          <w:rFonts w:ascii="Times New Roman" w:hAnsi="Times New Roman" w:cs="Times New Roman"/>
          <w:i/>
          <w:sz w:val="24"/>
          <w:szCs w:val="24"/>
        </w:rPr>
        <w:t>TURNOVER</w:t>
      </w:r>
      <w:r w:rsidR="00DA5231" w:rsidRPr="00DA5231">
        <w:rPr>
          <w:rFonts w:ascii="Times New Roman" w:hAnsi="Times New Roman" w:cs="Times New Roman"/>
          <w:sz w:val="24"/>
          <w:szCs w:val="24"/>
        </w:rPr>
        <w:t>) and stocks of high-leverage firms (both financial leverage (</w:t>
      </w:r>
      <w:r w:rsidR="00DA5231" w:rsidRPr="00BA50BC">
        <w:rPr>
          <w:rFonts w:ascii="Times New Roman" w:hAnsi="Times New Roman" w:cs="Times New Roman"/>
          <w:i/>
          <w:sz w:val="24"/>
          <w:szCs w:val="24"/>
        </w:rPr>
        <w:t>DEBT</w:t>
      </w:r>
      <w:r w:rsidR="00DA5231" w:rsidRPr="00DA5231">
        <w:rPr>
          <w:rFonts w:ascii="Times New Roman" w:hAnsi="Times New Roman" w:cs="Times New Roman"/>
          <w:sz w:val="24"/>
          <w:szCs w:val="24"/>
        </w:rPr>
        <w:t>) and operating leverage (</w:t>
      </w:r>
      <w:r w:rsidR="00DA5231" w:rsidRPr="00BA50BC">
        <w:rPr>
          <w:rFonts w:ascii="Times New Roman" w:hAnsi="Times New Roman" w:cs="Times New Roman"/>
          <w:i/>
          <w:sz w:val="24"/>
          <w:szCs w:val="24"/>
        </w:rPr>
        <w:t>OPERLEV</w:t>
      </w:r>
      <w:r w:rsidR="00DA5231" w:rsidRPr="00DA5231">
        <w:rPr>
          <w:rFonts w:ascii="Times New Roman" w:hAnsi="Times New Roman" w:cs="Times New Roman"/>
          <w:sz w:val="24"/>
          <w:szCs w:val="24"/>
        </w:rPr>
        <w:t xml:space="preserve">)). Consistent with </w:t>
      </w:r>
      <w:proofErr w:type="spellStart"/>
      <w:r w:rsidR="00DA5231" w:rsidRPr="00DA5231">
        <w:rPr>
          <w:rFonts w:ascii="Times New Roman" w:hAnsi="Times New Roman" w:cs="Times New Roman"/>
          <w:sz w:val="24"/>
          <w:szCs w:val="24"/>
        </w:rPr>
        <w:t>Abdoh</w:t>
      </w:r>
      <w:proofErr w:type="spellEnd"/>
      <w:r w:rsidR="00DA5231" w:rsidRPr="00DA5231">
        <w:rPr>
          <w:rFonts w:ascii="Times New Roman" w:hAnsi="Times New Roman" w:cs="Times New Roman"/>
          <w:sz w:val="24"/>
          <w:szCs w:val="24"/>
        </w:rPr>
        <w:t xml:space="preserve"> and Varela (2017), we document firm size (</w:t>
      </w:r>
      <w:r w:rsidR="00DA5231" w:rsidRPr="00BA50BC">
        <w:rPr>
          <w:rFonts w:ascii="Times New Roman" w:hAnsi="Times New Roman" w:cs="Times New Roman"/>
          <w:i/>
          <w:sz w:val="24"/>
          <w:szCs w:val="24"/>
        </w:rPr>
        <w:t>LNAT</w:t>
      </w:r>
      <w:r w:rsidR="00DA5231" w:rsidRPr="00DA5231">
        <w:rPr>
          <w:rFonts w:ascii="Times New Roman" w:hAnsi="Times New Roman" w:cs="Times New Roman"/>
          <w:sz w:val="24"/>
          <w:szCs w:val="24"/>
        </w:rPr>
        <w:t>) and market-to-book ratios (</w:t>
      </w:r>
      <w:r w:rsidR="00DA5231" w:rsidRPr="00BA50BC">
        <w:rPr>
          <w:rFonts w:ascii="Times New Roman" w:hAnsi="Times New Roman" w:cs="Times New Roman"/>
          <w:i/>
          <w:sz w:val="24"/>
          <w:szCs w:val="24"/>
        </w:rPr>
        <w:t>MKBK</w:t>
      </w:r>
      <w:r w:rsidR="00DA5231" w:rsidRPr="00DA5231">
        <w:rPr>
          <w:rFonts w:ascii="Times New Roman" w:hAnsi="Times New Roman" w:cs="Times New Roman"/>
          <w:sz w:val="24"/>
          <w:szCs w:val="24"/>
        </w:rPr>
        <w:t xml:space="preserve">) are negatively related to stock price volatility. </w:t>
      </w:r>
      <w:r w:rsidR="001C3CE2">
        <w:rPr>
          <w:rFonts w:ascii="Times New Roman" w:hAnsi="Times New Roman" w:cs="Times New Roman"/>
          <w:sz w:val="24"/>
          <w:szCs w:val="24"/>
        </w:rPr>
        <w:t>The</w:t>
      </w:r>
      <w:r w:rsidR="00DA5231" w:rsidRPr="00DA5231">
        <w:rPr>
          <w:rFonts w:ascii="Times New Roman" w:hAnsi="Times New Roman" w:cs="Times New Roman"/>
          <w:sz w:val="24"/>
          <w:szCs w:val="24"/>
        </w:rPr>
        <w:t xml:space="preserve"> volatility is also lower for firms with higher dividend yield, higher quasi-index and dedicated institutional ownerships, and high-skilled managers.</w:t>
      </w:r>
      <w:r w:rsidR="003D7319" w:rsidRPr="00893E6D">
        <w:rPr>
          <w:rFonts w:ascii="Times New Roman" w:hAnsi="Times New Roman" w:cs="Times New Roman"/>
          <w:sz w:val="24"/>
          <w:szCs w:val="24"/>
        </w:rPr>
        <w:t xml:space="preserve"> </w:t>
      </w:r>
    </w:p>
    <w:p w14:paraId="4F92B6FA" w14:textId="552005E0" w:rsidR="00A11FA5" w:rsidRPr="00893E6D" w:rsidRDefault="007E4375" w:rsidP="00A1062B">
      <w:pPr>
        <w:pStyle w:val="ListParagraph"/>
        <w:numPr>
          <w:ilvl w:val="1"/>
          <w:numId w:val="1"/>
        </w:numPr>
        <w:spacing w:line="480" w:lineRule="auto"/>
        <w:jc w:val="both"/>
        <w:rPr>
          <w:rFonts w:ascii="Times New Roman" w:hAnsi="Times New Roman" w:cs="Times New Roman"/>
          <w:sz w:val="24"/>
          <w:szCs w:val="24"/>
        </w:rPr>
      </w:pPr>
      <w:r w:rsidRPr="00893E6D">
        <w:rPr>
          <w:rFonts w:ascii="Times New Roman" w:hAnsi="Times New Roman" w:cs="Times New Roman"/>
          <w:b/>
          <w:i/>
          <w:sz w:val="24"/>
          <w:szCs w:val="24"/>
        </w:rPr>
        <w:lastRenderedPageBreak/>
        <w:t>Non-</w:t>
      </w:r>
      <w:r w:rsidR="00047955">
        <w:rPr>
          <w:rFonts w:ascii="Times New Roman" w:hAnsi="Times New Roman" w:cs="Times New Roman"/>
          <w:b/>
          <w:i/>
          <w:sz w:val="24"/>
          <w:szCs w:val="24"/>
        </w:rPr>
        <w:t>o</w:t>
      </w:r>
      <w:r w:rsidRPr="00893E6D">
        <w:rPr>
          <w:rFonts w:ascii="Times New Roman" w:hAnsi="Times New Roman" w:cs="Times New Roman"/>
          <w:b/>
          <w:i/>
          <w:sz w:val="24"/>
          <w:szCs w:val="24"/>
        </w:rPr>
        <w:t xml:space="preserve">perating </w:t>
      </w:r>
      <w:r w:rsidR="00047955">
        <w:rPr>
          <w:rFonts w:ascii="Times New Roman" w:hAnsi="Times New Roman" w:cs="Times New Roman"/>
          <w:b/>
          <w:i/>
          <w:sz w:val="24"/>
          <w:szCs w:val="24"/>
        </w:rPr>
        <w:t>i</w:t>
      </w:r>
      <w:r w:rsidRPr="00893E6D">
        <w:rPr>
          <w:rFonts w:ascii="Times New Roman" w:hAnsi="Times New Roman" w:cs="Times New Roman"/>
          <w:b/>
          <w:i/>
          <w:sz w:val="24"/>
          <w:szCs w:val="24"/>
        </w:rPr>
        <w:t xml:space="preserve">ncome and </w:t>
      </w:r>
      <w:r w:rsidR="00047955">
        <w:rPr>
          <w:rFonts w:ascii="Times New Roman" w:hAnsi="Times New Roman" w:cs="Times New Roman"/>
          <w:b/>
          <w:i/>
          <w:sz w:val="24"/>
          <w:szCs w:val="24"/>
        </w:rPr>
        <w:t>s</w:t>
      </w:r>
      <w:r w:rsidRPr="00893E6D">
        <w:rPr>
          <w:rFonts w:ascii="Times New Roman" w:hAnsi="Times New Roman" w:cs="Times New Roman"/>
          <w:b/>
          <w:i/>
          <w:sz w:val="24"/>
          <w:szCs w:val="24"/>
        </w:rPr>
        <w:t xml:space="preserve">tock </w:t>
      </w:r>
      <w:r w:rsidR="00047955">
        <w:rPr>
          <w:rFonts w:ascii="Times New Roman" w:hAnsi="Times New Roman" w:cs="Times New Roman"/>
          <w:b/>
          <w:i/>
          <w:sz w:val="24"/>
          <w:szCs w:val="24"/>
        </w:rPr>
        <w:t>p</w:t>
      </w:r>
      <w:r w:rsidRPr="00893E6D">
        <w:rPr>
          <w:rFonts w:ascii="Times New Roman" w:hAnsi="Times New Roman" w:cs="Times New Roman"/>
          <w:b/>
          <w:i/>
          <w:sz w:val="24"/>
          <w:szCs w:val="24"/>
        </w:rPr>
        <w:t xml:space="preserve">rice </w:t>
      </w:r>
      <w:r w:rsidR="00047955">
        <w:rPr>
          <w:rFonts w:ascii="Times New Roman" w:hAnsi="Times New Roman" w:cs="Times New Roman"/>
          <w:b/>
          <w:i/>
          <w:sz w:val="24"/>
          <w:szCs w:val="24"/>
        </w:rPr>
        <w:t>c</w:t>
      </w:r>
      <w:r w:rsidRPr="00893E6D">
        <w:rPr>
          <w:rFonts w:ascii="Times New Roman" w:hAnsi="Times New Roman" w:cs="Times New Roman"/>
          <w:b/>
          <w:i/>
          <w:sz w:val="24"/>
          <w:szCs w:val="24"/>
        </w:rPr>
        <w:t xml:space="preserve">rash </w:t>
      </w:r>
      <w:r w:rsidR="00047955">
        <w:rPr>
          <w:rFonts w:ascii="Times New Roman" w:hAnsi="Times New Roman" w:cs="Times New Roman"/>
          <w:b/>
          <w:i/>
          <w:sz w:val="24"/>
          <w:szCs w:val="24"/>
        </w:rPr>
        <w:t>r</w:t>
      </w:r>
      <w:r w:rsidRPr="00893E6D">
        <w:rPr>
          <w:rFonts w:ascii="Times New Roman" w:hAnsi="Times New Roman" w:cs="Times New Roman"/>
          <w:b/>
          <w:i/>
          <w:sz w:val="24"/>
          <w:szCs w:val="24"/>
        </w:rPr>
        <w:t>isk</w:t>
      </w:r>
    </w:p>
    <w:p w14:paraId="01187ABA" w14:textId="352C86E5" w:rsidR="007A1256" w:rsidRPr="00893E6D" w:rsidRDefault="00C4558E" w:rsidP="00A1062B">
      <w:pPr>
        <w:pStyle w:val="ListParagraph"/>
        <w:spacing w:line="480" w:lineRule="auto"/>
        <w:ind w:left="90" w:firstLine="630"/>
        <w:jc w:val="both"/>
        <w:rPr>
          <w:rFonts w:ascii="Times New Roman" w:hAnsi="Times New Roman" w:cs="Times New Roman"/>
          <w:sz w:val="24"/>
          <w:szCs w:val="24"/>
        </w:rPr>
      </w:pPr>
      <w:r w:rsidRPr="00893E6D">
        <w:rPr>
          <w:rFonts w:ascii="Times New Roman" w:hAnsi="Times New Roman" w:cs="Times New Roman"/>
          <w:sz w:val="24"/>
          <w:szCs w:val="24"/>
        </w:rPr>
        <w:t xml:space="preserve">Table </w:t>
      </w:r>
      <w:r w:rsidR="0029323E">
        <w:rPr>
          <w:rFonts w:ascii="Times New Roman" w:hAnsi="Times New Roman" w:cs="Times New Roman"/>
          <w:sz w:val="24"/>
          <w:szCs w:val="24"/>
        </w:rPr>
        <w:t>5</w:t>
      </w:r>
      <w:r w:rsidR="0029323E" w:rsidRPr="00893E6D">
        <w:rPr>
          <w:rFonts w:ascii="Times New Roman" w:hAnsi="Times New Roman" w:cs="Times New Roman"/>
          <w:sz w:val="24"/>
          <w:szCs w:val="24"/>
        </w:rPr>
        <w:t xml:space="preserve"> </w:t>
      </w:r>
      <w:r w:rsidR="002E39E3" w:rsidRPr="00893E6D">
        <w:rPr>
          <w:rFonts w:ascii="Times New Roman" w:hAnsi="Times New Roman" w:cs="Times New Roman"/>
          <w:sz w:val="24"/>
          <w:szCs w:val="24"/>
        </w:rPr>
        <w:t>displays</w:t>
      </w:r>
      <w:r w:rsidRPr="00893E6D">
        <w:rPr>
          <w:rFonts w:ascii="Times New Roman" w:hAnsi="Times New Roman" w:cs="Times New Roman"/>
          <w:sz w:val="24"/>
          <w:szCs w:val="24"/>
        </w:rPr>
        <w:t xml:space="preserve"> the results from the estimation of </w:t>
      </w:r>
      <w:r w:rsidR="00456AF8" w:rsidRPr="00893E6D">
        <w:rPr>
          <w:rFonts w:ascii="Times New Roman" w:hAnsi="Times New Roman" w:cs="Times New Roman"/>
          <w:sz w:val="24"/>
          <w:szCs w:val="24"/>
        </w:rPr>
        <w:t xml:space="preserve">the relation between non-operating earnings and stock price crash risk </w:t>
      </w:r>
      <w:r w:rsidR="00443FB9" w:rsidRPr="00893E6D">
        <w:rPr>
          <w:rFonts w:ascii="Times New Roman" w:hAnsi="Times New Roman" w:cs="Times New Roman"/>
          <w:sz w:val="24"/>
          <w:szCs w:val="24"/>
        </w:rPr>
        <w:t xml:space="preserve">(Equation </w:t>
      </w:r>
      <w:r w:rsidR="000974AA" w:rsidRPr="00893E6D">
        <w:rPr>
          <w:rFonts w:ascii="Times New Roman" w:hAnsi="Times New Roman" w:cs="Times New Roman"/>
          <w:sz w:val="24"/>
          <w:szCs w:val="24"/>
        </w:rPr>
        <w:t>(</w:t>
      </w:r>
      <w:r w:rsidR="00443FB9" w:rsidRPr="00893E6D">
        <w:rPr>
          <w:rFonts w:ascii="Times New Roman" w:hAnsi="Times New Roman" w:cs="Times New Roman"/>
          <w:sz w:val="24"/>
          <w:szCs w:val="24"/>
        </w:rPr>
        <w:t>10</w:t>
      </w:r>
      <w:r w:rsidR="000974AA" w:rsidRPr="00893E6D">
        <w:rPr>
          <w:rFonts w:ascii="Times New Roman" w:hAnsi="Times New Roman" w:cs="Times New Roman"/>
          <w:sz w:val="24"/>
          <w:szCs w:val="24"/>
        </w:rPr>
        <w:t>)</w:t>
      </w:r>
      <w:r w:rsidR="00443FB9" w:rsidRPr="00893E6D">
        <w:rPr>
          <w:rFonts w:ascii="Times New Roman" w:hAnsi="Times New Roman" w:cs="Times New Roman"/>
          <w:sz w:val="24"/>
          <w:szCs w:val="24"/>
        </w:rPr>
        <w:t>)</w:t>
      </w:r>
      <w:r w:rsidR="00E42DCD" w:rsidRPr="00893E6D">
        <w:rPr>
          <w:rFonts w:ascii="Times New Roman" w:hAnsi="Times New Roman" w:cs="Times New Roman"/>
          <w:sz w:val="24"/>
          <w:szCs w:val="24"/>
        </w:rPr>
        <w:t xml:space="preserve"> </w:t>
      </w:r>
      <w:r w:rsidRPr="00893E6D">
        <w:rPr>
          <w:rFonts w:ascii="Times New Roman" w:hAnsi="Times New Roman" w:cs="Times New Roman"/>
          <w:sz w:val="24"/>
          <w:szCs w:val="24"/>
        </w:rPr>
        <w:t xml:space="preserve">using </w:t>
      </w:r>
      <w:r w:rsidR="007B5CA9" w:rsidRPr="00893E6D">
        <w:rPr>
          <w:rFonts w:ascii="Times New Roman" w:hAnsi="Times New Roman" w:cs="Times New Roman"/>
          <w:sz w:val="24"/>
          <w:szCs w:val="24"/>
        </w:rPr>
        <w:t>panel-data fixed effect estimation approach</w:t>
      </w:r>
      <w:r w:rsidRPr="00893E6D">
        <w:rPr>
          <w:rFonts w:ascii="Times New Roman" w:hAnsi="Times New Roman" w:cs="Times New Roman"/>
          <w:sz w:val="24"/>
          <w:szCs w:val="24"/>
        </w:rPr>
        <w:t>. The dependent variable</w:t>
      </w:r>
      <w:r w:rsidR="004D15E8" w:rsidRPr="00893E6D">
        <w:rPr>
          <w:rFonts w:ascii="Times New Roman" w:hAnsi="Times New Roman" w:cs="Times New Roman"/>
          <w:sz w:val="24"/>
          <w:szCs w:val="24"/>
        </w:rPr>
        <w:t>, stock price crash risk,</w:t>
      </w:r>
      <w:r w:rsidRPr="00893E6D">
        <w:rPr>
          <w:rFonts w:ascii="Times New Roman" w:hAnsi="Times New Roman" w:cs="Times New Roman"/>
          <w:sz w:val="24"/>
          <w:szCs w:val="24"/>
        </w:rPr>
        <w:t xml:space="preserve"> </w:t>
      </w:r>
      <w:r w:rsidR="004D15E8" w:rsidRPr="00893E6D">
        <w:rPr>
          <w:rFonts w:ascii="Times New Roman" w:hAnsi="Times New Roman" w:cs="Times New Roman"/>
          <w:sz w:val="24"/>
          <w:szCs w:val="24"/>
        </w:rPr>
        <w:t xml:space="preserve">is </w:t>
      </w:r>
      <w:r w:rsidRPr="00893E6D">
        <w:rPr>
          <w:rFonts w:ascii="Times New Roman" w:hAnsi="Times New Roman" w:cs="Times New Roman"/>
          <w:i/>
          <w:sz w:val="24"/>
          <w:szCs w:val="24"/>
        </w:rPr>
        <w:t>NCSKEW</w:t>
      </w:r>
      <w:r w:rsidRPr="00893E6D">
        <w:rPr>
          <w:rFonts w:ascii="Times New Roman" w:hAnsi="Times New Roman" w:cs="Times New Roman"/>
          <w:sz w:val="24"/>
          <w:szCs w:val="24"/>
        </w:rPr>
        <w:t xml:space="preserve"> in Panel A, </w:t>
      </w:r>
      <w:r w:rsidRPr="00893E6D">
        <w:rPr>
          <w:rFonts w:ascii="Times New Roman" w:hAnsi="Times New Roman" w:cs="Times New Roman"/>
          <w:i/>
          <w:sz w:val="24"/>
          <w:szCs w:val="24"/>
        </w:rPr>
        <w:t>DUVOL</w:t>
      </w:r>
      <w:r w:rsidRPr="00893E6D">
        <w:rPr>
          <w:rFonts w:ascii="Times New Roman" w:hAnsi="Times New Roman" w:cs="Times New Roman"/>
          <w:sz w:val="24"/>
          <w:szCs w:val="24"/>
        </w:rPr>
        <w:t xml:space="preserve"> in Panel B, and </w:t>
      </w:r>
      <w:r w:rsidRPr="00893E6D">
        <w:rPr>
          <w:rFonts w:ascii="Times New Roman" w:hAnsi="Times New Roman" w:cs="Times New Roman"/>
          <w:i/>
          <w:sz w:val="24"/>
          <w:szCs w:val="24"/>
        </w:rPr>
        <w:t>COUNT</w:t>
      </w:r>
      <w:r w:rsidRPr="00893E6D">
        <w:rPr>
          <w:rFonts w:ascii="Times New Roman" w:hAnsi="Times New Roman" w:cs="Times New Roman"/>
          <w:sz w:val="24"/>
          <w:szCs w:val="24"/>
        </w:rPr>
        <w:t xml:space="preserve"> in Panel C.</w:t>
      </w:r>
      <w:r w:rsidR="00D06A3D" w:rsidRPr="00893E6D">
        <w:rPr>
          <w:rFonts w:ascii="Times New Roman" w:hAnsi="Times New Roman" w:cs="Times New Roman"/>
          <w:sz w:val="24"/>
          <w:szCs w:val="24"/>
        </w:rPr>
        <w:t xml:space="preserve"> All reported coefficients are standardized coefficients.</w:t>
      </w:r>
    </w:p>
    <w:p w14:paraId="14BF6C0B" w14:textId="136408BB" w:rsidR="00734B2A" w:rsidRPr="00893E6D" w:rsidRDefault="00734B2A" w:rsidP="00B73A42">
      <w:pPr>
        <w:spacing w:line="480" w:lineRule="auto"/>
        <w:jc w:val="center"/>
        <w:rPr>
          <w:rFonts w:ascii="Times New Roman" w:hAnsi="Times New Roman" w:cs="Times New Roman"/>
          <w:sz w:val="24"/>
          <w:szCs w:val="24"/>
        </w:rPr>
      </w:pPr>
      <w:r w:rsidRPr="00893E6D">
        <w:rPr>
          <w:rFonts w:ascii="Times New Roman" w:hAnsi="Times New Roman" w:cs="Times New Roman"/>
          <w:sz w:val="24"/>
          <w:szCs w:val="24"/>
        </w:rPr>
        <w:t xml:space="preserve">[INSERT TABLE </w:t>
      </w:r>
      <w:r w:rsidR="0029323E">
        <w:rPr>
          <w:rFonts w:ascii="Times New Roman" w:hAnsi="Times New Roman" w:cs="Times New Roman"/>
          <w:sz w:val="24"/>
          <w:szCs w:val="24"/>
        </w:rPr>
        <w:t>5</w:t>
      </w:r>
      <w:r w:rsidR="0029323E" w:rsidRPr="00893E6D">
        <w:rPr>
          <w:rFonts w:ascii="Times New Roman" w:hAnsi="Times New Roman" w:cs="Times New Roman"/>
          <w:sz w:val="24"/>
          <w:szCs w:val="24"/>
        </w:rPr>
        <w:t xml:space="preserve"> </w:t>
      </w:r>
      <w:r w:rsidRPr="00893E6D">
        <w:rPr>
          <w:rFonts w:ascii="Times New Roman" w:hAnsi="Times New Roman" w:cs="Times New Roman"/>
          <w:sz w:val="24"/>
          <w:szCs w:val="24"/>
        </w:rPr>
        <w:t>ABOUT HERE]</w:t>
      </w:r>
    </w:p>
    <w:p w14:paraId="6FE5E8A7" w14:textId="5BF595FD" w:rsidR="00A71892" w:rsidRPr="00893E6D" w:rsidRDefault="00A71892" w:rsidP="00A1062B">
      <w:pPr>
        <w:pStyle w:val="ListParagraph"/>
        <w:spacing w:line="480" w:lineRule="auto"/>
        <w:ind w:left="0" w:firstLine="720"/>
        <w:jc w:val="both"/>
        <w:rPr>
          <w:rFonts w:ascii="Times New Roman" w:hAnsi="Times New Roman" w:cs="Times New Roman"/>
          <w:sz w:val="24"/>
          <w:szCs w:val="24"/>
        </w:rPr>
      </w:pPr>
      <w:r w:rsidRPr="00893E6D">
        <w:rPr>
          <w:rFonts w:ascii="Times New Roman" w:hAnsi="Times New Roman" w:cs="Times New Roman"/>
          <w:sz w:val="24"/>
          <w:szCs w:val="24"/>
        </w:rPr>
        <w:t>Panel A</w:t>
      </w:r>
      <w:r w:rsidR="004D15E8" w:rsidRPr="00893E6D">
        <w:rPr>
          <w:rFonts w:ascii="Times New Roman" w:hAnsi="Times New Roman" w:cs="Times New Roman"/>
          <w:sz w:val="24"/>
          <w:szCs w:val="24"/>
        </w:rPr>
        <w:t xml:space="preserve"> shows </w:t>
      </w:r>
      <w:r w:rsidRPr="00893E6D">
        <w:rPr>
          <w:rFonts w:ascii="Times New Roman" w:hAnsi="Times New Roman" w:cs="Times New Roman"/>
          <w:sz w:val="24"/>
          <w:szCs w:val="24"/>
        </w:rPr>
        <w:t xml:space="preserve">an increase of one standard deviation in </w:t>
      </w:r>
      <w:r w:rsidR="00AB2468" w:rsidRPr="00893E6D">
        <w:rPr>
          <w:rFonts w:ascii="Times New Roman" w:hAnsi="Times New Roman" w:cs="Times New Roman"/>
          <w:sz w:val="24"/>
          <w:szCs w:val="24"/>
        </w:rPr>
        <w:t>non-operating</w:t>
      </w:r>
      <w:r w:rsidRPr="00893E6D">
        <w:rPr>
          <w:rFonts w:ascii="Times New Roman" w:hAnsi="Times New Roman" w:cs="Times New Roman"/>
          <w:sz w:val="24"/>
          <w:szCs w:val="24"/>
        </w:rPr>
        <w:t xml:space="preserve"> earnings </w:t>
      </w:r>
      <w:r w:rsidR="00FA113A">
        <w:rPr>
          <w:rFonts w:ascii="Times New Roman" w:hAnsi="Times New Roman" w:cs="Times New Roman"/>
          <w:sz w:val="24"/>
          <w:szCs w:val="24"/>
        </w:rPr>
        <w:t>(</w:t>
      </w:r>
      <w:r w:rsidRPr="00893E6D">
        <w:rPr>
          <w:rFonts w:ascii="Times New Roman" w:hAnsi="Times New Roman" w:cs="Times New Roman"/>
          <w:i/>
          <w:sz w:val="24"/>
          <w:szCs w:val="24"/>
        </w:rPr>
        <w:t>NONOPERINC</w:t>
      </w:r>
      <w:r w:rsidR="00FA113A">
        <w:rPr>
          <w:rFonts w:ascii="Times New Roman" w:hAnsi="Times New Roman" w:cs="Times New Roman"/>
          <w:i/>
          <w:sz w:val="24"/>
          <w:szCs w:val="24"/>
        </w:rPr>
        <w:t>)</w:t>
      </w:r>
      <w:r w:rsidRPr="00893E6D">
        <w:rPr>
          <w:rFonts w:ascii="Times New Roman" w:hAnsi="Times New Roman" w:cs="Times New Roman"/>
          <w:sz w:val="24"/>
          <w:szCs w:val="24"/>
        </w:rPr>
        <w:t xml:space="preserve"> is associated with a decrease of 0.01</w:t>
      </w:r>
      <w:r w:rsidR="000A7CEE" w:rsidRPr="00893E6D">
        <w:rPr>
          <w:rFonts w:ascii="Times New Roman" w:hAnsi="Times New Roman" w:cs="Times New Roman"/>
          <w:sz w:val="24"/>
          <w:szCs w:val="24"/>
        </w:rPr>
        <w:t>4</w:t>
      </w:r>
      <w:r w:rsidRPr="00893E6D">
        <w:rPr>
          <w:rFonts w:ascii="Times New Roman" w:hAnsi="Times New Roman" w:cs="Times New Roman"/>
          <w:sz w:val="24"/>
          <w:szCs w:val="24"/>
        </w:rPr>
        <w:t xml:space="preserve"> × standard deviation in negative conditional skewness of firm-specific weekly return </w:t>
      </w:r>
      <w:r w:rsidR="00FA113A">
        <w:rPr>
          <w:rFonts w:ascii="Times New Roman" w:hAnsi="Times New Roman" w:cs="Times New Roman"/>
          <w:sz w:val="24"/>
          <w:szCs w:val="24"/>
        </w:rPr>
        <w:t>(</w:t>
      </w:r>
      <w:r w:rsidRPr="00893E6D">
        <w:rPr>
          <w:rFonts w:ascii="Times New Roman" w:hAnsi="Times New Roman" w:cs="Times New Roman"/>
          <w:i/>
          <w:sz w:val="24"/>
          <w:szCs w:val="24"/>
        </w:rPr>
        <w:t>NCSKEW</w:t>
      </w:r>
      <w:r w:rsidR="00FA113A">
        <w:rPr>
          <w:rFonts w:ascii="Times New Roman" w:hAnsi="Times New Roman" w:cs="Times New Roman"/>
          <w:i/>
          <w:sz w:val="24"/>
          <w:szCs w:val="24"/>
        </w:rPr>
        <w:t>)</w:t>
      </w:r>
      <w:r w:rsidRPr="00893E6D">
        <w:rPr>
          <w:rFonts w:ascii="Times New Roman" w:hAnsi="Times New Roman" w:cs="Times New Roman"/>
          <w:sz w:val="24"/>
          <w:szCs w:val="24"/>
        </w:rPr>
        <w:t xml:space="preserve">. Specifically, a 1.7% increase in </w:t>
      </w:r>
      <w:r w:rsidRPr="00893E6D">
        <w:rPr>
          <w:rFonts w:ascii="Times New Roman" w:hAnsi="Times New Roman" w:cs="Times New Roman"/>
          <w:i/>
          <w:sz w:val="24"/>
          <w:szCs w:val="24"/>
        </w:rPr>
        <w:t>NONOPERINC</w:t>
      </w:r>
      <w:r w:rsidRPr="00893E6D">
        <w:rPr>
          <w:rFonts w:ascii="Times New Roman" w:hAnsi="Times New Roman" w:cs="Times New Roman"/>
          <w:sz w:val="24"/>
          <w:szCs w:val="24"/>
        </w:rPr>
        <w:t xml:space="preserve"> leads to a 1.</w:t>
      </w:r>
      <w:r w:rsidR="000A7CEE" w:rsidRPr="00893E6D">
        <w:rPr>
          <w:rFonts w:ascii="Times New Roman" w:hAnsi="Times New Roman" w:cs="Times New Roman"/>
          <w:sz w:val="24"/>
          <w:szCs w:val="24"/>
        </w:rPr>
        <w:t>184</w:t>
      </w:r>
      <w:r w:rsidRPr="00893E6D">
        <w:rPr>
          <w:rFonts w:ascii="Times New Roman" w:hAnsi="Times New Roman" w:cs="Times New Roman"/>
          <w:sz w:val="24"/>
          <w:szCs w:val="24"/>
        </w:rPr>
        <w:t>% decrease (0.01</w:t>
      </w:r>
      <w:r w:rsidR="000A7CEE" w:rsidRPr="00893E6D">
        <w:rPr>
          <w:rFonts w:ascii="Times New Roman" w:hAnsi="Times New Roman" w:cs="Times New Roman"/>
          <w:sz w:val="24"/>
          <w:szCs w:val="24"/>
        </w:rPr>
        <w:t>4</w:t>
      </w:r>
      <w:r w:rsidRPr="00893E6D">
        <w:rPr>
          <w:rFonts w:ascii="Times New Roman" w:hAnsi="Times New Roman" w:cs="Times New Roman"/>
          <w:sz w:val="24"/>
          <w:szCs w:val="24"/>
        </w:rPr>
        <w:t xml:space="preserve"> × 0.846) in </w:t>
      </w:r>
      <w:r w:rsidRPr="00893E6D">
        <w:rPr>
          <w:rFonts w:ascii="Times New Roman" w:hAnsi="Times New Roman" w:cs="Times New Roman"/>
          <w:i/>
          <w:sz w:val="24"/>
          <w:szCs w:val="24"/>
        </w:rPr>
        <w:t xml:space="preserve">NCSKEW, </w:t>
      </w:r>
      <w:r w:rsidRPr="00893E6D">
        <w:rPr>
          <w:rFonts w:ascii="Times New Roman" w:hAnsi="Times New Roman" w:cs="Times New Roman"/>
          <w:sz w:val="24"/>
          <w:szCs w:val="24"/>
        </w:rPr>
        <w:t>yielding an impact ratio of 0.</w:t>
      </w:r>
      <w:r w:rsidR="000A7CEE" w:rsidRPr="00893E6D">
        <w:rPr>
          <w:rFonts w:ascii="Times New Roman" w:hAnsi="Times New Roman" w:cs="Times New Roman"/>
          <w:sz w:val="24"/>
          <w:szCs w:val="24"/>
        </w:rPr>
        <w:t xml:space="preserve">697 </w:t>
      </w:r>
      <w:r w:rsidRPr="00893E6D">
        <w:rPr>
          <w:rFonts w:ascii="Times New Roman" w:hAnsi="Times New Roman" w:cs="Times New Roman"/>
          <w:sz w:val="24"/>
          <w:szCs w:val="24"/>
        </w:rPr>
        <w:t>(</w:t>
      </w:r>
      <w:r w:rsidR="000A7CEE" w:rsidRPr="00893E6D">
        <w:rPr>
          <w:rFonts w:ascii="Times New Roman" w:hAnsi="Times New Roman" w:cs="Times New Roman"/>
          <w:sz w:val="24"/>
          <w:szCs w:val="24"/>
        </w:rPr>
        <w:t xml:space="preserve">1.184% </w:t>
      </w:r>
      <w:r w:rsidRPr="00893E6D">
        <w:rPr>
          <w:rFonts w:ascii="Times New Roman" w:hAnsi="Times New Roman" w:cs="Times New Roman"/>
          <w:sz w:val="24"/>
          <w:szCs w:val="24"/>
        </w:rPr>
        <w:t xml:space="preserve">divided by 1.7%). </w:t>
      </w:r>
      <w:r w:rsidR="004D15E8" w:rsidRPr="00893E6D">
        <w:rPr>
          <w:rFonts w:ascii="Times New Roman" w:hAnsi="Times New Roman" w:cs="Times New Roman"/>
          <w:sz w:val="24"/>
          <w:szCs w:val="24"/>
        </w:rPr>
        <w:t>Meanwhile</w:t>
      </w:r>
      <w:r w:rsidRPr="00893E6D">
        <w:rPr>
          <w:rFonts w:ascii="Times New Roman" w:hAnsi="Times New Roman" w:cs="Times New Roman"/>
          <w:sz w:val="24"/>
          <w:szCs w:val="24"/>
        </w:rPr>
        <w:t xml:space="preserve">, an increase of one standard deviation in operating earnings </w:t>
      </w:r>
      <w:r w:rsidR="00FA113A">
        <w:rPr>
          <w:rFonts w:ascii="Times New Roman" w:hAnsi="Times New Roman" w:cs="Times New Roman"/>
          <w:sz w:val="24"/>
          <w:szCs w:val="24"/>
        </w:rPr>
        <w:t>(</w:t>
      </w:r>
      <w:r w:rsidRPr="00893E6D">
        <w:rPr>
          <w:rFonts w:ascii="Times New Roman" w:hAnsi="Times New Roman" w:cs="Times New Roman"/>
          <w:i/>
          <w:sz w:val="24"/>
          <w:szCs w:val="24"/>
        </w:rPr>
        <w:t>OPERINC</w:t>
      </w:r>
      <w:r w:rsidR="00FA113A">
        <w:rPr>
          <w:rFonts w:ascii="Times New Roman" w:hAnsi="Times New Roman" w:cs="Times New Roman"/>
          <w:i/>
          <w:sz w:val="24"/>
          <w:szCs w:val="24"/>
        </w:rPr>
        <w:t>)</w:t>
      </w:r>
      <w:r w:rsidRPr="00893E6D">
        <w:rPr>
          <w:rFonts w:ascii="Times New Roman" w:hAnsi="Times New Roman" w:cs="Times New Roman"/>
          <w:sz w:val="24"/>
          <w:szCs w:val="24"/>
        </w:rPr>
        <w:t xml:space="preserve"> leads to a decrease of 0.0</w:t>
      </w:r>
      <w:r w:rsidR="000A7CEE" w:rsidRPr="00893E6D">
        <w:rPr>
          <w:rFonts w:ascii="Times New Roman" w:hAnsi="Times New Roman" w:cs="Times New Roman"/>
          <w:sz w:val="24"/>
          <w:szCs w:val="24"/>
        </w:rPr>
        <w:t>41</w:t>
      </w:r>
      <w:r w:rsidRPr="00893E6D">
        <w:rPr>
          <w:rFonts w:ascii="Times New Roman" w:hAnsi="Times New Roman" w:cs="Times New Roman"/>
          <w:sz w:val="24"/>
          <w:szCs w:val="24"/>
        </w:rPr>
        <w:t xml:space="preserve"> × standard deviation in </w:t>
      </w:r>
      <w:r w:rsidRPr="00893E6D">
        <w:rPr>
          <w:rFonts w:ascii="Times New Roman" w:hAnsi="Times New Roman" w:cs="Times New Roman"/>
          <w:i/>
          <w:sz w:val="24"/>
          <w:szCs w:val="24"/>
        </w:rPr>
        <w:t>NCSKEW</w:t>
      </w:r>
      <w:r w:rsidRPr="00893E6D">
        <w:rPr>
          <w:rFonts w:ascii="Times New Roman" w:hAnsi="Times New Roman" w:cs="Times New Roman"/>
          <w:sz w:val="24"/>
          <w:szCs w:val="24"/>
        </w:rPr>
        <w:t xml:space="preserve">. A 17.6% increase in </w:t>
      </w:r>
      <w:r w:rsidRPr="00893E6D">
        <w:rPr>
          <w:rFonts w:ascii="Times New Roman" w:hAnsi="Times New Roman" w:cs="Times New Roman"/>
          <w:i/>
          <w:sz w:val="24"/>
          <w:szCs w:val="24"/>
        </w:rPr>
        <w:t>OPERINC</w:t>
      </w:r>
      <w:r w:rsidRPr="00893E6D">
        <w:rPr>
          <w:rFonts w:ascii="Times New Roman" w:hAnsi="Times New Roman" w:cs="Times New Roman"/>
          <w:sz w:val="24"/>
          <w:szCs w:val="24"/>
        </w:rPr>
        <w:t xml:space="preserve"> leads to a </w:t>
      </w:r>
      <w:r w:rsidR="000A7CEE" w:rsidRPr="00893E6D">
        <w:rPr>
          <w:rFonts w:ascii="Times New Roman" w:hAnsi="Times New Roman" w:cs="Times New Roman"/>
          <w:sz w:val="24"/>
          <w:szCs w:val="24"/>
        </w:rPr>
        <w:t>3.469</w:t>
      </w:r>
      <w:r w:rsidRPr="00893E6D">
        <w:rPr>
          <w:rFonts w:ascii="Times New Roman" w:hAnsi="Times New Roman" w:cs="Times New Roman"/>
          <w:sz w:val="24"/>
          <w:szCs w:val="24"/>
        </w:rPr>
        <w:t>% decrease (0.0</w:t>
      </w:r>
      <w:r w:rsidR="000A7CEE" w:rsidRPr="00893E6D">
        <w:rPr>
          <w:rFonts w:ascii="Times New Roman" w:hAnsi="Times New Roman" w:cs="Times New Roman"/>
          <w:sz w:val="24"/>
          <w:szCs w:val="24"/>
        </w:rPr>
        <w:t>41</w:t>
      </w:r>
      <w:r w:rsidRPr="00893E6D">
        <w:rPr>
          <w:rFonts w:ascii="Times New Roman" w:hAnsi="Times New Roman" w:cs="Times New Roman"/>
          <w:sz w:val="24"/>
          <w:szCs w:val="24"/>
        </w:rPr>
        <w:t xml:space="preserve"> × 0.846) in </w:t>
      </w:r>
      <w:r w:rsidRPr="00893E6D">
        <w:rPr>
          <w:rFonts w:ascii="Times New Roman" w:hAnsi="Times New Roman" w:cs="Times New Roman"/>
          <w:i/>
          <w:sz w:val="24"/>
          <w:szCs w:val="24"/>
        </w:rPr>
        <w:t>NCSKEW</w:t>
      </w:r>
      <w:r w:rsidRPr="00893E6D">
        <w:rPr>
          <w:rFonts w:ascii="Times New Roman" w:hAnsi="Times New Roman" w:cs="Times New Roman"/>
          <w:sz w:val="24"/>
          <w:szCs w:val="24"/>
        </w:rPr>
        <w:t>, yielding an impact ratio of 0.</w:t>
      </w:r>
      <w:r w:rsidR="000A7CEE" w:rsidRPr="00893E6D">
        <w:rPr>
          <w:rFonts w:ascii="Times New Roman" w:hAnsi="Times New Roman" w:cs="Times New Roman"/>
          <w:sz w:val="24"/>
          <w:szCs w:val="24"/>
        </w:rPr>
        <w:t>197</w:t>
      </w:r>
      <w:r w:rsidRPr="00893E6D">
        <w:rPr>
          <w:rFonts w:ascii="Times New Roman" w:hAnsi="Times New Roman" w:cs="Times New Roman"/>
          <w:sz w:val="24"/>
          <w:szCs w:val="24"/>
        </w:rPr>
        <w:t xml:space="preserve"> (</w:t>
      </w:r>
      <w:r w:rsidR="000A7CEE" w:rsidRPr="00893E6D">
        <w:rPr>
          <w:rFonts w:ascii="Times New Roman" w:hAnsi="Times New Roman" w:cs="Times New Roman"/>
          <w:sz w:val="24"/>
          <w:szCs w:val="24"/>
        </w:rPr>
        <w:t xml:space="preserve">3.469% </w:t>
      </w:r>
      <w:r w:rsidRPr="00893E6D">
        <w:rPr>
          <w:rFonts w:ascii="Times New Roman" w:hAnsi="Times New Roman" w:cs="Times New Roman"/>
          <w:sz w:val="24"/>
          <w:szCs w:val="24"/>
        </w:rPr>
        <w:t xml:space="preserve">divided by 17.6%). </w:t>
      </w:r>
      <w:r w:rsidR="004D15E8" w:rsidRPr="00893E6D">
        <w:rPr>
          <w:rFonts w:ascii="Times New Roman" w:hAnsi="Times New Roman" w:cs="Times New Roman"/>
          <w:sz w:val="24"/>
          <w:szCs w:val="24"/>
        </w:rPr>
        <w:t>T</w:t>
      </w:r>
      <w:r w:rsidRPr="00893E6D">
        <w:rPr>
          <w:rFonts w:ascii="Times New Roman" w:hAnsi="Times New Roman" w:cs="Times New Roman"/>
          <w:sz w:val="24"/>
          <w:szCs w:val="24"/>
        </w:rPr>
        <w:t xml:space="preserve">he impact of </w:t>
      </w:r>
      <w:r w:rsidR="00E630CC">
        <w:rPr>
          <w:rFonts w:ascii="Times New Roman" w:hAnsi="Times New Roman" w:cs="Times New Roman"/>
          <w:i/>
          <w:sz w:val="24"/>
          <w:szCs w:val="24"/>
        </w:rPr>
        <w:t>NONOPERINC</w:t>
      </w:r>
      <w:r w:rsidR="00E630CC" w:rsidRPr="00893E6D">
        <w:rPr>
          <w:rFonts w:ascii="Times New Roman" w:hAnsi="Times New Roman" w:cs="Times New Roman"/>
          <w:sz w:val="24"/>
          <w:szCs w:val="24"/>
        </w:rPr>
        <w:t xml:space="preserve"> </w:t>
      </w:r>
      <w:r w:rsidRPr="00893E6D">
        <w:rPr>
          <w:rFonts w:ascii="Times New Roman" w:hAnsi="Times New Roman" w:cs="Times New Roman"/>
          <w:sz w:val="24"/>
          <w:szCs w:val="24"/>
        </w:rPr>
        <w:t xml:space="preserve">on </w:t>
      </w:r>
      <w:r w:rsidRPr="00893E6D">
        <w:rPr>
          <w:rFonts w:ascii="Times New Roman" w:hAnsi="Times New Roman" w:cs="Times New Roman"/>
          <w:i/>
          <w:sz w:val="24"/>
          <w:szCs w:val="24"/>
        </w:rPr>
        <w:t>NCSKEW</w:t>
      </w:r>
      <w:r w:rsidRPr="00893E6D">
        <w:rPr>
          <w:rFonts w:ascii="Times New Roman" w:hAnsi="Times New Roman" w:cs="Times New Roman"/>
          <w:sz w:val="24"/>
          <w:szCs w:val="24"/>
        </w:rPr>
        <w:t xml:space="preserve"> is </w:t>
      </w:r>
      <w:r w:rsidR="000A7CEE" w:rsidRPr="00893E6D">
        <w:rPr>
          <w:rFonts w:ascii="Times New Roman" w:hAnsi="Times New Roman" w:cs="Times New Roman"/>
          <w:sz w:val="24"/>
          <w:szCs w:val="24"/>
        </w:rPr>
        <w:t xml:space="preserve">almost 3.5 times </w:t>
      </w:r>
      <w:r w:rsidR="00E630CC">
        <w:rPr>
          <w:rFonts w:ascii="Times New Roman" w:hAnsi="Times New Roman" w:cs="Times New Roman"/>
          <w:sz w:val="24"/>
          <w:szCs w:val="24"/>
        </w:rPr>
        <w:t>larger</w:t>
      </w:r>
      <w:r w:rsidR="00E630CC" w:rsidRPr="00893E6D">
        <w:rPr>
          <w:rFonts w:ascii="Times New Roman" w:hAnsi="Times New Roman" w:cs="Times New Roman"/>
          <w:sz w:val="24"/>
          <w:szCs w:val="24"/>
        </w:rPr>
        <w:t xml:space="preserve"> </w:t>
      </w:r>
      <w:r w:rsidRPr="00893E6D">
        <w:rPr>
          <w:rFonts w:ascii="Times New Roman" w:hAnsi="Times New Roman" w:cs="Times New Roman"/>
          <w:sz w:val="24"/>
          <w:szCs w:val="24"/>
        </w:rPr>
        <w:t xml:space="preserve">than that of </w:t>
      </w:r>
      <w:r w:rsidR="00E630CC">
        <w:rPr>
          <w:rFonts w:ascii="Times New Roman" w:hAnsi="Times New Roman" w:cs="Times New Roman"/>
          <w:i/>
          <w:sz w:val="24"/>
          <w:szCs w:val="24"/>
        </w:rPr>
        <w:t>OPERINC</w:t>
      </w:r>
      <w:r w:rsidR="00E630CC" w:rsidRPr="00893E6D">
        <w:rPr>
          <w:rFonts w:ascii="Times New Roman" w:hAnsi="Times New Roman" w:cs="Times New Roman"/>
          <w:i/>
          <w:sz w:val="24"/>
          <w:szCs w:val="24"/>
        </w:rPr>
        <w:t xml:space="preserve"> </w:t>
      </w:r>
      <w:r w:rsidRPr="00893E6D">
        <w:rPr>
          <w:rFonts w:ascii="Times New Roman" w:hAnsi="Times New Roman" w:cs="Times New Roman"/>
          <w:sz w:val="24"/>
          <w:szCs w:val="24"/>
        </w:rPr>
        <w:t>(</w:t>
      </w:r>
      <w:r w:rsidR="00443FB9" w:rsidRPr="00893E6D">
        <w:rPr>
          <w:rFonts w:ascii="Times New Roman" w:hAnsi="Times New Roman" w:cs="Times New Roman"/>
          <w:sz w:val="24"/>
          <w:szCs w:val="24"/>
        </w:rPr>
        <w:t>0.</w:t>
      </w:r>
      <w:r w:rsidR="00E630CC">
        <w:rPr>
          <w:rFonts w:ascii="Times New Roman" w:hAnsi="Times New Roman" w:cs="Times New Roman"/>
          <w:sz w:val="24"/>
          <w:szCs w:val="24"/>
        </w:rPr>
        <w:t>6</w:t>
      </w:r>
      <w:r w:rsidR="00443FB9" w:rsidRPr="00893E6D">
        <w:rPr>
          <w:rFonts w:ascii="Times New Roman" w:hAnsi="Times New Roman" w:cs="Times New Roman"/>
          <w:sz w:val="24"/>
          <w:szCs w:val="24"/>
        </w:rPr>
        <w:t xml:space="preserve">97 vs </w:t>
      </w:r>
      <w:r w:rsidRPr="00893E6D">
        <w:rPr>
          <w:rFonts w:ascii="Times New Roman" w:hAnsi="Times New Roman" w:cs="Times New Roman"/>
          <w:sz w:val="24"/>
          <w:szCs w:val="24"/>
        </w:rPr>
        <w:t>0.</w:t>
      </w:r>
      <w:r w:rsidR="00E630CC">
        <w:rPr>
          <w:rFonts w:ascii="Times New Roman" w:hAnsi="Times New Roman" w:cs="Times New Roman"/>
          <w:sz w:val="24"/>
          <w:szCs w:val="24"/>
        </w:rPr>
        <w:t>1</w:t>
      </w:r>
      <w:r w:rsidR="000A7CEE" w:rsidRPr="00893E6D">
        <w:rPr>
          <w:rFonts w:ascii="Times New Roman" w:hAnsi="Times New Roman" w:cs="Times New Roman"/>
          <w:sz w:val="24"/>
          <w:szCs w:val="24"/>
        </w:rPr>
        <w:t>97</w:t>
      </w:r>
      <w:r w:rsidRPr="00893E6D">
        <w:rPr>
          <w:rFonts w:ascii="Times New Roman" w:hAnsi="Times New Roman" w:cs="Times New Roman"/>
          <w:sz w:val="24"/>
          <w:szCs w:val="24"/>
        </w:rPr>
        <w:t xml:space="preserve">). </w:t>
      </w:r>
    </w:p>
    <w:p w14:paraId="00A729F8" w14:textId="110821D9" w:rsidR="00742579" w:rsidRPr="00893E6D" w:rsidRDefault="00A71892" w:rsidP="00A1062B">
      <w:pPr>
        <w:spacing w:line="480" w:lineRule="auto"/>
        <w:ind w:firstLine="720"/>
        <w:jc w:val="both"/>
        <w:rPr>
          <w:rFonts w:ascii="Times New Roman" w:hAnsi="Times New Roman" w:cs="Times New Roman"/>
          <w:sz w:val="24"/>
          <w:szCs w:val="24"/>
        </w:rPr>
      </w:pPr>
      <w:r w:rsidRPr="00893E6D">
        <w:rPr>
          <w:rFonts w:ascii="Times New Roman" w:hAnsi="Times New Roman" w:cs="Times New Roman"/>
          <w:sz w:val="24"/>
          <w:szCs w:val="24"/>
        </w:rPr>
        <w:t>Panel B</w:t>
      </w:r>
      <w:r w:rsidR="004D15E8" w:rsidRPr="00893E6D">
        <w:rPr>
          <w:rFonts w:ascii="Times New Roman" w:hAnsi="Times New Roman" w:cs="Times New Roman"/>
          <w:sz w:val="24"/>
          <w:szCs w:val="24"/>
        </w:rPr>
        <w:t xml:space="preserve"> shows </w:t>
      </w:r>
      <w:r w:rsidRPr="00893E6D">
        <w:rPr>
          <w:rFonts w:ascii="Times New Roman" w:hAnsi="Times New Roman" w:cs="Times New Roman"/>
          <w:sz w:val="24"/>
          <w:szCs w:val="24"/>
        </w:rPr>
        <w:t xml:space="preserve">a 1.7% increase in </w:t>
      </w:r>
      <w:r w:rsidR="00AB2468" w:rsidRPr="00893E6D">
        <w:rPr>
          <w:rFonts w:ascii="Times New Roman" w:hAnsi="Times New Roman" w:cs="Times New Roman"/>
          <w:sz w:val="24"/>
          <w:szCs w:val="24"/>
        </w:rPr>
        <w:t>non-operating</w:t>
      </w:r>
      <w:r w:rsidRPr="00893E6D">
        <w:rPr>
          <w:rFonts w:ascii="Times New Roman" w:hAnsi="Times New Roman" w:cs="Times New Roman"/>
          <w:sz w:val="24"/>
          <w:szCs w:val="24"/>
        </w:rPr>
        <w:t xml:space="preserve"> earnings </w:t>
      </w:r>
      <w:r w:rsidR="00CD56E5">
        <w:rPr>
          <w:rFonts w:ascii="Times New Roman" w:hAnsi="Times New Roman" w:cs="Times New Roman"/>
          <w:sz w:val="24"/>
          <w:szCs w:val="24"/>
        </w:rPr>
        <w:t>(</w:t>
      </w:r>
      <w:r w:rsidRPr="00893E6D">
        <w:rPr>
          <w:rFonts w:ascii="Times New Roman" w:hAnsi="Times New Roman" w:cs="Times New Roman"/>
          <w:i/>
          <w:sz w:val="24"/>
          <w:szCs w:val="24"/>
        </w:rPr>
        <w:t>NONOPERINC</w:t>
      </w:r>
      <w:r w:rsidR="00CD56E5">
        <w:rPr>
          <w:rFonts w:ascii="Times New Roman" w:hAnsi="Times New Roman" w:cs="Times New Roman"/>
          <w:i/>
          <w:sz w:val="24"/>
          <w:szCs w:val="24"/>
        </w:rPr>
        <w:t>)</w:t>
      </w:r>
      <w:r w:rsidRPr="00893E6D">
        <w:rPr>
          <w:rFonts w:ascii="Times New Roman" w:hAnsi="Times New Roman" w:cs="Times New Roman"/>
          <w:sz w:val="24"/>
          <w:szCs w:val="24"/>
        </w:rPr>
        <w:t xml:space="preserve"> leads to a 0.</w:t>
      </w:r>
      <w:r w:rsidR="00BA1679" w:rsidRPr="00893E6D">
        <w:rPr>
          <w:rFonts w:ascii="Times New Roman" w:hAnsi="Times New Roman" w:cs="Times New Roman"/>
          <w:sz w:val="24"/>
          <w:szCs w:val="24"/>
        </w:rPr>
        <w:t>718</w:t>
      </w:r>
      <w:r w:rsidRPr="00893E6D">
        <w:rPr>
          <w:rFonts w:ascii="Times New Roman" w:hAnsi="Times New Roman" w:cs="Times New Roman"/>
          <w:sz w:val="24"/>
          <w:szCs w:val="24"/>
        </w:rPr>
        <w:t>%</w:t>
      </w:r>
      <w:r w:rsidRPr="00893E6D">
        <w:rPr>
          <w:rStyle w:val="FootnoteReference"/>
          <w:rFonts w:ascii="Times New Roman" w:hAnsi="Times New Roman" w:cs="Times New Roman"/>
          <w:sz w:val="24"/>
          <w:szCs w:val="24"/>
        </w:rPr>
        <w:footnoteReference w:id="17"/>
      </w:r>
      <w:r w:rsidRPr="00893E6D">
        <w:rPr>
          <w:rFonts w:ascii="Times New Roman" w:hAnsi="Times New Roman" w:cs="Times New Roman"/>
          <w:sz w:val="24"/>
          <w:szCs w:val="24"/>
        </w:rPr>
        <w:t xml:space="preserve"> decrease in the </w:t>
      </w:r>
      <w:r w:rsidRPr="00893E6D">
        <w:rPr>
          <w:rFonts w:ascii="Times New Roman" w:eastAsiaTheme="minorEastAsia" w:hAnsi="Times New Roman" w:cs="Times New Roman"/>
          <w:sz w:val="24"/>
          <w:szCs w:val="24"/>
        </w:rPr>
        <w:t>down-to-up volatility ratio</w:t>
      </w:r>
      <w:r w:rsidRPr="00893E6D">
        <w:rPr>
          <w:rFonts w:ascii="Times New Roman" w:hAnsi="Times New Roman" w:cs="Times New Roman"/>
          <w:sz w:val="24"/>
          <w:szCs w:val="24"/>
        </w:rPr>
        <w:t xml:space="preserve"> </w:t>
      </w:r>
      <w:r w:rsidR="00CD56E5">
        <w:rPr>
          <w:rFonts w:ascii="Times New Roman" w:hAnsi="Times New Roman" w:cs="Times New Roman"/>
          <w:sz w:val="24"/>
          <w:szCs w:val="24"/>
        </w:rPr>
        <w:t>(</w:t>
      </w:r>
      <w:r w:rsidRPr="00893E6D">
        <w:rPr>
          <w:rFonts w:ascii="Times New Roman" w:hAnsi="Times New Roman" w:cs="Times New Roman"/>
          <w:i/>
          <w:sz w:val="24"/>
          <w:szCs w:val="24"/>
        </w:rPr>
        <w:t>DUVOL</w:t>
      </w:r>
      <w:r w:rsidR="00CD56E5">
        <w:rPr>
          <w:rFonts w:ascii="Times New Roman" w:hAnsi="Times New Roman" w:cs="Times New Roman"/>
          <w:i/>
          <w:sz w:val="24"/>
          <w:szCs w:val="24"/>
        </w:rPr>
        <w:t>)</w:t>
      </w:r>
      <w:r w:rsidRPr="00893E6D">
        <w:rPr>
          <w:rFonts w:ascii="Times New Roman" w:hAnsi="Times New Roman" w:cs="Times New Roman"/>
          <w:i/>
          <w:sz w:val="24"/>
          <w:szCs w:val="24"/>
        </w:rPr>
        <w:t xml:space="preserve">, </w:t>
      </w:r>
      <w:r w:rsidRPr="00893E6D">
        <w:rPr>
          <w:rFonts w:ascii="Times New Roman" w:hAnsi="Times New Roman" w:cs="Times New Roman"/>
          <w:sz w:val="24"/>
          <w:szCs w:val="24"/>
        </w:rPr>
        <w:t>yielding an impact ratio of 0.</w:t>
      </w:r>
      <w:r w:rsidR="00BA1679" w:rsidRPr="00893E6D">
        <w:rPr>
          <w:rFonts w:ascii="Times New Roman" w:hAnsi="Times New Roman" w:cs="Times New Roman"/>
          <w:sz w:val="24"/>
          <w:szCs w:val="24"/>
        </w:rPr>
        <w:t>422</w:t>
      </w:r>
      <w:r w:rsidRPr="00893E6D">
        <w:rPr>
          <w:rStyle w:val="FootnoteReference"/>
          <w:rFonts w:ascii="Times New Roman" w:hAnsi="Times New Roman" w:cs="Times New Roman"/>
          <w:sz w:val="24"/>
          <w:szCs w:val="24"/>
        </w:rPr>
        <w:footnoteReference w:id="18"/>
      </w:r>
      <w:r w:rsidRPr="00893E6D">
        <w:rPr>
          <w:rFonts w:ascii="Times New Roman" w:hAnsi="Times New Roman" w:cs="Times New Roman"/>
          <w:sz w:val="24"/>
          <w:szCs w:val="24"/>
        </w:rPr>
        <w:t xml:space="preserve">. A 17.6% increase in </w:t>
      </w:r>
      <w:r w:rsidRPr="00893E6D">
        <w:rPr>
          <w:rFonts w:ascii="Times New Roman" w:hAnsi="Times New Roman" w:cs="Times New Roman"/>
          <w:i/>
          <w:sz w:val="24"/>
          <w:szCs w:val="24"/>
        </w:rPr>
        <w:t>OPERINC</w:t>
      </w:r>
      <w:r w:rsidRPr="00893E6D">
        <w:rPr>
          <w:rFonts w:ascii="Times New Roman" w:hAnsi="Times New Roman" w:cs="Times New Roman"/>
          <w:sz w:val="24"/>
          <w:szCs w:val="24"/>
        </w:rPr>
        <w:t xml:space="preserve"> leads to a </w:t>
      </w:r>
      <w:r w:rsidR="00BA1679" w:rsidRPr="00893E6D">
        <w:rPr>
          <w:rFonts w:ascii="Times New Roman" w:hAnsi="Times New Roman" w:cs="Times New Roman"/>
          <w:sz w:val="24"/>
          <w:szCs w:val="24"/>
        </w:rPr>
        <w:t>2.719</w:t>
      </w:r>
      <w:r w:rsidRPr="00893E6D">
        <w:rPr>
          <w:rFonts w:ascii="Times New Roman" w:hAnsi="Times New Roman" w:cs="Times New Roman"/>
          <w:sz w:val="24"/>
          <w:szCs w:val="24"/>
        </w:rPr>
        <w:t>%</w:t>
      </w:r>
      <w:r w:rsidRPr="00893E6D">
        <w:rPr>
          <w:rStyle w:val="FootnoteReference"/>
          <w:rFonts w:ascii="Times New Roman" w:hAnsi="Times New Roman" w:cs="Times New Roman"/>
          <w:sz w:val="24"/>
          <w:szCs w:val="24"/>
        </w:rPr>
        <w:footnoteReference w:id="19"/>
      </w:r>
      <w:r w:rsidRPr="00893E6D">
        <w:rPr>
          <w:rFonts w:ascii="Times New Roman" w:hAnsi="Times New Roman" w:cs="Times New Roman"/>
          <w:sz w:val="24"/>
          <w:szCs w:val="24"/>
        </w:rPr>
        <w:t xml:space="preserve"> decrease in </w:t>
      </w:r>
      <w:r w:rsidRPr="00893E6D">
        <w:rPr>
          <w:rFonts w:ascii="Times New Roman" w:hAnsi="Times New Roman" w:cs="Times New Roman"/>
          <w:i/>
          <w:sz w:val="24"/>
          <w:szCs w:val="24"/>
        </w:rPr>
        <w:t>DUVOL</w:t>
      </w:r>
      <w:r w:rsidRPr="00893E6D">
        <w:rPr>
          <w:rFonts w:ascii="Times New Roman" w:hAnsi="Times New Roman" w:cs="Times New Roman"/>
          <w:sz w:val="24"/>
          <w:szCs w:val="24"/>
        </w:rPr>
        <w:t xml:space="preserve">, yielding an impact ratio </w:t>
      </w:r>
      <w:r w:rsidRPr="00893E6D">
        <w:rPr>
          <w:rFonts w:ascii="Times New Roman" w:hAnsi="Times New Roman" w:cs="Times New Roman"/>
          <w:sz w:val="24"/>
          <w:szCs w:val="24"/>
        </w:rPr>
        <w:lastRenderedPageBreak/>
        <w:t>of 0.</w:t>
      </w:r>
      <w:r w:rsidR="00BA1679" w:rsidRPr="00893E6D">
        <w:rPr>
          <w:rFonts w:ascii="Times New Roman" w:hAnsi="Times New Roman" w:cs="Times New Roman"/>
          <w:sz w:val="24"/>
          <w:szCs w:val="24"/>
        </w:rPr>
        <w:t>154</w:t>
      </w:r>
      <w:r w:rsidRPr="00893E6D">
        <w:rPr>
          <w:rStyle w:val="FootnoteReference"/>
          <w:rFonts w:ascii="Times New Roman" w:hAnsi="Times New Roman" w:cs="Times New Roman"/>
          <w:sz w:val="24"/>
          <w:szCs w:val="24"/>
        </w:rPr>
        <w:footnoteReference w:id="20"/>
      </w:r>
      <w:r w:rsidRPr="00893E6D">
        <w:rPr>
          <w:rFonts w:ascii="Times New Roman" w:hAnsi="Times New Roman" w:cs="Times New Roman"/>
          <w:sz w:val="24"/>
          <w:szCs w:val="24"/>
        </w:rPr>
        <w:t xml:space="preserve">. </w:t>
      </w:r>
      <w:r w:rsidR="00E630CC">
        <w:rPr>
          <w:rFonts w:ascii="Times New Roman" w:hAnsi="Times New Roman" w:cs="Times New Roman"/>
          <w:sz w:val="24"/>
          <w:szCs w:val="24"/>
        </w:rPr>
        <w:t>Once more</w:t>
      </w:r>
      <w:r w:rsidRPr="00893E6D">
        <w:rPr>
          <w:rFonts w:ascii="Times New Roman" w:hAnsi="Times New Roman" w:cs="Times New Roman"/>
          <w:sz w:val="24"/>
          <w:szCs w:val="24"/>
        </w:rPr>
        <w:t xml:space="preserve">, the impact of </w:t>
      </w:r>
      <w:r w:rsidR="00E630CC" w:rsidRPr="00BA50BC">
        <w:rPr>
          <w:rFonts w:ascii="Times New Roman" w:hAnsi="Times New Roman" w:cs="Times New Roman"/>
          <w:i/>
          <w:sz w:val="24"/>
          <w:szCs w:val="24"/>
        </w:rPr>
        <w:t>NON</w:t>
      </w:r>
      <w:r w:rsidRPr="00E630CC">
        <w:rPr>
          <w:rFonts w:ascii="Times New Roman" w:hAnsi="Times New Roman" w:cs="Times New Roman"/>
          <w:i/>
          <w:sz w:val="24"/>
          <w:szCs w:val="24"/>
        </w:rPr>
        <w:t>OPERINC</w:t>
      </w:r>
      <w:r w:rsidRPr="00893E6D">
        <w:rPr>
          <w:rFonts w:ascii="Times New Roman" w:hAnsi="Times New Roman" w:cs="Times New Roman"/>
          <w:sz w:val="24"/>
          <w:szCs w:val="24"/>
        </w:rPr>
        <w:t xml:space="preserve"> on </w:t>
      </w:r>
      <w:r w:rsidR="000C44F1" w:rsidRPr="00893E6D">
        <w:rPr>
          <w:rFonts w:ascii="Times New Roman" w:hAnsi="Times New Roman" w:cs="Times New Roman"/>
          <w:i/>
          <w:sz w:val="24"/>
          <w:szCs w:val="24"/>
        </w:rPr>
        <w:t>DUVOL</w:t>
      </w:r>
      <w:r w:rsidRPr="00893E6D">
        <w:rPr>
          <w:rFonts w:ascii="Times New Roman" w:hAnsi="Times New Roman" w:cs="Times New Roman"/>
          <w:sz w:val="24"/>
          <w:szCs w:val="24"/>
        </w:rPr>
        <w:t xml:space="preserve"> is </w:t>
      </w:r>
      <w:r w:rsidR="00E630CC">
        <w:rPr>
          <w:rFonts w:ascii="Times New Roman" w:hAnsi="Times New Roman" w:cs="Times New Roman"/>
          <w:sz w:val="24"/>
          <w:szCs w:val="24"/>
        </w:rPr>
        <w:t>larger</w:t>
      </w:r>
      <w:r w:rsidR="00BA1679" w:rsidRPr="00893E6D">
        <w:rPr>
          <w:rFonts w:ascii="Times New Roman" w:hAnsi="Times New Roman" w:cs="Times New Roman"/>
          <w:sz w:val="24"/>
          <w:szCs w:val="24"/>
        </w:rPr>
        <w:t xml:space="preserve"> than</w:t>
      </w:r>
      <w:r w:rsidRPr="00893E6D">
        <w:rPr>
          <w:rFonts w:ascii="Times New Roman" w:hAnsi="Times New Roman" w:cs="Times New Roman"/>
          <w:sz w:val="24"/>
          <w:szCs w:val="24"/>
        </w:rPr>
        <w:t xml:space="preserve"> that of </w:t>
      </w:r>
      <w:r w:rsidR="00E630CC">
        <w:rPr>
          <w:rFonts w:ascii="Times New Roman" w:hAnsi="Times New Roman" w:cs="Times New Roman"/>
          <w:i/>
          <w:sz w:val="24"/>
          <w:szCs w:val="24"/>
        </w:rPr>
        <w:t>OPERINC</w:t>
      </w:r>
      <w:r w:rsidR="00E630CC" w:rsidRPr="00893E6D">
        <w:rPr>
          <w:rFonts w:ascii="Times New Roman" w:hAnsi="Times New Roman" w:cs="Times New Roman"/>
          <w:i/>
          <w:sz w:val="24"/>
          <w:szCs w:val="24"/>
        </w:rPr>
        <w:t xml:space="preserve"> </w:t>
      </w:r>
      <w:r w:rsidRPr="00893E6D">
        <w:rPr>
          <w:rFonts w:ascii="Times New Roman" w:hAnsi="Times New Roman" w:cs="Times New Roman"/>
          <w:sz w:val="24"/>
          <w:szCs w:val="24"/>
        </w:rPr>
        <w:t>(0.</w:t>
      </w:r>
      <w:r w:rsidR="00E630CC">
        <w:rPr>
          <w:rFonts w:ascii="Times New Roman" w:hAnsi="Times New Roman" w:cs="Times New Roman"/>
          <w:sz w:val="24"/>
          <w:szCs w:val="24"/>
        </w:rPr>
        <w:t>422</w:t>
      </w:r>
      <w:r w:rsidR="00E630CC" w:rsidRPr="00893E6D">
        <w:rPr>
          <w:rFonts w:ascii="Times New Roman" w:hAnsi="Times New Roman" w:cs="Times New Roman"/>
          <w:sz w:val="24"/>
          <w:szCs w:val="24"/>
        </w:rPr>
        <w:t xml:space="preserve"> </w:t>
      </w:r>
      <w:r w:rsidRPr="00893E6D">
        <w:rPr>
          <w:rFonts w:ascii="Times New Roman" w:hAnsi="Times New Roman" w:cs="Times New Roman"/>
          <w:sz w:val="24"/>
          <w:szCs w:val="24"/>
        </w:rPr>
        <w:t>vs. 0.</w:t>
      </w:r>
      <w:r w:rsidR="00E630CC">
        <w:rPr>
          <w:rFonts w:ascii="Times New Roman" w:hAnsi="Times New Roman" w:cs="Times New Roman"/>
          <w:sz w:val="24"/>
          <w:szCs w:val="24"/>
        </w:rPr>
        <w:t>154</w:t>
      </w:r>
      <w:r w:rsidRPr="00893E6D">
        <w:rPr>
          <w:rFonts w:ascii="Times New Roman" w:hAnsi="Times New Roman" w:cs="Times New Roman"/>
          <w:sz w:val="24"/>
          <w:szCs w:val="24"/>
        </w:rPr>
        <w:t>).</w:t>
      </w:r>
    </w:p>
    <w:p w14:paraId="621B4281" w14:textId="702CC305" w:rsidR="00A71892" w:rsidRPr="00893E6D" w:rsidRDefault="00A71892" w:rsidP="00A1062B">
      <w:pPr>
        <w:spacing w:line="480" w:lineRule="auto"/>
        <w:ind w:firstLine="720"/>
        <w:jc w:val="both"/>
        <w:rPr>
          <w:rFonts w:ascii="Times New Roman" w:hAnsi="Times New Roman" w:cs="Times New Roman"/>
          <w:sz w:val="24"/>
          <w:szCs w:val="24"/>
        </w:rPr>
      </w:pPr>
      <w:r w:rsidRPr="00893E6D">
        <w:rPr>
          <w:rFonts w:ascii="Times New Roman" w:hAnsi="Times New Roman" w:cs="Times New Roman"/>
          <w:sz w:val="24"/>
          <w:szCs w:val="24"/>
        </w:rPr>
        <w:t>Panel C</w:t>
      </w:r>
      <w:r w:rsidR="004D15E8" w:rsidRPr="00893E6D">
        <w:rPr>
          <w:rFonts w:ascii="Times New Roman" w:hAnsi="Times New Roman" w:cs="Times New Roman"/>
          <w:sz w:val="24"/>
          <w:szCs w:val="24"/>
        </w:rPr>
        <w:t xml:space="preserve"> shows </w:t>
      </w:r>
      <w:r w:rsidRPr="00893E6D">
        <w:rPr>
          <w:rFonts w:ascii="Times New Roman" w:hAnsi="Times New Roman" w:cs="Times New Roman"/>
          <w:sz w:val="24"/>
          <w:szCs w:val="24"/>
        </w:rPr>
        <w:t xml:space="preserve">a 1.7% increase in </w:t>
      </w:r>
      <w:r w:rsidR="00AB2468" w:rsidRPr="00893E6D">
        <w:rPr>
          <w:rFonts w:ascii="Times New Roman" w:hAnsi="Times New Roman" w:cs="Times New Roman"/>
          <w:sz w:val="24"/>
          <w:szCs w:val="24"/>
        </w:rPr>
        <w:t>non-operating</w:t>
      </w:r>
      <w:r w:rsidRPr="00893E6D">
        <w:rPr>
          <w:rFonts w:ascii="Times New Roman" w:hAnsi="Times New Roman" w:cs="Times New Roman"/>
          <w:sz w:val="24"/>
          <w:szCs w:val="24"/>
        </w:rPr>
        <w:t xml:space="preserve"> earnings </w:t>
      </w:r>
      <w:r w:rsidR="00CD56E5">
        <w:rPr>
          <w:rFonts w:ascii="Times New Roman" w:hAnsi="Times New Roman" w:cs="Times New Roman"/>
          <w:sz w:val="24"/>
          <w:szCs w:val="24"/>
        </w:rPr>
        <w:t>(</w:t>
      </w:r>
      <w:r w:rsidRPr="00893E6D">
        <w:rPr>
          <w:rFonts w:ascii="Times New Roman" w:hAnsi="Times New Roman" w:cs="Times New Roman"/>
          <w:i/>
          <w:sz w:val="24"/>
          <w:szCs w:val="24"/>
        </w:rPr>
        <w:t>NONOPERINC</w:t>
      </w:r>
      <w:r w:rsidR="00CD56E5">
        <w:rPr>
          <w:rFonts w:ascii="Times New Roman" w:hAnsi="Times New Roman" w:cs="Times New Roman"/>
          <w:i/>
          <w:sz w:val="24"/>
          <w:szCs w:val="24"/>
        </w:rPr>
        <w:t>)</w:t>
      </w:r>
      <w:r w:rsidRPr="00893E6D">
        <w:rPr>
          <w:rFonts w:ascii="Times New Roman" w:hAnsi="Times New Roman" w:cs="Times New Roman"/>
          <w:sz w:val="24"/>
          <w:szCs w:val="24"/>
        </w:rPr>
        <w:t xml:space="preserve"> leads to a 0.</w:t>
      </w:r>
      <w:r w:rsidR="007E77D5" w:rsidRPr="00893E6D">
        <w:rPr>
          <w:rFonts w:ascii="Times New Roman" w:hAnsi="Times New Roman" w:cs="Times New Roman"/>
          <w:sz w:val="24"/>
          <w:szCs w:val="24"/>
        </w:rPr>
        <w:t>452</w:t>
      </w:r>
      <w:r w:rsidRPr="00893E6D">
        <w:rPr>
          <w:rFonts w:ascii="Times New Roman" w:hAnsi="Times New Roman" w:cs="Times New Roman"/>
          <w:sz w:val="24"/>
          <w:szCs w:val="24"/>
        </w:rPr>
        <w:t>%</w:t>
      </w:r>
      <w:r w:rsidRPr="00893E6D">
        <w:rPr>
          <w:rStyle w:val="FootnoteReference"/>
          <w:rFonts w:ascii="Times New Roman" w:hAnsi="Times New Roman" w:cs="Times New Roman"/>
          <w:sz w:val="24"/>
          <w:szCs w:val="24"/>
        </w:rPr>
        <w:footnoteReference w:id="21"/>
      </w:r>
      <w:r w:rsidRPr="00893E6D">
        <w:rPr>
          <w:rFonts w:ascii="Times New Roman" w:hAnsi="Times New Roman" w:cs="Times New Roman"/>
          <w:sz w:val="24"/>
          <w:szCs w:val="24"/>
        </w:rPr>
        <w:t xml:space="preserve"> decrease in the number of crashes minus the number of jumps </w:t>
      </w:r>
      <w:r w:rsidR="00B3537A">
        <w:rPr>
          <w:rFonts w:ascii="Times New Roman" w:hAnsi="Times New Roman" w:cs="Times New Roman"/>
          <w:sz w:val="24"/>
          <w:szCs w:val="24"/>
        </w:rPr>
        <w:t>(</w:t>
      </w:r>
      <w:r w:rsidRPr="00893E6D">
        <w:rPr>
          <w:rFonts w:ascii="Times New Roman" w:hAnsi="Times New Roman" w:cs="Times New Roman"/>
          <w:i/>
          <w:sz w:val="24"/>
          <w:szCs w:val="24"/>
        </w:rPr>
        <w:t>COUNT</w:t>
      </w:r>
      <w:r w:rsidR="00B3537A">
        <w:rPr>
          <w:rFonts w:ascii="Times New Roman" w:hAnsi="Times New Roman" w:cs="Times New Roman"/>
          <w:i/>
          <w:sz w:val="24"/>
          <w:szCs w:val="24"/>
        </w:rPr>
        <w:t>)</w:t>
      </w:r>
      <w:r w:rsidRPr="00893E6D">
        <w:rPr>
          <w:rFonts w:ascii="Times New Roman" w:hAnsi="Times New Roman" w:cs="Times New Roman"/>
          <w:i/>
          <w:sz w:val="24"/>
          <w:szCs w:val="24"/>
        </w:rPr>
        <w:t xml:space="preserve">, </w:t>
      </w:r>
      <w:r w:rsidRPr="00893E6D">
        <w:rPr>
          <w:rFonts w:ascii="Times New Roman" w:hAnsi="Times New Roman" w:cs="Times New Roman"/>
          <w:sz w:val="24"/>
          <w:szCs w:val="24"/>
        </w:rPr>
        <w:t>yielding an impact ratio of 0.</w:t>
      </w:r>
      <w:r w:rsidR="007E77D5" w:rsidRPr="00893E6D">
        <w:rPr>
          <w:rFonts w:ascii="Times New Roman" w:hAnsi="Times New Roman" w:cs="Times New Roman"/>
          <w:sz w:val="24"/>
          <w:szCs w:val="24"/>
        </w:rPr>
        <w:t>266</w:t>
      </w:r>
      <w:r w:rsidRPr="00893E6D">
        <w:rPr>
          <w:rStyle w:val="FootnoteReference"/>
          <w:rFonts w:ascii="Times New Roman" w:hAnsi="Times New Roman" w:cs="Times New Roman"/>
          <w:sz w:val="24"/>
          <w:szCs w:val="24"/>
        </w:rPr>
        <w:footnoteReference w:id="22"/>
      </w:r>
      <w:r w:rsidRPr="00893E6D">
        <w:rPr>
          <w:rFonts w:ascii="Times New Roman" w:hAnsi="Times New Roman" w:cs="Times New Roman"/>
          <w:sz w:val="24"/>
          <w:szCs w:val="24"/>
        </w:rPr>
        <w:t xml:space="preserve">. A 17.6% increase in </w:t>
      </w:r>
      <w:r w:rsidRPr="00893E6D">
        <w:rPr>
          <w:rFonts w:ascii="Times New Roman" w:hAnsi="Times New Roman" w:cs="Times New Roman"/>
          <w:i/>
          <w:sz w:val="24"/>
          <w:szCs w:val="24"/>
        </w:rPr>
        <w:t>OPERINC</w:t>
      </w:r>
      <w:r w:rsidRPr="00893E6D">
        <w:rPr>
          <w:rFonts w:ascii="Times New Roman" w:hAnsi="Times New Roman" w:cs="Times New Roman"/>
          <w:sz w:val="24"/>
          <w:szCs w:val="24"/>
        </w:rPr>
        <w:t xml:space="preserve"> leads to a </w:t>
      </w:r>
      <w:r w:rsidR="007E77D5" w:rsidRPr="00893E6D">
        <w:rPr>
          <w:rFonts w:ascii="Times New Roman" w:hAnsi="Times New Roman" w:cs="Times New Roman"/>
          <w:sz w:val="24"/>
          <w:szCs w:val="24"/>
        </w:rPr>
        <w:t>1.355</w:t>
      </w:r>
      <w:r w:rsidRPr="00893E6D">
        <w:rPr>
          <w:rFonts w:ascii="Times New Roman" w:hAnsi="Times New Roman" w:cs="Times New Roman"/>
          <w:sz w:val="24"/>
          <w:szCs w:val="24"/>
        </w:rPr>
        <w:t>%</w:t>
      </w:r>
      <w:r w:rsidRPr="00893E6D">
        <w:rPr>
          <w:rStyle w:val="FootnoteReference"/>
          <w:rFonts w:ascii="Times New Roman" w:hAnsi="Times New Roman" w:cs="Times New Roman"/>
          <w:sz w:val="24"/>
          <w:szCs w:val="24"/>
        </w:rPr>
        <w:footnoteReference w:id="23"/>
      </w:r>
      <w:r w:rsidRPr="00893E6D">
        <w:rPr>
          <w:rFonts w:ascii="Times New Roman" w:hAnsi="Times New Roman" w:cs="Times New Roman"/>
          <w:sz w:val="24"/>
          <w:szCs w:val="24"/>
        </w:rPr>
        <w:t xml:space="preserve"> decrease in </w:t>
      </w:r>
      <w:r w:rsidRPr="00893E6D">
        <w:rPr>
          <w:rFonts w:ascii="Times New Roman" w:hAnsi="Times New Roman" w:cs="Times New Roman"/>
          <w:i/>
          <w:sz w:val="24"/>
          <w:szCs w:val="24"/>
        </w:rPr>
        <w:t>COUNT</w:t>
      </w:r>
      <w:r w:rsidRPr="00893E6D">
        <w:rPr>
          <w:rFonts w:ascii="Times New Roman" w:hAnsi="Times New Roman" w:cs="Times New Roman"/>
          <w:sz w:val="24"/>
          <w:szCs w:val="24"/>
        </w:rPr>
        <w:t>, yielding an impact ratio of 0.</w:t>
      </w:r>
      <w:r w:rsidR="007E77D5" w:rsidRPr="00893E6D">
        <w:rPr>
          <w:rFonts w:ascii="Times New Roman" w:hAnsi="Times New Roman" w:cs="Times New Roman"/>
          <w:sz w:val="24"/>
          <w:szCs w:val="24"/>
        </w:rPr>
        <w:t>077</w:t>
      </w:r>
      <w:r w:rsidRPr="00893E6D">
        <w:rPr>
          <w:rStyle w:val="FootnoteReference"/>
          <w:rFonts w:ascii="Times New Roman" w:hAnsi="Times New Roman" w:cs="Times New Roman"/>
          <w:sz w:val="24"/>
          <w:szCs w:val="24"/>
        </w:rPr>
        <w:footnoteReference w:id="24"/>
      </w:r>
      <w:r w:rsidRPr="00893E6D">
        <w:rPr>
          <w:rFonts w:ascii="Times New Roman" w:hAnsi="Times New Roman" w:cs="Times New Roman"/>
          <w:sz w:val="24"/>
          <w:szCs w:val="24"/>
        </w:rPr>
        <w:t xml:space="preserve">. </w:t>
      </w:r>
      <w:r w:rsidR="000D5AB6">
        <w:rPr>
          <w:rFonts w:ascii="Times New Roman" w:hAnsi="Times New Roman" w:cs="Times New Roman"/>
          <w:sz w:val="24"/>
          <w:szCs w:val="24"/>
        </w:rPr>
        <w:t>T</w:t>
      </w:r>
      <w:r w:rsidRPr="00893E6D">
        <w:rPr>
          <w:rFonts w:ascii="Times New Roman" w:hAnsi="Times New Roman" w:cs="Times New Roman"/>
          <w:sz w:val="24"/>
          <w:szCs w:val="24"/>
        </w:rPr>
        <w:t xml:space="preserve">he impact of </w:t>
      </w:r>
      <w:r w:rsidRPr="00893E6D">
        <w:rPr>
          <w:rFonts w:ascii="Times New Roman" w:hAnsi="Times New Roman" w:cs="Times New Roman"/>
          <w:i/>
          <w:sz w:val="24"/>
          <w:szCs w:val="24"/>
        </w:rPr>
        <w:t>OPERINC</w:t>
      </w:r>
      <w:r w:rsidRPr="00893E6D">
        <w:rPr>
          <w:rFonts w:ascii="Times New Roman" w:hAnsi="Times New Roman" w:cs="Times New Roman"/>
          <w:sz w:val="24"/>
          <w:szCs w:val="24"/>
        </w:rPr>
        <w:t xml:space="preserve"> on </w:t>
      </w:r>
      <w:r w:rsidRPr="00893E6D">
        <w:rPr>
          <w:rFonts w:ascii="Times New Roman" w:hAnsi="Times New Roman" w:cs="Times New Roman"/>
          <w:i/>
          <w:sz w:val="24"/>
          <w:szCs w:val="24"/>
        </w:rPr>
        <w:t>COUNT</w:t>
      </w:r>
      <w:r w:rsidRPr="00893E6D">
        <w:rPr>
          <w:rFonts w:ascii="Times New Roman" w:hAnsi="Times New Roman" w:cs="Times New Roman"/>
          <w:sz w:val="24"/>
          <w:szCs w:val="24"/>
        </w:rPr>
        <w:t xml:space="preserve"> is about </w:t>
      </w:r>
      <w:r w:rsidR="007E77D5" w:rsidRPr="00893E6D">
        <w:rPr>
          <w:rFonts w:ascii="Times New Roman" w:hAnsi="Times New Roman" w:cs="Times New Roman"/>
          <w:sz w:val="24"/>
          <w:szCs w:val="24"/>
        </w:rPr>
        <w:t>3.5 times smaller than</w:t>
      </w:r>
      <w:r w:rsidRPr="00893E6D">
        <w:rPr>
          <w:rFonts w:ascii="Times New Roman" w:hAnsi="Times New Roman" w:cs="Times New Roman"/>
          <w:sz w:val="24"/>
          <w:szCs w:val="24"/>
        </w:rPr>
        <w:t xml:space="preserve"> that of </w:t>
      </w:r>
      <w:r w:rsidRPr="00893E6D">
        <w:rPr>
          <w:rFonts w:ascii="Times New Roman" w:hAnsi="Times New Roman" w:cs="Times New Roman"/>
          <w:i/>
          <w:sz w:val="24"/>
          <w:szCs w:val="24"/>
        </w:rPr>
        <w:t xml:space="preserve">NONOPERINC </w:t>
      </w:r>
      <w:r w:rsidRPr="00893E6D">
        <w:rPr>
          <w:rFonts w:ascii="Times New Roman" w:hAnsi="Times New Roman" w:cs="Times New Roman"/>
          <w:sz w:val="24"/>
          <w:szCs w:val="24"/>
        </w:rPr>
        <w:t>(0.</w:t>
      </w:r>
      <w:r w:rsidR="007E77D5" w:rsidRPr="00893E6D">
        <w:rPr>
          <w:rFonts w:ascii="Times New Roman" w:hAnsi="Times New Roman" w:cs="Times New Roman"/>
          <w:sz w:val="24"/>
          <w:szCs w:val="24"/>
        </w:rPr>
        <w:t>077</w:t>
      </w:r>
      <w:r w:rsidRPr="00893E6D">
        <w:rPr>
          <w:rFonts w:ascii="Times New Roman" w:hAnsi="Times New Roman" w:cs="Times New Roman"/>
          <w:sz w:val="24"/>
          <w:szCs w:val="24"/>
        </w:rPr>
        <w:t xml:space="preserve"> vs. 0.</w:t>
      </w:r>
      <w:r w:rsidR="007E77D5" w:rsidRPr="00893E6D">
        <w:rPr>
          <w:rFonts w:ascii="Times New Roman" w:hAnsi="Times New Roman" w:cs="Times New Roman"/>
          <w:sz w:val="24"/>
          <w:szCs w:val="24"/>
        </w:rPr>
        <w:t>266</w:t>
      </w:r>
      <w:r w:rsidRPr="00893E6D">
        <w:rPr>
          <w:rFonts w:ascii="Times New Roman" w:hAnsi="Times New Roman" w:cs="Times New Roman"/>
          <w:sz w:val="24"/>
          <w:szCs w:val="24"/>
        </w:rPr>
        <w:t xml:space="preserve">). </w:t>
      </w:r>
    </w:p>
    <w:p w14:paraId="041D1008" w14:textId="10380525" w:rsidR="00B912FB" w:rsidRPr="00893E6D" w:rsidRDefault="00342EA6" w:rsidP="00A1062B">
      <w:pPr>
        <w:spacing w:line="480" w:lineRule="auto"/>
        <w:ind w:firstLine="720"/>
        <w:jc w:val="both"/>
        <w:rPr>
          <w:rFonts w:ascii="Times New Roman" w:hAnsi="Times New Roman" w:cs="Times New Roman"/>
          <w:sz w:val="24"/>
          <w:szCs w:val="24"/>
        </w:rPr>
      </w:pPr>
      <w:r w:rsidRPr="00893E6D">
        <w:rPr>
          <w:rFonts w:ascii="Times New Roman" w:hAnsi="Times New Roman" w:cs="Times New Roman"/>
          <w:sz w:val="24"/>
          <w:szCs w:val="24"/>
        </w:rPr>
        <w:t>Consistent with the findings of</w:t>
      </w:r>
      <w:r w:rsidR="002B3ED3" w:rsidRPr="00893E6D">
        <w:rPr>
          <w:rFonts w:ascii="Times New Roman" w:hAnsi="Times New Roman" w:cs="Times New Roman"/>
          <w:sz w:val="24"/>
          <w:szCs w:val="24"/>
        </w:rPr>
        <w:t xml:space="preserve"> </w:t>
      </w:r>
      <w:r w:rsidRPr="00893E6D">
        <w:rPr>
          <w:rFonts w:ascii="Times New Roman" w:hAnsi="Times New Roman" w:cs="Times New Roman"/>
          <w:sz w:val="24"/>
          <w:szCs w:val="24"/>
        </w:rPr>
        <w:t xml:space="preserve">Chen </w:t>
      </w:r>
      <w:r w:rsidRPr="00893E6D">
        <w:rPr>
          <w:rFonts w:ascii="Times New Roman" w:hAnsi="Times New Roman" w:cs="Times New Roman"/>
          <w:i/>
          <w:sz w:val="24"/>
          <w:szCs w:val="24"/>
        </w:rPr>
        <w:t>et al</w:t>
      </w:r>
      <w:r w:rsidRPr="00893E6D">
        <w:rPr>
          <w:rFonts w:ascii="Times New Roman" w:hAnsi="Times New Roman" w:cs="Times New Roman"/>
          <w:sz w:val="24"/>
          <w:szCs w:val="24"/>
        </w:rPr>
        <w:t xml:space="preserve">. (2001), </w:t>
      </w:r>
      <w:r w:rsidR="002B3ED3" w:rsidRPr="00893E6D">
        <w:rPr>
          <w:rFonts w:ascii="Times New Roman" w:hAnsi="Times New Roman" w:cs="Times New Roman"/>
          <w:sz w:val="24"/>
          <w:szCs w:val="24"/>
        </w:rPr>
        <w:t>firm size (</w:t>
      </w:r>
      <w:r w:rsidR="002B3ED3" w:rsidRPr="00893E6D">
        <w:rPr>
          <w:rFonts w:ascii="Times New Roman" w:hAnsi="Times New Roman" w:cs="Times New Roman"/>
          <w:i/>
          <w:sz w:val="24"/>
          <w:szCs w:val="24"/>
        </w:rPr>
        <w:t>LNAT</w:t>
      </w:r>
      <w:r w:rsidR="002B3ED3" w:rsidRPr="00893E6D">
        <w:rPr>
          <w:rFonts w:ascii="Times New Roman" w:hAnsi="Times New Roman" w:cs="Times New Roman"/>
          <w:sz w:val="24"/>
          <w:szCs w:val="24"/>
        </w:rPr>
        <w:t>), detrended turnover (</w:t>
      </w:r>
      <w:r w:rsidR="002B3ED3" w:rsidRPr="00893E6D">
        <w:rPr>
          <w:rFonts w:ascii="Times New Roman" w:hAnsi="Times New Roman" w:cs="Times New Roman"/>
          <w:i/>
          <w:sz w:val="24"/>
          <w:szCs w:val="24"/>
        </w:rPr>
        <w:t>DTURN</w:t>
      </w:r>
      <w:r w:rsidR="002B3ED3" w:rsidRPr="00893E6D">
        <w:rPr>
          <w:rFonts w:ascii="Times New Roman" w:hAnsi="Times New Roman" w:cs="Times New Roman"/>
          <w:sz w:val="24"/>
          <w:szCs w:val="24"/>
        </w:rPr>
        <w:t>), and market-to-book ratio (</w:t>
      </w:r>
      <w:r w:rsidR="002B3ED3" w:rsidRPr="00893E6D">
        <w:rPr>
          <w:rFonts w:ascii="Times New Roman" w:hAnsi="Times New Roman" w:cs="Times New Roman"/>
          <w:i/>
          <w:sz w:val="24"/>
          <w:szCs w:val="24"/>
        </w:rPr>
        <w:t>MKBK</w:t>
      </w:r>
      <w:r w:rsidR="002B3ED3" w:rsidRPr="00893E6D">
        <w:rPr>
          <w:rFonts w:ascii="Times New Roman" w:hAnsi="Times New Roman" w:cs="Times New Roman"/>
          <w:sz w:val="24"/>
          <w:szCs w:val="24"/>
        </w:rPr>
        <w:t xml:space="preserve">) are positively related to firm crash risk. </w:t>
      </w:r>
      <w:r w:rsidR="00BB3F78">
        <w:rPr>
          <w:rFonts w:ascii="Times New Roman" w:hAnsi="Times New Roman" w:cs="Times New Roman"/>
          <w:sz w:val="24"/>
          <w:szCs w:val="24"/>
        </w:rPr>
        <w:t>F</w:t>
      </w:r>
      <w:r w:rsidR="009029F3" w:rsidRPr="00893E6D">
        <w:rPr>
          <w:rFonts w:ascii="Times New Roman" w:hAnsi="Times New Roman" w:cs="Times New Roman"/>
          <w:sz w:val="24"/>
          <w:szCs w:val="24"/>
        </w:rPr>
        <w:t>irms hoarding bad news</w:t>
      </w:r>
      <w:r w:rsidR="00BB3F78">
        <w:rPr>
          <w:rFonts w:ascii="Times New Roman" w:hAnsi="Times New Roman" w:cs="Times New Roman"/>
          <w:sz w:val="24"/>
          <w:szCs w:val="24"/>
        </w:rPr>
        <w:t>,</w:t>
      </w:r>
      <w:r w:rsidR="009029F3" w:rsidRPr="00893E6D">
        <w:rPr>
          <w:rFonts w:ascii="Times New Roman" w:hAnsi="Times New Roman" w:cs="Times New Roman"/>
          <w:sz w:val="24"/>
          <w:szCs w:val="24"/>
        </w:rPr>
        <w:t xml:space="preserve"> </w:t>
      </w:r>
      <w:r w:rsidR="00BB3F78">
        <w:rPr>
          <w:rFonts w:ascii="Times New Roman" w:hAnsi="Times New Roman" w:cs="Times New Roman"/>
          <w:sz w:val="24"/>
          <w:szCs w:val="24"/>
        </w:rPr>
        <w:t>proxied by</w:t>
      </w:r>
      <w:r w:rsidR="00BB3F78" w:rsidRPr="00893E6D">
        <w:rPr>
          <w:rFonts w:ascii="Times New Roman" w:hAnsi="Times New Roman" w:cs="Times New Roman"/>
          <w:sz w:val="24"/>
          <w:szCs w:val="24"/>
        </w:rPr>
        <w:t xml:space="preserve"> </w:t>
      </w:r>
      <w:r w:rsidR="009029F3" w:rsidRPr="00893E6D">
        <w:rPr>
          <w:rFonts w:ascii="Times New Roman" w:hAnsi="Times New Roman" w:cs="Times New Roman"/>
          <w:sz w:val="24"/>
          <w:szCs w:val="24"/>
        </w:rPr>
        <w:t>discretionary accruals and real earnings management (</w:t>
      </w:r>
      <w:r w:rsidR="009029F3" w:rsidRPr="00893E6D">
        <w:rPr>
          <w:rFonts w:ascii="Times New Roman" w:hAnsi="Times New Roman" w:cs="Times New Roman"/>
          <w:i/>
          <w:sz w:val="24"/>
          <w:szCs w:val="24"/>
        </w:rPr>
        <w:t>DISACC</w:t>
      </w:r>
      <w:r w:rsidR="009029F3" w:rsidRPr="00893E6D">
        <w:rPr>
          <w:rFonts w:ascii="Times New Roman" w:hAnsi="Times New Roman" w:cs="Times New Roman"/>
          <w:sz w:val="24"/>
          <w:szCs w:val="24"/>
        </w:rPr>
        <w:t xml:space="preserve"> and </w:t>
      </w:r>
      <w:r w:rsidR="009029F3" w:rsidRPr="00893E6D">
        <w:rPr>
          <w:rFonts w:ascii="Times New Roman" w:hAnsi="Times New Roman" w:cs="Times New Roman"/>
          <w:i/>
          <w:sz w:val="24"/>
          <w:szCs w:val="24"/>
        </w:rPr>
        <w:t>REALEM</w:t>
      </w:r>
      <w:r w:rsidR="009029F3" w:rsidRPr="00893E6D">
        <w:rPr>
          <w:rFonts w:ascii="Times New Roman" w:hAnsi="Times New Roman" w:cs="Times New Roman"/>
          <w:sz w:val="24"/>
          <w:szCs w:val="24"/>
        </w:rPr>
        <w:t>)</w:t>
      </w:r>
      <w:r w:rsidR="00BB3F78">
        <w:rPr>
          <w:rFonts w:ascii="Times New Roman" w:hAnsi="Times New Roman" w:cs="Times New Roman"/>
          <w:sz w:val="24"/>
          <w:szCs w:val="24"/>
        </w:rPr>
        <w:t>,</w:t>
      </w:r>
      <w:r w:rsidR="009029F3" w:rsidRPr="00893E6D">
        <w:rPr>
          <w:rFonts w:ascii="Times New Roman" w:hAnsi="Times New Roman" w:cs="Times New Roman"/>
          <w:sz w:val="24"/>
          <w:szCs w:val="24"/>
        </w:rPr>
        <w:t xml:space="preserve"> </w:t>
      </w:r>
      <w:r w:rsidR="00B912FB" w:rsidRPr="00893E6D">
        <w:rPr>
          <w:rFonts w:ascii="Times New Roman" w:hAnsi="Times New Roman" w:cs="Times New Roman"/>
          <w:sz w:val="24"/>
          <w:szCs w:val="24"/>
        </w:rPr>
        <w:t>are associated with higher stock price crash risk</w:t>
      </w:r>
      <w:r w:rsidR="008902A9">
        <w:rPr>
          <w:rFonts w:ascii="Times New Roman" w:hAnsi="Times New Roman" w:cs="Times New Roman"/>
          <w:sz w:val="24"/>
          <w:szCs w:val="24"/>
        </w:rPr>
        <w:t xml:space="preserve"> as in</w:t>
      </w:r>
      <w:r w:rsidR="00B912FB" w:rsidRPr="00893E6D">
        <w:rPr>
          <w:rFonts w:ascii="Times New Roman" w:hAnsi="Times New Roman" w:cs="Times New Roman"/>
          <w:sz w:val="24"/>
          <w:szCs w:val="24"/>
        </w:rPr>
        <w:t xml:space="preserve"> Hutton </w:t>
      </w:r>
      <w:r w:rsidR="00B912FB" w:rsidRPr="00893E6D">
        <w:rPr>
          <w:rFonts w:ascii="Times New Roman" w:hAnsi="Times New Roman" w:cs="Times New Roman"/>
          <w:i/>
          <w:sz w:val="24"/>
          <w:szCs w:val="24"/>
        </w:rPr>
        <w:t>et al</w:t>
      </w:r>
      <w:r w:rsidR="00B912FB" w:rsidRPr="00893E6D">
        <w:rPr>
          <w:rFonts w:ascii="Times New Roman" w:hAnsi="Times New Roman" w:cs="Times New Roman"/>
          <w:sz w:val="24"/>
          <w:szCs w:val="24"/>
        </w:rPr>
        <w:t>. (2009)</w:t>
      </w:r>
      <w:r w:rsidR="000C44F1" w:rsidRPr="00893E6D">
        <w:rPr>
          <w:rFonts w:ascii="Times New Roman" w:hAnsi="Times New Roman" w:cs="Times New Roman"/>
          <w:sz w:val="24"/>
          <w:szCs w:val="24"/>
        </w:rPr>
        <w:t xml:space="preserve">, </w:t>
      </w:r>
      <w:r w:rsidR="00B912FB" w:rsidRPr="00893E6D">
        <w:rPr>
          <w:rFonts w:ascii="Times New Roman" w:hAnsi="Times New Roman" w:cs="Times New Roman"/>
          <w:sz w:val="24"/>
          <w:szCs w:val="24"/>
        </w:rPr>
        <w:t>Zhu (2016)</w:t>
      </w:r>
      <w:r w:rsidR="00FB383F" w:rsidRPr="00893E6D">
        <w:rPr>
          <w:rFonts w:ascii="Times New Roman" w:hAnsi="Times New Roman" w:cs="Times New Roman"/>
          <w:sz w:val="24"/>
          <w:szCs w:val="24"/>
        </w:rPr>
        <w:t>,</w:t>
      </w:r>
      <w:r w:rsidR="000C44F1" w:rsidRPr="00893E6D">
        <w:rPr>
          <w:rFonts w:ascii="Times New Roman" w:hAnsi="Times New Roman" w:cs="Times New Roman"/>
          <w:sz w:val="24"/>
          <w:szCs w:val="24"/>
        </w:rPr>
        <w:t xml:space="preserve"> and Francis </w:t>
      </w:r>
      <w:r w:rsidR="000C44F1" w:rsidRPr="00893E6D">
        <w:rPr>
          <w:rFonts w:ascii="Times New Roman" w:hAnsi="Times New Roman" w:cs="Times New Roman"/>
          <w:i/>
          <w:sz w:val="24"/>
          <w:szCs w:val="24"/>
        </w:rPr>
        <w:t>et al</w:t>
      </w:r>
      <w:r w:rsidR="000C44F1" w:rsidRPr="00893E6D">
        <w:rPr>
          <w:rFonts w:ascii="Times New Roman" w:hAnsi="Times New Roman" w:cs="Times New Roman"/>
          <w:sz w:val="24"/>
          <w:szCs w:val="24"/>
        </w:rPr>
        <w:t>. (2016)</w:t>
      </w:r>
      <w:r w:rsidR="00B912FB" w:rsidRPr="00893E6D">
        <w:rPr>
          <w:rFonts w:ascii="Times New Roman" w:hAnsi="Times New Roman" w:cs="Times New Roman"/>
          <w:sz w:val="24"/>
          <w:szCs w:val="24"/>
        </w:rPr>
        <w:t xml:space="preserve">. </w:t>
      </w:r>
      <w:r w:rsidR="00C26549" w:rsidRPr="00893E6D">
        <w:rPr>
          <w:rFonts w:ascii="Times New Roman" w:hAnsi="Times New Roman" w:cs="Times New Roman"/>
          <w:sz w:val="24"/>
          <w:szCs w:val="24"/>
        </w:rPr>
        <w:t xml:space="preserve">Stock price crash risk is also higher </w:t>
      </w:r>
      <w:r w:rsidR="00BB3F78">
        <w:rPr>
          <w:rFonts w:ascii="Times New Roman" w:hAnsi="Times New Roman" w:cs="Times New Roman"/>
          <w:sz w:val="24"/>
          <w:szCs w:val="24"/>
        </w:rPr>
        <w:t>among</w:t>
      </w:r>
      <w:r w:rsidR="00BB3F78" w:rsidRPr="00893E6D">
        <w:rPr>
          <w:rFonts w:ascii="Times New Roman" w:hAnsi="Times New Roman" w:cs="Times New Roman"/>
          <w:sz w:val="24"/>
          <w:szCs w:val="24"/>
        </w:rPr>
        <w:t xml:space="preserve"> </w:t>
      </w:r>
      <w:r w:rsidR="00C26549" w:rsidRPr="00893E6D">
        <w:rPr>
          <w:rFonts w:ascii="Times New Roman" w:hAnsi="Times New Roman" w:cs="Times New Roman"/>
          <w:sz w:val="24"/>
          <w:szCs w:val="24"/>
        </w:rPr>
        <w:t>firms with more transient institutional ownership</w:t>
      </w:r>
      <w:r w:rsidR="000A37C9" w:rsidRPr="00893E6D">
        <w:rPr>
          <w:rFonts w:ascii="Times New Roman" w:hAnsi="Times New Roman" w:cs="Times New Roman"/>
          <w:sz w:val="24"/>
          <w:szCs w:val="24"/>
        </w:rPr>
        <w:t xml:space="preserve"> (</w:t>
      </w:r>
      <w:r w:rsidR="000A37C9" w:rsidRPr="00893E6D">
        <w:rPr>
          <w:rFonts w:ascii="Times New Roman" w:hAnsi="Times New Roman" w:cs="Times New Roman"/>
          <w:i/>
          <w:sz w:val="24"/>
          <w:szCs w:val="24"/>
        </w:rPr>
        <w:t>INSTOWN_TRAN</w:t>
      </w:r>
      <w:r w:rsidR="000A37C9" w:rsidRPr="00893E6D">
        <w:rPr>
          <w:rFonts w:ascii="Times New Roman" w:hAnsi="Times New Roman" w:cs="Times New Roman"/>
          <w:sz w:val="24"/>
          <w:szCs w:val="24"/>
        </w:rPr>
        <w:t>)</w:t>
      </w:r>
      <w:r w:rsidR="00C26549" w:rsidRPr="00893E6D">
        <w:rPr>
          <w:rFonts w:ascii="Times New Roman" w:hAnsi="Times New Roman" w:cs="Times New Roman"/>
          <w:sz w:val="24"/>
          <w:szCs w:val="24"/>
        </w:rPr>
        <w:t xml:space="preserve"> </w:t>
      </w:r>
      <w:proofErr w:type="gramStart"/>
      <w:r w:rsidR="00BB3F78">
        <w:rPr>
          <w:rFonts w:ascii="Times New Roman" w:hAnsi="Times New Roman" w:cs="Times New Roman"/>
          <w:sz w:val="24"/>
          <w:szCs w:val="24"/>
        </w:rPr>
        <w:t>similar to</w:t>
      </w:r>
      <w:proofErr w:type="gramEnd"/>
      <w:r w:rsidR="00443FB9" w:rsidRPr="00893E6D">
        <w:rPr>
          <w:rFonts w:ascii="Times New Roman" w:hAnsi="Times New Roman" w:cs="Times New Roman"/>
          <w:sz w:val="24"/>
          <w:szCs w:val="24"/>
        </w:rPr>
        <w:t xml:space="preserve"> </w:t>
      </w:r>
      <w:r w:rsidR="00BD73CF">
        <w:rPr>
          <w:rFonts w:ascii="Times New Roman" w:hAnsi="Times New Roman" w:cs="Times New Roman"/>
          <w:sz w:val="24"/>
          <w:szCs w:val="24"/>
        </w:rPr>
        <w:t xml:space="preserve">the findings of </w:t>
      </w:r>
      <w:r w:rsidR="00C26549" w:rsidRPr="00893E6D">
        <w:rPr>
          <w:rFonts w:ascii="Times New Roman" w:hAnsi="Times New Roman" w:cs="Times New Roman"/>
          <w:sz w:val="24"/>
          <w:szCs w:val="24"/>
        </w:rPr>
        <w:t>An and Zhang (2013).</w:t>
      </w:r>
      <w:r w:rsidR="00D63834" w:rsidRPr="00893E6D">
        <w:rPr>
          <w:rFonts w:ascii="Times New Roman" w:hAnsi="Times New Roman" w:cs="Times New Roman"/>
          <w:sz w:val="24"/>
          <w:szCs w:val="24"/>
        </w:rPr>
        <w:t xml:space="preserve"> </w:t>
      </w:r>
      <w:r w:rsidR="00BB3F78">
        <w:rPr>
          <w:rFonts w:ascii="Times New Roman" w:hAnsi="Times New Roman" w:cs="Times New Roman"/>
          <w:sz w:val="24"/>
          <w:szCs w:val="24"/>
        </w:rPr>
        <w:t>Like</w:t>
      </w:r>
      <w:r w:rsidR="00C26549" w:rsidRPr="00893E6D">
        <w:rPr>
          <w:rFonts w:ascii="Times New Roman" w:hAnsi="Times New Roman" w:cs="Times New Roman"/>
          <w:sz w:val="24"/>
          <w:szCs w:val="24"/>
        </w:rPr>
        <w:t xml:space="preserve"> </w:t>
      </w:r>
      <w:r w:rsidR="000A37C9" w:rsidRPr="00893E6D">
        <w:rPr>
          <w:rFonts w:ascii="Times New Roman" w:hAnsi="Times New Roman" w:cs="Times New Roman"/>
          <w:sz w:val="24"/>
          <w:szCs w:val="24"/>
        </w:rPr>
        <w:t>Habib</w:t>
      </w:r>
      <w:r w:rsidR="00443FB9" w:rsidRPr="00893E6D">
        <w:rPr>
          <w:rFonts w:ascii="Times New Roman" w:hAnsi="Times New Roman" w:cs="Times New Roman"/>
          <w:sz w:val="24"/>
          <w:szCs w:val="24"/>
        </w:rPr>
        <w:t>a</w:t>
      </w:r>
      <w:r w:rsidR="000A37C9" w:rsidRPr="00893E6D">
        <w:rPr>
          <w:rFonts w:ascii="Times New Roman" w:hAnsi="Times New Roman" w:cs="Times New Roman"/>
          <w:sz w:val="24"/>
          <w:szCs w:val="24"/>
        </w:rPr>
        <w:t xml:space="preserve"> and Hassan (2017)</w:t>
      </w:r>
      <w:r w:rsidR="00D63834" w:rsidRPr="00893E6D">
        <w:rPr>
          <w:rFonts w:ascii="Times New Roman" w:hAnsi="Times New Roman" w:cs="Times New Roman"/>
          <w:sz w:val="24"/>
          <w:szCs w:val="24"/>
        </w:rPr>
        <w:t>,</w:t>
      </w:r>
      <w:r w:rsidR="00FB383F" w:rsidRPr="00893E6D">
        <w:rPr>
          <w:rFonts w:ascii="Times New Roman" w:hAnsi="Times New Roman" w:cs="Times New Roman"/>
          <w:sz w:val="24"/>
          <w:szCs w:val="24"/>
        </w:rPr>
        <w:t xml:space="preserve"> </w:t>
      </w:r>
      <w:r w:rsidR="00D96616" w:rsidRPr="00893E6D">
        <w:rPr>
          <w:rFonts w:ascii="Times New Roman" w:hAnsi="Times New Roman" w:cs="Times New Roman"/>
          <w:sz w:val="24"/>
          <w:szCs w:val="24"/>
        </w:rPr>
        <w:t xml:space="preserve">we </w:t>
      </w:r>
      <w:r w:rsidR="00427565">
        <w:rPr>
          <w:rFonts w:ascii="Times New Roman" w:hAnsi="Times New Roman" w:cs="Times New Roman"/>
          <w:sz w:val="24"/>
          <w:szCs w:val="24"/>
        </w:rPr>
        <w:t>document a</w:t>
      </w:r>
      <w:r w:rsidR="00D63834" w:rsidRPr="00893E6D">
        <w:rPr>
          <w:rFonts w:ascii="Times New Roman" w:hAnsi="Times New Roman" w:cs="Times New Roman"/>
          <w:sz w:val="24"/>
          <w:szCs w:val="24"/>
        </w:rPr>
        <w:t xml:space="preserve"> positive association between stock price crash risk and managerial skills</w:t>
      </w:r>
      <w:r w:rsidR="000A37C9" w:rsidRPr="00893E6D">
        <w:rPr>
          <w:rFonts w:ascii="Times New Roman" w:hAnsi="Times New Roman" w:cs="Times New Roman"/>
          <w:sz w:val="24"/>
          <w:szCs w:val="24"/>
        </w:rPr>
        <w:t xml:space="preserve">. </w:t>
      </w:r>
      <w:r w:rsidR="00BB3F78">
        <w:rPr>
          <w:rFonts w:ascii="Times New Roman" w:hAnsi="Times New Roman" w:cs="Times New Roman"/>
          <w:sz w:val="24"/>
          <w:szCs w:val="24"/>
        </w:rPr>
        <w:t xml:space="preserve">Next, </w:t>
      </w:r>
      <w:r w:rsidR="00BB3F78" w:rsidRPr="00893E6D">
        <w:rPr>
          <w:rFonts w:ascii="Times New Roman" w:hAnsi="Times New Roman" w:cs="Times New Roman"/>
          <w:sz w:val="24"/>
          <w:szCs w:val="24"/>
        </w:rPr>
        <w:t>the</w:t>
      </w:r>
      <w:r w:rsidR="003A0E73" w:rsidRPr="00893E6D">
        <w:rPr>
          <w:rFonts w:ascii="Times New Roman" w:hAnsi="Times New Roman" w:cs="Times New Roman"/>
          <w:sz w:val="24"/>
          <w:szCs w:val="24"/>
        </w:rPr>
        <w:t xml:space="preserve"> average and </w:t>
      </w:r>
      <w:r w:rsidR="00B3537A">
        <w:rPr>
          <w:rFonts w:ascii="Times New Roman" w:hAnsi="Times New Roman" w:cs="Times New Roman"/>
          <w:sz w:val="24"/>
          <w:szCs w:val="24"/>
        </w:rPr>
        <w:t xml:space="preserve">the </w:t>
      </w:r>
      <w:r w:rsidR="003A0E73" w:rsidRPr="00893E6D">
        <w:rPr>
          <w:rFonts w:ascii="Times New Roman" w:hAnsi="Times New Roman" w:cs="Times New Roman"/>
          <w:sz w:val="24"/>
          <w:szCs w:val="24"/>
        </w:rPr>
        <w:t>standard deviation of the firm-specific weekly return over the preceding fiscal year</w:t>
      </w:r>
      <w:r w:rsidR="00BF6807">
        <w:rPr>
          <w:rFonts w:ascii="Times New Roman" w:hAnsi="Times New Roman" w:cs="Times New Roman"/>
          <w:sz w:val="24"/>
          <w:szCs w:val="24"/>
        </w:rPr>
        <w:t xml:space="preserve"> </w:t>
      </w:r>
      <w:r w:rsidR="00BF6807" w:rsidRPr="00893E6D">
        <w:rPr>
          <w:rFonts w:ascii="Times New Roman" w:hAnsi="Times New Roman" w:cs="Times New Roman"/>
          <w:sz w:val="24"/>
          <w:szCs w:val="24"/>
        </w:rPr>
        <w:t>(</w:t>
      </w:r>
      <w:r w:rsidR="00BF6807" w:rsidRPr="00893E6D">
        <w:rPr>
          <w:rFonts w:ascii="Times New Roman" w:hAnsi="Times New Roman" w:cs="Times New Roman"/>
          <w:i/>
          <w:sz w:val="24"/>
          <w:szCs w:val="24"/>
        </w:rPr>
        <w:t>RET</w:t>
      </w:r>
      <w:r w:rsidR="00BF6807">
        <w:rPr>
          <w:rFonts w:ascii="Times New Roman" w:hAnsi="Times New Roman" w:cs="Times New Roman"/>
          <w:sz w:val="24"/>
          <w:szCs w:val="24"/>
        </w:rPr>
        <w:t xml:space="preserve"> and </w:t>
      </w:r>
      <w:r w:rsidR="00BF6807" w:rsidRPr="00893E6D">
        <w:rPr>
          <w:rFonts w:ascii="Times New Roman" w:hAnsi="Times New Roman" w:cs="Times New Roman"/>
          <w:i/>
          <w:sz w:val="24"/>
          <w:szCs w:val="24"/>
        </w:rPr>
        <w:t>SIGMA</w:t>
      </w:r>
      <w:r w:rsidR="00BF6807">
        <w:rPr>
          <w:rFonts w:ascii="Times New Roman" w:hAnsi="Times New Roman" w:cs="Times New Roman"/>
          <w:i/>
          <w:sz w:val="24"/>
          <w:szCs w:val="24"/>
        </w:rPr>
        <w:t>)</w:t>
      </w:r>
      <w:r w:rsidR="003A0E73" w:rsidRPr="00893E6D">
        <w:rPr>
          <w:rFonts w:ascii="Times New Roman" w:hAnsi="Times New Roman" w:cs="Times New Roman"/>
          <w:sz w:val="24"/>
          <w:szCs w:val="24"/>
        </w:rPr>
        <w:t xml:space="preserve"> are negatively related to future stock price crash risk. </w:t>
      </w:r>
      <w:r w:rsidR="003C6D28">
        <w:rPr>
          <w:rFonts w:ascii="Times New Roman" w:hAnsi="Times New Roman" w:cs="Times New Roman"/>
          <w:sz w:val="24"/>
          <w:szCs w:val="24"/>
        </w:rPr>
        <w:t>F</w:t>
      </w:r>
      <w:r w:rsidR="00304FEC" w:rsidRPr="00893E6D">
        <w:rPr>
          <w:rFonts w:ascii="Times New Roman" w:hAnsi="Times New Roman" w:cs="Times New Roman"/>
          <w:sz w:val="24"/>
          <w:szCs w:val="24"/>
        </w:rPr>
        <w:t>inancial leverage</w:t>
      </w:r>
      <w:r w:rsidR="003A0E73" w:rsidRPr="00893E6D">
        <w:rPr>
          <w:rFonts w:ascii="Times New Roman" w:hAnsi="Times New Roman" w:cs="Times New Roman"/>
          <w:sz w:val="24"/>
          <w:szCs w:val="24"/>
        </w:rPr>
        <w:t xml:space="preserve"> (</w:t>
      </w:r>
      <w:r w:rsidR="003A0E73" w:rsidRPr="00893E6D">
        <w:rPr>
          <w:rFonts w:ascii="Times New Roman" w:hAnsi="Times New Roman" w:cs="Times New Roman"/>
          <w:i/>
          <w:sz w:val="24"/>
          <w:szCs w:val="24"/>
        </w:rPr>
        <w:t>DEBT</w:t>
      </w:r>
      <w:r w:rsidR="003A0E73" w:rsidRPr="00893E6D">
        <w:rPr>
          <w:rFonts w:ascii="Times New Roman" w:hAnsi="Times New Roman" w:cs="Times New Roman"/>
          <w:sz w:val="24"/>
          <w:szCs w:val="24"/>
        </w:rPr>
        <w:t>)</w:t>
      </w:r>
      <w:r w:rsidR="00304FEC" w:rsidRPr="00893E6D">
        <w:rPr>
          <w:rFonts w:ascii="Times New Roman" w:hAnsi="Times New Roman" w:cs="Times New Roman"/>
          <w:sz w:val="24"/>
          <w:szCs w:val="24"/>
        </w:rPr>
        <w:t xml:space="preserve"> is associated with lower stock price crash risk</w:t>
      </w:r>
      <w:r w:rsidR="00BB3F78">
        <w:rPr>
          <w:rFonts w:ascii="Times New Roman" w:hAnsi="Times New Roman" w:cs="Times New Roman"/>
          <w:sz w:val="24"/>
          <w:szCs w:val="24"/>
        </w:rPr>
        <w:t xml:space="preserve"> (also see </w:t>
      </w:r>
      <w:r w:rsidR="00304FEC" w:rsidRPr="00893E6D">
        <w:rPr>
          <w:rFonts w:ascii="Times New Roman" w:hAnsi="Times New Roman" w:cs="Times New Roman"/>
          <w:sz w:val="24"/>
          <w:szCs w:val="24"/>
        </w:rPr>
        <w:t xml:space="preserve">Hutton </w:t>
      </w:r>
      <w:r w:rsidR="00304FEC" w:rsidRPr="00893E6D">
        <w:rPr>
          <w:rFonts w:ascii="Times New Roman" w:hAnsi="Times New Roman" w:cs="Times New Roman"/>
          <w:i/>
          <w:sz w:val="24"/>
          <w:szCs w:val="24"/>
        </w:rPr>
        <w:t>et al</w:t>
      </w:r>
      <w:r w:rsidR="00304FEC" w:rsidRPr="00893E6D">
        <w:rPr>
          <w:rFonts w:ascii="Times New Roman" w:hAnsi="Times New Roman" w:cs="Times New Roman"/>
          <w:sz w:val="24"/>
          <w:szCs w:val="24"/>
        </w:rPr>
        <w:t>. (2009)</w:t>
      </w:r>
      <w:r w:rsidR="00BB3F78">
        <w:rPr>
          <w:rFonts w:ascii="Times New Roman" w:hAnsi="Times New Roman" w:cs="Times New Roman"/>
          <w:sz w:val="24"/>
          <w:szCs w:val="24"/>
        </w:rPr>
        <w:t>, i.e., more stable firms have the ability to carry more debt)</w:t>
      </w:r>
      <w:r w:rsidR="00304FEC" w:rsidRPr="00893E6D">
        <w:rPr>
          <w:rFonts w:ascii="Times New Roman" w:hAnsi="Times New Roman" w:cs="Times New Roman"/>
          <w:sz w:val="24"/>
          <w:szCs w:val="24"/>
        </w:rPr>
        <w:t xml:space="preserve">. </w:t>
      </w:r>
    </w:p>
    <w:p w14:paraId="11CC1EC5" w14:textId="2B3233E1" w:rsidR="00D1399A" w:rsidRPr="00893E6D" w:rsidRDefault="00BB3F78" w:rsidP="00A1062B">
      <w:pPr>
        <w:spacing w:line="480" w:lineRule="auto"/>
        <w:ind w:firstLine="720"/>
        <w:jc w:val="both"/>
        <w:rPr>
          <w:rFonts w:ascii="Times New Roman" w:hAnsi="Times New Roman" w:cs="Times New Roman"/>
          <w:sz w:val="24"/>
          <w:szCs w:val="24"/>
        </w:rPr>
      </w:pPr>
      <w:r w:rsidRPr="00BB3F78">
        <w:rPr>
          <w:rFonts w:ascii="Times New Roman" w:hAnsi="Times New Roman" w:cs="Times New Roman"/>
          <w:sz w:val="24"/>
          <w:szCs w:val="24"/>
        </w:rPr>
        <w:lastRenderedPageBreak/>
        <w:t>The results in Table 5 corroborate our earlier findings, i.e., non-operating earnings and risk (in this case, stock price crash risk) are inversely related. The magnitude of the risk-reducing impact of non-operating earnings exceeds that of operating income when it comes to stock price crash risk.</w:t>
      </w:r>
      <w:r w:rsidR="00D1399A" w:rsidRPr="00893E6D">
        <w:rPr>
          <w:rFonts w:ascii="Times New Roman" w:hAnsi="Times New Roman" w:cs="Times New Roman"/>
          <w:sz w:val="24"/>
          <w:szCs w:val="24"/>
        </w:rPr>
        <w:t xml:space="preserve"> </w:t>
      </w:r>
      <w:r w:rsidR="002B4107" w:rsidRPr="002B4107">
        <w:rPr>
          <w:rFonts w:ascii="Times New Roman" w:hAnsi="Times New Roman" w:cs="Times New Roman"/>
          <w:sz w:val="24"/>
          <w:szCs w:val="24"/>
        </w:rPr>
        <w:t xml:space="preserve">Based on the results </w:t>
      </w:r>
      <w:r w:rsidR="00D92608">
        <w:rPr>
          <w:rFonts w:ascii="Times New Roman" w:hAnsi="Times New Roman" w:cs="Times New Roman"/>
          <w:sz w:val="24"/>
          <w:szCs w:val="24"/>
        </w:rPr>
        <w:t>in</w:t>
      </w:r>
      <w:r w:rsidR="00BD73CF" w:rsidRPr="002B4107">
        <w:rPr>
          <w:rFonts w:ascii="Times New Roman" w:hAnsi="Times New Roman" w:cs="Times New Roman"/>
          <w:sz w:val="24"/>
          <w:szCs w:val="24"/>
        </w:rPr>
        <w:t xml:space="preserve"> </w:t>
      </w:r>
      <w:r w:rsidR="002B4107" w:rsidRPr="002B4107">
        <w:rPr>
          <w:rFonts w:ascii="Times New Roman" w:hAnsi="Times New Roman" w:cs="Times New Roman"/>
          <w:sz w:val="24"/>
          <w:szCs w:val="24"/>
        </w:rPr>
        <w:t>Tables 4 and 5, we reject the null hypothesis H1b and conclude that there is an inverse association between non-operating earnings and risk measures derived from stock market prices.</w:t>
      </w:r>
    </w:p>
    <w:p w14:paraId="3EC02435" w14:textId="5160206E" w:rsidR="00DA0B25" w:rsidRPr="00893E6D" w:rsidRDefault="002A4B81" w:rsidP="00A1062B">
      <w:pPr>
        <w:pStyle w:val="ListParagraph"/>
        <w:numPr>
          <w:ilvl w:val="1"/>
          <w:numId w:val="1"/>
        </w:numPr>
        <w:spacing w:line="480" w:lineRule="auto"/>
        <w:jc w:val="both"/>
        <w:rPr>
          <w:rFonts w:ascii="Times New Roman" w:hAnsi="Times New Roman" w:cs="Times New Roman"/>
          <w:sz w:val="24"/>
          <w:szCs w:val="24"/>
        </w:rPr>
      </w:pPr>
      <w:r w:rsidRPr="00893E6D">
        <w:rPr>
          <w:rFonts w:ascii="Times New Roman" w:hAnsi="Times New Roman" w:cs="Times New Roman"/>
          <w:b/>
          <w:i/>
          <w:sz w:val="24"/>
          <w:szCs w:val="24"/>
        </w:rPr>
        <w:t>Test</w:t>
      </w:r>
      <w:r w:rsidR="0076652A" w:rsidRPr="00893E6D">
        <w:rPr>
          <w:rFonts w:ascii="Times New Roman" w:hAnsi="Times New Roman" w:cs="Times New Roman"/>
          <w:b/>
          <w:i/>
          <w:sz w:val="24"/>
          <w:szCs w:val="24"/>
        </w:rPr>
        <w:t>s</w:t>
      </w:r>
      <w:r w:rsidRPr="00893E6D">
        <w:rPr>
          <w:rFonts w:ascii="Times New Roman" w:hAnsi="Times New Roman" w:cs="Times New Roman"/>
          <w:b/>
          <w:i/>
          <w:sz w:val="24"/>
          <w:szCs w:val="24"/>
        </w:rPr>
        <w:t xml:space="preserve"> of </w:t>
      </w:r>
      <w:r w:rsidR="000E01C0">
        <w:rPr>
          <w:rFonts w:ascii="Times New Roman" w:hAnsi="Times New Roman" w:cs="Times New Roman"/>
          <w:b/>
          <w:i/>
          <w:sz w:val="24"/>
          <w:szCs w:val="24"/>
        </w:rPr>
        <w:t>e</w:t>
      </w:r>
      <w:r w:rsidRPr="00893E6D">
        <w:rPr>
          <w:rFonts w:ascii="Times New Roman" w:hAnsi="Times New Roman" w:cs="Times New Roman"/>
          <w:b/>
          <w:i/>
          <w:sz w:val="24"/>
          <w:szCs w:val="24"/>
        </w:rPr>
        <w:t>ndogeneity</w:t>
      </w:r>
    </w:p>
    <w:p w14:paraId="73499227" w14:textId="5687E8F2" w:rsidR="002B4107" w:rsidRDefault="00DA0B25" w:rsidP="00A1062B">
      <w:pPr>
        <w:spacing w:line="480" w:lineRule="auto"/>
        <w:ind w:firstLine="720"/>
        <w:jc w:val="both"/>
        <w:rPr>
          <w:rFonts w:ascii="Times New Roman" w:hAnsi="Times New Roman" w:cs="Times New Roman"/>
          <w:sz w:val="24"/>
          <w:szCs w:val="24"/>
        </w:rPr>
      </w:pPr>
      <w:r w:rsidRPr="00893E6D">
        <w:rPr>
          <w:rFonts w:ascii="Times New Roman" w:hAnsi="Times New Roman" w:cs="Times New Roman"/>
          <w:sz w:val="24"/>
          <w:szCs w:val="24"/>
        </w:rPr>
        <w:t xml:space="preserve">The </w:t>
      </w:r>
      <w:r w:rsidR="006C07DA" w:rsidRPr="00893E6D">
        <w:rPr>
          <w:rFonts w:ascii="Times New Roman" w:hAnsi="Times New Roman" w:cs="Times New Roman"/>
          <w:sz w:val="24"/>
          <w:szCs w:val="24"/>
        </w:rPr>
        <w:t xml:space="preserve">overall </w:t>
      </w:r>
      <w:r w:rsidRPr="00893E6D">
        <w:rPr>
          <w:rFonts w:ascii="Times New Roman" w:hAnsi="Times New Roman" w:cs="Times New Roman"/>
          <w:sz w:val="24"/>
          <w:szCs w:val="24"/>
        </w:rPr>
        <w:t xml:space="preserve">results in Tables </w:t>
      </w:r>
      <w:r w:rsidR="00302D4A">
        <w:rPr>
          <w:rFonts w:ascii="Times New Roman" w:hAnsi="Times New Roman" w:cs="Times New Roman"/>
          <w:sz w:val="24"/>
          <w:szCs w:val="24"/>
        </w:rPr>
        <w:t>3</w:t>
      </w:r>
      <w:r w:rsidR="00FA25A3">
        <w:rPr>
          <w:rFonts w:ascii="Times New Roman" w:hAnsi="Times New Roman" w:cs="Times New Roman"/>
          <w:sz w:val="24"/>
          <w:szCs w:val="24"/>
        </w:rPr>
        <w:t xml:space="preserve"> to </w:t>
      </w:r>
      <w:r w:rsidR="00302D4A">
        <w:rPr>
          <w:rFonts w:ascii="Times New Roman" w:hAnsi="Times New Roman" w:cs="Times New Roman"/>
          <w:sz w:val="24"/>
          <w:szCs w:val="24"/>
        </w:rPr>
        <w:t>5</w:t>
      </w:r>
      <w:r w:rsidR="00302D4A" w:rsidRPr="00893E6D">
        <w:rPr>
          <w:rFonts w:ascii="Times New Roman" w:hAnsi="Times New Roman" w:cs="Times New Roman"/>
          <w:sz w:val="24"/>
          <w:szCs w:val="24"/>
        </w:rPr>
        <w:t xml:space="preserve"> </w:t>
      </w:r>
      <w:r w:rsidRPr="00893E6D">
        <w:rPr>
          <w:rFonts w:ascii="Times New Roman" w:hAnsi="Times New Roman" w:cs="Times New Roman"/>
          <w:sz w:val="24"/>
          <w:szCs w:val="24"/>
        </w:rPr>
        <w:t xml:space="preserve">provide strong </w:t>
      </w:r>
      <w:r w:rsidR="000C44F1" w:rsidRPr="00893E6D">
        <w:rPr>
          <w:rFonts w:ascii="Times New Roman" w:hAnsi="Times New Roman" w:cs="Times New Roman"/>
          <w:sz w:val="24"/>
          <w:szCs w:val="24"/>
        </w:rPr>
        <w:t xml:space="preserve">and consistent </w:t>
      </w:r>
      <w:r w:rsidRPr="00893E6D">
        <w:rPr>
          <w:rFonts w:ascii="Times New Roman" w:hAnsi="Times New Roman" w:cs="Times New Roman"/>
          <w:sz w:val="24"/>
          <w:szCs w:val="24"/>
        </w:rPr>
        <w:t xml:space="preserve">evidence that </w:t>
      </w:r>
      <w:r w:rsidR="00AB2468" w:rsidRPr="00893E6D">
        <w:rPr>
          <w:rFonts w:ascii="Times New Roman" w:hAnsi="Times New Roman" w:cs="Times New Roman"/>
          <w:sz w:val="24"/>
          <w:szCs w:val="24"/>
        </w:rPr>
        <w:t>non-operating</w:t>
      </w:r>
      <w:r w:rsidRPr="00893E6D">
        <w:rPr>
          <w:rFonts w:ascii="Times New Roman" w:hAnsi="Times New Roman" w:cs="Times New Roman"/>
          <w:sz w:val="24"/>
          <w:szCs w:val="24"/>
        </w:rPr>
        <w:t xml:space="preserve"> earnings help </w:t>
      </w:r>
      <w:r w:rsidR="00FA25A3">
        <w:rPr>
          <w:rFonts w:ascii="Times New Roman" w:hAnsi="Times New Roman" w:cs="Times New Roman"/>
          <w:sz w:val="24"/>
          <w:szCs w:val="24"/>
        </w:rPr>
        <w:t>reduce</w:t>
      </w:r>
      <w:r w:rsidR="00FA25A3" w:rsidRPr="00893E6D">
        <w:rPr>
          <w:rFonts w:ascii="Times New Roman" w:hAnsi="Times New Roman" w:cs="Times New Roman"/>
          <w:sz w:val="24"/>
          <w:szCs w:val="24"/>
        </w:rPr>
        <w:t xml:space="preserve"> </w:t>
      </w:r>
      <w:r w:rsidRPr="00893E6D">
        <w:rPr>
          <w:rFonts w:ascii="Times New Roman" w:hAnsi="Times New Roman" w:cs="Times New Roman"/>
          <w:sz w:val="24"/>
          <w:szCs w:val="24"/>
        </w:rPr>
        <w:t>earnings volatility</w:t>
      </w:r>
      <w:r w:rsidR="000C44F1" w:rsidRPr="00893E6D">
        <w:rPr>
          <w:rFonts w:ascii="Times New Roman" w:hAnsi="Times New Roman" w:cs="Times New Roman"/>
          <w:sz w:val="24"/>
          <w:szCs w:val="24"/>
        </w:rPr>
        <w:t xml:space="preserve"> and </w:t>
      </w:r>
      <w:r w:rsidRPr="00893E6D">
        <w:rPr>
          <w:rFonts w:ascii="Times New Roman" w:hAnsi="Times New Roman" w:cs="Times New Roman"/>
          <w:sz w:val="24"/>
          <w:szCs w:val="24"/>
        </w:rPr>
        <w:t xml:space="preserve">stock price risk. </w:t>
      </w:r>
      <w:r w:rsidR="00C60A95" w:rsidRPr="00893E6D">
        <w:rPr>
          <w:rFonts w:ascii="Times New Roman" w:hAnsi="Times New Roman" w:cs="Times New Roman"/>
          <w:sz w:val="24"/>
          <w:szCs w:val="24"/>
        </w:rPr>
        <w:t xml:space="preserve">However, </w:t>
      </w:r>
      <w:r w:rsidR="002A4B81" w:rsidRPr="00893E6D">
        <w:rPr>
          <w:rFonts w:ascii="Times New Roman" w:hAnsi="Times New Roman" w:cs="Times New Roman"/>
          <w:sz w:val="24"/>
          <w:szCs w:val="24"/>
        </w:rPr>
        <w:t>c</w:t>
      </w:r>
      <w:r w:rsidR="00C60A95" w:rsidRPr="00893E6D">
        <w:rPr>
          <w:rFonts w:ascii="Times New Roman" w:hAnsi="Times New Roman" w:cs="Times New Roman"/>
          <w:sz w:val="24"/>
          <w:szCs w:val="24"/>
        </w:rPr>
        <w:t xml:space="preserve">ertain firm characteristics </w:t>
      </w:r>
      <w:r w:rsidR="00FA25A3" w:rsidRPr="00893E6D">
        <w:rPr>
          <w:rFonts w:ascii="Times New Roman" w:hAnsi="Times New Roman" w:cs="Times New Roman"/>
          <w:sz w:val="24"/>
          <w:szCs w:val="24"/>
        </w:rPr>
        <w:t>may</w:t>
      </w:r>
      <w:r w:rsidR="00C60A95" w:rsidRPr="00893E6D">
        <w:rPr>
          <w:rFonts w:ascii="Times New Roman" w:hAnsi="Times New Roman" w:cs="Times New Roman"/>
          <w:sz w:val="24"/>
          <w:szCs w:val="24"/>
        </w:rPr>
        <w:t xml:space="preserve"> simultaneously affect</w:t>
      </w:r>
      <w:r w:rsidR="003109C5" w:rsidRPr="00893E6D">
        <w:rPr>
          <w:rFonts w:ascii="Times New Roman" w:hAnsi="Times New Roman" w:cs="Times New Roman"/>
          <w:sz w:val="24"/>
          <w:szCs w:val="24"/>
        </w:rPr>
        <w:t xml:space="preserve"> a </w:t>
      </w:r>
      <w:r w:rsidR="00C60A95" w:rsidRPr="00893E6D">
        <w:rPr>
          <w:rFonts w:ascii="Times New Roman" w:hAnsi="Times New Roman" w:cs="Times New Roman"/>
          <w:sz w:val="24"/>
          <w:szCs w:val="24"/>
        </w:rPr>
        <w:t>firm</w:t>
      </w:r>
      <w:r w:rsidR="003109C5" w:rsidRPr="00893E6D">
        <w:rPr>
          <w:rFonts w:ascii="Times New Roman" w:hAnsi="Times New Roman" w:cs="Times New Roman"/>
          <w:sz w:val="24"/>
          <w:szCs w:val="24"/>
        </w:rPr>
        <w:t>’s</w:t>
      </w:r>
      <w:r w:rsidR="00C60A95" w:rsidRPr="00893E6D">
        <w:rPr>
          <w:rFonts w:ascii="Times New Roman" w:hAnsi="Times New Roman" w:cs="Times New Roman"/>
          <w:sz w:val="24"/>
          <w:szCs w:val="24"/>
        </w:rPr>
        <w:t xml:space="preserve"> </w:t>
      </w:r>
      <w:r w:rsidR="00AB2468" w:rsidRPr="00893E6D">
        <w:rPr>
          <w:rFonts w:ascii="Times New Roman" w:hAnsi="Times New Roman" w:cs="Times New Roman"/>
          <w:sz w:val="24"/>
          <w:szCs w:val="24"/>
        </w:rPr>
        <w:t>non-operating</w:t>
      </w:r>
      <w:r w:rsidR="00C60A95" w:rsidRPr="00893E6D">
        <w:rPr>
          <w:rFonts w:ascii="Times New Roman" w:hAnsi="Times New Roman" w:cs="Times New Roman"/>
          <w:sz w:val="24"/>
          <w:szCs w:val="24"/>
        </w:rPr>
        <w:t xml:space="preserve"> </w:t>
      </w:r>
      <w:r w:rsidR="003109C5" w:rsidRPr="00893E6D">
        <w:rPr>
          <w:rFonts w:ascii="Times New Roman" w:hAnsi="Times New Roman" w:cs="Times New Roman"/>
          <w:sz w:val="24"/>
          <w:szCs w:val="24"/>
        </w:rPr>
        <w:t>earnings</w:t>
      </w:r>
      <w:r w:rsidR="00C60A95" w:rsidRPr="00893E6D">
        <w:rPr>
          <w:rFonts w:ascii="Times New Roman" w:hAnsi="Times New Roman" w:cs="Times New Roman"/>
          <w:sz w:val="24"/>
          <w:szCs w:val="24"/>
        </w:rPr>
        <w:t>, earnings volatility</w:t>
      </w:r>
      <w:r w:rsidR="00DE2DF1" w:rsidRPr="00893E6D">
        <w:rPr>
          <w:rFonts w:ascii="Times New Roman" w:hAnsi="Times New Roman" w:cs="Times New Roman"/>
          <w:sz w:val="24"/>
          <w:szCs w:val="24"/>
        </w:rPr>
        <w:t>,</w:t>
      </w:r>
      <w:r w:rsidR="000C44F1" w:rsidRPr="00893E6D">
        <w:rPr>
          <w:rFonts w:ascii="Times New Roman" w:hAnsi="Times New Roman" w:cs="Times New Roman"/>
          <w:sz w:val="24"/>
          <w:szCs w:val="24"/>
        </w:rPr>
        <w:t xml:space="preserve"> and</w:t>
      </w:r>
      <w:r w:rsidR="00C60A95" w:rsidRPr="00893E6D">
        <w:rPr>
          <w:rFonts w:ascii="Times New Roman" w:hAnsi="Times New Roman" w:cs="Times New Roman"/>
          <w:sz w:val="24"/>
          <w:szCs w:val="24"/>
        </w:rPr>
        <w:t xml:space="preserve"> stock price risk. </w:t>
      </w:r>
      <w:r w:rsidR="00057491" w:rsidRPr="00893E6D">
        <w:rPr>
          <w:rFonts w:ascii="Times New Roman" w:hAnsi="Times New Roman" w:cs="Times New Roman"/>
          <w:sz w:val="24"/>
          <w:szCs w:val="24"/>
        </w:rPr>
        <w:t>Firm fixed effects are included in the regression</w:t>
      </w:r>
      <w:r w:rsidR="00E114A3" w:rsidRPr="00893E6D">
        <w:rPr>
          <w:rFonts w:ascii="Times New Roman" w:hAnsi="Times New Roman" w:cs="Times New Roman"/>
          <w:sz w:val="24"/>
          <w:szCs w:val="24"/>
        </w:rPr>
        <w:t>s</w:t>
      </w:r>
      <w:r w:rsidR="00057491" w:rsidRPr="00893E6D">
        <w:rPr>
          <w:rFonts w:ascii="Times New Roman" w:hAnsi="Times New Roman" w:cs="Times New Roman"/>
          <w:sz w:val="24"/>
          <w:szCs w:val="24"/>
        </w:rPr>
        <w:t xml:space="preserve"> </w:t>
      </w:r>
      <w:r w:rsidR="007F7EE7">
        <w:rPr>
          <w:rFonts w:ascii="Times New Roman" w:hAnsi="Times New Roman" w:cs="Times New Roman"/>
          <w:sz w:val="24"/>
          <w:szCs w:val="24"/>
        </w:rPr>
        <w:t>in</w:t>
      </w:r>
      <w:r w:rsidR="00057491" w:rsidRPr="00893E6D">
        <w:rPr>
          <w:rFonts w:ascii="Times New Roman" w:hAnsi="Times New Roman" w:cs="Times New Roman"/>
          <w:sz w:val="24"/>
          <w:szCs w:val="24"/>
        </w:rPr>
        <w:t xml:space="preserve"> Tables </w:t>
      </w:r>
      <w:r w:rsidR="0001499B">
        <w:rPr>
          <w:rFonts w:ascii="Times New Roman" w:hAnsi="Times New Roman" w:cs="Times New Roman"/>
          <w:sz w:val="24"/>
          <w:szCs w:val="24"/>
        </w:rPr>
        <w:t>3</w:t>
      </w:r>
      <w:r w:rsidR="00FA25A3">
        <w:rPr>
          <w:rFonts w:ascii="Times New Roman" w:hAnsi="Times New Roman" w:cs="Times New Roman"/>
          <w:sz w:val="24"/>
          <w:szCs w:val="24"/>
        </w:rPr>
        <w:t xml:space="preserve"> to </w:t>
      </w:r>
      <w:r w:rsidR="0001499B">
        <w:rPr>
          <w:rFonts w:ascii="Times New Roman" w:hAnsi="Times New Roman" w:cs="Times New Roman"/>
          <w:sz w:val="24"/>
          <w:szCs w:val="24"/>
        </w:rPr>
        <w:t>5</w:t>
      </w:r>
      <w:r w:rsidR="0001499B" w:rsidRPr="00893E6D">
        <w:rPr>
          <w:rFonts w:ascii="Times New Roman" w:hAnsi="Times New Roman" w:cs="Times New Roman"/>
          <w:sz w:val="24"/>
          <w:szCs w:val="24"/>
        </w:rPr>
        <w:t xml:space="preserve"> </w:t>
      </w:r>
      <w:r w:rsidR="00845B98" w:rsidRPr="00893E6D">
        <w:rPr>
          <w:rFonts w:ascii="Times New Roman" w:hAnsi="Times New Roman" w:cs="Times New Roman"/>
          <w:sz w:val="24"/>
          <w:szCs w:val="24"/>
        </w:rPr>
        <w:t xml:space="preserve">to </w:t>
      </w:r>
      <w:r w:rsidR="002A4B81" w:rsidRPr="00893E6D">
        <w:rPr>
          <w:rFonts w:ascii="Times New Roman" w:hAnsi="Times New Roman" w:cs="Times New Roman"/>
          <w:sz w:val="24"/>
          <w:szCs w:val="24"/>
        </w:rPr>
        <w:t>minimize issues with</w:t>
      </w:r>
      <w:r w:rsidR="00057491" w:rsidRPr="00893E6D">
        <w:rPr>
          <w:rFonts w:ascii="Times New Roman" w:hAnsi="Times New Roman" w:cs="Times New Roman"/>
          <w:sz w:val="24"/>
          <w:szCs w:val="24"/>
        </w:rPr>
        <w:t xml:space="preserve"> omitted variable</w:t>
      </w:r>
      <w:r w:rsidR="002A4B81" w:rsidRPr="00893E6D">
        <w:rPr>
          <w:rFonts w:ascii="Times New Roman" w:hAnsi="Times New Roman" w:cs="Times New Roman"/>
          <w:sz w:val="24"/>
          <w:szCs w:val="24"/>
        </w:rPr>
        <w:t>s</w:t>
      </w:r>
      <w:r w:rsidR="002B4107">
        <w:rPr>
          <w:rFonts w:ascii="Times New Roman" w:hAnsi="Times New Roman" w:cs="Times New Roman"/>
          <w:sz w:val="24"/>
          <w:szCs w:val="24"/>
        </w:rPr>
        <w:t xml:space="preserve"> and </w:t>
      </w:r>
      <w:r w:rsidR="00FA20B0" w:rsidRPr="00893E6D">
        <w:rPr>
          <w:rFonts w:ascii="Times New Roman" w:hAnsi="Times New Roman" w:cs="Times New Roman"/>
          <w:sz w:val="24"/>
          <w:szCs w:val="24"/>
        </w:rPr>
        <w:t xml:space="preserve">control for time-invariant firm characteristics. </w:t>
      </w:r>
    </w:p>
    <w:p w14:paraId="5E9E4CE0" w14:textId="0B7CCC94" w:rsidR="00456AF8" w:rsidRPr="00893E6D" w:rsidRDefault="002B4107" w:rsidP="00A1062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To the extent that</w:t>
      </w:r>
      <w:r w:rsidRPr="00893E6D">
        <w:rPr>
          <w:rFonts w:ascii="Times New Roman" w:hAnsi="Times New Roman" w:cs="Times New Roman"/>
          <w:sz w:val="24"/>
          <w:szCs w:val="24"/>
        </w:rPr>
        <w:t xml:space="preserve"> </w:t>
      </w:r>
      <w:r w:rsidR="00FA20B0" w:rsidRPr="00893E6D">
        <w:rPr>
          <w:rFonts w:ascii="Times New Roman" w:hAnsi="Times New Roman" w:cs="Times New Roman"/>
          <w:sz w:val="24"/>
          <w:szCs w:val="24"/>
        </w:rPr>
        <w:t xml:space="preserve">firm characteristics </w:t>
      </w:r>
      <w:r>
        <w:rPr>
          <w:rFonts w:ascii="Times New Roman" w:hAnsi="Times New Roman" w:cs="Times New Roman"/>
          <w:sz w:val="24"/>
          <w:szCs w:val="24"/>
        </w:rPr>
        <w:t>vary</w:t>
      </w:r>
      <w:r w:rsidRPr="00893E6D">
        <w:rPr>
          <w:rFonts w:ascii="Times New Roman" w:hAnsi="Times New Roman" w:cs="Times New Roman"/>
          <w:sz w:val="24"/>
          <w:szCs w:val="24"/>
        </w:rPr>
        <w:t xml:space="preserve"> </w:t>
      </w:r>
      <w:r w:rsidR="00FA20B0" w:rsidRPr="00893E6D">
        <w:rPr>
          <w:rFonts w:ascii="Times New Roman" w:hAnsi="Times New Roman" w:cs="Times New Roman"/>
          <w:sz w:val="24"/>
          <w:szCs w:val="24"/>
        </w:rPr>
        <w:t xml:space="preserve">over time, </w:t>
      </w:r>
      <w:r w:rsidR="00182F5A" w:rsidRPr="00893E6D">
        <w:rPr>
          <w:rFonts w:ascii="Times New Roman" w:hAnsi="Times New Roman" w:cs="Times New Roman"/>
          <w:sz w:val="24"/>
          <w:szCs w:val="24"/>
        </w:rPr>
        <w:t xml:space="preserve">it is </w:t>
      </w:r>
      <w:r w:rsidRPr="00893E6D">
        <w:rPr>
          <w:rFonts w:ascii="Times New Roman" w:hAnsi="Times New Roman" w:cs="Times New Roman"/>
          <w:sz w:val="24"/>
          <w:szCs w:val="24"/>
        </w:rPr>
        <w:t>essential</w:t>
      </w:r>
      <w:r w:rsidR="00182F5A" w:rsidRPr="00893E6D">
        <w:rPr>
          <w:rFonts w:ascii="Times New Roman" w:hAnsi="Times New Roman" w:cs="Times New Roman"/>
          <w:sz w:val="24"/>
          <w:szCs w:val="24"/>
        </w:rPr>
        <w:t xml:space="preserve"> to </w:t>
      </w:r>
      <w:r w:rsidR="00FA20B0" w:rsidRPr="00893E6D">
        <w:rPr>
          <w:rFonts w:ascii="Times New Roman" w:hAnsi="Times New Roman" w:cs="Times New Roman"/>
          <w:sz w:val="24"/>
          <w:szCs w:val="24"/>
        </w:rPr>
        <w:t>control for time-variant omitted variable bias</w:t>
      </w:r>
      <w:r>
        <w:rPr>
          <w:rFonts w:ascii="Times New Roman" w:hAnsi="Times New Roman" w:cs="Times New Roman"/>
          <w:sz w:val="24"/>
          <w:szCs w:val="24"/>
        </w:rPr>
        <w:t>, which we attempt with</w:t>
      </w:r>
      <w:r w:rsidR="008C7D2B" w:rsidRPr="00893E6D">
        <w:rPr>
          <w:rFonts w:ascii="Times New Roman" w:hAnsi="Times New Roman" w:cs="Times New Roman"/>
          <w:sz w:val="24"/>
          <w:szCs w:val="24"/>
        </w:rPr>
        <w:t xml:space="preserve"> </w:t>
      </w:r>
      <w:r>
        <w:rPr>
          <w:rFonts w:ascii="Times New Roman" w:hAnsi="Times New Roman" w:cs="Times New Roman"/>
          <w:sz w:val="24"/>
          <w:szCs w:val="24"/>
        </w:rPr>
        <w:t>“</w:t>
      </w:r>
      <w:r w:rsidR="00C60A95" w:rsidRPr="00893E6D">
        <w:rPr>
          <w:rFonts w:ascii="Times New Roman" w:hAnsi="Times New Roman" w:cs="Times New Roman"/>
          <w:sz w:val="24"/>
          <w:szCs w:val="24"/>
        </w:rPr>
        <w:t>change</w:t>
      </w:r>
      <w:r>
        <w:rPr>
          <w:rFonts w:ascii="Times New Roman" w:hAnsi="Times New Roman" w:cs="Times New Roman"/>
          <w:sz w:val="24"/>
          <w:szCs w:val="24"/>
        </w:rPr>
        <w:t>”</w:t>
      </w:r>
      <w:r w:rsidR="00C60A95" w:rsidRPr="00893E6D">
        <w:rPr>
          <w:rFonts w:ascii="Times New Roman" w:hAnsi="Times New Roman" w:cs="Times New Roman"/>
          <w:sz w:val="24"/>
          <w:szCs w:val="24"/>
        </w:rPr>
        <w:t xml:space="preserve"> regressions</w:t>
      </w:r>
      <w:r w:rsidR="00F54CE9" w:rsidRPr="00893E6D">
        <w:rPr>
          <w:rFonts w:ascii="Times New Roman" w:hAnsi="Times New Roman" w:cs="Times New Roman"/>
          <w:sz w:val="24"/>
          <w:szCs w:val="24"/>
        </w:rPr>
        <w:t xml:space="preserve"> and</w:t>
      </w:r>
      <w:r w:rsidR="00182F5A" w:rsidRPr="00893E6D">
        <w:rPr>
          <w:rFonts w:ascii="Times New Roman" w:hAnsi="Times New Roman" w:cs="Times New Roman"/>
          <w:sz w:val="24"/>
          <w:szCs w:val="24"/>
        </w:rPr>
        <w:t xml:space="preserve"> </w:t>
      </w:r>
      <w:r w:rsidR="001E4D34" w:rsidRPr="00893E6D">
        <w:rPr>
          <w:rFonts w:ascii="Times New Roman" w:hAnsi="Times New Roman" w:cs="Times New Roman"/>
          <w:sz w:val="24"/>
          <w:szCs w:val="24"/>
        </w:rPr>
        <w:t xml:space="preserve">two-stage least squared </w:t>
      </w:r>
      <w:r w:rsidR="002D5327">
        <w:rPr>
          <w:rFonts w:ascii="Times New Roman" w:hAnsi="Times New Roman" w:cs="Times New Roman"/>
          <w:sz w:val="24"/>
          <w:szCs w:val="24"/>
        </w:rPr>
        <w:t>regressions.</w:t>
      </w:r>
      <w:r>
        <w:rPr>
          <w:rFonts w:ascii="Times New Roman" w:hAnsi="Times New Roman" w:cs="Times New Roman"/>
          <w:sz w:val="24"/>
          <w:szCs w:val="24"/>
        </w:rPr>
        <w:t xml:space="preserve"> </w:t>
      </w:r>
      <w:r w:rsidR="002D5327" w:rsidRPr="002D5327">
        <w:rPr>
          <w:rFonts w:ascii="Times New Roman" w:hAnsi="Times New Roman" w:cs="Times New Roman"/>
          <w:sz w:val="24"/>
          <w:szCs w:val="24"/>
        </w:rPr>
        <w:t xml:space="preserve">In the ‘‘change’’ regressions, the first differences of earnings volatility and stock price risk are regressed separately on the first differences of non-operating income and the control variables. For brevity, we only report the coefficients on </w:t>
      </w:r>
      <w:r w:rsidR="002D5327" w:rsidRPr="00811D08">
        <w:rPr>
          <w:rFonts w:ascii="Times New Roman" w:hAnsi="Times New Roman" w:cs="Times New Roman"/>
          <w:i/>
          <w:iCs/>
          <w:sz w:val="24"/>
          <w:szCs w:val="24"/>
        </w:rPr>
        <w:t>NONOPERINC</w:t>
      </w:r>
      <w:r w:rsidR="002D5327" w:rsidRPr="002D5327">
        <w:rPr>
          <w:rFonts w:ascii="Times New Roman" w:hAnsi="Times New Roman" w:cs="Times New Roman"/>
          <w:sz w:val="24"/>
          <w:szCs w:val="24"/>
        </w:rPr>
        <w:t xml:space="preserve"> and </w:t>
      </w:r>
      <w:r w:rsidR="002D5327" w:rsidRPr="00811D08">
        <w:rPr>
          <w:rFonts w:ascii="Times New Roman" w:hAnsi="Times New Roman" w:cs="Times New Roman"/>
          <w:i/>
          <w:iCs/>
          <w:sz w:val="24"/>
          <w:szCs w:val="24"/>
        </w:rPr>
        <w:t>OPERINC</w:t>
      </w:r>
      <w:r w:rsidR="002D5327" w:rsidRPr="002D5327">
        <w:rPr>
          <w:rFonts w:ascii="Times New Roman" w:hAnsi="Times New Roman" w:cs="Times New Roman"/>
          <w:sz w:val="24"/>
          <w:szCs w:val="24"/>
        </w:rPr>
        <w:t xml:space="preserve"> and the model fitness statistics in Table 6. </w:t>
      </w:r>
      <w:r w:rsidR="00AB570A">
        <w:rPr>
          <w:rFonts w:ascii="Times New Roman" w:hAnsi="Times New Roman" w:cs="Times New Roman"/>
          <w:sz w:val="24"/>
          <w:szCs w:val="24"/>
        </w:rPr>
        <w:t>The coefficients</w:t>
      </w:r>
      <w:r w:rsidR="00AB570A" w:rsidRPr="002D5327">
        <w:rPr>
          <w:rFonts w:ascii="Times New Roman" w:hAnsi="Times New Roman" w:cs="Times New Roman"/>
          <w:sz w:val="24"/>
          <w:szCs w:val="24"/>
        </w:rPr>
        <w:t xml:space="preserve"> </w:t>
      </w:r>
      <w:r w:rsidR="00AB570A">
        <w:rPr>
          <w:rFonts w:ascii="Times New Roman" w:hAnsi="Times New Roman" w:cs="Times New Roman"/>
          <w:sz w:val="24"/>
          <w:szCs w:val="24"/>
        </w:rPr>
        <w:t xml:space="preserve">on </w:t>
      </w:r>
      <w:r w:rsidR="00AB570A" w:rsidRPr="00811D08">
        <w:rPr>
          <w:rFonts w:ascii="Times New Roman" w:hAnsi="Times New Roman" w:cs="Times New Roman"/>
          <w:i/>
          <w:iCs/>
          <w:sz w:val="24"/>
          <w:szCs w:val="24"/>
        </w:rPr>
        <w:t>NONOPERINC</w:t>
      </w:r>
      <w:r w:rsidR="00AB570A" w:rsidRPr="002D5327">
        <w:rPr>
          <w:rFonts w:ascii="Times New Roman" w:hAnsi="Times New Roman" w:cs="Times New Roman"/>
          <w:sz w:val="24"/>
          <w:szCs w:val="24"/>
        </w:rPr>
        <w:t xml:space="preserve"> and </w:t>
      </w:r>
      <w:r w:rsidR="00AB570A" w:rsidRPr="00811D08">
        <w:rPr>
          <w:rFonts w:ascii="Times New Roman" w:hAnsi="Times New Roman" w:cs="Times New Roman"/>
          <w:i/>
          <w:iCs/>
          <w:sz w:val="24"/>
          <w:szCs w:val="24"/>
        </w:rPr>
        <w:t>OPERINC</w:t>
      </w:r>
      <w:r w:rsidR="00AB570A" w:rsidRPr="002D5327">
        <w:rPr>
          <w:rFonts w:ascii="Times New Roman" w:hAnsi="Times New Roman" w:cs="Times New Roman"/>
          <w:sz w:val="24"/>
          <w:szCs w:val="24"/>
        </w:rPr>
        <w:t xml:space="preserve"> </w:t>
      </w:r>
      <w:r w:rsidR="002D5327" w:rsidRPr="002D5327">
        <w:rPr>
          <w:rFonts w:ascii="Times New Roman" w:hAnsi="Times New Roman" w:cs="Times New Roman"/>
          <w:sz w:val="24"/>
          <w:szCs w:val="24"/>
        </w:rPr>
        <w:t>are negative and statistically significant</w:t>
      </w:r>
      <w:r w:rsidR="00AB570A">
        <w:rPr>
          <w:rFonts w:ascii="Times New Roman" w:hAnsi="Times New Roman" w:cs="Times New Roman"/>
          <w:sz w:val="24"/>
          <w:szCs w:val="24"/>
        </w:rPr>
        <w:t xml:space="preserve"> across all models</w:t>
      </w:r>
      <w:r w:rsidR="002D5327" w:rsidRPr="002D5327">
        <w:rPr>
          <w:rFonts w:ascii="Times New Roman" w:hAnsi="Times New Roman" w:cs="Times New Roman"/>
          <w:sz w:val="24"/>
          <w:szCs w:val="24"/>
        </w:rPr>
        <w:t xml:space="preserve">, i.e., increases in both </w:t>
      </w:r>
      <w:r w:rsidRPr="00811D08">
        <w:rPr>
          <w:rFonts w:ascii="Times New Roman" w:hAnsi="Times New Roman" w:cs="Times New Roman"/>
          <w:i/>
          <w:iCs/>
          <w:sz w:val="24"/>
          <w:szCs w:val="24"/>
        </w:rPr>
        <w:t>NONOPERINC</w:t>
      </w:r>
      <w:r w:rsidRPr="002D5327">
        <w:rPr>
          <w:rFonts w:ascii="Times New Roman" w:hAnsi="Times New Roman" w:cs="Times New Roman"/>
          <w:sz w:val="24"/>
          <w:szCs w:val="24"/>
        </w:rPr>
        <w:t xml:space="preserve"> and </w:t>
      </w:r>
      <w:r w:rsidRPr="00811D08">
        <w:rPr>
          <w:rFonts w:ascii="Times New Roman" w:hAnsi="Times New Roman" w:cs="Times New Roman"/>
          <w:i/>
          <w:iCs/>
          <w:sz w:val="24"/>
          <w:szCs w:val="24"/>
        </w:rPr>
        <w:t>OPERINC</w:t>
      </w:r>
      <w:r w:rsidRPr="002D5327">
        <w:rPr>
          <w:rFonts w:ascii="Times New Roman" w:hAnsi="Times New Roman" w:cs="Times New Roman"/>
          <w:sz w:val="24"/>
          <w:szCs w:val="24"/>
        </w:rPr>
        <w:t xml:space="preserve"> </w:t>
      </w:r>
      <w:r w:rsidR="002D5327" w:rsidRPr="002D5327">
        <w:rPr>
          <w:rFonts w:ascii="Times New Roman" w:hAnsi="Times New Roman" w:cs="Times New Roman"/>
          <w:sz w:val="24"/>
          <w:szCs w:val="24"/>
        </w:rPr>
        <w:t>are associated with decreases in the risk measures.</w:t>
      </w:r>
      <w:r w:rsidR="008B08C1" w:rsidRPr="00893E6D">
        <w:rPr>
          <w:rFonts w:ascii="Times New Roman" w:hAnsi="Times New Roman" w:cs="Times New Roman"/>
          <w:sz w:val="24"/>
          <w:szCs w:val="24"/>
        </w:rPr>
        <w:t xml:space="preserve"> </w:t>
      </w:r>
    </w:p>
    <w:p w14:paraId="2D4A6335" w14:textId="6095DAF5" w:rsidR="00734B2A" w:rsidRPr="00893E6D" w:rsidRDefault="00734B2A" w:rsidP="00B73A42">
      <w:pPr>
        <w:spacing w:line="480" w:lineRule="auto"/>
        <w:jc w:val="center"/>
        <w:rPr>
          <w:rFonts w:ascii="Times New Roman" w:hAnsi="Times New Roman" w:cs="Times New Roman"/>
          <w:sz w:val="24"/>
          <w:szCs w:val="24"/>
        </w:rPr>
      </w:pPr>
      <w:r w:rsidRPr="00893E6D">
        <w:rPr>
          <w:rFonts w:ascii="Times New Roman" w:hAnsi="Times New Roman" w:cs="Times New Roman"/>
          <w:sz w:val="24"/>
          <w:szCs w:val="24"/>
        </w:rPr>
        <w:t xml:space="preserve">[INSERT TABLE </w:t>
      </w:r>
      <w:r w:rsidR="0029323E">
        <w:rPr>
          <w:rFonts w:ascii="Times New Roman" w:hAnsi="Times New Roman" w:cs="Times New Roman"/>
          <w:sz w:val="24"/>
          <w:szCs w:val="24"/>
        </w:rPr>
        <w:t>6</w:t>
      </w:r>
      <w:r w:rsidR="0029323E" w:rsidRPr="00893E6D">
        <w:rPr>
          <w:rFonts w:ascii="Times New Roman" w:hAnsi="Times New Roman" w:cs="Times New Roman"/>
          <w:sz w:val="24"/>
          <w:szCs w:val="24"/>
        </w:rPr>
        <w:t xml:space="preserve"> </w:t>
      </w:r>
      <w:r w:rsidRPr="00893E6D">
        <w:rPr>
          <w:rFonts w:ascii="Times New Roman" w:hAnsi="Times New Roman" w:cs="Times New Roman"/>
          <w:sz w:val="24"/>
          <w:szCs w:val="24"/>
        </w:rPr>
        <w:t>ABOUT HERE]</w:t>
      </w:r>
    </w:p>
    <w:p w14:paraId="13427D08" w14:textId="49A0F0EE" w:rsidR="004178E1" w:rsidRPr="00893E6D" w:rsidRDefault="0017688D" w:rsidP="00A1062B">
      <w:pPr>
        <w:spacing w:line="480" w:lineRule="auto"/>
        <w:ind w:firstLine="720"/>
        <w:jc w:val="both"/>
        <w:rPr>
          <w:rFonts w:ascii="Times New Roman" w:hAnsi="Times New Roman" w:cs="Times New Roman"/>
          <w:sz w:val="24"/>
          <w:szCs w:val="24"/>
        </w:rPr>
      </w:pPr>
      <w:r w:rsidRPr="00893E6D">
        <w:rPr>
          <w:rFonts w:ascii="Times New Roman" w:hAnsi="Times New Roman" w:cs="Times New Roman"/>
          <w:sz w:val="24"/>
          <w:szCs w:val="24"/>
        </w:rPr>
        <w:lastRenderedPageBreak/>
        <w:t>In the</w:t>
      </w:r>
      <w:r w:rsidR="009C31F6" w:rsidRPr="00893E6D">
        <w:rPr>
          <w:rFonts w:ascii="Times New Roman" w:hAnsi="Times New Roman" w:cs="Times New Roman"/>
          <w:sz w:val="24"/>
          <w:szCs w:val="24"/>
        </w:rPr>
        <w:t xml:space="preserve"> </w:t>
      </w:r>
      <w:r w:rsidR="002643E4" w:rsidRPr="00893E6D">
        <w:rPr>
          <w:rFonts w:ascii="Times New Roman" w:hAnsi="Times New Roman" w:cs="Times New Roman"/>
          <w:sz w:val="24"/>
          <w:szCs w:val="24"/>
        </w:rPr>
        <w:t>two-stage least squared analysis</w:t>
      </w:r>
      <w:r w:rsidRPr="00893E6D">
        <w:rPr>
          <w:rFonts w:ascii="Times New Roman" w:hAnsi="Times New Roman" w:cs="Times New Roman"/>
          <w:sz w:val="24"/>
          <w:szCs w:val="24"/>
        </w:rPr>
        <w:t>,</w:t>
      </w:r>
      <w:r w:rsidR="002643E4" w:rsidRPr="00893E6D">
        <w:rPr>
          <w:rFonts w:ascii="Times New Roman" w:hAnsi="Times New Roman" w:cs="Times New Roman"/>
          <w:sz w:val="24"/>
          <w:szCs w:val="24"/>
        </w:rPr>
        <w:t xml:space="preserve"> </w:t>
      </w:r>
      <w:r w:rsidRPr="00893E6D">
        <w:rPr>
          <w:rFonts w:ascii="Times New Roman" w:hAnsi="Times New Roman" w:cs="Times New Roman"/>
          <w:sz w:val="24"/>
          <w:szCs w:val="24"/>
        </w:rPr>
        <w:t>w</w:t>
      </w:r>
      <w:r w:rsidR="00D63066" w:rsidRPr="00893E6D">
        <w:rPr>
          <w:rFonts w:ascii="Times New Roman" w:hAnsi="Times New Roman" w:cs="Times New Roman"/>
          <w:sz w:val="24"/>
          <w:szCs w:val="24"/>
        </w:rPr>
        <w:t xml:space="preserve">e </w:t>
      </w:r>
      <w:r w:rsidR="00EB0167" w:rsidRPr="00893E6D">
        <w:rPr>
          <w:rFonts w:ascii="Times New Roman" w:hAnsi="Times New Roman" w:cs="Times New Roman"/>
          <w:sz w:val="24"/>
          <w:szCs w:val="24"/>
        </w:rPr>
        <w:t xml:space="preserve">use the median </w:t>
      </w:r>
      <w:r w:rsidR="00AB2468" w:rsidRPr="00893E6D">
        <w:rPr>
          <w:rFonts w:ascii="Times New Roman" w:hAnsi="Times New Roman" w:cs="Times New Roman"/>
          <w:sz w:val="24"/>
          <w:szCs w:val="24"/>
        </w:rPr>
        <w:t>non-operating</w:t>
      </w:r>
      <w:r w:rsidR="00C60A95" w:rsidRPr="00893E6D">
        <w:rPr>
          <w:rFonts w:ascii="Times New Roman" w:hAnsi="Times New Roman" w:cs="Times New Roman"/>
          <w:sz w:val="24"/>
          <w:szCs w:val="24"/>
        </w:rPr>
        <w:t xml:space="preserve"> earnings </w:t>
      </w:r>
      <w:r w:rsidR="00EB0167" w:rsidRPr="00893E6D">
        <w:rPr>
          <w:rFonts w:ascii="Times New Roman" w:hAnsi="Times New Roman" w:cs="Times New Roman"/>
          <w:sz w:val="24"/>
          <w:szCs w:val="24"/>
        </w:rPr>
        <w:t xml:space="preserve">of firms in the same </w:t>
      </w:r>
      <w:proofErr w:type="spellStart"/>
      <w:r w:rsidR="00EB0167" w:rsidRPr="00893E6D">
        <w:rPr>
          <w:rFonts w:ascii="Times New Roman" w:hAnsi="Times New Roman" w:cs="Times New Roman"/>
          <w:sz w:val="24"/>
          <w:szCs w:val="24"/>
        </w:rPr>
        <w:t>Fama</w:t>
      </w:r>
      <w:proofErr w:type="spellEnd"/>
      <w:r w:rsidR="00EB0167" w:rsidRPr="00893E6D">
        <w:rPr>
          <w:rFonts w:ascii="Times New Roman" w:hAnsi="Times New Roman" w:cs="Times New Roman"/>
          <w:sz w:val="24"/>
          <w:szCs w:val="24"/>
        </w:rPr>
        <w:t xml:space="preserve">-French 48 sector classification </w:t>
      </w:r>
      <w:r w:rsidR="00C60A95" w:rsidRPr="00893E6D">
        <w:rPr>
          <w:rFonts w:ascii="Times New Roman" w:hAnsi="Times New Roman" w:cs="Times New Roman"/>
          <w:sz w:val="24"/>
          <w:szCs w:val="24"/>
        </w:rPr>
        <w:t xml:space="preserve">as </w:t>
      </w:r>
      <w:r w:rsidR="00B22F36" w:rsidRPr="00893E6D">
        <w:rPr>
          <w:rFonts w:ascii="Times New Roman" w:hAnsi="Times New Roman" w:cs="Times New Roman"/>
          <w:sz w:val="24"/>
          <w:szCs w:val="24"/>
        </w:rPr>
        <w:t xml:space="preserve">an </w:t>
      </w:r>
      <w:r w:rsidR="00C60A95" w:rsidRPr="00893E6D">
        <w:rPr>
          <w:rFonts w:ascii="Times New Roman" w:hAnsi="Times New Roman" w:cs="Times New Roman"/>
          <w:sz w:val="24"/>
          <w:szCs w:val="24"/>
        </w:rPr>
        <w:t>instrument</w:t>
      </w:r>
      <w:r w:rsidR="00EB0167" w:rsidRPr="00893E6D">
        <w:rPr>
          <w:rFonts w:ascii="Times New Roman" w:hAnsi="Times New Roman" w:cs="Times New Roman"/>
          <w:sz w:val="24"/>
          <w:szCs w:val="24"/>
        </w:rPr>
        <w:t xml:space="preserve"> </w:t>
      </w:r>
      <w:r w:rsidR="00C80652" w:rsidRPr="00893E6D">
        <w:rPr>
          <w:rFonts w:ascii="Times New Roman" w:hAnsi="Times New Roman" w:cs="Times New Roman"/>
          <w:sz w:val="24"/>
          <w:szCs w:val="24"/>
        </w:rPr>
        <w:t>for</w:t>
      </w:r>
      <w:r w:rsidR="00B22F36" w:rsidRPr="00893E6D">
        <w:rPr>
          <w:rFonts w:ascii="Times New Roman" w:hAnsi="Times New Roman" w:cs="Times New Roman"/>
          <w:sz w:val="24"/>
          <w:szCs w:val="24"/>
        </w:rPr>
        <w:t xml:space="preserve"> a</w:t>
      </w:r>
      <w:r w:rsidR="00EB0167" w:rsidRPr="00893E6D">
        <w:rPr>
          <w:rFonts w:ascii="Times New Roman" w:hAnsi="Times New Roman" w:cs="Times New Roman"/>
          <w:sz w:val="24"/>
          <w:szCs w:val="24"/>
        </w:rPr>
        <w:t xml:space="preserve"> firm’s </w:t>
      </w:r>
      <w:r w:rsidR="00AB2468" w:rsidRPr="00893E6D">
        <w:rPr>
          <w:rFonts w:ascii="Times New Roman" w:hAnsi="Times New Roman" w:cs="Times New Roman"/>
          <w:sz w:val="24"/>
          <w:szCs w:val="24"/>
        </w:rPr>
        <w:t>non-operating</w:t>
      </w:r>
      <w:r w:rsidR="00EB0167" w:rsidRPr="00893E6D">
        <w:rPr>
          <w:rFonts w:ascii="Times New Roman" w:hAnsi="Times New Roman" w:cs="Times New Roman"/>
          <w:sz w:val="24"/>
          <w:szCs w:val="24"/>
        </w:rPr>
        <w:t xml:space="preserve"> earnings. </w:t>
      </w:r>
      <w:r w:rsidR="00A81C9D" w:rsidRPr="00893E6D">
        <w:rPr>
          <w:rFonts w:ascii="Times New Roman" w:hAnsi="Times New Roman" w:cs="Times New Roman"/>
          <w:sz w:val="24"/>
          <w:szCs w:val="24"/>
        </w:rPr>
        <w:t>This instrument variable meets both conditions of a valid instrument</w:t>
      </w:r>
      <w:r w:rsidR="004178E1" w:rsidRPr="00893E6D">
        <w:rPr>
          <w:rFonts w:ascii="Times New Roman" w:hAnsi="Times New Roman" w:cs="Times New Roman"/>
          <w:sz w:val="24"/>
          <w:szCs w:val="24"/>
        </w:rPr>
        <w:t xml:space="preserve">, </w:t>
      </w:r>
      <w:r w:rsidR="002D5327">
        <w:rPr>
          <w:rFonts w:ascii="Times New Roman" w:hAnsi="Times New Roman" w:cs="Times New Roman"/>
          <w:sz w:val="24"/>
          <w:szCs w:val="24"/>
        </w:rPr>
        <w:t xml:space="preserve">i.e., </w:t>
      </w:r>
      <w:r w:rsidR="00A81C9D" w:rsidRPr="00893E6D">
        <w:rPr>
          <w:rFonts w:ascii="Times New Roman" w:hAnsi="Times New Roman" w:cs="Times New Roman"/>
          <w:sz w:val="24"/>
          <w:szCs w:val="24"/>
        </w:rPr>
        <w:t xml:space="preserve">relevance and exclusion. </w:t>
      </w:r>
      <w:r w:rsidR="004178E1" w:rsidRPr="00893E6D">
        <w:rPr>
          <w:rFonts w:ascii="Times New Roman" w:hAnsi="Times New Roman" w:cs="Times New Roman"/>
          <w:sz w:val="24"/>
          <w:szCs w:val="24"/>
        </w:rPr>
        <w:t>While the</w:t>
      </w:r>
      <w:r w:rsidR="00782532" w:rsidRPr="00893E6D">
        <w:rPr>
          <w:rFonts w:ascii="Times New Roman" w:hAnsi="Times New Roman" w:cs="Times New Roman"/>
          <w:sz w:val="24"/>
          <w:szCs w:val="24"/>
        </w:rPr>
        <w:t xml:space="preserve"> industry median </w:t>
      </w:r>
      <w:r w:rsidR="00AB2468" w:rsidRPr="00893E6D">
        <w:rPr>
          <w:rFonts w:ascii="Times New Roman" w:hAnsi="Times New Roman" w:cs="Times New Roman"/>
          <w:sz w:val="24"/>
          <w:szCs w:val="24"/>
        </w:rPr>
        <w:t>non-operating</w:t>
      </w:r>
      <w:r w:rsidR="00782532" w:rsidRPr="00893E6D">
        <w:rPr>
          <w:rFonts w:ascii="Times New Roman" w:hAnsi="Times New Roman" w:cs="Times New Roman"/>
          <w:sz w:val="24"/>
          <w:szCs w:val="24"/>
        </w:rPr>
        <w:t xml:space="preserve"> earnings </w:t>
      </w:r>
      <w:r w:rsidR="00B85D46" w:rsidRPr="00893E6D">
        <w:rPr>
          <w:rFonts w:ascii="Times New Roman" w:hAnsi="Times New Roman" w:cs="Times New Roman"/>
          <w:sz w:val="24"/>
          <w:szCs w:val="24"/>
        </w:rPr>
        <w:t>are</w:t>
      </w:r>
      <w:r w:rsidR="00782532" w:rsidRPr="00893E6D">
        <w:rPr>
          <w:rFonts w:ascii="Times New Roman" w:hAnsi="Times New Roman" w:cs="Times New Roman"/>
          <w:sz w:val="24"/>
          <w:szCs w:val="24"/>
        </w:rPr>
        <w:t xml:space="preserve"> correlated with a firm’s </w:t>
      </w:r>
      <w:r w:rsidR="00AB2468" w:rsidRPr="00893E6D">
        <w:rPr>
          <w:rFonts w:ascii="Times New Roman" w:hAnsi="Times New Roman" w:cs="Times New Roman"/>
          <w:sz w:val="24"/>
          <w:szCs w:val="24"/>
        </w:rPr>
        <w:t>non-operating</w:t>
      </w:r>
      <w:r w:rsidR="00782532" w:rsidRPr="00893E6D">
        <w:rPr>
          <w:rFonts w:ascii="Times New Roman" w:hAnsi="Times New Roman" w:cs="Times New Roman"/>
          <w:sz w:val="24"/>
          <w:szCs w:val="24"/>
        </w:rPr>
        <w:t xml:space="preserve"> earnings, </w:t>
      </w:r>
      <w:r w:rsidR="004178E1" w:rsidRPr="00893E6D">
        <w:rPr>
          <w:rFonts w:ascii="Times New Roman" w:hAnsi="Times New Roman" w:cs="Times New Roman"/>
          <w:sz w:val="24"/>
          <w:szCs w:val="24"/>
        </w:rPr>
        <w:t xml:space="preserve">there is no </w:t>
      </w:r>
      <w:r w:rsidR="002D5327">
        <w:rPr>
          <w:rFonts w:ascii="Times New Roman" w:hAnsi="Times New Roman" w:cs="Times New Roman"/>
          <w:sz w:val="24"/>
          <w:szCs w:val="24"/>
        </w:rPr>
        <w:t xml:space="preserve">a </w:t>
      </w:r>
      <w:r w:rsidR="004178E1" w:rsidRPr="00893E6D">
        <w:rPr>
          <w:rFonts w:ascii="Times New Roman" w:hAnsi="Times New Roman" w:cs="Times New Roman"/>
          <w:sz w:val="24"/>
          <w:szCs w:val="24"/>
        </w:rPr>
        <w:t xml:space="preserve">priori expectation </w:t>
      </w:r>
      <w:r w:rsidR="00363183" w:rsidRPr="00893E6D">
        <w:rPr>
          <w:rFonts w:ascii="Times New Roman" w:hAnsi="Times New Roman" w:cs="Times New Roman"/>
          <w:sz w:val="24"/>
          <w:szCs w:val="24"/>
        </w:rPr>
        <w:t xml:space="preserve">that the industry median non-operating earnings </w:t>
      </w:r>
      <w:r w:rsidR="00CE4010" w:rsidRPr="00893E6D">
        <w:rPr>
          <w:rFonts w:ascii="Times New Roman" w:hAnsi="Times New Roman" w:cs="Times New Roman"/>
          <w:sz w:val="24"/>
          <w:szCs w:val="24"/>
        </w:rPr>
        <w:t>are</w:t>
      </w:r>
      <w:r w:rsidR="004178E1" w:rsidRPr="00893E6D">
        <w:rPr>
          <w:rFonts w:ascii="Times New Roman" w:hAnsi="Times New Roman" w:cs="Times New Roman"/>
          <w:sz w:val="24"/>
          <w:szCs w:val="24"/>
        </w:rPr>
        <w:t xml:space="preserve"> associated</w:t>
      </w:r>
      <w:r w:rsidR="00782532" w:rsidRPr="00893E6D">
        <w:rPr>
          <w:rFonts w:ascii="Times New Roman" w:hAnsi="Times New Roman" w:cs="Times New Roman"/>
          <w:sz w:val="24"/>
          <w:szCs w:val="24"/>
        </w:rPr>
        <w:t xml:space="preserve"> with the dependent variables</w:t>
      </w:r>
      <w:r w:rsidR="00D63834" w:rsidRPr="00893E6D">
        <w:rPr>
          <w:rFonts w:ascii="Times New Roman" w:hAnsi="Times New Roman" w:cs="Times New Roman"/>
          <w:sz w:val="24"/>
          <w:szCs w:val="24"/>
        </w:rPr>
        <w:t xml:space="preserve">, </w:t>
      </w:r>
      <w:r w:rsidR="003C6D28">
        <w:rPr>
          <w:rFonts w:ascii="Times New Roman" w:hAnsi="Times New Roman" w:cs="Times New Roman"/>
          <w:sz w:val="24"/>
          <w:szCs w:val="24"/>
        </w:rPr>
        <w:t xml:space="preserve">i.e., </w:t>
      </w:r>
      <w:r w:rsidR="00426373" w:rsidRPr="00893E6D">
        <w:rPr>
          <w:rFonts w:ascii="Times New Roman" w:hAnsi="Times New Roman" w:cs="Times New Roman"/>
          <w:sz w:val="24"/>
          <w:szCs w:val="24"/>
        </w:rPr>
        <w:t>a firm’s ROA volatility, stock price risk</w:t>
      </w:r>
      <w:r w:rsidR="00B85D46" w:rsidRPr="00893E6D">
        <w:rPr>
          <w:rFonts w:ascii="Times New Roman" w:hAnsi="Times New Roman" w:cs="Times New Roman"/>
          <w:sz w:val="24"/>
          <w:szCs w:val="24"/>
        </w:rPr>
        <w:t>,</w:t>
      </w:r>
      <w:r w:rsidR="00426373" w:rsidRPr="00893E6D">
        <w:rPr>
          <w:rFonts w:ascii="Times New Roman" w:hAnsi="Times New Roman" w:cs="Times New Roman"/>
          <w:sz w:val="24"/>
          <w:szCs w:val="24"/>
        </w:rPr>
        <w:t xml:space="preserve"> </w:t>
      </w:r>
      <w:r w:rsidR="0023772D" w:rsidRPr="00893E6D">
        <w:rPr>
          <w:rFonts w:ascii="Times New Roman" w:hAnsi="Times New Roman" w:cs="Times New Roman"/>
          <w:sz w:val="24"/>
          <w:szCs w:val="24"/>
        </w:rPr>
        <w:t>and crash</w:t>
      </w:r>
      <w:r w:rsidR="00426373" w:rsidRPr="00893E6D">
        <w:rPr>
          <w:rFonts w:ascii="Times New Roman" w:hAnsi="Times New Roman" w:cs="Times New Roman"/>
          <w:sz w:val="24"/>
          <w:szCs w:val="24"/>
        </w:rPr>
        <w:t xml:space="preserve"> risk</w:t>
      </w:r>
      <w:r w:rsidR="00E02BD3" w:rsidRPr="00893E6D">
        <w:rPr>
          <w:rFonts w:ascii="Times New Roman" w:hAnsi="Times New Roman" w:cs="Times New Roman"/>
          <w:sz w:val="24"/>
          <w:szCs w:val="24"/>
        </w:rPr>
        <w:t>.</w:t>
      </w:r>
      <w:r w:rsidR="00D63834" w:rsidRPr="00893E6D">
        <w:rPr>
          <w:rFonts w:ascii="Times New Roman" w:hAnsi="Times New Roman" w:cs="Times New Roman"/>
          <w:sz w:val="24"/>
          <w:szCs w:val="24"/>
        </w:rPr>
        <w:t xml:space="preserve"> </w:t>
      </w:r>
    </w:p>
    <w:p w14:paraId="4812F5E7" w14:textId="0742277D" w:rsidR="00B22F36" w:rsidRPr="00893E6D" w:rsidRDefault="00EB0167" w:rsidP="00A1062B">
      <w:pPr>
        <w:spacing w:line="480" w:lineRule="auto"/>
        <w:ind w:firstLine="720"/>
        <w:jc w:val="both"/>
        <w:rPr>
          <w:rFonts w:ascii="Times New Roman" w:hAnsi="Times New Roman" w:cs="Times New Roman"/>
          <w:sz w:val="24"/>
          <w:szCs w:val="24"/>
        </w:rPr>
      </w:pPr>
      <w:r w:rsidRPr="00893E6D">
        <w:rPr>
          <w:rFonts w:ascii="Times New Roman" w:hAnsi="Times New Roman" w:cs="Times New Roman"/>
          <w:sz w:val="24"/>
          <w:szCs w:val="24"/>
        </w:rPr>
        <w:t xml:space="preserve">In the first stage, </w:t>
      </w:r>
      <w:r w:rsidR="000C59C2" w:rsidRPr="00893E6D">
        <w:rPr>
          <w:rFonts w:ascii="Times New Roman" w:hAnsi="Times New Roman" w:cs="Times New Roman"/>
          <w:sz w:val="24"/>
          <w:szCs w:val="24"/>
        </w:rPr>
        <w:t xml:space="preserve">we </w:t>
      </w:r>
      <w:r w:rsidRPr="00893E6D">
        <w:rPr>
          <w:rFonts w:ascii="Times New Roman" w:hAnsi="Times New Roman" w:cs="Times New Roman"/>
          <w:sz w:val="24"/>
          <w:szCs w:val="24"/>
        </w:rPr>
        <w:t xml:space="preserve">regress firms’ </w:t>
      </w:r>
      <w:r w:rsidR="00AB2468" w:rsidRPr="00893E6D">
        <w:rPr>
          <w:rFonts w:ascii="Times New Roman" w:hAnsi="Times New Roman" w:cs="Times New Roman"/>
          <w:sz w:val="24"/>
          <w:szCs w:val="24"/>
        </w:rPr>
        <w:t>non-operating</w:t>
      </w:r>
      <w:r w:rsidRPr="00893E6D">
        <w:rPr>
          <w:rFonts w:ascii="Times New Roman" w:hAnsi="Times New Roman" w:cs="Times New Roman"/>
          <w:sz w:val="24"/>
          <w:szCs w:val="24"/>
        </w:rPr>
        <w:t xml:space="preserve"> earnings on the instrument variable and other firm characteristics </w:t>
      </w:r>
      <w:r w:rsidR="00B22F36" w:rsidRPr="00893E6D">
        <w:rPr>
          <w:rFonts w:ascii="Times New Roman" w:hAnsi="Times New Roman" w:cs="Times New Roman"/>
          <w:sz w:val="24"/>
          <w:szCs w:val="24"/>
        </w:rPr>
        <w:t>with</w:t>
      </w:r>
      <w:r w:rsidRPr="00893E6D">
        <w:rPr>
          <w:rFonts w:ascii="Times New Roman" w:hAnsi="Times New Roman" w:cs="Times New Roman"/>
          <w:sz w:val="24"/>
          <w:szCs w:val="24"/>
        </w:rPr>
        <w:t xml:space="preserve"> firm fixed effects. </w:t>
      </w:r>
      <w:r w:rsidR="00D63834" w:rsidRPr="00893E6D">
        <w:rPr>
          <w:rFonts w:ascii="Times New Roman" w:hAnsi="Times New Roman" w:cs="Times New Roman"/>
          <w:sz w:val="24"/>
          <w:szCs w:val="24"/>
        </w:rPr>
        <w:t xml:space="preserve">In </w:t>
      </w:r>
      <w:r w:rsidRPr="00893E6D">
        <w:rPr>
          <w:rFonts w:ascii="Times New Roman" w:hAnsi="Times New Roman" w:cs="Times New Roman"/>
          <w:sz w:val="24"/>
          <w:szCs w:val="24"/>
        </w:rPr>
        <w:t>the second stage</w:t>
      </w:r>
      <w:r w:rsidR="00D63834" w:rsidRPr="00893E6D">
        <w:rPr>
          <w:rFonts w:ascii="Times New Roman" w:hAnsi="Times New Roman" w:cs="Times New Roman"/>
          <w:sz w:val="24"/>
          <w:szCs w:val="24"/>
        </w:rPr>
        <w:t xml:space="preserve">, we replace </w:t>
      </w:r>
      <w:r w:rsidR="004178E1" w:rsidRPr="00893E6D">
        <w:rPr>
          <w:rFonts w:ascii="Times New Roman" w:hAnsi="Times New Roman" w:cs="Times New Roman"/>
          <w:sz w:val="24"/>
          <w:szCs w:val="24"/>
        </w:rPr>
        <w:t>the</w:t>
      </w:r>
      <w:r w:rsidRPr="00893E6D">
        <w:rPr>
          <w:rFonts w:ascii="Times New Roman" w:hAnsi="Times New Roman" w:cs="Times New Roman"/>
          <w:sz w:val="24"/>
          <w:szCs w:val="24"/>
        </w:rPr>
        <w:t xml:space="preserve"> </w:t>
      </w:r>
      <w:r w:rsidR="00CC78D1" w:rsidRPr="00893E6D">
        <w:rPr>
          <w:rFonts w:ascii="Times New Roman" w:hAnsi="Times New Roman" w:cs="Times New Roman"/>
          <w:sz w:val="24"/>
          <w:szCs w:val="24"/>
        </w:rPr>
        <w:t xml:space="preserve">actual </w:t>
      </w:r>
      <w:r w:rsidR="00AB2468" w:rsidRPr="00893E6D">
        <w:rPr>
          <w:rFonts w:ascii="Times New Roman" w:hAnsi="Times New Roman" w:cs="Times New Roman"/>
          <w:sz w:val="24"/>
          <w:szCs w:val="24"/>
        </w:rPr>
        <w:t>non</w:t>
      </w:r>
      <w:r w:rsidR="002D5327">
        <w:rPr>
          <w:rFonts w:ascii="Times New Roman" w:hAnsi="Times New Roman" w:cs="Times New Roman"/>
          <w:sz w:val="24"/>
          <w:szCs w:val="24"/>
        </w:rPr>
        <w:t>-</w:t>
      </w:r>
      <w:r w:rsidR="00AB2468" w:rsidRPr="00893E6D">
        <w:rPr>
          <w:rFonts w:ascii="Times New Roman" w:hAnsi="Times New Roman" w:cs="Times New Roman"/>
          <w:sz w:val="24"/>
          <w:szCs w:val="24"/>
        </w:rPr>
        <w:t>operating</w:t>
      </w:r>
      <w:r w:rsidRPr="00893E6D">
        <w:rPr>
          <w:rFonts w:ascii="Times New Roman" w:hAnsi="Times New Roman" w:cs="Times New Roman"/>
          <w:sz w:val="24"/>
          <w:szCs w:val="24"/>
        </w:rPr>
        <w:t xml:space="preserve"> earnings</w:t>
      </w:r>
      <w:r w:rsidR="00B85D46" w:rsidRPr="00893E6D">
        <w:rPr>
          <w:rFonts w:ascii="Times New Roman" w:hAnsi="Times New Roman" w:cs="Times New Roman"/>
          <w:sz w:val="24"/>
          <w:szCs w:val="24"/>
        </w:rPr>
        <w:t xml:space="preserve"> with the predicted values </w:t>
      </w:r>
      <w:r w:rsidR="006331BE" w:rsidRPr="00893E6D">
        <w:rPr>
          <w:rFonts w:ascii="Times New Roman" w:hAnsi="Times New Roman" w:cs="Times New Roman"/>
          <w:sz w:val="24"/>
          <w:szCs w:val="24"/>
        </w:rPr>
        <w:t>from the first stage regression</w:t>
      </w:r>
      <w:r w:rsidRPr="00893E6D">
        <w:rPr>
          <w:rFonts w:ascii="Times New Roman" w:hAnsi="Times New Roman" w:cs="Times New Roman"/>
          <w:sz w:val="24"/>
          <w:szCs w:val="24"/>
        </w:rPr>
        <w:t xml:space="preserve">. </w:t>
      </w:r>
      <w:r w:rsidR="000C59C2" w:rsidRPr="00893E6D">
        <w:rPr>
          <w:rFonts w:ascii="Times New Roman" w:hAnsi="Times New Roman" w:cs="Times New Roman"/>
          <w:sz w:val="24"/>
          <w:szCs w:val="24"/>
        </w:rPr>
        <w:t xml:space="preserve">We </w:t>
      </w:r>
      <w:r w:rsidR="00BB0D39" w:rsidRPr="00893E6D">
        <w:rPr>
          <w:rFonts w:ascii="Times New Roman" w:hAnsi="Times New Roman" w:cs="Times New Roman"/>
          <w:sz w:val="24"/>
          <w:szCs w:val="24"/>
        </w:rPr>
        <w:t xml:space="preserve">report the results in Table </w:t>
      </w:r>
      <w:r w:rsidR="00DF0F12">
        <w:rPr>
          <w:rFonts w:ascii="Times New Roman" w:hAnsi="Times New Roman" w:cs="Times New Roman"/>
          <w:sz w:val="24"/>
          <w:szCs w:val="24"/>
        </w:rPr>
        <w:t>7</w:t>
      </w:r>
      <w:r w:rsidR="00BB0D39" w:rsidRPr="00893E6D">
        <w:rPr>
          <w:rFonts w:ascii="Times New Roman" w:hAnsi="Times New Roman" w:cs="Times New Roman"/>
          <w:sz w:val="24"/>
          <w:szCs w:val="24"/>
        </w:rPr>
        <w:t xml:space="preserve">. </w:t>
      </w:r>
      <w:r w:rsidR="000C59C2" w:rsidRPr="00893E6D">
        <w:rPr>
          <w:rFonts w:ascii="Times New Roman" w:hAnsi="Times New Roman" w:cs="Times New Roman"/>
          <w:sz w:val="24"/>
          <w:szCs w:val="24"/>
        </w:rPr>
        <w:t>The</w:t>
      </w:r>
      <w:r w:rsidR="00BB0D39" w:rsidRPr="00893E6D">
        <w:rPr>
          <w:rFonts w:ascii="Times New Roman" w:hAnsi="Times New Roman" w:cs="Times New Roman"/>
          <w:sz w:val="24"/>
          <w:szCs w:val="24"/>
        </w:rPr>
        <w:t xml:space="preserve"> first stage result</w:t>
      </w:r>
      <w:r w:rsidR="00CB5A90" w:rsidRPr="00893E6D">
        <w:rPr>
          <w:rFonts w:ascii="Times New Roman" w:hAnsi="Times New Roman" w:cs="Times New Roman"/>
          <w:sz w:val="24"/>
          <w:szCs w:val="24"/>
        </w:rPr>
        <w:t xml:space="preserve"> in Panel A</w:t>
      </w:r>
      <w:r w:rsidR="000C59C2" w:rsidRPr="00893E6D">
        <w:rPr>
          <w:rFonts w:ascii="Times New Roman" w:hAnsi="Times New Roman" w:cs="Times New Roman"/>
          <w:sz w:val="24"/>
          <w:szCs w:val="24"/>
        </w:rPr>
        <w:t xml:space="preserve"> shows </w:t>
      </w:r>
      <w:r w:rsidR="00372E45" w:rsidRPr="00893E6D">
        <w:rPr>
          <w:rFonts w:ascii="Times New Roman" w:hAnsi="Times New Roman" w:cs="Times New Roman"/>
          <w:sz w:val="24"/>
          <w:szCs w:val="24"/>
        </w:rPr>
        <w:t>the instrument variable (</w:t>
      </w:r>
      <w:r w:rsidR="002D5327">
        <w:rPr>
          <w:rFonts w:ascii="Times New Roman" w:hAnsi="Times New Roman" w:cs="Times New Roman"/>
          <w:sz w:val="24"/>
          <w:szCs w:val="24"/>
        </w:rPr>
        <w:t xml:space="preserve">i.e., </w:t>
      </w:r>
      <w:r w:rsidR="00372E45" w:rsidRPr="00893E6D">
        <w:rPr>
          <w:rFonts w:ascii="Times New Roman" w:hAnsi="Times New Roman" w:cs="Times New Roman"/>
          <w:sz w:val="24"/>
          <w:szCs w:val="24"/>
        </w:rPr>
        <w:t xml:space="preserve">the industry median </w:t>
      </w:r>
      <w:r w:rsidR="00AB2468" w:rsidRPr="00893E6D">
        <w:rPr>
          <w:rFonts w:ascii="Times New Roman" w:hAnsi="Times New Roman" w:cs="Times New Roman"/>
          <w:sz w:val="24"/>
          <w:szCs w:val="24"/>
        </w:rPr>
        <w:t>non-operating</w:t>
      </w:r>
      <w:r w:rsidR="00372E45" w:rsidRPr="00893E6D">
        <w:rPr>
          <w:rFonts w:ascii="Times New Roman" w:hAnsi="Times New Roman" w:cs="Times New Roman"/>
          <w:sz w:val="24"/>
          <w:szCs w:val="24"/>
        </w:rPr>
        <w:t xml:space="preserve"> earnings</w:t>
      </w:r>
      <w:r w:rsidR="00363183" w:rsidRPr="00893E6D">
        <w:rPr>
          <w:rFonts w:ascii="Times New Roman" w:hAnsi="Times New Roman" w:cs="Times New Roman"/>
          <w:sz w:val="24"/>
          <w:szCs w:val="24"/>
        </w:rPr>
        <w:t xml:space="preserve"> (</w:t>
      </w:r>
      <w:r w:rsidR="00363183" w:rsidRPr="00893E6D">
        <w:rPr>
          <w:rFonts w:ascii="Times New Roman" w:hAnsi="Times New Roman" w:cs="Times New Roman"/>
          <w:i/>
          <w:sz w:val="24"/>
          <w:szCs w:val="24"/>
        </w:rPr>
        <w:t>IND_NONOPERINC)</w:t>
      </w:r>
      <w:r w:rsidR="00E114A3" w:rsidRPr="00893E6D">
        <w:rPr>
          <w:rFonts w:ascii="Times New Roman" w:hAnsi="Times New Roman" w:cs="Times New Roman"/>
          <w:i/>
          <w:sz w:val="24"/>
          <w:szCs w:val="24"/>
        </w:rPr>
        <w:t>)</w:t>
      </w:r>
      <w:r w:rsidR="004178E1" w:rsidRPr="00893E6D">
        <w:rPr>
          <w:rFonts w:ascii="Times New Roman" w:hAnsi="Times New Roman" w:cs="Times New Roman"/>
          <w:sz w:val="24"/>
          <w:szCs w:val="24"/>
        </w:rPr>
        <w:t xml:space="preserve"> </w:t>
      </w:r>
      <w:r w:rsidR="00372E45" w:rsidRPr="00893E6D">
        <w:rPr>
          <w:rFonts w:ascii="Times New Roman" w:hAnsi="Times New Roman" w:cs="Times New Roman"/>
          <w:sz w:val="24"/>
          <w:szCs w:val="24"/>
        </w:rPr>
        <w:t xml:space="preserve">is positively associated </w:t>
      </w:r>
      <w:r w:rsidR="004178E1" w:rsidRPr="00893E6D">
        <w:rPr>
          <w:rFonts w:ascii="Times New Roman" w:hAnsi="Times New Roman" w:cs="Times New Roman"/>
          <w:sz w:val="24"/>
          <w:szCs w:val="24"/>
        </w:rPr>
        <w:t xml:space="preserve">with </w:t>
      </w:r>
      <w:r w:rsidR="00372E45" w:rsidRPr="00893E6D">
        <w:rPr>
          <w:rFonts w:ascii="Times New Roman" w:hAnsi="Times New Roman" w:cs="Times New Roman"/>
          <w:sz w:val="24"/>
          <w:szCs w:val="24"/>
        </w:rPr>
        <w:t>firms’</w:t>
      </w:r>
      <w:r w:rsidR="00BB0D39" w:rsidRPr="00893E6D">
        <w:rPr>
          <w:rFonts w:ascii="Times New Roman" w:hAnsi="Times New Roman" w:cs="Times New Roman"/>
          <w:sz w:val="24"/>
          <w:szCs w:val="24"/>
        </w:rPr>
        <w:t xml:space="preserve"> </w:t>
      </w:r>
      <w:r w:rsidR="00AB2468" w:rsidRPr="00893E6D">
        <w:rPr>
          <w:rFonts w:ascii="Times New Roman" w:hAnsi="Times New Roman" w:cs="Times New Roman"/>
          <w:sz w:val="24"/>
          <w:szCs w:val="24"/>
        </w:rPr>
        <w:t>non-operating</w:t>
      </w:r>
      <w:r w:rsidR="00BB0D39" w:rsidRPr="00893E6D">
        <w:rPr>
          <w:rFonts w:ascii="Times New Roman" w:hAnsi="Times New Roman" w:cs="Times New Roman"/>
          <w:sz w:val="24"/>
          <w:szCs w:val="24"/>
        </w:rPr>
        <w:t xml:space="preserve"> earnings</w:t>
      </w:r>
      <w:r w:rsidR="002D5327">
        <w:rPr>
          <w:rFonts w:ascii="Times New Roman" w:hAnsi="Times New Roman" w:cs="Times New Roman"/>
          <w:sz w:val="24"/>
          <w:szCs w:val="24"/>
        </w:rPr>
        <w:t xml:space="preserve"> (</w:t>
      </w:r>
      <w:r w:rsidR="002D5327" w:rsidRPr="00BA50BC">
        <w:rPr>
          <w:rFonts w:ascii="Times New Roman" w:hAnsi="Times New Roman" w:cs="Times New Roman"/>
          <w:i/>
          <w:sz w:val="24"/>
          <w:szCs w:val="24"/>
        </w:rPr>
        <w:t>NONOPERINC</w:t>
      </w:r>
      <w:r w:rsidR="002D5327">
        <w:rPr>
          <w:rFonts w:ascii="Times New Roman" w:hAnsi="Times New Roman" w:cs="Times New Roman"/>
          <w:sz w:val="24"/>
          <w:szCs w:val="24"/>
        </w:rPr>
        <w:t>)</w:t>
      </w:r>
      <w:r w:rsidR="00DC4E34" w:rsidRPr="00893E6D">
        <w:rPr>
          <w:rFonts w:ascii="Times New Roman" w:hAnsi="Times New Roman" w:cs="Times New Roman"/>
          <w:sz w:val="24"/>
          <w:szCs w:val="24"/>
        </w:rPr>
        <w:t>.</w:t>
      </w:r>
      <w:r w:rsidR="00570178" w:rsidRPr="00893E6D">
        <w:rPr>
          <w:rFonts w:ascii="Times New Roman" w:hAnsi="Times New Roman" w:cs="Times New Roman"/>
          <w:sz w:val="24"/>
          <w:szCs w:val="24"/>
        </w:rPr>
        <w:t xml:space="preserve"> </w:t>
      </w:r>
      <w:r w:rsidR="008B00EB" w:rsidRPr="00893E6D">
        <w:rPr>
          <w:rFonts w:ascii="Times New Roman" w:hAnsi="Times New Roman" w:cs="Times New Roman"/>
          <w:sz w:val="24"/>
          <w:szCs w:val="24"/>
        </w:rPr>
        <w:t>In addition, t</w:t>
      </w:r>
      <w:r w:rsidR="00570178" w:rsidRPr="00893E6D">
        <w:rPr>
          <w:rFonts w:ascii="Times New Roman" w:hAnsi="Times New Roman" w:cs="Times New Roman"/>
          <w:sz w:val="24"/>
          <w:szCs w:val="24"/>
        </w:rPr>
        <w:t xml:space="preserve">he Hansen test indicates that the instrument passes the </w:t>
      </w:r>
      <w:r w:rsidR="008B00EB" w:rsidRPr="00893E6D">
        <w:rPr>
          <w:rFonts w:ascii="Times New Roman" w:hAnsi="Times New Roman" w:cs="Times New Roman"/>
          <w:sz w:val="24"/>
          <w:szCs w:val="24"/>
        </w:rPr>
        <w:t>validity</w:t>
      </w:r>
      <w:r w:rsidR="00570178" w:rsidRPr="00893E6D">
        <w:rPr>
          <w:rFonts w:ascii="Times New Roman" w:hAnsi="Times New Roman" w:cs="Times New Roman"/>
          <w:sz w:val="24"/>
          <w:szCs w:val="24"/>
        </w:rPr>
        <w:t xml:space="preserve"> test. </w:t>
      </w:r>
      <w:r w:rsidR="000C59C2" w:rsidRPr="00893E6D">
        <w:rPr>
          <w:rFonts w:ascii="Times New Roman" w:hAnsi="Times New Roman" w:cs="Times New Roman"/>
          <w:sz w:val="24"/>
          <w:szCs w:val="24"/>
        </w:rPr>
        <w:t xml:space="preserve">For brevity, we </w:t>
      </w:r>
      <w:r w:rsidR="00132060" w:rsidRPr="00893E6D">
        <w:rPr>
          <w:rFonts w:ascii="Times New Roman" w:hAnsi="Times New Roman" w:cs="Times New Roman"/>
          <w:sz w:val="24"/>
          <w:szCs w:val="24"/>
        </w:rPr>
        <w:t xml:space="preserve">only </w:t>
      </w:r>
      <w:r w:rsidR="000C59C2" w:rsidRPr="00893E6D">
        <w:rPr>
          <w:rFonts w:ascii="Times New Roman" w:hAnsi="Times New Roman" w:cs="Times New Roman"/>
          <w:sz w:val="24"/>
          <w:szCs w:val="24"/>
        </w:rPr>
        <w:t xml:space="preserve">report the coefficients on </w:t>
      </w:r>
      <w:r w:rsidR="000C59C2" w:rsidRPr="00893E6D">
        <w:rPr>
          <w:rFonts w:ascii="Times New Roman" w:hAnsi="Times New Roman" w:cs="Times New Roman"/>
          <w:i/>
          <w:sz w:val="24"/>
          <w:szCs w:val="24"/>
        </w:rPr>
        <w:t>NONOPERINC</w:t>
      </w:r>
      <w:r w:rsidR="000C59C2" w:rsidRPr="00893E6D">
        <w:rPr>
          <w:rFonts w:ascii="Times New Roman" w:hAnsi="Times New Roman" w:cs="Times New Roman"/>
          <w:sz w:val="24"/>
          <w:szCs w:val="24"/>
        </w:rPr>
        <w:t xml:space="preserve"> and </w:t>
      </w:r>
      <w:r w:rsidR="000C59C2" w:rsidRPr="00893E6D">
        <w:rPr>
          <w:rFonts w:ascii="Times New Roman" w:hAnsi="Times New Roman" w:cs="Times New Roman"/>
          <w:i/>
          <w:sz w:val="24"/>
          <w:szCs w:val="24"/>
        </w:rPr>
        <w:t>OPERINC</w:t>
      </w:r>
      <w:r w:rsidR="000C59C2" w:rsidRPr="00893E6D">
        <w:rPr>
          <w:rFonts w:ascii="Times New Roman" w:hAnsi="Times New Roman" w:cs="Times New Roman"/>
          <w:sz w:val="24"/>
          <w:szCs w:val="24"/>
        </w:rPr>
        <w:t xml:space="preserve"> and the model fitness statistics for the second stage regressions in Panel B. T</w:t>
      </w:r>
      <w:r w:rsidR="00DC4E34" w:rsidRPr="00893E6D">
        <w:rPr>
          <w:rFonts w:ascii="Times New Roman" w:hAnsi="Times New Roman" w:cs="Times New Roman"/>
          <w:sz w:val="24"/>
          <w:szCs w:val="24"/>
        </w:rPr>
        <w:t>he second stage results</w:t>
      </w:r>
      <w:r w:rsidR="000C59C2" w:rsidRPr="00893E6D">
        <w:rPr>
          <w:rFonts w:ascii="Times New Roman" w:hAnsi="Times New Roman" w:cs="Times New Roman"/>
          <w:sz w:val="24"/>
          <w:szCs w:val="24"/>
        </w:rPr>
        <w:t xml:space="preserve"> </w:t>
      </w:r>
      <w:r w:rsidR="004178E1" w:rsidRPr="00893E6D">
        <w:rPr>
          <w:rFonts w:ascii="Times New Roman" w:hAnsi="Times New Roman" w:cs="Times New Roman"/>
          <w:sz w:val="24"/>
          <w:szCs w:val="24"/>
        </w:rPr>
        <w:t>are consistent</w:t>
      </w:r>
      <w:r w:rsidR="000C59C2" w:rsidRPr="00893E6D">
        <w:rPr>
          <w:rFonts w:ascii="Times New Roman" w:hAnsi="Times New Roman" w:cs="Times New Roman"/>
          <w:sz w:val="24"/>
          <w:szCs w:val="24"/>
        </w:rPr>
        <w:t xml:space="preserve"> with</w:t>
      </w:r>
      <w:r w:rsidR="00DC4E34" w:rsidRPr="00893E6D">
        <w:rPr>
          <w:rFonts w:ascii="Times New Roman" w:hAnsi="Times New Roman" w:cs="Times New Roman"/>
          <w:sz w:val="24"/>
          <w:szCs w:val="24"/>
        </w:rPr>
        <w:t xml:space="preserve"> the </w:t>
      </w:r>
      <w:r w:rsidR="002D5327">
        <w:rPr>
          <w:rFonts w:ascii="Times New Roman" w:hAnsi="Times New Roman" w:cs="Times New Roman"/>
          <w:sz w:val="24"/>
          <w:szCs w:val="24"/>
        </w:rPr>
        <w:t xml:space="preserve">earlier </w:t>
      </w:r>
      <w:r w:rsidR="000C59C2" w:rsidRPr="00893E6D">
        <w:rPr>
          <w:rFonts w:ascii="Times New Roman" w:hAnsi="Times New Roman" w:cs="Times New Roman"/>
          <w:sz w:val="24"/>
          <w:szCs w:val="24"/>
        </w:rPr>
        <w:t>findings</w:t>
      </w:r>
      <w:r w:rsidR="004178E1" w:rsidRPr="00893E6D">
        <w:rPr>
          <w:rFonts w:ascii="Times New Roman" w:hAnsi="Times New Roman" w:cs="Times New Roman"/>
          <w:sz w:val="24"/>
          <w:szCs w:val="24"/>
        </w:rPr>
        <w:t>, i.e.</w:t>
      </w:r>
      <w:r w:rsidR="000C59C2" w:rsidRPr="00893E6D">
        <w:rPr>
          <w:rFonts w:ascii="Times New Roman" w:hAnsi="Times New Roman" w:cs="Times New Roman"/>
          <w:sz w:val="24"/>
          <w:szCs w:val="24"/>
        </w:rPr>
        <w:t xml:space="preserve"> non-operating earnings </w:t>
      </w:r>
      <w:r w:rsidR="0017688D" w:rsidRPr="00893E6D">
        <w:rPr>
          <w:rFonts w:ascii="Times New Roman" w:hAnsi="Times New Roman" w:cs="Times New Roman"/>
          <w:sz w:val="24"/>
          <w:szCs w:val="24"/>
        </w:rPr>
        <w:t>reduce</w:t>
      </w:r>
      <w:r w:rsidR="000C59C2" w:rsidRPr="00893E6D">
        <w:rPr>
          <w:rFonts w:ascii="Times New Roman" w:hAnsi="Times New Roman" w:cs="Times New Roman"/>
          <w:sz w:val="24"/>
          <w:szCs w:val="24"/>
        </w:rPr>
        <w:t xml:space="preserve"> earnings volatility, stock price volatility, idiosyncratic risk</w:t>
      </w:r>
      <w:r w:rsidR="00591119" w:rsidRPr="00893E6D">
        <w:rPr>
          <w:rFonts w:ascii="Times New Roman" w:hAnsi="Times New Roman" w:cs="Times New Roman"/>
          <w:sz w:val="24"/>
          <w:szCs w:val="24"/>
        </w:rPr>
        <w:t>,</w:t>
      </w:r>
      <w:r w:rsidR="000C59C2" w:rsidRPr="00893E6D">
        <w:rPr>
          <w:rFonts w:ascii="Times New Roman" w:hAnsi="Times New Roman" w:cs="Times New Roman"/>
          <w:sz w:val="24"/>
          <w:szCs w:val="24"/>
        </w:rPr>
        <w:t xml:space="preserve"> and </w:t>
      </w:r>
      <w:r w:rsidR="0017688D" w:rsidRPr="00893E6D">
        <w:rPr>
          <w:rFonts w:ascii="Times New Roman" w:hAnsi="Times New Roman" w:cs="Times New Roman"/>
          <w:sz w:val="24"/>
          <w:szCs w:val="24"/>
        </w:rPr>
        <w:t xml:space="preserve">stock price </w:t>
      </w:r>
      <w:r w:rsidR="000C59C2" w:rsidRPr="00893E6D">
        <w:rPr>
          <w:rFonts w:ascii="Times New Roman" w:hAnsi="Times New Roman" w:cs="Times New Roman"/>
          <w:sz w:val="24"/>
          <w:szCs w:val="24"/>
        </w:rPr>
        <w:t>crash risk</w:t>
      </w:r>
      <w:r w:rsidR="002D5327">
        <w:rPr>
          <w:rFonts w:ascii="Times New Roman" w:hAnsi="Times New Roman" w:cs="Times New Roman"/>
          <w:sz w:val="24"/>
          <w:szCs w:val="24"/>
        </w:rPr>
        <w:t xml:space="preserve">. The evidence </w:t>
      </w:r>
      <w:r w:rsidR="00B51690">
        <w:rPr>
          <w:rFonts w:ascii="Times New Roman" w:hAnsi="Times New Roman" w:cs="Times New Roman"/>
          <w:sz w:val="24"/>
          <w:szCs w:val="24"/>
        </w:rPr>
        <w:t xml:space="preserve">further </w:t>
      </w:r>
      <w:r w:rsidR="002D5327">
        <w:rPr>
          <w:rFonts w:ascii="Times New Roman" w:hAnsi="Times New Roman" w:cs="Times New Roman"/>
          <w:sz w:val="24"/>
          <w:szCs w:val="24"/>
        </w:rPr>
        <w:t>supports</w:t>
      </w:r>
      <w:r w:rsidR="00BC2127" w:rsidRPr="00893E6D">
        <w:rPr>
          <w:rFonts w:ascii="Times New Roman" w:hAnsi="Times New Roman" w:cs="Times New Roman"/>
          <w:sz w:val="24"/>
          <w:szCs w:val="24"/>
        </w:rPr>
        <w:t xml:space="preserve"> </w:t>
      </w:r>
      <w:r w:rsidR="00CC78D1" w:rsidRPr="00893E6D">
        <w:rPr>
          <w:rFonts w:ascii="Times New Roman" w:hAnsi="Times New Roman" w:cs="Times New Roman"/>
          <w:sz w:val="24"/>
          <w:szCs w:val="24"/>
        </w:rPr>
        <w:t xml:space="preserve">the </w:t>
      </w:r>
      <w:r w:rsidR="00BC2127" w:rsidRPr="00893E6D">
        <w:rPr>
          <w:rFonts w:ascii="Times New Roman" w:hAnsi="Times New Roman" w:cs="Times New Roman"/>
          <w:sz w:val="24"/>
          <w:szCs w:val="24"/>
        </w:rPr>
        <w:t xml:space="preserve">risk-reducing </w:t>
      </w:r>
      <w:r w:rsidR="00C63472">
        <w:rPr>
          <w:rFonts w:ascii="Times New Roman" w:hAnsi="Times New Roman" w:cs="Times New Roman"/>
          <w:sz w:val="24"/>
          <w:szCs w:val="24"/>
        </w:rPr>
        <w:t>benefits</w:t>
      </w:r>
      <w:r w:rsidR="00BC2127" w:rsidRPr="00893E6D">
        <w:rPr>
          <w:rFonts w:ascii="Times New Roman" w:hAnsi="Times New Roman" w:cs="Times New Roman"/>
          <w:sz w:val="24"/>
          <w:szCs w:val="24"/>
        </w:rPr>
        <w:t xml:space="preserve"> of non-operating earnings</w:t>
      </w:r>
      <w:r w:rsidR="00F538FB" w:rsidRPr="00893E6D">
        <w:rPr>
          <w:rFonts w:ascii="Times New Roman" w:hAnsi="Times New Roman" w:cs="Times New Roman"/>
          <w:sz w:val="24"/>
          <w:szCs w:val="24"/>
        </w:rPr>
        <w:t xml:space="preserve"> and</w:t>
      </w:r>
      <w:r w:rsidR="002D5327">
        <w:rPr>
          <w:rFonts w:ascii="Times New Roman" w:hAnsi="Times New Roman" w:cs="Times New Roman"/>
          <w:sz w:val="24"/>
          <w:szCs w:val="24"/>
        </w:rPr>
        <w:t>, therefore, reject</w:t>
      </w:r>
      <w:r w:rsidR="00C63472">
        <w:rPr>
          <w:rFonts w:ascii="Times New Roman" w:hAnsi="Times New Roman" w:cs="Times New Roman"/>
          <w:sz w:val="24"/>
          <w:szCs w:val="24"/>
        </w:rPr>
        <w:t>s</w:t>
      </w:r>
      <w:r w:rsidR="002D5327">
        <w:rPr>
          <w:rFonts w:ascii="Times New Roman" w:hAnsi="Times New Roman" w:cs="Times New Roman"/>
          <w:sz w:val="24"/>
          <w:szCs w:val="24"/>
        </w:rPr>
        <w:t xml:space="preserve"> </w:t>
      </w:r>
      <w:r w:rsidR="00B51690">
        <w:rPr>
          <w:rFonts w:ascii="Times New Roman" w:hAnsi="Times New Roman" w:cs="Times New Roman"/>
          <w:sz w:val="24"/>
          <w:szCs w:val="24"/>
        </w:rPr>
        <w:t xml:space="preserve">the null </w:t>
      </w:r>
      <w:r w:rsidR="002D5327">
        <w:rPr>
          <w:rFonts w:ascii="Times New Roman" w:hAnsi="Times New Roman" w:cs="Times New Roman"/>
          <w:sz w:val="24"/>
          <w:szCs w:val="24"/>
        </w:rPr>
        <w:t xml:space="preserve">hypotheses </w:t>
      </w:r>
      <w:r w:rsidR="00F538FB" w:rsidRPr="00893E6D">
        <w:rPr>
          <w:rFonts w:ascii="Times New Roman" w:hAnsi="Times New Roman" w:cs="Times New Roman"/>
          <w:sz w:val="24"/>
          <w:szCs w:val="24"/>
        </w:rPr>
        <w:t>H</w:t>
      </w:r>
      <w:r w:rsidR="00F538FB" w:rsidRPr="00893E6D">
        <w:rPr>
          <w:rFonts w:ascii="Times New Roman" w:hAnsi="Times New Roman" w:cs="Times New Roman"/>
          <w:sz w:val="24"/>
          <w:szCs w:val="24"/>
          <w:vertAlign w:val="subscript"/>
        </w:rPr>
        <w:t xml:space="preserve">1a </w:t>
      </w:r>
      <w:r w:rsidR="00F538FB" w:rsidRPr="00893E6D">
        <w:rPr>
          <w:rFonts w:ascii="Times New Roman" w:hAnsi="Times New Roman" w:cs="Times New Roman"/>
          <w:sz w:val="24"/>
          <w:szCs w:val="24"/>
        </w:rPr>
        <w:t>and H</w:t>
      </w:r>
      <w:r w:rsidR="00F538FB" w:rsidRPr="00893E6D">
        <w:rPr>
          <w:rFonts w:ascii="Times New Roman" w:hAnsi="Times New Roman" w:cs="Times New Roman"/>
          <w:sz w:val="24"/>
          <w:szCs w:val="24"/>
          <w:vertAlign w:val="subscript"/>
        </w:rPr>
        <w:t>1b</w:t>
      </w:r>
      <w:r w:rsidR="00F538FB" w:rsidRPr="00893E6D">
        <w:rPr>
          <w:rFonts w:ascii="Times New Roman" w:hAnsi="Times New Roman" w:cs="Times New Roman"/>
          <w:sz w:val="24"/>
          <w:szCs w:val="24"/>
        </w:rPr>
        <w:t>.</w:t>
      </w:r>
    </w:p>
    <w:p w14:paraId="5B8FEEE6" w14:textId="6982D8D9" w:rsidR="00107F1C" w:rsidRPr="00893E6D" w:rsidRDefault="00107F1C" w:rsidP="00B73A42">
      <w:pPr>
        <w:spacing w:line="480" w:lineRule="auto"/>
        <w:jc w:val="center"/>
        <w:rPr>
          <w:rFonts w:ascii="Times New Roman" w:hAnsi="Times New Roman" w:cs="Times New Roman"/>
          <w:sz w:val="24"/>
          <w:szCs w:val="24"/>
        </w:rPr>
      </w:pPr>
      <w:r w:rsidRPr="00893E6D">
        <w:rPr>
          <w:rFonts w:ascii="Times New Roman" w:hAnsi="Times New Roman" w:cs="Times New Roman"/>
          <w:sz w:val="24"/>
          <w:szCs w:val="24"/>
        </w:rPr>
        <w:t xml:space="preserve">[INSERT TABLE </w:t>
      </w:r>
      <w:r w:rsidR="00DF0F12">
        <w:rPr>
          <w:rFonts w:ascii="Times New Roman" w:hAnsi="Times New Roman" w:cs="Times New Roman"/>
          <w:sz w:val="24"/>
          <w:szCs w:val="24"/>
        </w:rPr>
        <w:t>7</w:t>
      </w:r>
      <w:r w:rsidR="00DF0F12" w:rsidRPr="00893E6D">
        <w:rPr>
          <w:rFonts w:ascii="Times New Roman" w:hAnsi="Times New Roman" w:cs="Times New Roman"/>
          <w:sz w:val="24"/>
          <w:szCs w:val="24"/>
        </w:rPr>
        <w:t xml:space="preserve"> </w:t>
      </w:r>
      <w:r w:rsidRPr="00893E6D">
        <w:rPr>
          <w:rFonts w:ascii="Times New Roman" w:hAnsi="Times New Roman" w:cs="Times New Roman"/>
          <w:sz w:val="24"/>
          <w:szCs w:val="24"/>
        </w:rPr>
        <w:t>ABOUT HERE]</w:t>
      </w:r>
    </w:p>
    <w:p w14:paraId="14CC2A0A" w14:textId="5283D6BB" w:rsidR="008E0481" w:rsidRPr="00893E6D" w:rsidRDefault="008E0481" w:rsidP="00A1062B">
      <w:pPr>
        <w:pStyle w:val="ListParagraph"/>
        <w:numPr>
          <w:ilvl w:val="1"/>
          <w:numId w:val="1"/>
        </w:numPr>
        <w:spacing w:line="480" w:lineRule="auto"/>
        <w:jc w:val="both"/>
        <w:rPr>
          <w:rFonts w:ascii="Times New Roman" w:hAnsi="Times New Roman" w:cs="Times New Roman"/>
          <w:b/>
          <w:i/>
          <w:sz w:val="24"/>
          <w:szCs w:val="24"/>
        </w:rPr>
      </w:pPr>
      <w:r w:rsidRPr="00893E6D">
        <w:rPr>
          <w:rFonts w:ascii="Times New Roman" w:hAnsi="Times New Roman" w:cs="Times New Roman"/>
          <w:b/>
          <w:i/>
          <w:sz w:val="24"/>
          <w:szCs w:val="24"/>
        </w:rPr>
        <w:t xml:space="preserve">Components of </w:t>
      </w:r>
      <w:r w:rsidR="000E01C0">
        <w:rPr>
          <w:rFonts w:ascii="Times New Roman" w:hAnsi="Times New Roman" w:cs="Times New Roman"/>
          <w:b/>
          <w:i/>
          <w:sz w:val="24"/>
          <w:szCs w:val="24"/>
        </w:rPr>
        <w:t>n</w:t>
      </w:r>
      <w:r w:rsidRPr="00893E6D">
        <w:rPr>
          <w:rFonts w:ascii="Times New Roman" w:hAnsi="Times New Roman" w:cs="Times New Roman"/>
          <w:b/>
          <w:i/>
          <w:sz w:val="24"/>
          <w:szCs w:val="24"/>
        </w:rPr>
        <w:t>on-</w:t>
      </w:r>
      <w:r w:rsidR="000E01C0">
        <w:rPr>
          <w:rFonts w:ascii="Times New Roman" w:hAnsi="Times New Roman" w:cs="Times New Roman"/>
          <w:b/>
          <w:i/>
          <w:sz w:val="24"/>
          <w:szCs w:val="24"/>
        </w:rPr>
        <w:t>o</w:t>
      </w:r>
      <w:r w:rsidRPr="00893E6D">
        <w:rPr>
          <w:rFonts w:ascii="Times New Roman" w:hAnsi="Times New Roman" w:cs="Times New Roman"/>
          <w:b/>
          <w:i/>
          <w:sz w:val="24"/>
          <w:szCs w:val="24"/>
        </w:rPr>
        <w:t xml:space="preserve">perating </w:t>
      </w:r>
      <w:r w:rsidR="000E01C0">
        <w:rPr>
          <w:rFonts w:ascii="Times New Roman" w:hAnsi="Times New Roman" w:cs="Times New Roman"/>
          <w:b/>
          <w:i/>
          <w:sz w:val="24"/>
          <w:szCs w:val="24"/>
        </w:rPr>
        <w:t>i</w:t>
      </w:r>
      <w:r w:rsidRPr="00893E6D">
        <w:rPr>
          <w:rFonts w:ascii="Times New Roman" w:hAnsi="Times New Roman" w:cs="Times New Roman"/>
          <w:b/>
          <w:i/>
          <w:sz w:val="24"/>
          <w:szCs w:val="24"/>
        </w:rPr>
        <w:t xml:space="preserve">ncome and firm risk </w:t>
      </w:r>
    </w:p>
    <w:p w14:paraId="777590C1" w14:textId="45E4F1E8" w:rsidR="008E0481" w:rsidRPr="00893E6D" w:rsidRDefault="00C63472" w:rsidP="00A1062B">
      <w:pPr>
        <w:spacing w:line="480" w:lineRule="auto"/>
        <w:ind w:firstLine="720"/>
        <w:jc w:val="both"/>
        <w:rPr>
          <w:rFonts w:ascii="Times New Roman" w:hAnsi="Times New Roman" w:cs="Times New Roman"/>
          <w:sz w:val="24"/>
          <w:szCs w:val="24"/>
        </w:rPr>
      </w:pPr>
      <w:r w:rsidRPr="00B51690">
        <w:rPr>
          <w:rFonts w:ascii="Times New Roman" w:hAnsi="Times New Roman" w:cs="Times New Roman"/>
          <w:sz w:val="24"/>
          <w:szCs w:val="24"/>
        </w:rPr>
        <w:lastRenderedPageBreak/>
        <w:t>We are able to collect data on a few</w:t>
      </w:r>
      <w:r w:rsidR="008E0481" w:rsidRPr="00B51690">
        <w:rPr>
          <w:rFonts w:ascii="Times New Roman" w:hAnsi="Times New Roman" w:cs="Times New Roman"/>
          <w:sz w:val="24"/>
          <w:szCs w:val="24"/>
        </w:rPr>
        <w:t xml:space="preserve"> constituent items</w:t>
      </w:r>
      <w:r w:rsidR="00107F1C" w:rsidRPr="00B51690">
        <w:rPr>
          <w:rFonts w:ascii="Times New Roman" w:hAnsi="Times New Roman" w:cs="Times New Roman"/>
          <w:sz w:val="24"/>
          <w:szCs w:val="24"/>
        </w:rPr>
        <w:t xml:space="preserve"> </w:t>
      </w:r>
      <w:r w:rsidRPr="00B51690">
        <w:rPr>
          <w:rFonts w:ascii="Times New Roman" w:hAnsi="Times New Roman" w:cs="Times New Roman"/>
          <w:sz w:val="24"/>
          <w:szCs w:val="24"/>
        </w:rPr>
        <w:t>comprising non-operating income as follows</w:t>
      </w:r>
      <w:r w:rsidR="00107F1C" w:rsidRPr="00B51690">
        <w:rPr>
          <w:rFonts w:ascii="Times New Roman" w:hAnsi="Times New Roman" w:cs="Times New Roman"/>
          <w:sz w:val="24"/>
          <w:szCs w:val="24"/>
        </w:rPr>
        <w:t xml:space="preserve">: </w:t>
      </w:r>
      <w:r w:rsidR="008E0481" w:rsidRPr="00B51690">
        <w:rPr>
          <w:rFonts w:ascii="Times New Roman" w:hAnsi="Times New Roman" w:cs="Times New Roman"/>
          <w:sz w:val="24"/>
          <w:szCs w:val="24"/>
        </w:rPr>
        <w:t xml:space="preserve">equity earnings </w:t>
      </w:r>
      <w:r w:rsidR="00CC78D1" w:rsidRPr="00636C4A">
        <w:rPr>
          <w:rFonts w:ascii="Times New Roman" w:hAnsi="Times New Roman" w:cs="Times New Roman"/>
          <w:sz w:val="24"/>
          <w:szCs w:val="24"/>
        </w:rPr>
        <w:t>in</w:t>
      </w:r>
      <w:r w:rsidR="008E0481" w:rsidRPr="00636C4A">
        <w:rPr>
          <w:rFonts w:ascii="Times New Roman" w:hAnsi="Times New Roman" w:cs="Times New Roman"/>
          <w:sz w:val="24"/>
          <w:szCs w:val="24"/>
        </w:rPr>
        <w:t xml:space="preserve"> unconsolidated subsidiaries (</w:t>
      </w:r>
      <w:r w:rsidR="008E0481" w:rsidRPr="00636C4A">
        <w:rPr>
          <w:rFonts w:ascii="Times New Roman" w:hAnsi="Times New Roman" w:cs="Times New Roman"/>
          <w:i/>
          <w:iCs/>
          <w:sz w:val="24"/>
          <w:szCs w:val="24"/>
        </w:rPr>
        <w:t>ESUB</w:t>
      </w:r>
      <w:r w:rsidR="008E0481" w:rsidRPr="00636C4A">
        <w:rPr>
          <w:rFonts w:ascii="Times New Roman" w:hAnsi="Times New Roman" w:cs="Times New Roman"/>
          <w:sz w:val="24"/>
          <w:szCs w:val="24"/>
        </w:rPr>
        <w:t>); rental income (</w:t>
      </w:r>
      <w:r w:rsidR="008E0481" w:rsidRPr="00636C4A">
        <w:rPr>
          <w:rFonts w:ascii="Times New Roman" w:hAnsi="Times New Roman" w:cs="Times New Roman"/>
          <w:i/>
          <w:iCs/>
          <w:sz w:val="24"/>
          <w:szCs w:val="24"/>
        </w:rPr>
        <w:t>IRENT</w:t>
      </w:r>
      <w:r w:rsidR="008E0481" w:rsidRPr="00636C4A">
        <w:rPr>
          <w:rFonts w:ascii="Times New Roman" w:hAnsi="Times New Roman" w:cs="Times New Roman"/>
          <w:sz w:val="24"/>
          <w:szCs w:val="24"/>
        </w:rPr>
        <w:t>); total interest and related income (</w:t>
      </w:r>
      <w:r w:rsidR="008E0481" w:rsidRPr="00636C4A">
        <w:rPr>
          <w:rFonts w:ascii="Times New Roman" w:hAnsi="Times New Roman" w:cs="Times New Roman"/>
          <w:i/>
          <w:iCs/>
          <w:sz w:val="24"/>
          <w:szCs w:val="24"/>
        </w:rPr>
        <w:t>IDIT</w:t>
      </w:r>
      <w:r w:rsidR="008E0481" w:rsidRPr="00636C4A">
        <w:rPr>
          <w:rFonts w:ascii="Times New Roman" w:hAnsi="Times New Roman" w:cs="Times New Roman"/>
          <w:sz w:val="24"/>
          <w:szCs w:val="24"/>
        </w:rPr>
        <w:t>); capitalized interest (</w:t>
      </w:r>
      <w:r w:rsidR="008E0481" w:rsidRPr="00636C4A">
        <w:rPr>
          <w:rFonts w:ascii="Times New Roman" w:hAnsi="Times New Roman" w:cs="Times New Roman"/>
          <w:i/>
          <w:iCs/>
          <w:sz w:val="24"/>
          <w:szCs w:val="24"/>
        </w:rPr>
        <w:t>INTC</w:t>
      </w:r>
      <w:r w:rsidR="008E0481" w:rsidRPr="00636C4A">
        <w:rPr>
          <w:rFonts w:ascii="Times New Roman" w:hAnsi="Times New Roman" w:cs="Times New Roman"/>
          <w:sz w:val="24"/>
          <w:szCs w:val="24"/>
        </w:rPr>
        <w:t>), amortization of intangibles (</w:t>
      </w:r>
      <w:r w:rsidR="008E0481" w:rsidRPr="00636C4A">
        <w:rPr>
          <w:rFonts w:ascii="Times New Roman" w:hAnsi="Times New Roman" w:cs="Times New Roman"/>
          <w:i/>
          <w:iCs/>
          <w:sz w:val="24"/>
          <w:szCs w:val="24"/>
        </w:rPr>
        <w:t>AM</w:t>
      </w:r>
      <w:r w:rsidR="008E0481" w:rsidRPr="00636C4A">
        <w:rPr>
          <w:rFonts w:ascii="Times New Roman" w:hAnsi="Times New Roman" w:cs="Times New Roman"/>
          <w:sz w:val="24"/>
          <w:szCs w:val="24"/>
        </w:rPr>
        <w:t>); and foreign exchange income or loss (</w:t>
      </w:r>
      <w:r w:rsidR="008E0481" w:rsidRPr="00636C4A">
        <w:rPr>
          <w:rFonts w:ascii="Times New Roman" w:hAnsi="Times New Roman" w:cs="Times New Roman"/>
          <w:i/>
          <w:iCs/>
          <w:sz w:val="24"/>
          <w:szCs w:val="24"/>
        </w:rPr>
        <w:t>FCA</w:t>
      </w:r>
      <w:r w:rsidR="008E0481" w:rsidRPr="00636C4A">
        <w:rPr>
          <w:rFonts w:ascii="Times New Roman" w:hAnsi="Times New Roman" w:cs="Times New Roman"/>
          <w:sz w:val="24"/>
          <w:szCs w:val="24"/>
        </w:rPr>
        <w:t xml:space="preserve">). </w:t>
      </w:r>
      <w:r w:rsidR="00B846E9" w:rsidRPr="00636C4A">
        <w:rPr>
          <w:rFonts w:ascii="Times New Roman" w:hAnsi="Times New Roman" w:cs="Times New Roman"/>
          <w:sz w:val="24"/>
          <w:szCs w:val="24"/>
        </w:rPr>
        <w:t>W</w:t>
      </w:r>
      <w:r w:rsidR="008E0481" w:rsidRPr="00636C4A">
        <w:rPr>
          <w:rFonts w:ascii="Times New Roman" w:hAnsi="Times New Roman" w:cs="Times New Roman"/>
          <w:sz w:val="24"/>
          <w:szCs w:val="24"/>
        </w:rPr>
        <w:t xml:space="preserve">e replace non-operating income </w:t>
      </w:r>
      <w:r w:rsidR="00D92608">
        <w:rPr>
          <w:rFonts w:ascii="Times New Roman" w:hAnsi="Times New Roman" w:cs="Times New Roman"/>
          <w:sz w:val="24"/>
          <w:szCs w:val="24"/>
        </w:rPr>
        <w:t>with</w:t>
      </w:r>
      <w:r w:rsidR="00D92608" w:rsidRPr="00636C4A">
        <w:rPr>
          <w:rFonts w:ascii="Times New Roman" w:hAnsi="Times New Roman" w:cs="Times New Roman"/>
          <w:sz w:val="24"/>
          <w:szCs w:val="24"/>
        </w:rPr>
        <w:t xml:space="preserve"> </w:t>
      </w:r>
      <w:r w:rsidR="008E0481" w:rsidRPr="00636C4A">
        <w:rPr>
          <w:rFonts w:ascii="Times New Roman" w:hAnsi="Times New Roman" w:cs="Times New Roman"/>
          <w:sz w:val="24"/>
          <w:szCs w:val="24"/>
        </w:rPr>
        <w:t xml:space="preserve">these variables (each expressed as a percentage of current year's total assets) and rerun </w:t>
      </w:r>
      <w:r w:rsidR="00E02BD3" w:rsidRPr="00636C4A">
        <w:rPr>
          <w:rFonts w:ascii="Times New Roman" w:hAnsi="Times New Roman" w:cs="Times New Roman"/>
          <w:sz w:val="24"/>
          <w:szCs w:val="24"/>
        </w:rPr>
        <w:t>E</w:t>
      </w:r>
      <w:r w:rsidR="008E0481" w:rsidRPr="00636C4A">
        <w:rPr>
          <w:rFonts w:ascii="Times New Roman" w:hAnsi="Times New Roman" w:cs="Times New Roman"/>
          <w:sz w:val="24"/>
          <w:szCs w:val="24"/>
        </w:rPr>
        <w:t>quation</w:t>
      </w:r>
      <w:r w:rsidR="0006491D" w:rsidRPr="00636C4A">
        <w:rPr>
          <w:rFonts w:ascii="Times New Roman" w:hAnsi="Times New Roman" w:cs="Times New Roman"/>
          <w:sz w:val="24"/>
          <w:szCs w:val="24"/>
        </w:rPr>
        <w:t>s</w:t>
      </w:r>
      <w:r w:rsidR="008E0481" w:rsidRPr="00636C4A">
        <w:rPr>
          <w:rFonts w:ascii="Times New Roman" w:hAnsi="Times New Roman" w:cs="Times New Roman"/>
          <w:sz w:val="24"/>
          <w:szCs w:val="24"/>
        </w:rPr>
        <w:t xml:space="preserve"> </w:t>
      </w:r>
      <w:r w:rsidR="00B846E9" w:rsidRPr="00636C4A">
        <w:rPr>
          <w:rFonts w:ascii="Times New Roman" w:hAnsi="Times New Roman" w:cs="Times New Roman"/>
          <w:sz w:val="24"/>
          <w:szCs w:val="24"/>
        </w:rPr>
        <w:t>(</w:t>
      </w:r>
      <w:r w:rsidR="008E0481" w:rsidRPr="00636C4A">
        <w:rPr>
          <w:rFonts w:ascii="Times New Roman" w:hAnsi="Times New Roman" w:cs="Times New Roman"/>
          <w:sz w:val="24"/>
          <w:szCs w:val="24"/>
        </w:rPr>
        <w:t>8</w:t>
      </w:r>
      <w:r w:rsidR="00B846E9" w:rsidRPr="00636C4A">
        <w:rPr>
          <w:rFonts w:ascii="Times New Roman" w:hAnsi="Times New Roman" w:cs="Times New Roman"/>
          <w:sz w:val="24"/>
          <w:szCs w:val="24"/>
        </w:rPr>
        <w:t>)</w:t>
      </w:r>
      <w:r w:rsidR="00E132FA" w:rsidRPr="00636C4A">
        <w:rPr>
          <w:rFonts w:ascii="Times New Roman" w:hAnsi="Times New Roman" w:cs="Times New Roman"/>
          <w:sz w:val="24"/>
          <w:szCs w:val="24"/>
        </w:rPr>
        <w:t xml:space="preserve">, (9), and </w:t>
      </w:r>
      <w:r w:rsidR="00B846E9" w:rsidRPr="00636C4A">
        <w:rPr>
          <w:rFonts w:ascii="Times New Roman" w:hAnsi="Times New Roman" w:cs="Times New Roman"/>
          <w:sz w:val="24"/>
          <w:szCs w:val="24"/>
        </w:rPr>
        <w:t>(</w:t>
      </w:r>
      <w:r w:rsidR="0006491D" w:rsidRPr="00636C4A">
        <w:rPr>
          <w:rFonts w:ascii="Times New Roman" w:hAnsi="Times New Roman" w:cs="Times New Roman"/>
          <w:sz w:val="24"/>
          <w:szCs w:val="24"/>
        </w:rPr>
        <w:t>10</w:t>
      </w:r>
      <w:r w:rsidR="00B846E9" w:rsidRPr="00636C4A">
        <w:rPr>
          <w:rFonts w:ascii="Times New Roman" w:hAnsi="Times New Roman" w:cs="Times New Roman"/>
          <w:sz w:val="24"/>
          <w:szCs w:val="24"/>
        </w:rPr>
        <w:t>)</w:t>
      </w:r>
      <w:r w:rsidR="008E0481" w:rsidRPr="00636C4A">
        <w:rPr>
          <w:rFonts w:ascii="Times New Roman" w:hAnsi="Times New Roman" w:cs="Times New Roman"/>
          <w:sz w:val="24"/>
          <w:szCs w:val="24"/>
        </w:rPr>
        <w:t xml:space="preserve">. We present our findings in Table </w:t>
      </w:r>
      <w:r w:rsidR="00B112AA" w:rsidRPr="00636C4A">
        <w:rPr>
          <w:rFonts w:ascii="Times New Roman" w:hAnsi="Times New Roman" w:cs="Times New Roman"/>
          <w:sz w:val="24"/>
          <w:szCs w:val="24"/>
        </w:rPr>
        <w:t>8</w:t>
      </w:r>
      <w:r w:rsidR="008E0481" w:rsidRPr="00636C4A">
        <w:rPr>
          <w:rFonts w:ascii="Times New Roman" w:hAnsi="Times New Roman" w:cs="Times New Roman"/>
          <w:sz w:val="24"/>
          <w:szCs w:val="24"/>
        </w:rPr>
        <w:t>. The primary driver of the inverse association</w:t>
      </w:r>
      <w:r w:rsidR="00591119" w:rsidRPr="00636C4A">
        <w:rPr>
          <w:rFonts w:ascii="Times New Roman" w:hAnsi="Times New Roman" w:cs="Times New Roman"/>
          <w:sz w:val="24"/>
          <w:szCs w:val="24"/>
        </w:rPr>
        <w:t>s</w:t>
      </w:r>
      <w:r w:rsidR="008E0481" w:rsidRPr="00636C4A">
        <w:rPr>
          <w:rFonts w:ascii="Times New Roman" w:hAnsi="Times New Roman" w:cs="Times New Roman"/>
          <w:sz w:val="24"/>
          <w:szCs w:val="24"/>
        </w:rPr>
        <w:t xml:space="preserve"> between non-operating income and the various </w:t>
      </w:r>
      <w:r w:rsidR="00134568" w:rsidRPr="00636C4A">
        <w:rPr>
          <w:rFonts w:ascii="Times New Roman" w:hAnsi="Times New Roman" w:cs="Times New Roman"/>
          <w:sz w:val="24"/>
          <w:szCs w:val="24"/>
        </w:rPr>
        <w:t xml:space="preserve">risk </w:t>
      </w:r>
      <w:r w:rsidR="008E0481" w:rsidRPr="00636C4A">
        <w:rPr>
          <w:rFonts w:ascii="Times New Roman" w:hAnsi="Times New Roman" w:cs="Times New Roman"/>
          <w:sz w:val="24"/>
          <w:szCs w:val="24"/>
        </w:rPr>
        <w:t xml:space="preserve">measures </w:t>
      </w:r>
      <w:r w:rsidR="00E132FA" w:rsidRPr="00636C4A">
        <w:rPr>
          <w:rFonts w:ascii="Times New Roman" w:hAnsi="Times New Roman" w:cs="Times New Roman"/>
          <w:sz w:val="24"/>
          <w:szCs w:val="24"/>
        </w:rPr>
        <w:t xml:space="preserve">appears to be </w:t>
      </w:r>
      <w:r w:rsidR="008E0481" w:rsidRPr="00636C4A">
        <w:rPr>
          <w:rFonts w:ascii="Times New Roman" w:hAnsi="Times New Roman" w:cs="Times New Roman"/>
          <w:sz w:val="24"/>
          <w:szCs w:val="24"/>
        </w:rPr>
        <w:t xml:space="preserve">equity earnings </w:t>
      </w:r>
      <w:r w:rsidR="00CC78D1" w:rsidRPr="00636C4A">
        <w:rPr>
          <w:rFonts w:ascii="Times New Roman" w:hAnsi="Times New Roman" w:cs="Times New Roman"/>
          <w:sz w:val="24"/>
          <w:szCs w:val="24"/>
        </w:rPr>
        <w:t>in</w:t>
      </w:r>
      <w:r w:rsidR="008E0481" w:rsidRPr="00636C4A">
        <w:rPr>
          <w:rFonts w:ascii="Times New Roman" w:hAnsi="Times New Roman" w:cs="Times New Roman"/>
          <w:sz w:val="24"/>
          <w:szCs w:val="24"/>
        </w:rPr>
        <w:t xml:space="preserve"> unconsolidated subsidiaries (</w:t>
      </w:r>
      <w:r w:rsidR="008E0481" w:rsidRPr="00636C4A">
        <w:rPr>
          <w:rFonts w:ascii="Times New Roman" w:hAnsi="Times New Roman" w:cs="Times New Roman"/>
          <w:i/>
          <w:iCs/>
          <w:sz w:val="24"/>
          <w:szCs w:val="24"/>
        </w:rPr>
        <w:t>ESUB</w:t>
      </w:r>
      <w:r w:rsidR="008E0481" w:rsidRPr="00636C4A">
        <w:rPr>
          <w:rFonts w:ascii="Times New Roman" w:hAnsi="Times New Roman" w:cs="Times New Roman"/>
          <w:sz w:val="24"/>
          <w:szCs w:val="24"/>
        </w:rPr>
        <w:t>)</w:t>
      </w:r>
      <w:r w:rsidR="00B51690">
        <w:rPr>
          <w:rFonts w:ascii="Times New Roman" w:hAnsi="Times New Roman" w:cs="Times New Roman"/>
          <w:sz w:val="24"/>
          <w:szCs w:val="24"/>
        </w:rPr>
        <w:t xml:space="preserve">, </w:t>
      </w:r>
      <w:r w:rsidR="00B51690" w:rsidRPr="00B51690">
        <w:rPr>
          <w:rFonts w:ascii="Times New Roman" w:hAnsi="Times New Roman" w:cs="Times New Roman"/>
          <w:sz w:val="24"/>
          <w:szCs w:val="24"/>
        </w:rPr>
        <w:t>and these subsidiaries can cover a vast array of activities.</w:t>
      </w:r>
      <w:r w:rsidR="008E0481" w:rsidRPr="00B51690">
        <w:rPr>
          <w:rFonts w:ascii="Times New Roman" w:hAnsi="Times New Roman" w:cs="Times New Roman"/>
          <w:sz w:val="24"/>
          <w:szCs w:val="24"/>
        </w:rPr>
        <w:t xml:space="preserve"> </w:t>
      </w:r>
      <w:r w:rsidR="00CC6E10" w:rsidRPr="00F15FF6">
        <w:rPr>
          <w:rFonts w:ascii="Times New Roman" w:hAnsi="Times New Roman" w:cs="Times New Roman"/>
          <w:sz w:val="24"/>
          <w:szCs w:val="24"/>
        </w:rPr>
        <w:t>Equity earnings</w:t>
      </w:r>
      <w:r w:rsidR="00CC6E10" w:rsidRPr="00727D54">
        <w:rPr>
          <w:rFonts w:ascii="Times New Roman" w:hAnsi="Times New Roman" w:cs="Times New Roman"/>
          <w:sz w:val="24"/>
          <w:szCs w:val="24"/>
        </w:rPr>
        <w:t xml:space="preserve"> </w:t>
      </w:r>
      <w:r w:rsidR="00E132FA" w:rsidRPr="00727D54">
        <w:rPr>
          <w:rFonts w:ascii="Times New Roman" w:hAnsi="Times New Roman" w:cs="Times New Roman"/>
          <w:sz w:val="24"/>
          <w:szCs w:val="24"/>
        </w:rPr>
        <w:t>tend to be long-term non-core investments</w:t>
      </w:r>
      <w:r w:rsidR="00256D1E" w:rsidRPr="00727D54">
        <w:rPr>
          <w:rFonts w:ascii="Times New Roman" w:hAnsi="Times New Roman" w:cs="Times New Roman"/>
          <w:sz w:val="24"/>
          <w:szCs w:val="24"/>
        </w:rPr>
        <w:t>,</w:t>
      </w:r>
      <w:r w:rsidR="00591119" w:rsidRPr="00727D54">
        <w:rPr>
          <w:rFonts w:ascii="Times New Roman" w:hAnsi="Times New Roman" w:cs="Times New Roman"/>
          <w:sz w:val="24"/>
          <w:szCs w:val="24"/>
        </w:rPr>
        <w:t xml:space="preserve"> </w:t>
      </w:r>
      <w:r w:rsidR="00CC6E10" w:rsidRPr="00F15FF6">
        <w:rPr>
          <w:rFonts w:ascii="Times New Roman" w:hAnsi="Times New Roman" w:cs="Times New Roman"/>
          <w:sz w:val="24"/>
          <w:szCs w:val="24"/>
        </w:rPr>
        <w:t xml:space="preserve">which </w:t>
      </w:r>
      <w:r w:rsidR="008E0481" w:rsidRPr="00727D54">
        <w:rPr>
          <w:rFonts w:ascii="Times New Roman" w:hAnsi="Times New Roman" w:cs="Times New Roman"/>
          <w:sz w:val="24"/>
          <w:szCs w:val="24"/>
        </w:rPr>
        <w:t>constitute</w:t>
      </w:r>
      <w:r w:rsidR="00CC6E10" w:rsidRPr="00F15FF6">
        <w:rPr>
          <w:rFonts w:ascii="Times New Roman" w:hAnsi="Times New Roman" w:cs="Times New Roman"/>
          <w:sz w:val="24"/>
          <w:szCs w:val="24"/>
        </w:rPr>
        <w:t>s</w:t>
      </w:r>
      <w:r w:rsidR="008E0481" w:rsidRPr="00727D54">
        <w:rPr>
          <w:rFonts w:ascii="Times New Roman" w:hAnsi="Times New Roman" w:cs="Times New Roman"/>
          <w:sz w:val="24"/>
          <w:szCs w:val="24"/>
        </w:rPr>
        <w:t xml:space="preserve"> a source of </w:t>
      </w:r>
      <w:r w:rsidR="00256D1E" w:rsidRPr="00727D54">
        <w:rPr>
          <w:rFonts w:ascii="Times New Roman" w:hAnsi="Times New Roman" w:cs="Times New Roman"/>
          <w:sz w:val="24"/>
          <w:szCs w:val="24"/>
        </w:rPr>
        <w:t xml:space="preserve">stable </w:t>
      </w:r>
      <w:r w:rsidR="008E0481" w:rsidRPr="00727D54">
        <w:rPr>
          <w:rFonts w:ascii="Times New Roman" w:hAnsi="Times New Roman" w:cs="Times New Roman"/>
          <w:sz w:val="24"/>
          <w:szCs w:val="24"/>
        </w:rPr>
        <w:t>non-operating earnings</w:t>
      </w:r>
      <w:r w:rsidR="008B5BD8" w:rsidRPr="00F15FF6">
        <w:rPr>
          <w:rFonts w:ascii="Times New Roman" w:hAnsi="Times New Roman" w:cs="Times New Roman"/>
          <w:sz w:val="24"/>
          <w:szCs w:val="24"/>
        </w:rPr>
        <w:t xml:space="preserve"> for a firm</w:t>
      </w:r>
      <w:r w:rsidR="00256D1E" w:rsidRPr="00727D54">
        <w:rPr>
          <w:rFonts w:ascii="Times New Roman" w:hAnsi="Times New Roman" w:cs="Times New Roman"/>
          <w:sz w:val="24"/>
          <w:szCs w:val="24"/>
        </w:rPr>
        <w:t>,</w:t>
      </w:r>
      <w:r w:rsidR="008E0481" w:rsidRPr="00727D54">
        <w:rPr>
          <w:rFonts w:ascii="Times New Roman" w:hAnsi="Times New Roman" w:cs="Times New Roman"/>
          <w:sz w:val="24"/>
          <w:szCs w:val="24"/>
        </w:rPr>
        <w:t xml:space="preserve"> </w:t>
      </w:r>
      <w:r w:rsidR="00256D1E" w:rsidRPr="00727D54">
        <w:rPr>
          <w:rFonts w:ascii="Times New Roman" w:hAnsi="Times New Roman" w:cs="Times New Roman"/>
          <w:sz w:val="24"/>
          <w:szCs w:val="24"/>
        </w:rPr>
        <w:t xml:space="preserve">hence assisting the firm </w:t>
      </w:r>
      <w:r w:rsidR="00CC6E10" w:rsidRPr="00F15FF6">
        <w:rPr>
          <w:rFonts w:ascii="Times New Roman" w:hAnsi="Times New Roman" w:cs="Times New Roman"/>
          <w:sz w:val="24"/>
          <w:szCs w:val="24"/>
        </w:rPr>
        <w:t>to</w:t>
      </w:r>
      <w:r w:rsidR="00CC6E10" w:rsidRPr="00727D54">
        <w:rPr>
          <w:rFonts w:ascii="Times New Roman" w:hAnsi="Times New Roman" w:cs="Times New Roman"/>
          <w:sz w:val="24"/>
          <w:szCs w:val="24"/>
        </w:rPr>
        <w:t xml:space="preserve"> achiev</w:t>
      </w:r>
      <w:r w:rsidR="00CC6E10" w:rsidRPr="00F15FF6">
        <w:rPr>
          <w:rFonts w:ascii="Times New Roman" w:hAnsi="Times New Roman" w:cs="Times New Roman"/>
          <w:sz w:val="24"/>
          <w:szCs w:val="24"/>
        </w:rPr>
        <w:t>e</w:t>
      </w:r>
      <w:r w:rsidR="00CC6E10" w:rsidRPr="00727D54">
        <w:rPr>
          <w:rFonts w:ascii="Times New Roman" w:hAnsi="Times New Roman" w:cs="Times New Roman"/>
          <w:sz w:val="24"/>
          <w:szCs w:val="24"/>
        </w:rPr>
        <w:t xml:space="preserve"> </w:t>
      </w:r>
      <w:r w:rsidR="00256D1E" w:rsidRPr="00D26D75">
        <w:rPr>
          <w:rFonts w:ascii="Times New Roman" w:hAnsi="Times New Roman" w:cs="Times New Roman"/>
          <w:sz w:val="24"/>
          <w:szCs w:val="24"/>
        </w:rPr>
        <w:t>earnings stability</w:t>
      </w:r>
      <w:r w:rsidR="008E0481" w:rsidRPr="00D26D75">
        <w:rPr>
          <w:rFonts w:ascii="Times New Roman" w:hAnsi="Times New Roman" w:cs="Times New Roman"/>
          <w:sz w:val="24"/>
          <w:szCs w:val="24"/>
        </w:rPr>
        <w:t>.</w:t>
      </w:r>
    </w:p>
    <w:p w14:paraId="1CFCC3E9" w14:textId="4C9F2493" w:rsidR="00A14668" w:rsidRDefault="00591119" w:rsidP="00B73A42">
      <w:pPr>
        <w:spacing w:line="480" w:lineRule="auto"/>
        <w:jc w:val="center"/>
        <w:rPr>
          <w:rFonts w:ascii="Times New Roman" w:hAnsi="Times New Roman" w:cs="Times New Roman"/>
          <w:sz w:val="24"/>
          <w:szCs w:val="24"/>
        </w:rPr>
      </w:pPr>
      <w:r w:rsidRPr="00893E6D">
        <w:rPr>
          <w:rFonts w:ascii="Times New Roman" w:hAnsi="Times New Roman" w:cs="Times New Roman"/>
          <w:sz w:val="24"/>
          <w:szCs w:val="24"/>
        </w:rPr>
        <w:t xml:space="preserve">[INSERT TABLE </w:t>
      </w:r>
      <w:r w:rsidR="00B112AA">
        <w:rPr>
          <w:rFonts w:ascii="Times New Roman" w:hAnsi="Times New Roman" w:cs="Times New Roman"/>
          <w:sz w:val="24"/>
          <w:szCs w:val="24"/>
        </w:rPr>
        <w:t>8</w:t>
      </w:r>
      <w:r w:rsidR="00B112AA" w:rsidRPr="00893E6D">
        <w:rPr>
          <w:rFonts w:ascii="Times New Roman" w:hAnsi="Times New Roman" w:cs="Times New Roman"/>
          <w:sz w:val="24"/>
          <w:szCs w:val="24"/>
        </w:rPr>
        <w:t xml:space="preserve"> </w:t>
      </w:r>
      <w:r w:rsidRPr="00893E6D">
        <w:rPr>
          <w:rFonts w:ascii="Times New Roman" w:hAnsi="Times New Roman" w:cs="Times New Roman"/>
          <w:sz w:val="24"/>
          <w:szCs w:val="24"/>
        </w:rPr>
        <w:t>ABOUT HERE]</w:t>
      </w:r>
    </w:p>
    <w:p w14:paraId="4E53858C" w14:textId="5633CAB3" w:rsidR="00445FE6" w:rsidRPr="00893E6D" w:rsidRDefault="00591119" w:rsidP="00A1062B">
      <w:pPr>
        <w:pStyle w:val="ListParagraph"/>
        <w:numPr>
          <w:ilvl w:val="1"/>
          <w:numId w:val="1"/>
        </w:numPr>
        <w:spacing w:line="480" w:lineRule="auto"/>
        <w:jc w:val="both"/>
        <w:rPr>
          <w:rFonts w:ascii="Times New Roman" w:hAnsi="Times New Roman" w:cs="Times New Roman"/>
          <w:b/>
          <w:i/>
          <w:sz w:val="24"/>
          <w:szCs w:val="24"/>
        </w:rPr>
      </w:pPr>
      <w:r w:rsidRPr="00893E6D" w:rsidDel="00107F1C">
        <w:rPr>
          <w:rFonts w:ascii="Times New Roman" w:hAnsi="Times New Roman" w:cs="Times New Roman"/>
          <w:sz w:val="24"/>
          <w:szCs w:val="24"/>
        </w:rPr>
        <w:t xml:space="preserve"> </w:t>
      </w:r>
      <w:r w:rsidR="00134568" w:rsidRPr="00893E6D">
        <w:rPr>
          <w:rFonts w:ascii="Times New Roman" w:hAnsi="Times New Roman" w:cs="Times New Roman"/>
          <w:b/>
          <w:i/>
          <w:sz w:val="24"/>
          <w:szCs w:val="24"/>
        </w:rPr>
        <w:t>Classification shifting</w:t>
      </w:r>
      <w:r w:rsidR="00445FE6" w:rsidRPr="00893E6D">
        <w:rPr>
          <w:rFonts w:ascii="Times New Roman" w:hAnsi="Times New Roman" w:cs="Times New Roman"/>
          <w:b/>
          <w:i/>
          <w:sz w:val="24"/>
          <w:szCs w:val="24"/>
        </w:rPr>
        <w:t xml:space="preserve"> and </w:t>
      </w:r>
      <w:r w:rsidR="000E01C0">
        <w:rPr>
          <w:rFonts w:ascii="Times New Roman" w:hAnsi="Times New Roman" w:cs="Times New Roman"/>
          <w:b/>
          <w:i/>
          <w:sz w:val="24"/>
          <w:szCs w:val="24"/>
        </w:rPr>
        <w:t>r</w:t>
      </w:r>
      <w:r w:rsidR="00445FE6" w:rsidRPr="00893E6D">
        <w:rPr>
          <w:rFonts w:ascii="Times New Roman" w:hAnsi="Times New Roman" w:cs="Times New Roman"/>
          <w:b/>
          <w:i/>
          <w:sz w:val="24"/>
          <w:szCs w:val="24"/>
        </w:rPr>
        <w:t xml:space="preserve">isk </w:t>
      </w:r>
      <w:r w:rsidR="000E01C0">
        <w:rPr>
          <w:rFonts w:ascii="Times New Roman" w:hAnsi="Times New Roman" w:cs="Times New Roman"/>
          <w:b/>
          <w:i/>
          <w:sz w:val="24"/>
          <w:szCs w:val="24"/>
        </w:rPr>
        <w:t>m</w:t>
      </w:r>
      <w:r w:rsidR="00445FE6" w:rsidRPr="00893E6D">
        <w:rPr>
          <w:rFonts w:ascii="Times New Roman" w:hAnsi="Times New Roman" w:cs="Times New Roman"/>
          <w:b/>
          <w:i/>
          <w:sz w:val="24"/>
          <w:szCs w:val="24"/>
        </w:rPr>
        <w:t>easures</w:t>
      </w:r>
    </w:p>
    <w:p w14:paraId="4D634E8F" w14:textId="0CB77EAC" w:rsidR="001E053D" w:rsidRDefault="00134568" w:rsidP="00A1062B">
      <w:pPr>
        <w:spacing w:line="480" w:lineRule="auto"/>
        <w:ind w:firstLine="720"/>
        <w:jc w:val="both"/>
        <w:rPr>
          <w:rFonts w:ascii="Times New Roman" w:hAnsi="Times New Roman" w:cs="Times New Roman"/>
          <w:sz w:val="24"/>
          <w:szCs w:val="24"/>
        </w:rPr>
      </w:pPr>
      <w:r w:rsidRPr="00893E6D">
        <w:rPr>
          <w:rFonts w:ascii="Times New Roman" w:hAnsi="Times New Roman" w:cs="Times New Roman"/>
          <w:sz w:val="24"/>
          <w:szCs w:val="24"/>
        </w:rPr>
        <w:t>Studies show that f</w:t>
      </w:r>
      <w:r w:rsidR="00445FE6" w:rsidRPr="00893E6D">
        <w:rPr>
          <w:rFonts w:ascii="Times New Roman" w:hAnsi="Times New Roman" w:cs="Times New Roman"/>
          <w:sz w:val="24"/>
          <w:szCs w:val="24"/>
        </w:rPr>
        <w:t xml:space="preserve">irms </w:t>
      </w:r>
      <w:r w:rsidR="00256D1E">
        <w:rPr>
          <w:rFonts w:ascii="Times New Roman" w:hAnsi="Times New Roman" w:cs="Times New Roman"/>
          <w:sz w:val="24"/>
          <w:szCs w:val="24"/>
        </w:rPr>
        <w:t>commonly</w:t>
      </w:r>
      <w:r w:rsidR="00256D1E" w:rsidRPr="00893E6D">
        <w:rPr>
          <w:rFonts w:ascii="Times New Roman" w:hAnsi="Times New Roman" w:cs="Times New Roman"/>
          <w:sz w:val="24"/>
          <w:szCs w:val="24"/>
        </w:rPr>
        <w:t xml:space="preserve"> use</w:t>
      </w:r>
      <w:r w:rsidR="00445FE6" w:rsidRPr="00893E6D">
        <w:rPr>
          <w:rFonts w:ascii="Times New Roman" w:hAnsi="Times New Roman" w:cs="Times New Roman"/>
          <w:sz w:val="24"/>
          <w:szCs w:val="24"/>
        </w:rPr>
        <w:t xml:space="preserve"> non-operating earnings to </w:t>
      </w:r>
      <w:r w:rsidR="00256D1E">
        <w:rPr>
          <w:rFonts w:ascii="Times New Roman" w:hAnsi="Times New Roman" w:cs="Times New Roman"/>
          <w:sz w:val="24"/>
          <w:szCs w:val="24"/>
        </w:rPr>
        <w:t>artificially inflate</w:t>
      </w:r>
      <w:r w:rsidR="00256D1E" w:rsidRPr="00893E6D">
        <w:rPr>
          <w:rFonts w:ascii="Times New Roman" w:hAnsi="Times New Roman" w:cs="Times New Roman"/>
          <w:sz w:val="24"/>
          <w:szCs w:val="24"/>
        </w:rPr>
        <w:t xml:space="preserve"> </w:t>
      </w:r>
      <w:r w:rsidR="00445FE6" w:rsidRPr="00893E6D">
        <w:rPr>
          <w:rFonts w:ascii="Times New Roman" w:hAnsi="Times New Roman" w:cs="Times New Roman"/>
          <w:sz w:val="24"/>
          <w:szCs w:val="24"/>
        </w:rPr>
        <w:t>revenue to meet core profit expectations (Curtis</w:t>
      </w:r>
      <w:r w:rsidR="004B0CFF" w:rsidRPr="00893E6D">
        <w:rPr>
          <w:rFonts w:ascii="Times New Roman" w:hAnsi="Times New Roman" w:cs="Times New Roman"/>
          <w:sz w:val="24"/>
          <w:szCs w:val="24"/>
        </w:rPr>
        <w:t xml:space="preserve"> </w:t>
      </w:r>
      <w:r w:rsidR="004B0CFF" w:rsidRPr="00893E6D">
        <w:rPr>
          <w:rFonts w:ascii="Times New Roman" w:hAnsi="Times New Roman" w:cs="Times New Roman"/>
          <w:i/>
          <w:iCs/>
          <w:sz w:val="24"/>
          <w:szCs w:val="24"/>
        </w:rPr>
        <w:t>et al.</w:t>
      </w:r>
      <w:r w:rsidR="00445FE6" w:rsidRPr="00893E6D">
        <w:rPr>
          <w:rFonts w:ascii="Times New Roman" w:hAnsi="Times New Roman" w:cs="Times New Roman"/>
          <w:sz w:val="24"/>
          <w:szCs w:val="24"/>
        </w:rPr>
        <w:t xml:space="preserve">, 2014) </w:t>
      </w:r>
      <w:r w:rsidR="00256D1E">
        <w:rPr>
          <w:rFonts w:ascii="Times New Roman" w:hAnsi="Times New Roman" w:cs="Times New Roman"/>
          <w:sz w:val="24"/>
          <w:szCs w:val="24"/>
        </w:rPr>
        <w:t>and</w:t>
      </w:r>
      <w:r w:rsidR="00256D1E" w:rsidRPr="00893E6D">
        <w:rPr>
          <w:rFonts w:ascii="Times New Roman" w:hAnsi="Times New Roman" w:cs="Times New Roman"/>
          <w:sz w:val="24"/>
          <w:szCs w:val="24"/>
        </w:rPr>
        <w:t xml:space="preserve"> </w:t>
      </w:r>
      <w:r w:rsidR="00445FE6" w:rsidRPr="00893E6D">
        <w:rPr>
          <w:rFonts w:ascii="Times New Roman" w:hAnsi="Times New Roman" w:cs="Times New Roman"/>
          <w:sz w:val="24"/>
          <w:szCs w:val="24"/>
        </w:rPr>
        <w:t xml:space="preserve">to manage their reported earnings </w:t>
      </w:r>
      <w:r w:rsidR="00256D1E">
        <w:rPr>
          <w:rFonts w:ascii="Times New Roman" w:hAnsi="Times New Roman" w:cs="Times New Roman"/>
          <w:sz w:val="24"/>
          <w:szCs w:val="24"/>
        </w:rPr>
        <w:t>using</w:t>
      </w:r>
      <w:r w:rsidR="00256D1E" w:rsidRPr="00893E6D">
        <w:rPr>
          <w:rFonts w:ascii="Times New Roman" w:hAnsi="Times New Roman" w:cs="Times New Roman"/>
          <w:sz w:val="24"/>
          <w:szCs w:val="24"/>
        </w:rPr>
        <w:t xml:space="preserve"> </w:t>
      </w:r>
      <w:r w:rsidR="00DB17B1" w:rsidRPr="00893E6D">
        <w:rPr>
          <w:rFonts w:ascii="Times New Roman" w:hAnsi="Times New Roman" w:cs="Times New Roman"/>
          <w:sz w:val="24"/>
          <w:szCs w:val="24"/>
        </w:rPr>
        <w:t xml:space="preserve">classification shifting </w:t>
      </w:r>
      <w:r w:rsidR="00445FE6" w:rsidRPr="00893E6D">
        <w:rPr>
          <w:rFonts w:ascii="Times New Roman" w:hAnsi="Times New Roman" w:cs="Times New Roman"/>
          <w:sz w:val="24"/>
          <w:szCs w:val="24"/>
        </w:rPr>
        <w:t>(</w:t>
      </w:r>
      <w:proofErr w:type="spellStart"/>
      <w:r w:rsidR="00445FE6" w:rsidRPr="00893E6D">
        <w:rPr>
          <w:rFonts w:ascii="Times New Roman" w:hAnsi="Times New Roman" w:cs="Times New Roman"/>
          <w:sz w:val="24"/>
          <w:szCs w:val="24"/>
        </w:rPr>
        <w:t>Malikov</w:t>
      </w:r>
      <w:proofErr w:type="spellEnd"/>
      <w:r w:rsidR="00445FE6" w:rsidRPr="00893E6D">
        <w:rPr>
          <w:rFonts w:ascii="Times New Roman" w:hAnsi="Times New Roman" w:cs="Times New Roman"/>
          <w:sz w:val="24"/>
          <w:szCs w:val="24"/>
        </w:rPr>
        <w:t xml:space="preserve"> </w:t>
      </w:r>
      <w:r w:rsidR="00445FE6" w:rsidRPr="00893E6D">
        <w:rPr>
          <w:rFonts w:ascii="Times New Roman" w:hAnsi="Times New Roman" w:cs="Times New Roman"/>
          <w:i/>
          <w:sz w:val="24"/>
          <w:szCs w:val="24"/>
        </w:rPr>
        <w:t>et al</w:t>
      </w:r>
      <w:r w:rsidR="00445FE6" w:rsidRPr="00893E6D">
        <w:rPr>
          <w:rFonts w:ascii="Times New Roman" w:hAnsi="Times New Roman" w:cs="Times New Roman"/>
          <w:sz w:val="24"/>
          <w:szCs w:val="24"/>
        </w:rPr>
        <w:t xml:space="preserve">. 2018). </w:t>
      </w:r>
      <w:r w:rsidR="00256D1E">
        <w:rPr>
          <w:rFonts w:ascii="Times New Roman" w:hAnsi="Times New Roman" w:cs="Times New Roman"/>
          <w:sz w:val="24"/>
          <w:szCs w:val="24"/>
        </w:rPr>
        <w:t>Were</w:t>
      </w:r>
      <w:r w:rsidR="00256D1E" w:rsidRPr="00893E6D">
        <w:rPr>
          <w:rFonts w:ascii="Times New Roman" w:hAnsi="Times New Roman" w:cs="Times New Roman"/>
          <w:sz w:val="24"/>
          <w:szCs w:val="24"/>
        </w:rPr>
        <w:t xml:space="preserve"> </w:t>
      </w:r>
      <w:r w:rsidR="00445FE6" w:rsidRPr="00893E6D">
        <w:rPr>
          <w:rFonts w:ascii="Times New Roman" w:hAnsi="Times New Roman" w:cs="Times New Roman"/>
          <w:sz w:val="24"/>
          <w:szCs w:val="24"/>
        </w:rPr>
        <w:t xml:space="preserve">managers </w:t>
      </w:r>
      <w:r w:rsidR="00256D1E">
        <w:rPr>
          <w:rFonts w:ascii="Times New Roman" w:hAnsi="Times New Roman" w:cs="Times New Roman"/>
          <w:sz w:val="24"/>
          <w:szCs w:val="24"/>
        </w:rPr>
        <w:t>to</w:t>
      </w:r>
      <w:r w:rsidR="00256D1E" w:rsidRPr="00893E6D">
        <w:rPr>
          <w:rFonts w:ascii="Times New Roman" w:hAnsi="Times New Roman" w:cs="Times New Roman"/>
          <w:sz w:val="24"/>
          <w:szCs w:val="24"/>
        </w:rPr>
        <w:t xml:space="preserve"> engage</w:t>
      </w:r>
      <w:r w:rsidR="00445FE6" w:rsidRPr="00893E6D">
        <w:rPr>
          <w:rFonts w:ascii="Times New Roman" w:hAnsi="Times New Roman" w:cs="Times New Roman"/>
          <w:sz w:val="24"/>
          <w:szCs w:val="24"/>
        </w:rPr>
        <w:t xml:space="preserve"> in earnings management and misclassify non-operating revenues as operating </w:t>
      </w:r>
      <w:r w:rsidR="00256D1E">
        <w:rPr>
          <w:rFonts w:ascii="Times New Roman" w:hAnsi="Times New Roman" w:cs="Times New Roman"/>
          <w:sz w:val="24"/>
          <w:szCs w:val="24"/>
        </w:rPr>
        <w:t>ones</w:t>
      </w:r>
      <w:r w:rsidR="00256D1E" w:rsidRPr="00893E6D">
        <w:rPr>
          <w:rFonts w:ascii="Times New Roman" w:hAnsi="Times New Roman" w:cs="Times New Roman"/>
          <w:sz w:val="24"/>
          <w:szCs w:val="24"/>
        </w:rPr>
        <w:t xml:space="preserve"> </w:t>
      </w:r>
      <w:r w:rsidR="00256D1E">
        <w:rPr>
          <w:rFonts w:ascii="Times New Roman" w:hAnsi="Times New Roman" w:cs="Times New Roman"/>
          <w:sz w:val="24"/>
          <w:szCs w:val="24"/>
        </w:rPr>
        <w:t>or</w:t>
      </w:r>
      <w:r w:rsidR="00256D1E" w:rsidRPr="00893E6D">
        <w:rPr>
          <w:rFonts w:ascii="Times New Roman" w:hAnsi="Times New Roman" w:cs="Times New Roman"/>
          <w:sz w:val="24"/>
          <w:szCs w:val="24"/>
        </w:rPr>
        <w:t xml:space="preserve"> </w:t>
      </w:r>
      <w:r w:rsidR="00637533" w:rsidRPr="00893E6D">
        <w:rPr>
          <w:rFonts w:ascii="Times New Roman" w:hAnsi="Times New Roman" w:cs="Times New Roman"/>
          <w:sz w:val="24"/>
          <w:szCs w:val="24"/>
        </w:rPr>
        <w:t xml:space="preserve">operating expenses as non-operating </w:t>
      </w:r>
      <w:r w:rsidR="00256D1E">
        <w:rPr>
          <w:rFonts w:ascii="Times New Roman" w:hAnsi="Times New Roman" w:cs="Times New Roman"/>
          <w:sz w:val="24"/>
          <w:szCs w:val="24"/>
        </w:rPr>
        <w:t>ones</w:t>
      </w:r>
      <w:r w:rsidR="00445FE6" w:rsidRPr="00893E6D">
        <w:rPr>
          <w:rFonts w:ascii="Times New Roman" w:hAnsi="Times New Roman" w:cs="Times New Roman"/>
          <w:sz w:val="24"/>
          <w:szCs w:val="24"/>
        </w:rPr>
        <w:t xml:space="preserve">, </w:t>
      </w:r>
      <w:r w:rsidR="00445FE6" w:rsidRPr="00893E6D">
        <w:rPr>
          <w:rFonts w:ascii="Times New Roman" w:hAnsi="Times New Roman" w:cs="Times New Roman"/>
          <w:i/>
          <w:sz w:val="24"/>
          <w:szCs w:val="24"/>
        </w:rPr>
        <w:t>OPERINC</w:t>
      </w:r>
      <w:r w:rsidR="00445FE6" w:rsidRPr="00893E6D">
        <w:rPr>
          <w:rFonts w:ascii="Times New Roman" w:hAnsi="Times New Roman" w:cs="Times New Roman"/>
          <w:sz w:val="24"/>
          <w:szCs w:val="24"/>
        </w:rPr>
        <w:t xml:space="preserve"> </w:t>
      </w:r>
      <w:r w:rsidR="00256D1E">
        <w:rPr>
          <w:rFonts w:ascii="Times New Roman" w:hAnsi="Times New Roman" w:cs="Times New Roman"/>
          <w:sz w:val="24"/>
          <w:szCs w:val="24"/>
        </w:rPr>
        <w:t>would</w:t>
      </w:r>
      <w:r w:rsidR="00256D1E" w:rsidRPr="00893E6D">
        <w:rPr>
          <w:rFonts w:ascii="Times New Roman" w:hAnsi="Times New Roman" w:cs="Times New Roman"/>
          <w:sz w:val="24"/>
          <w:szCs w:val="24"/>
        </w:rPr>
        <w:t xml:space="preserve"> </w:t>
      </w:r>
      <w:r w:rsidR="00445FE6" w:rsidRPr="00893E6D">
        <w:rPr>
          <w:rFonts w:ascii="Times New Roman" w:hAnsi="Times New Roman" w:cs="Times New Roman"/>
          <w:sz w:val="24"/>
          <w:szCs w:val="24"/>
        </w:rPr>
        <w:t xml:space="preserve">be inflated </w:t>
      </w:r>
      <w:r w:rsidR="00256D1E">
        <w:rPr>
          <w:rFonts w:ascii="Times New Roman" w:hAnsi="Times New Roman" w:cs="Times New Roman"/>
          <w:sz w:val="24"/>
          <w:szCs w:val="24"/>
        </w:rPr>
        <w:t>while</w:t>
      </w:r>
      <w:r w:rsidR="00256D1E" w:rsidRPr="00893E6D">
        <w:rPr>
          <w:rFonts w:ascii="Times New Roman" w:hAnsi="Times New Roman" w:cs="Times New Roman"/>
          <w:sz w:val="24"/>
          <w:szCs w:val="24"/>
        </w:rPr>
        <w:t xml:space="preserve"> </w:t>
      </w:r>
      <w:r w:rsidR="00445FE6" w:rsidRPr="00893E6D">
        <w:rPr>
          <w:rFonts w:ascii="Times New Roman" w:hAnsi="Times New Roman" w:cs="Times New Roman"/>
          <w:i/>
          <w:sz w:val="24"/>
          <w:szCs w:val="24"/>
        </w:rPr>
        <w:t>NONOPERINC</w:t>
      </w:r>
      <w:r w:rsidR="00445FE6" w:rsidRPr="00893E6D">
        <w:rPr>
          <w:rFonts w:ascii="Times New Roman" w:hAnsi="Times New Roman" w:cs="Times New Roman"/>
          <w:sz w:val="24"/>
          <w:szCs w:val="24"/>
        </w:rPr>
        <w:t xml:space="preserve"> </w:t>
      </w:r>
      <w:r w:rsidR="00256D1E">
        <w:rPr>
          <w:rFonts w:ascii="Times New Roman" w:hAnsi="Times New Roman" w:cs="Times New Roman"/>
          <w:sz w:val="24"/>
          <w:szCs w:val="24"/>
        </w:rPr>
        <w:t>would</w:t>
      </w:r>
      <w:r w:rsidR="00256D1E" w:rsidRPr="00893E6D">
        <w:rPr>
          <w:rFonts w:ascii="Times New Roman" w:hAnsi="Times New Roman" w:cs="Times New Roman"/>
          <w:sz w:val="24"/>
          <w:szCs w:val="24"/>
        </w:rPr>
        <w:t xml:space="preserve"> </w:t>
      </w:r>
      <w:r w:rsidR="00445FE6" w:rsidRPr="00893E6D">
        <w:rPr>
          <w:rFonts w:ascii="Times New Roman" w:hAnsi="Times New Roman" w:cs="Times New Roman"/>
          <w:sz w:val="24"/>
          <w:szCs w:val="24"/>
        </w:rPr>
        <w:t xml:space="preserve">be </w:t>
      </w:r>
      <w:r w:rsidR="00256D1E">
        <w:rPr>
          <w:rFonts w:ascii="Times New Roman" w:hAnsi="Times New Roman" w:cs="Times New Roman"/>
          <w:sz w:val="24"/>
          <w:szCs w:val="24"/>
        </w:rPr>
        <w:t>underreported</w:t>
      </w:r>
      <w:r w:rsidR="00445FE6" w:rsidRPr="00893E6D">
        <w:rPr>
          <w:rFonts w:ascii="Times New Roman" w:hAnsi="Times New Roman" w:cs="Times New Roman"/>
          <w:sz w:val="24"/>
          <w:szCs w:val="24"/>
        </w:rPr>
        <w:t xml:space="preserve">. </w:t>
      </w:r>
      <w:r w:rsidR="009328D4" w:rsidRPr="00893E6D">
        <w:rPr>
          <w:rFonts w:ascii="Times New Roman" w:hAnsi="Times New Roman" w:cs="Times New Roman"/>
          <w:sz w:val="24"/>
          <w:szCs w:val="24"/>
        </w:rPr>
        <w:t>It follows that</w:t>
      </w:r>
      <w:r w:rsidR="00445FE6" w:rsidRPr="00893E6D">
        <w:rPr>
          <w:rFonts w:ascii="Times New Roman" w:hAnsi="Times New Roman" w:cs="Times New Roman"/>
          <w:sz w:val="24"/>
          <w:szCs w:val="24"/>
        </w:rPr>
        <w:t xml:space="preserve">, the </w:t>
      </w:r>
      <w:r w:rsidR="00256D1E">
        <w:rPr>
          <w:rFonts w:ascii="Times New Roman" w:hAnsi="Times New Roman" w:cs="Times New Roman"/>
          <w:sz w:val="24"/>
          <w:szCs w:val="24"/>
        </w:rPr>
        <w:t>risk reducing effect</w:t>
      </w:r>
      <w:r w:rsidR="00256D1E" w:rsidRPr="00893E6D">
        <w:rPr>
          <w:rFonts w:ascii="Times New Roman" w:hAnsi="Times New Roman" w:cs="Times New Roman"/>
          <w:sz w:val="24"/>
          <w:szCs w:val="24"/>
        </w:rPr>
        <w:t xml:space="preserve"> </w:t>
      </w:r>
      <w:r w:rsidR="00445FE6" w:rsidRPr="00893E6D">
        <w:rPr>
          <w:rFonts w:ascii="Times New Roman" w:hAnsi="Times New Roman" w:cs="Times New Roman"/>
          <w:sz w:val="24"/>
          <w:szCs w:val="24"/>
        </w:rPr>
        <w:t xml:space="preserve">of non-operating earnings </w:t>
      </w:r>
      <w:r w:rsidR="00256D1E" w:rsidRPr="00893E6D">
        <w:rPr>
          <w:rFonts w:ascii="Times New Roman" w:hAnsi="Times New Roman" w:cs="Times New Roman"/>
          <w:sz w:val="24"/>
          <w:szCs w:val="24"/>
        </w:rPr>
        <w:t>could</w:t>
      </w:r>
      <w:r w:rsidR="00445FE6" w:rsidRPr="00893E6D">
        <w:rPr>
          <w:rFonts w:ascii="Times New Roman" w:hAnsi="Times New Roman" w:cs="Times New Roman"/>
          <w:sz w:val="24"/>
          <w:szCs w:val="24"/>
        </w:rPr>
        <w:t xml:space="preserve"> be biased downward</w:t>
      </w:r>
      <w:r w:rsidR="00256D1E">
        <w:rPr>
          <w:rFonts w:ascii="Times New Roman" w:hAnsi="Times New Roman" w:cs="Times New Roman"/>
          <w:sz w:val="24"/>
          <w:szCs w:val="24"/>
        </w:rPr>
        <w:t xml:space="preserve">, which suggests that </w:t>
      </w:r>
      <w:r w:rsidR="00445FE6" w:rsidRPr="00893E6D">
        <w:rPr>
          <w:rFonts w:ascii="Times New Roman" w:hAnsi="Times New Roman" w:cs="Times New Roman"/>
          <w:sz w:val="24"/>
          <w:szCs w:val="24"/>
        </w:rPr>
        <w:t xml:space="preserve">the documented results </w:t>
      </w:r>
      <w:r w:rsidR="00256D1E">
        <w:rPr>
          <w:rFonts w:ascii="Times New Roman" w:hAnsi="Times New Roman" w:cs="Times New Roman"/>
          <w:sz w:val="24"/>
          <w:szCs w:val="24"/>
        </w:rPr>
        <w:t>thus far</w:t>
      </w:r>
      <w:r w:rsidR="00445FE6" w:rsidRPr="00893E6D">
        <w:rPr>
          <w:rFonts w:ascii="Times New Roman" w:hAnsi="Times New Roman" w:cs="Times New Roman"/>
          <w:sz w:val="24"/>
          <w:szCs w:val="24"/>
        </w:rPr>
        <w:t xml:space="preserve"> are conservative. </w:t>
      </w:r>
    </w:p>
    <w:p w14:paraId="55163B15" w14:textId="7683346B" w:rsidR="00A14668" w:rsidRDefault="00637533" w:rsidP="00A1062B">
      <w:pPr>
        <w:spacing w:line="480" w:lineRule="auto"/>
        <w:ind w:firstLine="720"/>
        <w:jc w:val="both"/>
        <w:rPr>
          <w:rFonts w:ascii="Times New Roman" w:hAnsi="Times New Roman" w:cs="Times New Roman"/>
          <w:sz w:val="24"/>
          <w:szCs w:val="24"/>
        </w:rPr>
      </w:pPr>
      <w:r w:rsidRPr="00893E6D">
        <w:rPr>
          <w:rFonts w:ascii="Times New Roman" w:hAnsi="Times New Roman" w:cs="Times New Roman"/>
          <w:sz w:val="24"/>
          <w:szCs w:val="24"/>
        </w:rPr>
        <w:t xml:space="preserve">To </w:t>
      </w:r>
      <w:r w:rsidR="00BA50BC">
        <w:rPr>
          <w:rFonts w:ascii="Times New Roman" w:hAnsi="Times New Roman" w:cs="Times New Roman"/>
          <w:sz w:val="24"/>
          <w:szCs w:val="24"/>
        </w:rPr>
        <w:t>depict</w:t>
      </w:r>
      <w:r w:rsidR="00BA50BC" w:rsidRPr="00893E6D">
        <w:rPr>
          <w:rFonts w:ascii="Times New Roman" w:hAnsi="Times New Roman" w:cs="Times New Roman"/>
          <w:sz w:val="24"/>
          <w:szCs w:val="24"/>
        </w:rPr>
        <w:t xml:space="preserve"> </w:t>
      </w:r>
      <w:r w:rsidRPr="00893E6D">
        <w:rPr>
          <w:rFonts w:ascii="Times New Roman" w:hAnsi="Times New Roman" w:cs="Times New Roman"/>
          <w:sz w:val="24"/>
          <w:szCs w:val="24"/>
        </w:rPr>
        <w:t xml:space="preserve">a </w:t>
      </w:r>
      <w:r w:rsidR="00BA50BC">
        <w:rPr>
          <w:rFonts w:ascii="Times New Roman" w:hAnsi="Times New Roman" w:cs="Times New Roman"/>
          <w:sz w:val="24"/>
          <w:szCs w:val="24"/>
        </w:rPr>
        <w:t>more accurate</w:t>
      </w:r>
      <w:r w:rsidR="00BA50BC" w:rsidRPr="00893E6D">
        <w:rPr>
          <w:rFonts w:ascii="Times New Roman" w:hAnsi="Times New Roman" w:cs="Times New Roman"/>
          <w:sz w:val="24"/>
          <w:szCs w:val="24"/>
        </w:rPr>
        <w:t xml:space="preserve"> </w:t>
      </w:r>
      <w:r w:rsidRPr="00893E6D">
        <w:rPr>
          <w:rFonts w:ascii="Times New Roman" w:hAnsi="Times New Roman" w:cs="Times New Roman"/>
          <w:sz w:val="24"/>
          <w:szCs w:val="24"/>
        </w:rPr>
        <w:t>picture of the relation between non-</w:t>
      </w:r>
      <w:r w:rsidR="004D1319" w:rsidRPr="00893E6D">
        <w:rPr>
          <w:rFonts w:ascii="Times New Roman" w:hAnsi="Times New Roman" w:cs="Times New Roman"/>
          <w:sz w:val="24"/>
          <w:szCs w:val="24"/>
        </w:rPr>
        <w:t>operat</w:t>
      </w:r>
      <w:r w:rsidR="004D1319">
        <w:rPr>
          <w:rFonts w:ascii="Times New Roman" w:hAnsi="Times New Roman" w:cs="Times New Roman"/>
          <w:sz w:val="24"/>
          <w:szCs w:val="24"/>
        </w:rPr>
        <w:t>ing</w:t>
      </w:r>
      <w:r w:rsidR="004D1319" w:rsidRPr="00893E6D">
        <w:rPr>
          <w:rFonts w:ascii="Times New Roman" w:hAnsi="Times New Roman" w:cs="Times New Roman"/>
          <w:sz w:val="24"/>
          <w:szCs w:val="24"/>
        </w:rPr>
        <w:t xml:space="preserve"> </w:t>
      </w:r>
      <w:r w:rsidRPr="00893E6D">
        <w:rPr>
          <w:rFonts w:ascii="Times New Roman" w:hAnsi="Times New Roman" w:cs="Times New Roman"/>
          <w:sz w:val="24"/>
          <w:szCs w:val="24"/>
        </w:rPr>
        <w:t xml:space="preserve">earnings and firm risks, </w:t>
      </w:r>
      <w:r w:rsidR="00BA50BC">
        <w:rPr>
          <w:rFonts w:ascii="Times New Roman" w:hAnsi="Times New Roman" w:cs="Times New Roman"/>
          <w:sz w:val="24"/>
          <w:szCs w:val="24"/>
        </w:rPr>
        <w:t>we account for</w:t>
      </w:r>
      <w:r w:rsidR="00720637" w:rsidRPr="00893E6D">
        <w:rPr>
          <w:rFonts w:ascii="Times New Roman" w:hAnsi="Times New Roman" w:cs="Times New Roman"/>
          <w:sz w:val="24"/>
          <w:szCs w:val="24"/>
        </w:rPr>
        <w:t xml:space="preserve"> the </w:t>
      </w:r>
      <w:r w:rsidR="007111A6" w:rsidRPr="00893E6D">
        <w:rPr>
          <w:rFonts w:ascii="Times New Roman" w:hAnsi="Times New Roman" w:cs="Times New Roman"/>
          <w:sz w:val="24"/>
          <w:szCs w:val="24"/>
        </w:rPr>
        <w:t>extent</w:t>
      </w:r>
      <w:r w:rsidR="00720637" w:rsidRPr="00893E6D">
        <w:rPr>
          <w:rFonts w:ascii="Times New Roman" w:hAnsi="Times New Roman" w:cs="Times New Roman"/>
          <w:sz w:val="24"/>
          <w:szCs w:val="24"/>
        </w:rPr>
        <w:t xml:space="preserve"> of misclassification of accounting items</w:t>
      </w:r>
      <w:r w:rsidR="00F1180A" w:rsidRPr="00893E6D">
        <w:rPr>
          <w:rFonts w:ascii="Times New Roman" w:hAnsi="Times New Roman" w:cs="Times New Roman"/>
          <w:sz w:val="24"/>
          <w:szCs w:val="24"/>
        </w:rPr>
        <w:t xml:space="preserve"> and other forms of earnings management</w:t>
      </w:r>
      <w:r w:rsidR="00BA50BC">
        <w:rPr>
          <w:rFonts w:ascii="Times New Roman" w:hAnsi="Times New Roman" w:cs="Times New Roman"/>
          <w:sz w:val="24"/>
          <w:szCs w:val="24"/>
        </w:rPr>
        <w:t xml:space="preserve"> below</w:t>
      </w:r>
      <w:r w:rsidR="00720637" w:rsidRPr="00893E6D">
        <w:rPr>
          <w:rFonts w:ascii="Times New Roman" w:hAnsi="Times New Roman" w:cs="Times New Roman"/>
          <w:sz w:val="24"/>
          <w:szCs w:val="24"/>
        </w:rPr>
        <w:t xml:space="preserve">. </w:t>
      </w:r>
      <w:r w:rsidR="00BC2127" w:rsidRPr="00893E6D">
        <w:rPr>
          <w:rFonts w:ascii="Times New Roman" w:hAnsi="Times New Roman" w:cs="Times New Roman"/>
          <w:sz w:val="24"/>
          <w:szCs w:val="24"/>
        </w:rPr>
        <w:t xml:space="preserve">Abnormally high unexpected operating profit </w:t>
      </w:r>
      <w:r w:rsidR="007111A6" w:rsidRPr="00893E6D">
        <w:rPr>
          <w:rFonts w:ascii="Times New Roman" w:hAnsi="Times New Roman" w:cs="Times New Roman"/>
          <w:sz w:val="24"/>
          <w:szCs w:val="24"/>
        </w:rPr>
        <w:t xml:space="preserve">and </w:t>
      </w:r>
      <w:r w:rsidR="009863ED" w:rsidRPr="00893E6D">
        <w:rPr>
          <w:rFonts w:ascii="Times New Roman" w:hAnsi="Times New Roman" w:cs="Times New Roman"/>
          <w:sz w:val="24"/>
          <w:szCs w:val="24"/>
        </w:rPr>
        <w:t xml:space="preserve">unexpected </w:t>
      </w:r>
      <w:r w:rsidR="007111A6" w:rsidRPr="00893E6D">
        <w:rPr>
          <w:rFonts w:ascii="Times New Roman" w:hAnsi="Times New Roman" w:cs="Times New Roman"/>
          <w:sz w:val="24"/>
          <w:szCs w:val="24"/>
        </w:rPr>
        <w:t>non-</w:t>
      </w:r>
      <w:r w:rsidR="007111A6" w:rsidRPr="00893E6D">
        <w:rPr>
          <w:rFonts w:ascii="Times New Roman" w:hAnsi="Times New Roman" w:cs="Times New Roman"/>
          <w:sz w:val="24"/>
          <w:szCs w:val="24"/>
        </w:rPr>
        <w:lastRenderedPageBreak/>
        <w:t>operating expenses may indicate</w:t>
      </w:r>
      <w:r w:rsidR="00BC2127" w:rsidRPr="00893E6D">
        <w:rPr>
          <w:rFonts w:ascii="Times New Roman" w:hAnsi="Times New Roman" w:cs="Times New Roman"/>
          <w:sz w:val="24"/>
          <w:szCs w:val="24"/>
        </w:rPr>
        <w:t xml:space="preserve"> classification shifting</w:t>
      </w:r>
      <w:r w:rsidR="009863ED" w:rsidRPr="00893E6D">
        <w:rPr>
          <w:rFonts w:ascii="Times New Roman" w:hAnsi="Times New Roman" w:cs="Times New Roman"/>
          <w:sz w:val="24"/>
          <w:szCs w:val="24"/>
        </w:rPr>
        <w:t xml:space="preserve"> and can</w:t>
      </w:r>
      <w:r w:rsidR="007111A6" w:rsidRPr="00893E6D">
        <w:rPr>
          <w:rFonts w:ascii="Times New Roman" w:hAnsi="Times New Roman" w:cs="Times New Roman"/>
          <w:sz w:val="24"/>
          <w:szCs w:val="24"/>
        </w:rPr>
        <w:t xml:space="preserve"> </w:t>
      </w:r>
      <w:r w:rsidR="00BC2127" w:rsidRPr="00893E6D">
        <w:rPr>
          <w:rFonts w:ascii="Times New Roman" w:hAnsi="Times New Roman" w:cs="Times New Roman"/>
          <w:sz w:val="24"/>
          <w:szCs w:val="24"/>
        </w:rPr>
        <w:t xml:space="preserve">induce higher uncertainty </w:t>
      </w:r>
      <w:r w:rsidR="00BA50BC">
        <w:rPr>
          <w:rFonts w:ascii="Times New Roman" w:hAnsi="Times New Roman" w:cs="Times New Roman"/>
          <w:sz w:val="24"/>
          <w:szCs w:val="24"/>
        </w:rPr>
        <w:t>on</w:t>
      </w:r>
      <w:r w:rsidR="00BC2127" w:rsidRPr="00893E6D">
        <w:rPr>
          <w:rFonts w:ascii="Times New Roman" w:hAnsi="Times New Roman" w:cs="Times New Roman"/>
          <w:sz w:val="24"/>
          <w:szCs w:val="24"/>
        </w:rPr>
        <w:t xml:space="preserve"> the </w:t>
      </w:r>
      <w:r w:rsidR="00BA50BC">
        <w:rPr>
          <w:rFonts w:ascii="Times New Roman" w:hAnsi="Times New Roman" w:cs="Times New Roman"/>
          <w:sz w:val="24"/>
          <w:szCs w:val="24"/>
        </w:rPr>
        <w:t>true</w:t>
      </w:r>
      <w:r w:rsidR="00BA50BC" w:rsidRPr="00893E6D">
        <w:rPr>
          <w:rFonts w:ascii="Times New Roman" w:hAnsi="Times New Roman" w:cs="Times New Roman"/>
          <w:sz w:val="24"/>
          <w:szCs w:val="24"/>
        </w:rPr>
        <w:t xml:space="preserve"> </w:t>
      </w:r>
      <w:r w:rsidR="00BC2127" w:rsidRPr="00893E6D">
        <w:rPr>
          <w:rFonts w:ascii="Times New Roman" w:hAnsi="Times New Roman" w:cs="Times New Roman"/>
          <w:sz w:val="24"/>
          <w:szCs w:val="24"/>
        </w:rPr>
        <w:t xml:space="preserve">value of </w:t>
      </w:r>
      <w:r w:rsidR="009328D4">
        <w:rPr>
          <w:rFonts w:ascii="Times New Roman" w:hAnsi="Times New Roman" w:cs="Times New Roman"/>
          <w:sz w:val="24"/>
          <w:szCs w:val="24"/>
        </w:rPr>
        <w:t>the</w:t>
      </w:r>
      <w:r w:rsidR="009328D4" w:rsidRPr="00893E6D">
        <w:rPr>
          <w:rFonts w:ascii="Times New Roman" w:hAnsi="Times New Roman" w:cs="Times New Roman"/>
          <w:sz w:val="24"/>
          <w:szCs w:val="24"/>
        </w:rPr>
        <w:t xml:space="preserve"> </w:t>
      </w:r>
      <w:r w:rsidR="00BC2127" w:rsidRPr="00893E6D">
        <w:rPr>
          <w:rFonts w:ascii="Times New Roman" w:hAnsi="Times New Roman" w:cs="Times New Roman"/>
          <w:sz w:val="24"/>
          <w:szCs w:val="24"/>
        </w:rPr>
        <w:t>earnings.</w:t>
      </w:r>
      <w:r w:rsidR="00CC78D1" w:rsidRPr="00893E6D">
        <w:rPr>
          <w:rFonts w:ascii="Times New Roman" w:hAnsi="Times New Roman" w:cs="Times New Roman"/>
          <w:sz w:val="24"/>
          <w:szCs w:val="24"/>
        </w:rPr>
        <w:t xml:space="preserve"> </w:t>
      </w:r>
      <w:r w:rsidR="004C19B0" w:rsidRPr="00893E6D">
        <w:rPr>
          <w:rFonts w:ascii="Times New Roman" w:hAnsi="Times New Roman" w:cs="Times New Roman"/>
          <w:sz w:val="24"/>
          <w:szCs w:val="24"/>
        </w:rPr>
        <w:t>To test H</w:t>
      </w:r>
      <w:r w:rsidR="004C19B0" w:rsidRPr="00893E6D">
        <w:rPr>
          <w:rFonts w:ascii="Times New Roman" w:hAnsi="Times New Roman" w:cs="Times New Roman"/>
          <w:sz w:val="24"/>
          <w:szCs w:val="24"/>
          <w:vertAlign w:val="subscript"/>
        </w:rPr>
        <w:t>2</w:t>
      </w:r>
      <w:r w:rsidR="004C19B0" w:rsidRPr="00893E6D">
        <w:rPr>
          <w:rFonts w:ascii="Times New Roman" w:hAnsi="Times New Roman" w:cs="Times New Roman"/>
          <w:sz w:val="24"/>
          <w:szCs w:val="24"/>
        </w:rPr>
        <w:t xml:space="preserve">, we </w:t>
      </w:r>
      <w:r w:rsidR="00744073">
        <w:rPr>
          <w:rFonts w:ascii="Times New Roman" w:hAnsi="Times New Roman" w:cs="Times New Roman"/>
          <w:sz w:val="24"/>
          <w:szCs w:val="24"/>
        </w:rPr>
        <w:t>decompose</w:t>
      </w:r>
      <w:r w:rsidR="004C19B0" w:rsidRPr="00893E6D">
        <w:rPr>
          <w:rFonts w:ascii="Times New Roman" w:hAnsi="Times New Roman" w:cs="Times New Roman"/>
          <w:sz w:val="24"/>
          <w:szCs w:val="24"/>
        </w:rPr>
        <w:t xml:space="preserve"> operating and non-operating earnings into expected and unexpected portions.</w:t>
      </w:r>
    </w:p>
    <w:p w14:paraId="61BCD0DD" w14:textId="1EFBE505" w:rsidR="00ED467B" w:rsidRPr="000E01C0" w:rsidRDefault="00591119" w:rsidP="00A1062B">
      <w:pPr>
        <w:spacing w:line="480" w:lineRule="auto"/>
        <w:jc w:val="both"/>
        <w:rPr>
          <w:rFonts w:ascii="Times New Roman" w:hAnsi="Times New Roman" w:cs="Times New Roman"/>
          <w:b/>
          <w:i/>
          <w:sz w:val="24"/>
          <w:szCs w:val="24"/>
        </w:rPr>
      </w:pPr>
      <w:r w:rsidRPr="000E01C0">
        <w:rPr>
          <w:rFonts w:ascii="Times New Roman" w:hAnsi="Times New Roman" w:cs="Times New Roman"/>
          <w:b/>
          <w:i/>
          <w:sz w:val="24"/>
          <w:szCs w:val="24"/>
        </w:rPr>
        <w:t>4.6.</w:t>
      </w:r>
      <w:r w:rsidR="00CB5A90" w:rsidRPr="000E01C0">
        <w:rPr>
          <w:rFonts w:ascii="Times New Roman" w:hAnsi="Times New Roman" w:cs="Times New Roman"/>
          <w:b/>
          <w:i/>
          <w:sz w:val="24"/>
          <w:szCs w:val="24"/>
        </w:rPr>
        <w:t>1</w:t>
      </w:r>
      <w:r w:rsidRPr="000E01C0">
        <w:rPr>
          <w:rFonts w:ascii="Times New Roman" w:hAnsi="Times New Roman" w:cs="Times New Roman"/>
          <w:b/>
          <w:i/>
          <w:sz w:val="24"/>
          <w:szCs w:val="24"/>
        </w:rPr>
        <w:t xml:space="preserve">. </w:t>
      </w:r>
      <w:r w:rsidR="00ED467B" w:rsidRPr="000E01C0">
        <w:rPr>
          <w:rFonts w:ascii="Times New Roman" w:hAnsi="Times New Roman" w:cs="Times New Roman"/>
          <w:b/>
          <w:i/>
          <w:sz w:val="24"/>
          <w:szCs w:val="24"/>
        </w:rPr>
        <w:t xml:space="preserve">Unexpected </w:t>
      </w:r>
      <w:r w:rsidR="000E01C0" w:rsidRPr="000E01C0">
        <w:rPr>
          <w:rFonts w:ascii="Times New Roman" w:hAnsi="Times New Roman" w:cs="Times New Roman"/>
          <w:b/>
          <w:i/>
          <w:sz w:val="24"/>
          <w:szCs w:val="24"/>
        </w:rPr>
        <w:t>o</w:t>
      </w:r>
      <w:r w:rsidR="00ED467B" w:rsidRPr="000E01C0">
        <w:rPr>
          <w:rFonts w:ascii="Times New Roman" w:hAnsi="Times New Roman" w:cs="Times New Roman"/>
          <w:b/>
          <w:i/>
          <w:sz w:val="24"/>
          <w:szCs w:val="24"/>
        </w:rPr>
        <w:t xml:space="preserve">perating </w:t>
      </w:r>
      <w:r w:rsidR="000E01C0" w:rsidRPr="000E01C0">
        <w:rPr>
          <w:rFonts w:ascii="Times New Roman" w:hAnsi="Times New Roman" w:cs="Times New Roman"/>
          <w:b/>
          <w:i/>
          <w:sz w:val="24"/>
          <w:szCs w:val="24"/>
        </w:rPr>
        <w:t>i</w:t>
      </w:r>
      <w:r w:rsidR="00ED467B" w:rsidRPr="000E01C0">
        <w:rPr>
          <w:rFonts w:ascii="Times New Roman" w:hAnsi="Times New Roman" w:cs="Times New Roman"/>
          <w:b/>
          <w:i/>
          <w:sz w:val="24"/>
          <w:szCs w:val="24"/>
        </w:rPr>
        <w:t xml:space="preserve">ncome and </w:t>
      </w:r>
      <w:r w:rsidR="000E01C0" w:rsidRPr="000E01C0">
        <w:rPr>
          <w:rFonts w:ascii="Times New Roman" w:hAnsi="Times New Roman" w:cs="Times New Roman"/>
          <w:b/>
          <w:i/>
          <w:sz w:val="24"/>
          <w:szCs w:val="24"/>
        </w:rPr>
        <w:t>r</w:t>
      </w:r>
      <w:r w:rsidR="00ED467B" w:rsidRPr="000E01C0">
        <w:rPr>
          <w:rFonts w:ascii="Times New Roman" w:hAnsi="Times New Roman" w:cs="Times New Roman"/>
          <w:b/>
          <w:i/>
          <w:sz w:val="24"/>
          <w:szCs w:val="24"/>
        </w:rPr>
        <w:t xml:space="preserve">isk </w:t>
      </w:r>
      <w:r w:rsidR="000E01C0" w:rsidRPr="000E01C0">
        <w:rPr>
          <w:rFonts w:ascii="Times New Roman" w:hAnsi="Times New Roman" w:cs="Times New Roman"/>
          <w:b/>
          <w:i/>
          <w:sz w:val="24"/>
          <w:szCs w:val="24"/>
        </w:rPr>
        <w:t>m</w:t>
      </w:r>
      <w:r w:rsidR="00ED467B" w:rsidRPr="000E01C0">
        <w:rPr>
          <w:rFonts w:ascii="Times New Roman" w:hAnsi="Times New Roman" w:cs="Times New Roman"/>
          <w:b/>
          <w:i/>
          <w:sz w:val="24"/>
          <w:szCs w:val="24"/>
        </w:rPr>
        <w:t>easures</w:t>
      </w:r>
    </w:p>
    <w:p w14:paraId="0D0B8C46" w14:textId="74A63762" w:rsidR="00445FE6" w:rsidRPr="00893E6D" w:rsidRDefault="00445FE6" w:rsidP="00A1062B">
      <w:pPr>
        <w:spacing w:line="480" w:lineRule="auto"/>
        <w:ind w:firstLine="720"/>
        <w:jc w:val="both"/>
        <w:rPr>
          <w:rFonts w:ascii="Times New Roman" w:hAnsi="Times New Roman" w:cs="Times New Roman"/>
          <w:sz w:val="24"/>
          <w:szCs w:val="24"/>
        </w:rPr>
      </w:pPr>
      <w:r w:rsidRPr="00893E6D">
        <w:rPr>
          <w:rFonts w:ascii="Times New Roman" w:hAnsi="Times New Roman" w:cs="Times New Roman"/>
          <w:sz w:val="24"/>
          <w:szCs w:val="24"/>
        </w:rPr>
        <w:t>We follow Fan</w:t>
      </w:r>
      <w:r w:rsidR="001E16F2" w:rsidRPr="00893E6D">
        <w:rPr>
          <w:rFonts w:ascii="Times New Roman" w:hAnsi="Times New Roman" w:cs="Times New Roman"/>
          <w:i/>
          <w:iCs/>
          <w:sz w:val="24"/>
          <w:szCs w:val="24"/>
        </w:rPr>
        <w:t xml:space="preserve"> </w:t>
      </w:r>
      <w:r w:rsidR="0023772D" w:rsidRPr="00893E6D">
        <w:rPr>
          <w:rFonts w:ascii="Times New Roman" w:hAnsi="Times New Roman" w:cs="Times New Roman"/>
          <w:i/>
          <w:iCs/>
          <w:sz w:val="24"/>
          <w:szCs w:val="24"/>
        </w:rPr>
        <w:t>et al.</w:t>
      </w:r>
      <w:r w:rsidR="0023772D" w:rsidRPr="00893E6D">
        <w:rPr>
          <w:rFonts w:ascii="Times New Roman" w:hAnsi="Times New Roman" w:cs="Times New Roman"/>
          <w:sz w:val="24"/>
          <w:szCs w:val="24"/>
        </w:rPr>
        <w:t xml:space="preserve"> (</w:t>
      </w:r>
      <w:r w:rsidRPr="00893E6D">
        <w:rPr>
          <w:rFonts w:ascii="Times New Roman" w:hAnsi="Times New Roman" w:cs="Times New Roman"/>
          <w:sz w:val="24"/>
          <w:szCs w:val="24"/>
        </w:rPr>
        <w:t xml:space="preserve">2010) </w:t>
      </w:r>
      <w:r w:rsidR="00CC78D1" w:rsidRPr="00893E6D">
        <w:rPr>
          <w:rFonts w:ascii="Times New Roman" w:hAnsi="Times New Roman" w:cs="Times New Roman"/>
          <w:sz w:val="24"/>
          <w:szCs w:val="24"/>
        </w:rPr>
        <w:t>to</w:t>
      </w:r>
      <w:r w:rsidRPr="00893E6D">
        <w:rPr>
          <w:rFonts w:ascii="Times New Roman" w:hAnsi="Times New Roman" w:cs="Times New Roman"/>
          <w:sz w:val="24"/>
          <w:szCs w:val="24"/>
        </w:rPr>
        <w:t xml:space="preserve"> estimate unexpected core earnings using the following equation: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4"/>
        <w:gridCol w:w="616"/>
      </w:tblGrid>
      <w:tr w:rsidR="00445FE6" w:rsidRPr="00893E6D" w14:paraId="4FA804EB" w14:textId="77777777" w:rsidTr="003319C1">
        <w:tc>
          <w:tcPr>
            <w:tcW w:w="0" w:type="auto"/>
          </w:tcPr>
          <w:p w14:paraId="0F112449" w14:textId="63092546" w:rsidR="00445FE6" w:rsidRPr="00893E6D" w:rsidRDefault="00445FE6" w:rsidP="00A1062B">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OPERIN</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OPERIN</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AT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ACCRUAL</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ACCRUAL</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r>
                  <w:rPr>
                    <w:rFonts w:ascii="Cambria Math" w:hAnsi="Cambria Math" w:cs="Times New Roman"/>
                    <w:sz w:val="24"/>
                    <w:szCs w:val="24"/>
                  </w:rPr>
                  <m:t>SALE</m:t>
                </m:r>
                <m:sSub>
                  <m:sSubPr>
                    <m:ctrlPr>
                      <w:rPr>
                        <w:rFonts w:ascii="Cambria Math" w:hAnsi="Cambria Math" w:cs="Times New Roman"/>
                        <w:i/>
                        <w:sz w:val="24"/>
                        <w:szCs w:val="24"/>
                      </w:rPr>
                    </m:ctrlPr>
                  </m:sSubPr>
                  <m:e>
                    <m:r>
                      <w:rPr>
                        <w:rFonts w:ascii="Cambria Math" w:hAnsi="Cambria Math" w:cs="Times New Roman"/>
                        <w:sz w:val="24"/>
                        <w:szCs w:val="24"/>
                      </w:rPr>
                      <m:t>CHG</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r>
                  <w:rPr>
                    <w:rFonts w:ascii="Cambria Math" w:hAnsi="Cambria Math" w:cs="Times New Roman"/>
                    <w:sz w:val="24"/>
                    <w:szCs w:val="24"/>
                  </w:rPr>
                  <m:t>NEGSALE</m:t>
                </m:r>
                <m:sSub>
                  <m:sSubPr>
                    <m:ctrlPr>
                      <w:rPr>
                        <w:rFonts w:ascii="Cambria Math" w:hAnsi="Cambria Math" w:cs="Times New Roman"/>
                        <w:i/>
                        <w:sz w:val="24"/>
                        <w:szCs w:val="24"/>
                      </w:rPr>
                    </m:ctrlPr>
                  </m:sSubPr>
                  <m:e>
                    <m:r>
                      <w:rPr>
                        <w:rFonts w:ascii="Cambria Math" w:hAnsi="Cambria Math" w:cs="Times New Roman"/>
                        <w:sz w:val="24"/>
                        <w:szCs w:val="24"/>
                      </w:rPr>
                      <m:t>CHG</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7</m:t>
                    </m:r>
                  </m:sub>
                </m:sSub>
                <m:r>
                  <w:rPr>
                    <w:rFonts w:ascii="Cambria Math" w:hAnsi="Cambria Math" w:cs="Times New Roman"/>
                    <w:sz w:val="24"/>
                    <w:szCs w:val="24"/>
                  </w:rPr>
                  <m:t>MKTADJRE</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8</m:t>
                    </m:r>
                  </m:sub>
                </m:sSub>
                <m:r>
                  <w:rPr>
                    <w:rFonts w:ascii="Cambria Math" w:hAnsi="Cambria Math" w:cs="Times New Roman"/>
                    <w:sz w:val="24"/>
                    <w:szCs w:val="24"/>
                  </w:rPr>
                  <m:t>MKTADJREA</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t</m:t>
                    </m:r>
                  </m:sub>
                </m:sSub>
                <m:r>
                  <w:rPr>
                    <w:rFonts w:ascii="Cambria Math" w:hAnsi="Cambria Math" w:cs="Times New Roman"/>
                    <w:sz w:val="24"/>
                    <w:szCs w:val="24"/>
                  </w:rPr>
                  <m:t xml:space="preserve">                                                                             </m:t>
                </m:r>
              </m:oMath>
            </m:oMathPara>
          </w:p>
        </w:tc>
        <w:tc>
          <w:tcPr>
            <w:tcW w:w="0" w:type="auto"/>
            <w:vAlign w:val="center"/>
          </w:tcPr>
          <w:p w14:paraId="1FA9C99B" w14:textId="6B6B17E0" w:rsidR="00445FE6" w:rsidRPr="00893E6D" w:rsidRDefault="00C40DF6" w:rsidP="00A1062B">
            <w:pPr>
              <w:spacing w:line="480" w:lineRule="auto"/>
              <w:jc w:val="both"/>
              <w:rPr>
                <w:rFonts w:ascii="Times New Roman" w:hAnsi="Times New Roman" w:cs="Times New Roman"/>
                <w:sz w:val="24"/>
                <w:szCs w:val="24"/>
              </w:rPr>
            </w:pPr>
            <w:r>
              <w:rPr>
                <w:rFonts w:ascii="Times New Roman" w:hAnsi="Times New Roman" w:cs="Times New Roman"/>
                <w:sz w:val="24"/>
                <w:szCs w:val="24"/>
              </w:rPr>
              <w:t>(11)</w:t>
            </w:r>
          </w:p>
        </w:tc>
      </w:tr>
    </w:tbl>
    <w:p w14:paraId="7BD17B64" w14:textId="77777777" w:rsidR="00445FE6" w:rsidRPr="00893E6D" w:rsidRDefault="00445FE6" w:rsidP="006A07BC">
      <w:pPr>
        <w:spacing w:line="480" w:lineRule="auto"/>
        <w:jc w:val="both"/>
        <w:rPr>
          <w:rFonts w:ascii="Times New Roman" w:hAnsi="Times New Roman" w:cs="Times New Roman"/>
          <w:sz w:val="24"/>
          <w:szCs w:val="24"/>
        </w:rPr>
      </w:pPr>
      <w:r w:rsidRPr="00893E6D">
        <w:rPr>
          <w:rFonts w:ascii="Times New Roman" w:hAnsi="Times New Roman" w:cs="Times New Roman"/>
          <w:sz w:val="24"/>
          <w:szCs w:val="24"/>
        </w:rPr>
        <w:t>where,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352"/>
        <w:gridCol w:w="6994"/>
      </w:tblGrid>
      <w:tr w:rsidR="00445FE6" w:rsidRPr="00893E6D" w14:paraId="5EB2FE56" w14:textId="77777777" w:rsidTr="003319C1">
        <w:tc>
          <w:tcPr>
            <w:tcW w:w="0" w:type="auto"/>
          </w:tcPr>
          <w:p w14:paraId="2E77AB3B" w14:textId="77777777" w:rsidR="00445FE6" w:rsidRPr="00893E6D" w:rsidRDefault="00445FE6" w:rsidP="00A1062B">
            <w:pPr>
              <w:jc w:val="both"/>
              <w:rPr>
                <w:rFonts w:ascii="Times New Roman" w:hAnsi="Times New Roman" w:cs="Times New Roman"/>
                <w:i/>
                <w:sz w:val="24"/>
                <w:szCs w:val="24"/>
              </w:rPr>
            </w:pPr>
            <w:r w:rsidRPr="00893E6D">
              <w:rPr>
                <w:rFonts w:ascii="Times New Roman" w:hAnsi="Times New Roman" w:cs="Times New Roman"/>
                <w:i/>
                <w:sz w:val="24"/>
                <w:szCs w:val="24"/>
              </w:rPr>
              <w:t>OPERINC</w:t>
            </w:r>
          </w:p>
        </w:tc>
        <w:tc>
          <w:tcPr>
            <w:tcW w:w="0" w:type="auto"/>
          </w:tcPr>
          <w:p w14:paraId="3FF0D2AC" w14:textId="77777777" w:rsidR="00445FE6" w:rsidRPr="00893E6D" w:rsidRDefault="00445FE6" w:rsidP="00A1062B">
            <w:pPr>
              <w:jc w:val="both"/>
              <w:rPr>
                <w:rFonts w:ascii="Times New Roman" w:hAnsi="Times New Roman" w:cs="Times New Roman"/>
                <w:sz w:val="24"/>
                <w:szCs w:val="24"/>
              </w:rPr>
            </w:pPr>
            <w:r w:rsidRPr="00893E6D">
              <w:rPr>
                <w:rFonts w:ascii="Times New Roman" w:hAnsi="Times New Roman" w:cs="Times New Roman"/>
                <w:sz w:val="24"/>
                <w:szCs w:val="24"/>
              </w:rPr>
              <w:t>=</w:t>
            </w:r>
          </w:p>
        </w:tc>
        <w:tc>
          <w:tcPr>
            <w:tcW w:w="0" w:type="auto"/>
          </w:tcPr>
          <w:p w14:paraId="14CEDAF7" w14:textId="785D4E23" w:rsidR="00445FE6" w:rsidRPr="00893E6D" w:rsidRDefault="00DB17B1" w:rsidP="00224F69">
            <w:pPr>
              <w:rPr>
                <w:rFonts w:ascii="Times New Roman" w:hAnsi="Times New Roman" w:cs="Times New Roman"/>
                <w:sz w:val="24"/>
                <w:szCs w:val="24"/>
              </w:rPr>
            </w:pPr>
            <w:r w:rsidRPr="00893E6D">
              <w:rPr>
                <w:rFonts w:ascii="Times New Roman" w:hAnsi="Times New Roman" w:cs="Times New Roman"/>
                <w:sz w:val="24"/>
                <w:szCs w:val="24"/>
              </w:rPr>
              <w:t>S</w:t>
            </w:r>
            <w:r w:rsidR="00445FE6" w:rsidRPr="00893E6D">
              <w:rPr>
                <w:rFonts w:ascii="Times New Roman" w:hAnsi="Times New Roman" w:cs="Times New Roman"/>
                <w:sz w:val="24"/>
                <w:szCs w:val="24"/>
              </w:rPr>
              <w:t xml:space="preserve">ales </w:t>
            </w:r>
            <w:r w:rsidR="00445FE6" w:rsidRPr="00224F69">
              <w:rPr>
                <w:rFonts w:ascii="Times New Roman" w:hAnsi="Times New Roman" w:cs="Times New Roman"/>
                <w:i/>
                <w:sz w:val="24"/>
                <w:szCs w:val="24"/>
              </w:rPr>
              <w:t>minus</w:t>
            </w:r>
            <w:r w:rsidR="00445FE6" w:rsidRPr="00893E6D">
              <w:rPr>
                <w:rFonts w:ascii="Times New Roman" w:hAnsi="Times New Roman" w:cs="Times New Roman"/>
                <w:sz w:val="24"/>
                <w:szCs w:val="24"/>
              </w:rPr>
              <w:t xml:space="preserve"> cost of goods sold </w:t>
            </w:r>
            <w:r w:rsidR="00445FE6" w:rsidRPr="00224F69">
              <w:rPr>
                <w:rFonts w:ascii="Times New Roman" w:hAnsi="Times New Roman" w:cs="Times New Roman"/>
                <w:i/>
                <w:sz w:val="24"/>
                <w:szCs w:val="24"/>
              </w:rPr>
              <w:t>minus</w:t>
            </w:r>
            <w:r w:rsidR="00445FE6" w:rsidRPr="00893E6D">
              <w:rPr>
                <w:rFonts w:ascii="Times New Roman" w:hAnsi="Times New Roman" w:cs="Times New Roman"/>
                <w:sz w:val="24"/>
                <w:szCs w:val="24"/>
              </w:rPr>
              <w:t xml:space="preserve"> selling, general, and administrative expenses</w:t>
            </w:r>
            <w:r w:rsidR="00F933BE" w:rsidRPr="00893E6D">
              <w:rPr>
                <w:rFonts w:ascii="Times New Roman" w:hAnsi="Times New Roman" w:cs="Times New Roman"/>
                <w:sz w:val="24"/>
                <w:szCs w:val="24"/>
              </w:rPr>
              <w:t xml:space="preserve"> and </w:t>
            </w:r>
            <w:r w:rsidR="00577CC3">
              <w:rPr>
                <w:rFonts w:ascii="Times New Roman" w:hAnsi="Times New Roman" w:cs="Times New Roman"/>
                <w:sz w:val="24"/>
                <w:szCs w:val="24"/>
              </w:rPr>
              <w:t>the end result</w:t>
            </w:r>
            <w:r w:rsidR="00577CC3" w:rsidRPr="00893E6D">
              <w:rPr>
                <w:rFonts w:ascii="Times New Roman" w:hAnsi="Times New Roman" w:cs="Times New Roman"/>
                <w:sz w:val="24"/>
                <w:szCs w:val="24"/>
              </w:rPr>
              <w:t xml:space="preserve"> </w:t>
            </w:r>
            <w:r w:rsidR="00445FE6" w:rsidRPr="00893E6D">
              <w:rPr>
                <w:rFonts w:ascii="Times New Roman" w:hAnsi="Times New Roman" w:cs="Times New Roman"/>
                <w:sz w:val="24"/>
                <w:szCs w:val="24"/>
              </w:rPr>
              <w:t>scaled by total assets</w:t>
            </w:r>
          </w:p>
        </w:tc>
      </w:tr>
      <w:tr w:rsidR="00445FE6" w:rsidRPr="00893E6D" w14:paraId="72864405" w14:textId="77777777" w:rsidTr="003319C1">
        <w:tc>
          <w:tcPr>
            <w:tcW w:w="0" w:type="auto"/>
          </w:tcPr>
          <w:p w14:paraId="13D40375" w14:textId="77777777" w:rsidR="00445FE6" w:rsidRPr="00893E6D" w:rsidRDefault="00445FE6" w:rsidP="00A1062B">
            <w:pPr>
              <w:jc w:val="both"/>
              <w:rPr>
                <w:rFonts w:ascii="Times New Roman" w:hAnsi="Times New Roman" w:cs="Times New Roman"/>
                <w:i/>
                <w:sz w:val="24"/>
                <w:szCs w:val="24"/>
              </w:rPr>
            </w:pPr>
            <w:r w:rsidRPr="00893E6D">
              <w:rPr>
                <w:rFonts w:ascii="Times New Roman" w:hAnsi="Times New Roman" w:cs="Times New Roman"/>
                <w:i/>
                <w:sz w:val="24"/>
                <w:szCs w:val="24"/>
              </w:rPr>
              <w:t>ATO</w:t>
            </w:r>
          </w:p>
        </w:tc>
        <w:tc>
          <w:tcPr>
            <w:tcW w:w="0" w:type="auto"/>
          </w:tcPr>
          <w:p w14:paraId="47956DA7" w14:textId="77777777" w:rsidR="00445FE6" w:rsidRPr="00893E6D" w:rsidRDefault="00445FE6" w:rsidP="00A1062B">
            <w:pPr>
              <w:jc w:val="both"/>
              <w:rPr>
                <w:rFonts w:ascii="Times New Roman" w:hAnsi="Times New Roman" w:cs="Times New Roman"/>
                <w:sz w:val="24"/>
                <w:szCs w:val="24"/>
              </w:rPr>
            </w:pPr>
            <w:r w:rsidRPr="00893E6D">
              <w:rPr>
                <w:rFonts w:ascii="Times New Roman" w:hAnsi="Times New Roman" w:cs="Times New Roman"/>
                <w:sz w:val="24"/>
                <w:szCs w:val="24"/>
              </w:rPr>
              <w:t>=</w:t>
            </w:r>
          </w:p>
        </w:tc>
        <w:tc>
          <w:tcPr>
            <w:tcW w:w="0" w:type="auto"/>
          </w:tcPr>
          <w:p w14:paraId="4A9C8AD1" w14:textId="2E8B88B5" w:rsidR="00445FE6" w:rsidRPr="00893E6D" w:rsidRDefault="00DB17B1" w:rsidP="00A1062B">
            <w:pPr>
              <w:jc w:val="both"/>
              <w:rPr>
                <w:rFonts w:ascii="Times New Roman" w:hAnsi="Times New Roman" w:cs="Times New Roman"/>
                <w:sz w:val="24"/>
                <w:szCs w:val="24"/>
              </w:rPr>
            </w:pPr>
            <w:r w:rsidRPr="00893E6D">
              <w:rPr>
                <w:rFonts w:ascii="Times New Roman" w:hAnsi="Times New Roman" w:cs="Times New Roman"/>
                <w:sz w:val="24"/>
                <w:szCs w:val="24"/>
              </w:rPr>
              <w:t>A</w:t>
            </w:r>
            <w:r w:rsidR="00445FE6" w:rsidRPr="00893E6D">
              <w:rPr>
                <w:rFonts w:ascii="Times New Roman" w:hAnsi="Times New Roman" w:cs="Times New Roman"/>
                <w:sz w:val="24"/>
                <w:szCs w:val="24"/>
              </w:rPr>
              <w:t>sset turnover ratio, define</w:t>
            </w:r>
            <w:r w:rsidR="00577CC3">
              <w:rPr>
                <w:rFonts w:ascii="Times New Roman" w:hAnsi="Times New Roman" w:cs="Times New Roman"/>
                <w:sz w:val="24"/>
                <w:szCs w:val="24"/>
              </w:rPr>
              <w:t>d</w:t>
            </w:r>
            <w:r w:rsidR="00445FE6" w:rsidRPr="00893E6D">
              <w:rPr>
                <w:rFonts w:ascii="Times New Roman" w:hAnsi="Times New Roman" w:cs="Times New Roman"/>
                <w:sz w:val="24"/>
                <w:szCs w:val="24"/>
              </w:rPr>
              <w:t xml:space="preserve"> as </w:t>
            </w:r>
          </w:p>
        </w:tc>
      </w:tr>
      <w:tr w:rsidR="00445FE6" w:rsidRPr="00893E6D" w14:paraId="6017E99E" w14:textId="77777777" w:rsidTr="003319C1">
        <w:tc>
          <w:tcPr>
            <w:tcW w:w="0" w:type="auto"/>
            <w:gridSpan w:val="3"/>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9"/>
              <w:gridCol w:w="1565"/>
            </w:tblGrid>
            <w:tr w:rsidR="00445FE6" w:rsidRPr="00893E6D" w14:paraId="1B592612" w14:textId="77777777" w:rsidTr="003319C1">
              <w:tc>
                <w:tcPr>
                  <w:tcW w:w="4144" w:type="pct"/>
                </w:tcPr>
                <w:p w14:paraId="23EC7AB0" w14:textId="77777777" w:rsidR="00445FE6" w:rsidRPr="00893E6D" w:rsidRDefault="00445FE6" w:rsidP="00A1062B">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AT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t</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SALE</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num>
                        <m:den>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OA</m:t>
                                      </m:r>
                                    </m:e>
                                    <m:sub>
                                      <m:r>
                                        <w:rPr>
                                          <w:rFonts w:ascii="Cambria Math" w:hAnsi="Cambria Math" w:cs="Times New Roman"/>
                                          <w:sz w:val="24"/>
                                          <w:szCs w:val="24"/>
                                        </w:rPr>
                                        <m:t>t</m:t>
                                      </m:r>
                                    </m:sub>
                                  </m:sSub>
                                  <m:r>
                                    <w:rPr>
                                      <w:rFonts w:ascii="Cambria Math" w:hAnsi="Cambria Math" w:cs="Times New Roman"/>
                                      <w:sz w:val="24"/>
                                      <w:szCs w:val="24"/>
                                    </w:rPr>
                                    <m:t>+NO</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t-1</m:t>
                                      </m:r>
                                    </m:sub>
                                  </m:sSub>
                                </m:num>
                                <m:den>
                                  <m:r>
                                    <w:rPr>
                                      <w:rFonts w:ascii="Cambria Math" w:hAnsi="Cambria Math" w:cs="Times New Roman"/>
                                      <w:sz w:val="24"/>
                                      <w:szCs w:val="24"/>
                                    </w:rPr>
                                    <m:t>2</m:t>
                                  </m:r>
                                </m:den>
                              </m:f>
                            </m:e>
                          </m:d>
                        </m:den>
                      </m:f>
                    </m:oMath>
                  </m:oMathPara>
                </w:p>
              </w:tc>
              <w:tc>
                <w:tcPr>
                  <w:tcW w:w="856" w:type="pct"/>
                  <w:vAlign w:val="center"/>
                </w:tcPr>
                <w:p w14:paraId="422B89FA" w14:textId="0450F397" w:rsidR="00445FE6" w:rsidRPr="00893E6D" w:rsidRDefault="005404AA" w:rsidP="00A1062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2889" w:rsidRPr="00893E6D">
                    <w:rPr>
                      <w:rFonts w:ascii="Times New Roman" w:hAnsi="Times New Roman" w:cs="Times New Roman"/>
                      <w:sz w:val="24"/>
                      <w:szCs w:val="24"/>
                    </w:rPr>
                    <w:t>(12</w:t>
                  </w:r>
                  <w:r w:rsidR="00445FE6" w:rsidRPr="00893E6D">
                    <w:rPr>
                      <w:rFonts w:ascii="Times New Roman" w:hAnsi="Times New Roman" w:cs="Times New Roman"/>
                      <w:sz w:val="24"/>
                      <w:szCs w:val="24"/>
                    </w:rPr>
                    <w:t>)</w:t>
                  </w:r>
                </w:p>
              </w:tc>
            </w:tr>
          </w:tbl>
          <w:p w14:paraId="461649BE" w14:textId="77777777" w:rsidR="00445FE6" w:rsidRPr="00893E6D" w:rsidRDefault="00445FE6" w:rsidP="00A1062B">
            <w:pPr>
              <w:spacing w:line="480" w:lineRule="auto"/>
              <w:jc w:val="both"/>
              <w:rPr>
                <w:rFonts w:ascii="Times New Roman" w:hAnsi="Times New Roman" w:cs="Times New Roman"/>
                <w:sz w:val="24"/>
                <w:szCs w:val="24"/>
              </w:rPr>
            </w:pPr>
          </w:p>
        </w:tc>
      </w:tr>
      <w:tr w:rsidR="00445FE6" w:rsidRPr="00893E6D" w14:paraId="70ACD793" w14:textId="77777777" w:rsidTr="003319C1">
        <w:tc>
          <w:tcPr>
            <w:tcW w:w="0" w:type="auto"/>
          </w:tcPr>
          <w:p w14:paraId="106A4C4F" w14:textId="77777777" w:rsidR="00445FE6" w:rsidRPr="00893E6D" w:rsidRDefault="00445FE6" w:rsidP="00A1062B">
            <w:pPr>
              <w:jc w:val="both"/>
              <w:rPr>
                <w:rFonts w:ascii="Times New Roman" w:hAnsi="Times New Roman" w:cs="Times New Roman"/>
                <w:i/>
                <w:sz w:val="24"/>
                <w:szCs w:val="24"/>
              </w:rPr>
            </w:pPr>
            <w:r w:rsidRPr="00893E6D">
              <w:rPr>
                <w:rFonts w:ascii="Times New Roman" w:hAnsi="Times New Roman" w:cs="Times New Roman"/>
                <w:i/>
                <w:sz w:val="24"/>
                <w:szCs w:val="24"/>
              </w:rPr>
              <w:t>ACCRUALS</w:t>
            </w:r>
          </w:p>
        </w:tc>
        <w:tc>
          <w:tcPr>
            <w:tcW w:w="0" w:type="auto"/>
          </w:tcPr>
          <w:p w14:paraId="58FE3A7B" w14:textId="77777777" w:rsidR="00445FE6" w:rsidRPr="00893E6D" w:rsidRDefault="00445FE6" w:rsidP="00A1062B">
            <w:pPr>
              <w:jc w:val="both"/>
              <w:rPr>
                <w:rFonts w:ascii="Times New Roman" w:hAnsi="Times New Roman" w:cs="Times New Roman"/>
                <w:sz w:val="24"/>
                <w:szCs w:val="24"/>
              </w:rPr>
            </w:pPr>
            <w:r w:rsidRPr="00893E6D">
              <w:rPr>
                <w:rFonts w:ascii="Times New Roman" w:hAnsi="Times New Roman" w:cs="Times New Roman"/>
                <w:sz w:val="24"/>
                <w:szCs w:val="24"/>
              </w:rPr>
              <w:t>=</w:t>
            </w:r>
          </w:p>
        </w:tc>
        <w:tc>
          <w:tcPr>
            <w:tcW w:w="0" w:type="auto"/>
          </w:tcPr>
          <w:p w14:paraId="2C165AF9" w14:textId="3A276756" w:rsidR="00445FE6" w:rsidRPr="00893E6D" w:rsidRDefault="00DB17B1" w:rsidP="00A1062B">
            <w:pPr>
              <w:jc w:val="both"/>
              <w:rPr>
                <w:rFonts w:ascii="Times New Roman" w:hAnsi="Times New Roman" w:cs="Times New Roman"/>
                <w:sz w:val="24"/>
                <w:szCs w:val="24"/>
              </w:rPr>
            </w:pPr>
            <w:r w:rsidRPr="00893E6D">
              <w:rPr>
                <w:rFonts w:ascii="Times New Roman" w:hAnsi="Times New Roman" w:cs="Times New Roman"/>
                <w:sz w:val="24"/>
                <w:szCs w:val="24"/>
              </w:rPr>
              <w:t>I</w:t>
            </w:r>
            <w:r w:rsidR="00445FE6" w:rsidRPr="00893E6D">
              <w:rPr>
                <w:rFonts w:ascii="Times New Roman" w:hAnsi="Times New Roman" w:cs="Times New Roman"/>
                <w:sz w:val="24"/>
                <w:szCs w:val="24"/>
              </w:rPr>
              <w:t xml:space="preserve">ncome before extraordinary items </w:t>
            </w:r>
            <w:r w:rsidR="00445FE6" w:rsidRPr="00224F69">
              <w:rPr>
                <w:rFonts w:ascii="Times New Roman" w:hAnsi="Times New Roman" w:cs="Times New Roman"/>
                <w:i/>
                <w:sz w:val="24"/>
                <w:szCs w:val="24"/>
              </w:rPr>
              <w:t>minus</w:t>
            </w:r>
            <w:r w:rsidR="00445FE6" w:rsidRPr="00893E6D">
              <w:rPr>
                <w:rFonts w:ascii="Times New Roman" w:hAnsi="Times New Roman" w:cs="Times New Roman"/>
                <w:sz w:val="24"/>
                <w:szCs w:val="24"/>
              </w:rPr>
              <w:t xml:space="preserve"> cash from operations</w:t>
            </w:r>
          </w:p>
        </w:tc>
      </w:tr>
      <w:tr w:rsidR="00445FE6" w:rsidRPr="00893E6D" w14:paraId="46482663" w14:textId="77777777" w:rsidTr="003319C1">
        <w:tc>
          <w:tcPr>
            <w:tcW w:w="0" w:type="auto"/>
          </w:tcPr>
          <w:p w14:paraId="31D7096E" w14:textId="77777777" w:rsidR="00445FE6" w:rsidRPr="00893E6D" w:rsidRDefault="00445FE6" w:rsidP="00A1062B">
            <w:pPr>
              <w:jc w:val="both"/>
              <w:rPr>
                <w:rFonts w:ascii="Times New Roman" w:hAnsi="Times New Roman" w:cs="Times New Roman"/>
                <w:i/>
                <w:sz w:val="24"/>
                <w:szCs w:val="24"/>
              </w:rPr>
            </w:pPr>
            <w:r w:rsidRPr="00893E6D">
              <w:rPr>
                <w:rFonts w:ascii="Times New Roman" w:hAnsi="Times New Roman" w:cs="Times New Roman"/>
                <w:i/>
                <w:sz w:val="24"/>
                <w:szCs w:val="24"/>
              </w:rPr>
              <w:t>NOA</w:t>
            </w:r>
          </w:p>
        </w:tc>
        <w:tc>
          <w:tcPr>
            <w:tcW w:w="0" w:type="auto"/>
          </w:tcPr>
          <w:p w14:paraId="21919183" w14:textId="77777777" w:rsidR="00445FE6" w:rsidRPr="00893E6D" w:rsidRDefault="00445FE6" w:rsidP="00A1062B">
            <w:pPr>
              <w:jc w:val="both"/>
              <w:rPr>
                <w:rFonts w:ascii="Times New Roman" w:hAnsi="Times New Roman" w:cs="Times New Roman"/>
                <w:sz w:val="24"/>
                <w:szCs w:val="24"/>
              </w:rPr>
            </w:pPr>
            <w:r w:rsidRPr="00893E6D">
              <w:rPr>
                <w:rFonts w:ascii="Times New Roman" w:hAnsi="Times New Roman" w:cs="Times New Roman"/>
                <w:sz w:val="24"/>
                <w:szCs w:val="24"/>
              </w:rPr>
              <w:t>=</w:t>
            </w:r>
          </w:p>
        </w:tc>
        <w:tc>
          <w:tcPr>
            <w:tcW w:w="0" w:type="auto"/>
          </w:tcPr>
          <w:p w14:paraId="68880C2E" w14:textId="14B4314D" w:rsidR="00445FE6" w:rsidRPr="00893E6D" w:rsidRDefault="00DB17B1" w:rsidP="00A1062B">
            <w:pPr>
              <w:jc w:val="both"/>
              <w:rPr>
                <w:rFonts w:ascii="Times New Roman" w:hAnsi="Times New Roman" w:cs="Times New Roman"/>
                <w:sz w:val="24"/>
                <w:szCs w:val="24"/>
              </w:rPr>
            </w:pPr>
            <w:r w:rsidRPr="00893E6D">
              <w:rPr>
                <w:rFonts w:ascii="Times New Roman" w:hAnsi="Times New Roman" w:cs="Times New Roman"/>
                <w:sz w:val="24"/>
                <w:szCs w:val="24"/>
              </w:rPr>
              <w:t>O</w:t>
            </w:r>
            <w:r w:rsidR="00445FE6" w:rsidRPr="00893E6D">
              <w:rPr>
                <w:rFonts w:ascii="Times New Roman" w:hAnsi="Times New Roman" w:cs="Times New Roman"/>
                <w:sz w:val="24"/>
                <w:szCs w:val="24"/>
              </w:rPr>
              <w:t xml:space="preserve">perating assets </w:t>
            </w:r>
            <w:r w:rsidR="00445FE6" w:rsidRPr="00224F69">
              <w:rPr>
                <w:rFonts w:ascii="Times New Roman" w:hAnsi="Times New Roman" w:cs="Times New Roman"/>
                <w:i/>
                <w:sz w:val="24"/>
                <w:szCs w:val="24"/>
              </w:rPr>
              <w:t>minus</w:t>
            </w:r>
            <w:r w:rsidR="00445FE6" w:rsidRPr="00893E6D">
              <w:rPr>
                <w:rFonts w:ascii="Times New Roman" w:hAnsi="Times New Roman" w:cs="Times New Roman"/>
                <w:sz w:val="24"/>
                <w:szCs w:val="24"/>
              </w:rPr>
              <w:t xml:space="preserve"> operating liabilities</w:t>
            </w:r>
          </w:p>
        </w:tc>
      </w:tr>
      <w:tr w:rsidR="00445FE6" w:rsidRPr="00893E6D" w14:paraId="6B45A31C" w14:textId="77777777" w:rsidTr="003319C1">
        <w:tc>
          <w:tcPr>
            <w:tcW w:w="0" w:type="auto"/>
          </w:tcPr>
          <w:p w14:paraId="58F59076" w14:textId="77777777" w:rsidR="00445FE6" w:rsidRPr="00893E6D" w:rsidRDefault="00445FE6" w:rsidP="00A1062B">
            <w:pPr>
              <w:jc w:val="both"/>
              <w:rPr>
                <w:rFonts w:ascii="Times New Roman" w:hAnsi="Times New Roman" w:cs="Times New Roman"/>
                <w:sz w:val="24"/>
                <w:szCs w:val="24"/>
              </w:rPr>
            </w:pPr>
            <w:r w:rsidRPr="00893E6D">
              <w:rPr>
                <w:rFonts w:ascii="Times New Roman" w:hAnsi="Times New Roman" w:cs="Times New Roman"/>
                <w:sz w:val="24"/>
                <w:szCs w:val="24"/>
              </w:rPr>
              <w:t>Operating Assets</w:t>
            </w:r>
          </w:p>
        </w:tc>
        <w:tc>
          <w:tcPr>
            <w:tcW w:w="0" w:type="auto"/>
          </w:tcPr>
          <w:p w14:paraId="5FB3D94E" w14:textId="77777777" w:rsidR="00445FE6" w:rsidRPr="00893E6D" w:rsidRDefault="00445FE6" w:rsidP="00A1062B">
            <w:pPr>
              <w:jc w:val="both"/>
              <w:rPr>
                <w:rFonts w:ascii="Times New Roman" w:hAnsi="Times New Roman" w:cs="Times New Roman"/>
                <w:sz w:val="24"/>
                <w:szCs w:val="24"/>
              </w:rPr>
            </w:pPr>
            <w:r w:rsidRPr="00893E6D">
              <w:rPr>
                <w:rFonts w:ascii="Times New Roman" w:hAnsi="Times New Roman" w:cs="Times New Roman"/>
                <w:sz w:val="24"/>
                <w:szCs w:val="24"/>
              </w:rPr>
              <w:t>=</w:t>
            </w:r>
          </w:p>
        </w:tc>
        <w:tc>
          <w:tcPr>
            <w:tcW w:w="0" w:type="auto"/>
          </w:tcPr>
          <w:p w14:paraId="11A46865" w14:textId="5FD40F64" w:rsidR="00445FE6" w:rsidRPr="00893E6D" w:rsidRDefault="00445FE6" w:rsidP="00A1062B">
            <w:pPr>
              <w:jc w:val="both"/>
              <w:rPr>
                <w:rFonts w:ascii="Times New Roman" w:hAnsi="Times New Roman" w:cs="Times New Roman"/>
                <w:sz w:val="24"/>
                <w:szCs w:val="24"/>
              </w:rPr>
            </w:pPr>
            <w:r w:rsidRPr="00893E6D">
              <w:rPr>
                <w:rFonts w:ascii="Times New Roman" w:hAnsi="Times New Roman" w:cs="Times New Roman"/>
                <w:sz w:val="24"/>
                <w:szCs w:val="24"/>
              </w:rPr>
              <w:t xml:space="preserve">Total Assets </w:t>
            </w:r>
            <w:r w:rsidRPr="00224F69">
              <w:rPr>
                <w:rFonts w:ascii="Times New Roman" w:hAnsi="Times New Roman" w:cs="Times New Roman"/>
                <w:i/>
                <w:sz w:val="24"/>
                <w:szCs w:val="24"/>
              </w:rPr>
              <w:t>minus</w:t>
            </w:r>
            <w:r w:rsidRPr="00893E6D">
              <w:rPr>
                <w:rFonts w:ascii="Times New Roman" w:hAnsi="Times New Roman" w:cs="Times New Roman"/>
                <w:sz w:val="24"/>
                <w:szCs w:val="24"/>
              </w:rPr>
              <w:t xml:space="preserve"> cash and short</w:t>
            </w:r>
            <w:r w:rsidR="00A41287" w:rsidRPr="00893E6D">
              <w:rPr>
                <w:rFonts w:ascii="Times New Roman" w:hAnsi="Times New Roman" w:cs="Times New Roman"/>
                <w:sz w:val="24"/>
                <w:szCs w:val="24"/>
              </w:rPr>
              <w:t>-</w:t>
            </w:r>
            <w:r w:rsidRPr="00893E6D">
              <w:rPr>
                <w:rFonts w:ascii="Times New Roman" w:hAnsi="Times New Roman" w:cs="Times New Roman"/>
                <w:sz w:val="24"/>
                <w:szCs w:val="24"/>
              </w:rPr>
              <w:t>term investments</w:t>
            </w:r>
          </w:p>
        </w:tc>
      </w:tr>
      <w:tr w:rsidR="00445FE6" w:rsidRPr="00893E6D" w14:paraId="638E36A3" w14:textId="77777777" w:rsidTr="003319C1">
        <w:tc>
          <w:tcPr>
            <w:tcW w:w="0" w:type="auto"/>
          </w:tcPr>
          <w:p w14:paraId="698F60C1" w14:textId="77777777" w:rsidR="00445FE6" w:rsidRPr="00893E6D" w:rsidRDefault="00445FE6" w:rsidP="00A1062B">
            <w:pPr>
              <w:jc w:val="both"/>
              <w:rPr>
                <w:rFonts w:ascii="Times New Roman" w:hAnsi="Times New Roman" w:cs="Times New Roman"/>
                <w:sz w:val="24"/>
                <w:szCs w:val="24"/>
              </w:rPr>
            </w:pPr>
            <w:r w:rsidRPr="00893E6D">
              <w:rPr>
                <w:rFonts w:ascii="Times New Roman" w:hAnsi="Times New Roman" w:cs="Times New Roman"/>
                <w:sz w:val="24"/>
                <w:szCs w:val="24"/>
              </w:rPr>
              <w:t>Operating Liabilities</w:t>
            </w:r>
          </w:p>
        </w:tc>
        <w:tc>
          <w:tcPr>
            <w:tcW w:w="0" w:type="auto"/>
          </w:tcPr>
          <w:p w14:paraId="3C7FC86B" w14:textId="77777777" w:rsidR="00445FE6" w:rsidRPr="00893E6D" w:rsidRDefault="00445FE6" w:rsidP="00A1062B">
            <w:pPr>
              <w:jc w:val="both"/>
              <w:rPr>
                <w:rFonts w:ascii="Times New Roman" w:hAnsi="Times New Roman" w:cs="Times New Roman"/>
                <w:sz w:val="24"/>
                <w:szCs w:val="24"/>
              </w:rPr>
            </w:pPr>
            <w:r w:rsidRPr="00893E6D">
              <w:rPr>
                <w:rFonts w:ascii="Times New Roman" w:hAnsi="Times New Roman" w:cs="Times New Roman"/>
                <w:sz w:val="24"/>
                <w:szCs w:val="24"/>
              </w:rPr>
              <w:t>=</w:t>
            </w:r>
          </w:p>
        </w:tc>
        <w:tc>
          <w:tcPr>
            <w:tcW w:w="0" w:type="auto"/>
          </w:tcPr>
          <w:p w14:paraId="0D3897D3" w14:textId="655F66E9" w:rsidR="00445FE6" w:rsidRPr="00893E6D" w:rsidRDefault="00445FE6" w:rsidP="00224F69">
            <w:pPr>
              <w:rPr>
                <w:rFonts w:ascii="Times New Roman" w:hAnsi="Times New Roman" w:cs="Times New Roman"/>
                <w:sz w:val="24"/>
                <w:szCs w:val="24"/>
              </w:rPr>
            </w:pPr>
            <w:r w:rsidRPr="00893E6D">
              <w:rPr>
                <w:rFonts w:ascii="Times New Roman" w:hAnsi="Times New Roman" w:cs="Times New Roman"/>
                <w:sz w:val="24"/>
                <w:szCs w:val="24"/>
              </w:rPr>
              <w:t xml:space="preserve">Total Assets </w:t>
            </w:r>
            <w:r w:rsidRPr="00224F69">
              <w:rPr>
                <w:rFonts w:ascii="Times New Roman" w:hAnsi="Times New Roman" w:cs="Times New Roman"/>
                <w:i/>
                <w:sz w:val="24"/>
                <w:szCs w:val="24"/>
              </w:rPr>
              <w:t>minus</w:t>
            </w:r>
            <w:r w:rsidRPr="00893E6D">
              <w:rPr>
                <w:rFonts w:ascii="Times New Roman" w:hAnsi="Times New Roman" w:cs="Times New Roman"/>
                <w:sz w:val="24"/>
                <w:szCs w:val="24"/>
              </w:rPr>
              <w:t xml:space="preserve"> Total Debt </w:t>
            </w:r>
            <w:r w:rsidRPr="00224F69">
              <w:rPr>
                <w:rFonts w:ascii="Times New Roman" w:hAnsi="Times New Roman" w:cs="Times New Roman"/>
                <w:i/>
                <w:sz w:val="24"/>
                <w:szCs w:val="24"/>
              </w:rPr>
              <w:t>minus</w:t>
            </w:r>
            <w:r w:rsidRPr="00893E6D">
              <w:rPr>
                <w:rFonts w:ascii="Times New Roman" w:hAnsi="Times New Roman" w:cs="Times New Roman"/>
                <w:sz w:val="24"/>
                <w:szCs w:val="24"/>
              </w:rPr>
              <w:t xml:space="preserve"> Book Value of Common and Preferred Equity </w:t>
            </w:r>
            <w:r w:rsidRPr="00224F69">
              <w:rPr>
                <w:rFonts w:ascii="Times New Roman" w:hAnsi="Times New Roman" w:cs="Times New Roman"/>
                <w:i/>
                <w:sz w:val="24"/>
                <w:szCs w:val="24"/>
              </w:rPr>
              <w:t>minus</w:t>
            </w:r>
            <w:r w:rsidRPr="00893E6D">
              <w:rPr>
                <w:rFonts w:ascii="Times New Roman" w:hAnsi="Times New Roman" w:cs="Times New Roman"/>
                <w:sz w:val="24"/>
                <w:szCs w:val="24"/>
              </w:rPr>
              <w:t xml:space="preserve"> </w:t>
            </w:r>
            <w:r w:rsidR="009863ED" w:rsidRPr="00893E6D">
              <w:rPr>
                <w:rFonts w:ascii="Times New Roman" w:hAnsi="Times New Roman" w:cs="Times New Roman"/>
                <w:sz w:val="24"/>
                <w:szCs w:val="24"/>
              </w:rPr>
              <w:t>Non-controlling</w:t>
            </w:r>
            <w:r w:rsidRPr="00893E6D">
              <w:rPr>
                <w:rFonts w:ascii="Times New Roman" w:hAnsi="Times New Roman" w:cs="Times New Roman"/>
                <w:sz w:val="24"/>
                <w:szCs w:val="24"/>
              </w:rPr>
              <w:t xml:space="preserve"> Interest</w:t>
            </w:r>
          </w:p>
          <w:p w14:paraId="4F254328" w14:textId="77777777" w:rsidR="00445FE6" w:rsidRPr="00893E6D" w:rsidRDefault="00445FE6" w:rsidP="00A1062B">
            <w:pPr>
              <w:jc w:val="both"/>
              <w:rPr>
                <w:rFonts w:ascii="Times New Roman" w:hAnsi="Times New Roman" w:cs="Times New Roman"/>
                <w:sz w:val="24"/>
                <w:szCs w:val="24"/>
              </w:rPr>
            </w:pPr>
          </w:p>
        </w:tc>
      </w:tr>
      <w:tr w:rsidR="00445FE6" w:rsidRPr="00893E6D" w14:paraId="331BCDC0" w14:textId="77777777" w:rsidTr="003319C1">
        <w:tc>
          <w:tcPr>
            <w:tcW w:w="0" w:type="auto"/>
            <w:gridSpan w:val="3"/>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9"/>
              <w:gridCol w:w="1565"/>
            </w:tblGrid>
            <w:tr w:rsidR="00445FE6" w:rsidRPr="00893E6D" w14:paraId="1C2DC420" w14:textId="77777777" w:rsidTr="003319C1">
              <w:tc>
                <w:tcPr>
                  <w:tcW w:w="4144" w:type="pct"/>
                </w:tcPr>
                <w:p w14:paraId="61D2F4A3" w14:textId="77777777" w:rsidR="00445FE6" w:rsidRPr="00893E6D" w:rsidRDefault="00445FE6" w:rsidP="00A1062B">
                  <w:pPr>
                    <w:spacing w:line="48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SALE</m:t>
                      </m:r>
                      <m:sSub>
                        <m:sSubPr>
                          <m:ctrlPr>
                            <w:rPr>
                              <w:rFonts w:ascii="Cambria Math" w:hAnsi="Cambria Math" w:cs="Times New Roman"/>
                              <w:i/>
                              <w:sz w:val="24"/>
                              <w:szCs w:val="24"/>
                            </w:rPr>
                          </m:ctrlPr>
                        </m:sSubPr>
                        <m:e>
                          <m:r>
                            <w:rPr>
                              <w:rFonts w:ascii="Cambria Math" w:hAnsi="Cambria Math" w:cs="Times New Roman"/>
                              <w:sz w:val="24"/>
                              <w:szCs w:val="24"/>
                            </w:rPr>
                            <m:t>CHG</m:t>
                          </m:r>
                        </m:e>
                        <m:sub>
                          <m:r>
                            <w:rPr>
                              <w:rFonts w:ascii="Cambria Math" w:hAnsi="Cambria Math" w:cs="Times New Roman"/>
                              <w:sz w:val="24"/>
                              <w:szCs w:val="24"/>
                            </w:rPr>
                            <m:t>t</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SALE</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r>
                            <w:rPr>
                              <w:rFonts w:ascii="Cambria Math" w:hAnsi="Cambria Math" w:cs="Times New Roman"/>
                              <w:sz w:val="24"/>
                              <w:szCs w:val="24"/>
                            </w:rPr>
                            <m:t>-SALE</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t-1</m:t>
                              </m:r>
                            </m:sub>
                          </m:sSub>
                        </m:num>
                        <m:den>
                          <m:r>
                            <w:rPr>
                              <w:rFonts w:ascii="Cambria Math" w:hAnsi="Cambria Math" w:cs="Times New Roman"/>
                              <w:sz w:val="24"/>
                              <w:szCs w:val="24"/>
                            </w:rPr>
                            <m:t>SALE</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t-1</m:t>
                              </m:r>
                            </m:sub>
                          </m:sSub>
                        </m:den>
                      </m:f>
                    </m:oMath>
                  </m:oMathPara>
                </w:p>
              </w:tc>
              <w:tc>
                <w:tcPr>
                  <w:tcW w:w="856" w:type="pct"/>
                  <w:vAlign w:val="center"/>
                </w:tcPr>
                <w:p w14:paraId="750000DB" w14:textId="30B15ED2" w:rsidR="00445FE6" w:rsidRPr="00893E6D" w:rsidRDefault="005404AA" w:rsidP="00A1062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5FE6" w:rsidRPr="00893E6D">
                    <w:rPr>
                      <w:rFonts w:ascii="Times New Roman" w:hAnsi="Times New Roman" w:cs="Times New Roman"/>
                      <w:sz w:val="24"/>
                      <w:szCs w:val="24"/>
                    </w:rPr>
                    <w:t>(1</w:t>
                  </w:r>
                  <w:r w:rsidR="008A2889" w:rsidRPr="00893E6D">
                    <w:rPr>
                      <w:rFonts w:ascii="Times New Roman" w:hAnsi="Times New Roman" w:cs="Times New Roman"/>
                      <w:sz w:val="24"/>
                      <w:szCs w:val="24"/>
                    </w:rPr>
                    <w:t>3</w:t>
                  </w:r>
                  <w:r w:rsidR="00445FE6" w:rsidRPr="00893E6D">
                    <w:rPr>
                      <w:rFonts w:ascii="Times New Roman" w:hAnsi="Times New Roman" w:cs="Times New Roman"/>
                      <w:sz w:val="24"/>
                      <w:szCs w:val="24"/>
                    </w:rPr>
                    <w:t>)</w:t>
                  </w:r>
                </w:p>
              </w:tc>
            </w:tr>
          </w:tbl>
          <w:p w14:paraId="22C9CF20" w14:textId="77777777" w:rsidR="00445FE6" w:rsidRPr="00893E6D" w:rsidRDefault="00445FE6" w:rsidP="00A1062B">
            <w:pPr>
              <w:spacing w:line="480" w:lineRule="auto"/>
              <w:jc w:val="both"/>
              <w:rPr>
                <w:rFonts w:ascii="Times New Roman" w:hAnsi="Times New Roman" w:cs="Times New Roman"/>
                <w:sz w:val="24"/>
                <w:szCs w:val="24"/>
              </w:rPr>
            </w:pPr>
          </w:p>
        </w:tc>
      </w:tr>
      <w:tr w:rsidR="00445FE6" w:rsidRPr="00893E6D" w14:paraId="07DD5F8E" w14:textId="77777777" w:rsidTr="003319C1">
        <w:tc>
          <w:tcPr>
            <w:tcW w:w="0" w:type="auto"/>
          </w:tcPr>
          <w:p w14:paraId="4CB11165" w14:textId="77777777" w:rsidR="00445FE6" w:rsidRPr="00893E6D" w:rsidRDefault="00445FE6" w:rsidP="00A1062B">
            <w:pPr>
              <w:jc w:val="both"/>
              <w:rPr>
                <w:rFonts w:ascii="Times New Roman" w:hAnsi="Times New Roman" w:cs="Times New Roman"/>
                <w:sz w:val="24"/>
                <w:szCs w:val="24"/>
              </w:rPr>
            </w:pPr>
            <m:oMath>
              <m:r>
                <w:rPr>
                  <w:rFonts w:ascii="Cambria Math" w:hAnsi="Cambria Math" w:cs="Times New Roman"/>
                  <w:sz w:val="24"/>
                  <w:szCs w:val="24"/>
                </w:rPr>
                <m:t>NEGSALE</m:t>
              </m:r>
              <m:sSub>
                <m:sSubPr>
                  <m:ctrlPr>
                    <w:rPr>
                      <w:rFonts w:ascii="Cambria Math" w:hAnsi="Cambria Math" w:cs="Times New Roman"/>
                      <w:sz w:val="24"/>
                      <w:szCs w:val="24"/>
                    </w:rPr>
                  </m:ctrlPr>
                </m:sSubPr>
                <m:e>
                  <m:r>
                    <w:rPr>
                      <w:rFonts w:ascii="Cambria Math" w:hAnsi="Cambria Math" w:cs="Times New Roman"/>
                      <w:sz w:val="24"/>
                      <w:szCs w:val="24"/>
                    </w:rPr>
                    <m:t>CHG</m:t>
                  </m:r>
                </m:e>
                <m:sub>
                  <m:r>
                    <w:rPr>
                      <w:rFonts w:ascii="Cambria Math" w:hAnsi="Cambria Math" w:cs="Times New Roman"/>
                      <w:sz w:val="24"/>
                      <w:szCs w:val="24"/>
                    </w:rPr>
                    <m:t>t</m:t>
                  </m:r>
                </m:sub>
              </m:sSub>
            </m:oMath>
            <w:r w:rsidRPr="00893E6D">
              <w:rPr>
                <w:rFonts w:ascii="Times New Roman" w:hAnsi="Times New Roman" w:cs="Times New Roman"/>
                <w:sz w:val="24"/>
                <w:szCs w:val="24"/>
              </w:rPr>
              <w:t xml:space="preserve"> </w:t>
            </w:r>
          </w:p>
        </w:tc>
        <w:tc>
          <w:tcPr>
            <w:tcW w:w="0" w:type="auto"/>
          </w:tcPr>
          <w:p w14:paraId="3FF536F1" w14:textId="77777777" w:rsidR="00445FE6" w:rsidRPr="00893E6D" w:rsidRDefault="00445FE6" w:rsidP="00A1062B">
            <w:pPr>
              <w:jc w:val="both"/>
              <w:rPr>
                <w:rFonts w:ascii="Times New Roman" w:hAnsi="Times New Roman" w:cs="Times New Roman"/>
                <w:sz w:val="24"/>
                <w:szCs w:val="24"/>
              </w:rPr>
            </w:pPr>
            <w:r w:rsidRPr="00893E6D">
              <w:rPr>
                <w:rFonts w:ascii="Times New Roman" w:hAnsi="Times New Roman" w:cs="Times New Roman"/>
                <w:sz w:val="24"/>
                <w:szCs w:val="24"/>
              </w:rPr>
              <w:t>=</w:t>
            </w:r>
          </w:p>
        </w:tc>
        <w:tc>
          <w:tcPr>
            <w:tcW w:w="0" w:type="auto"/>
          </w:tcPr>
          <w:p w14:paraId="3D49A0EE" w14:textId="480F3CAD" w:rsidR="00445FE6" w:rsidRPr="00893E6D" w:rsidRDefault="00445FE6" w:rsidP="00A1062B">
            <w:pPr>
              <w:jc w:val="both"/>
              <w:rPr>
                <w:rFonts w:ascii="Times New Roman" w:hAnsi="Times New Roman" w:cs="Times New Roman"/>
                <w:sz w:val="24"/>
                <w:szCs w:val="24"/>
              </w:rPr>
            </w:pPr>
            <w:r w:rsidRPr="00893E6D">
              <w:rPr>
                <w:rFonts w:ascii="Times New Roman" w:hAnsi="Times New Roman" w:cs="Times New Roman"/>
                <w:sz w:val="24"/>
                <w:szCs w:val="24"/>
              </w:rPr>
              <w:t xml:space="preserve">1 if sales </w:t>
            </w:r>
            <w:r w:rsidR="00D02FB8" w:rsidRPr="00893E6D">
              <w:rPr>
                <w:rFonts w:ascii="Times New Roman" w:hAnsi="Times New Roman" w:cs="Times New Roman"/>
                <w:sz w:val="24"/>
                <w:szCs w:val="24"/>
              </w:rPr>
              <w:t>decrease,</w:t>
            </w:r>
            <w:r w:rsidRPr="00893E6D">
              <w:rPr>
                <w:rFonts w:ascii="Times New Roman" w:hAnsi="Times New Roman" w:cs="Times New Roman"/>
                <w:sz w:val="24"/>
                <w:szCs w:val="24"/>
              </w:rPr>
              <w:t xml:space="preserve"> and 0 otherwise. </w:t>
            </w:r>
          </w:p>
          <w:p w14:paraId="4CAF9B15" w14:textId="77777777" w:rsidR="00445FE6" w:rsidRPr="00893E6D" w:rsidRDefault="00445FE6" w:rsidP="00A1062B">
            <w:pPr>
              <w:jc w:val="both"/>
              <w:rPr>
                <w:rFonts w:ascii="Times New Roman" w:hAnsi="Times New Roman" w:cs="Times New Roman"/>
                <w:sz w:val="24"/>
                <w:szCs w:val="24"/>
              </w:rPr>
            </w:pPr>
          </w:p>
        </w:tc>
      </w:tr>
      <w:tr w:rsidR="00445FE6" w:rsidRPr="00893E6D" w14:paraId="738150C4" w14:textId="77777777" w:rsidTr="003319C1">
        <w:tc>
          <w:tcPr>
            <w:tcW w:w="0" w:type="auto"/>
          </w:tcPr>
          <w:p w14:paraId="52A785C7" w14:textId="77777777" w:rsidR="00445FE6" w:rsidRPr="00893E6D" w:rsidRDefault="00445FE6" w:rsidP="00A1062B">
            <w:pPr>
              <w:jc w:val="both"/>
              <w:rPr>
                <w:rFonts w:ascii="Times New Roman" w:hAnsi="Times New Roman" w:cs="Times New Roman"/>
                <w:sz w:val="24"/>
                <w:szCs w:val="24"/>
              </w:rPr>
            </w:pPr>
            <m:oMathPara>
              <m:oMathParaPr>
                <m:jc m:val="right"/>
              </m:oMathParaPr>
              <m:oMath>
                <m:r>
                  <w:rPr>
                    <w:rFonts w:ascii="Cambria Math" w:hAnsi="Cambria Math" w:cs="Times New Roman"/>
                    <w:sz w:val="24"/>
                    <w:szCs w:val="24"/>
                  </w:rPr>
                  <m:t>MKTADJREA</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t</m:t>
                    </m:r>
                  </m:sub>
                </m:sSub>
              </m:oMath>
            </m:oMathPara>
          </w:p>
        </w:tc>
        <w:tc>
          <w:tcPr>
            <w:tcW w:w="0" w:type="auto"/>
          </w:tcPr>
          <w:p w14:paraId="7FC41029" w14:textId="77777777" w:rsidR="00445FE6" w:rsidRPr="00893E6D" w:rsidRDefault="00445FE6" w:rsidP="00A1062B">
            <w:pPr>
              <w:jc w:val="both"/>
              <w:rPr>
                <w:rFonts w:ascii="Times New Roman" w:hAnsi="Times New Roman" w:cs="Times New Roman"/>
                <w:sz w:val="24"/>
                <w:szCs w:val="24"/>
              </w:rPr>
            </w:pPr>
            <w:r w:rsidRPr="00893E6D">
              <w:rPr>
                <w:rFonts w:ascii="Times New Roman" w:hAnsi="Times New Roman" w:cs="Times New Roman"/>
                <w:sz w:val="24"/>
                <w:szCs w:val="24"/>
              </w:rPr>
              <w:t>=</w:t>
            </w:r>
          </w:p>
        </w:tc>
        <w:tc>
          <w:tcPr>
            <w:tcW w:w="0" w:type="auto"/>
          </w:tcPr>
          <w:p w14:paraId="1FACF22D" w14:textId="17FBF4F4" w:rsidR="00445FE6" w:rsidRPr="00893E6D" w:rsidRDefault="00DB17B1" w:rsidP="00224F69">
            <w:pPr>
              <w:rPr>
                <w:rFonts w:ascii="Times New Roman" w:hAnsi="Times New Roman" w:cs="Times New Roman"/>
                <w:sz w:val="24"/>
                <w:szCs w:val="24"/>
              </w:rPr>
            </w:pPr>
            <w:r w:rsidRPr="00893E6D">
              <w:rPr>
                <w:rFonts w:ascii="Times New Roman" w:hAnsi="Times New Roman" w:cs="Times New Roman"/>
                <w:sz w:val="24"/>
                <w:szCs w:val="24"/>
              </w:rPr>
              <w:t>B</w:t>
            </w:r>
            <w:r w:rsidR="00445FE6" w:rsidRPr="00893E6D">
              <w:rPr>
                <w:rFonts w:ascii="Times New Roman" w:hAnsi="Times New Roman" w:cs="Times New Roman"/>
                <w:sz w:val="24"/>
                <w:szCs w:val="24"/>
              </w:rPr>
              <w:t xml:space="preserve">uy-and-hold returns of the firm in year </w:t>
            </w:r>
            <m:oMath>
              <m:r>
                <w:rPr>
                  <w:rFonts w:ascii="Cambria Math" w:hAnsi="Cambria Math" w:cs="Times New Roman"/>
                  <w:sz w:val="24"/>
                  <w:szCs w:val="24"/>
                </w:rPr>
                <m:t>t</m:t>
              </m:r>
            </m:oMath>
            <w:r w:rsidR="00445FE6" w:rsidRPr="00893E6D">
              <w:rPr>
                <w:rFonts w:ascii="Times New Roman" w:hAnsi="Times New Roman" w:cs="Times New Roman"/>
                <w:sz w:val="24"/>
                <w:szCs w:val="24"/>
              </w:rPr>
              <w:t xml:space="preserve"> </w:t>
            </w:r>
            <w:r w:rsidR="00445FE6" w:rsidRPr="00224F69">
              <w:rPr>
                <w:rFonts w:ascii="Times New Roman" w:hAnsi="Times New Roman" w:cs="Times New Roman"/>
                <w:i/>
                <w:sz w:val="24"/>
                <w:szCs w:val="24"/>
              </w:rPr>
              <w:t>minus</w:t>
            </w:r>
            <w:r w:rsidR="00445FE6" w:rsidRPr="00893E6D">
              <w:rPr>
                <w:rFonts w:ascii="Times New Roman" w:hAnsi="Times New Roman" w:cs="Times New Roman"/>
                <w:sz w:val="24"/>
                <w:szCs w:val="24"/>
              </w:rPr>
              <w:t xml:space="preserve"> the buy-and-hold returns of the CRSP value-weighted (VW) index in year </w:t>
            </w:r>
            <m:oMath>
              <m:r>
                <w:rPr>
                  <w:rFonts w:ascii="Cambria Math" w:hAnsi="Cambria Math" w:cs="Times New Roman"/>
                  <w:sz w:val="24"/>
                  <w:szCs w:val="24"/>
                </w:rPr>
                <m:t>t</m:t>
              </m:r>
            </m:oMath>
          </w:p>
          <w:p w14:paraId="48D376CC" w14:textId="77777777" w:rsidR="00445FE6" w:rsidRPr="00893E6D" w:rsidRDefault="00445FE6" w:rsidP="00A1062B">
            <w:pPr>
              <w:jc w:val="both"/>
              <w:rPr>
                <w:rFonts w:ascii="Times New Roman" w:hAnsi="Times New Roman" w:cs="Times New Roman"/>
                <w:sz w:val="24"/>
                <w:szCs w:val="24"/>
              </w:rPr>
            </w:pPr>
          </w:p>
        </w:tc>
      </w:tr>
    </w:tbl>
    <w:p w14:paraId="71F75568" w14:textId="227EE5F5" w:rsidR="00EE5EDF" w:rsidRPr="00893E6D" w:rsidRDefault="00445FE6" w:rsidP="00A1062B">
      <w:pPr>
        <w:spacing w:line="480" w:lineRule="auto"/>
        <w:ind w:firstLine="720"/>
        <w:jc w:val="both"/>
        <w:rPr>
          <w:rFonts w:ascii="Times New Roman" w:hAnsi="Times New Roman" w:cs="Times New Roman"/>
          <w:sz w:val="24"/>
          <w:szCs w:val="24"/>
        </w:rPr>
      </w:pPr>
      <w:r w:rsidRPr="00893E6D">
        <w:rPr>
          <w:rFonts w:ascii="Times New Roman" w:hAnsi="Times New Roman" w:cs="Times New Roman"/>
          <w:sz w:val="24"/>
          <w:szCs w:val="24"/>
        </w:rPr>
        <w:t xml:space="preserve">We </w:t>
      </w:r>
      <w:r w:rsidR="00B517FE" w:rsidRPr="00893E6D">
        <w:rPr>
          <w:rFonts w:ascii="Times New Roman" w:hAnsi="Times New Roman" w:cs="Times New Roman"/>
          <w:sz w:val="24"/>
          <w:szCs w:val="24"/>
        </w:rPr>
        <w:t>estimate</w:t>
      </w:r>
      <w:r w:rsidRPr="00893E6D">
        <w:rPr>
          <w:rFonts w:ascii="Times New Roman" w:hAnsi="Times New Roman" w:cs="Times New Roman"/>
          <w:sz w:val="24"/>
          <w:szCs w:val="24"/>
        </w:rPr>
        <w:t xml:space="preserve"> </w:t>
      </w:r>
      <w:r w:rsidR="008A2889" w:rsidRPr="00893E6D">
        <w:rPr>
          <w:rFonts w:ascii="Times New Roman" w:hAnsi="Times New Roman" w:cs="Times New Roman"/>
          <w:sz w:val="24"/>
          <w:szCs w:val="24"/>
        </w:rPr>
        <w:t xml:space="preserve">Equation </w:t>
      </w:r>
      <w:r w:rsidR="00F933BE" w:rsidRPr="00893E6D">
        <w:rPr>
          <w:rFonts w:ascii="Times New Roman" w:hAnsi="Times New Roman" w:cs="Times New Roman"/>
          <w:sz w:val="24"/>
          <w:szCs w:val="24"/>
        </w:rPr>
        <w:t>(</w:t>
      </w:r>
      <w:r w:rsidR="008A2889" w:rsidRPr="00893E6D">
        <w:rPr>
          <w:rFonts w:ascii="Times New Roman" w:hAnsi="Times New Roman" w:cs="Times New Roman"/>
          <w:sz w:val="24"/>
          <w:szCs w:val="24"/>
        </w:rPr>
        <w:t>11</w:t>
      </w:r>
      <w:r w:rsidR="00F933BE" w:rsidRPr="00893E6D">
        <w:rPr>
          <w:rFonts w:ascii="Times New Roman" w:hAnsi="Times New Roman" w:cs="Times New Roman"/>
          <w:sz w:val="24"/>
          <w:szCs w:val="24"/>
        </w:rPr>
        <w:t>)</w:t>
      </w:r>
      <w:r w:rsidRPr="00893E6D">
        <w:rPr>
          <w:rFonts w:ascii="Times New Roman" w:hAnsi="Times New Roman" w:cs="Times New Roman"/>
          <w:sz w:val="24"/>
          <w:szCs w:val="24"/>
        </w:rPr>
        <w:t xml:space="preserve"> using all </w:t>
      </w:r>
      <w:r w:rsidR="009328D4">
        <w:rPr>
          <w:rFonts w:ascii="Times New Roman" w:hAnsi="Times New Roman" w:cs="Times New Roman"/>
          <w:sz w:val="24"/>
          <w:szCs w:val="24"/>
        </w:rPr>
        <w:t>the</w:t>
      </w:r>
      <w:r w:rsidR="009328D4" w:rsidRPr="00893E6D">
        <w:rPr>
          <w:rFonts w:ascii="Times New Roman" w:hAnsi="Times New Roman" w:cs="Times New Roman"/>
          <w:sz w:val="24"/>
          <w:szCs w:val="24"/>
        </w:rPr>
        <w:t xml:space="preserve"> observations</w:t>
      </w:r>
      <w:r w:rsidRPr="00893E6D">
        <w:rPr>
          <w:rFonts w:ascii="Times New Roman" w:hAnsi="Times New Roman" w:cs="Times New Roman"/>
          <w:sz w:val="24"/>
          <w:szCs w:val="24"/>
        </w:rPr>
        <w:t xml:space="preserve"> in a particular industry-year </w:t>
      </w:r>
      <w:r w:rsidR="00C13E48">
        <w:rPr>
          <w:rFonts w:ascii="Times New Roman" w:hAnsi="Times New Roman" w:cs="Times New Roman"/>
          <w:sz w:val="24"/>
          <w:szCs w:val="24"/>
        </w:rPr>
        <w:t>except</w:t>
      </w:r>
      <w:r w:rsidR="00987498" w:rsidRPr="00893E6D">
        <w:rPr>
          <w:rFonts w:ascii="Times New Roman" w:hAnsi="Times New Roman" w:cs="Times New Roman"/>
          <w:sz w:val="24"/>
          <w:szCs w:val="24"/>
        </w:rPr>
        <w:t xml:space="preserve"> </w:t>
      </w:r>
      <w:r w:rsidRPr="00893E6D">
        <w:rPr>
          <w:rFonts w:ascii="Times New Roman" w:hAnsi="Times New Roman" w:cs="Times New Roman"/>
          <w:sz w:val="24"/>
          <w:szCs w:val="24"/>
        </w:rPr>
        <w:t xml:space="preserve">firm </w:t>
      </w:r>
      <m:oMath>
        <m:r>
          <w:rPr>
            <w:rFonts w:ascii="Cambria Math" w:hAnsi="Cambria Math" w:cs="Times New Roman"/>
            <w:sz w:val="24"/>
            <w:szCs w:val="24"/>
          </w:rPr>
          <m:t>i</m:t>
        </m:r>
      </m:oMath>
      <w:r w:rsidRPr="00893E6D">
        <w:rPr>
          <w:rFonts w:ascii="Times New Roman" w:hAnsi="Times New Roman" w:cs="Times New Roman"/>
          <w:sz w:val="24"/>
          <w:szCs w:val="24"/>
        </w:rPr>
        <w:t xml:space="preserve">. Expected operating income for firm </w:t>
      </w:r>
      <m:oMath>
        <m:r>
          <w:rPr>
            <w:rFonts w:ascii="Cambria Math" w:hAnsi="Cambria Math" w:cs="Times New Roman"/>
            <w:sz w:val="24"/>
            <w:szCs w:val="24"/>
          </w:rPr>
          <m:t>i</m:t>
        </m:r>
      </m:oMath>
      <w:r w:rsidRPr="00893E6D">
        <w:rPr>
          <w:rFonts w:ascii="Times New Roman" w:hAnsi="Times New Roman" w:cs="Times New Roman"/>
          <w:sz w:val="24"/>
          <w:szCs w:val="24"/>
        </w:rPr>
        <w:t xml:space="preserve"> is measured using the coefficients</w:t>
      </w:r>
      <w:r w:rsidR="00B517FE" w:rsidRPr="00893E6D">
        <w:rPr>
          <w:rFonts w:ascii="Times New Roman" w:hAnsi="Times New Roman" w:cs="Times New Roman"/>
          <w:sz w:val="24"/>
          <w:szCs w:val="24"/>
        </w:rPr>
        <w:t xml:space="preserve"> obtained from </w:t>
      </w:r>
      <w:r w:rsidR="00B517FE" w:rsidRPr="00893E6D">
        <w:rPr>
          <w:rFonts w:ascii="Times New Roman" w:hAnsi="Times New Roman" w:cs="Times New Roman"/>
          <w:sz w:val="24"/>
          <w:szCs w:val="24"/>
        </w:rPr>
        <w:lastRenderedPageBreak/>
        <w:t xml:space="preserve">Equation </w:t>
      </w:r>
      <w:r w:rsidR="00B45922" w:rsidRPr="00893E6D">
        <w:rPr>
          <w:rFonts w:ascii="Times New Roman" w:hAnsi="Times New Roman" w:cs="Times New Roman"/>
          <w:sz w:val="24"/>
          <w:szCs w:val="24"/>
        </w:rPr>
        <w:t>(</w:t>
      </w:r>
      <w:r w:rsidR="00B517FE" w:rsidRPr="00893E6D">
        <w:rPr>
          <w:rFonts w:ascii="Times New Roman" w:hAnsi="Times New Roman" w:cs="Times New Roman"/>
          <w:sz w:val="24"/>
          <w:szCs w:val="24"/>
        </w:rPr>
        <w:t>11</w:t>
      </w:r>
      <w:r w:rsidR="00B45922" w:rsidRPr="00893E6D">
        <w:rPr>
          <w:rFonts w:ascii="Times New Roman" w:hAnsi="Times New Roman" w:cs="Times New Roman"/>
          <w:sz w:val="24"/>
          <w:szCs w:val="24"/>
        </w:rPr>
        <w:t>)</w:t>
      </w:r>
      <w:r w:rsidRPr="00893E6D">
        <w:rPr>
          <w:rFonts w:ascii="Times New Roman" w:hAnsi="Times New Roman" w:cs="Times New Roman"/>
          <w:sz w:val="24"/>
          <w:szCs w:val="24"/>
        </w:rPr>
        <w:t xml:space="preserve"> multiplied by the actual values of the </w:t>
      </w:r>
      <w:r w:rsidR="00B45922" w:rsidRPr="00893E6D">
        <w:rPr>
          <w:rFonts w:ascii="Times New Roman" w:hAnsi="Times New Roman" w:cs="Times New Roman"/>
          <w:sz w:val="24"/>
          <w:szCs w:val="24"/>
        </w:rPr>
        <w:t xml:space="preserve">variables in the model for </w:t>
      </w:r>
      <w:r w:rsidR="009328D4">
        <w:rPr>
          <w:rFonts w:ascii="Times New Roman" w:hAnsi="Times New Roman" w:cs="Times New Roman"/>
          <w:sz w:val="24"/>
          <w:szCs w:val="24"/>
        </w:rPr>
        <w:t>the firm</w:t>
      </w:r>
      <w:r w:rsidRPr="00893E6D">
        <w:rPr>
          <w:rFonts w:ascii="Times New Roman" w:hAnsi="Times New Roman" w:cs="Times New Roman"/>
          <w:sz w:val="24"/>
          <w:szCs w:val="24"/>
        </w:rPr>
        <w:t xml:space="preserve">. </w:t>
      </w:r>
      <w:r w:rsidR="00B517FE" w:rsidRPr="00893E6D">
        <w:rPr>
          <w:rFonts w:ascii="Times New Roman" w:hAnsi="Times New Roman" w:cs="Times New Roman"/>
          <w:sz w:val="24"/>
          <w:szCs w:val="24"/>
        </w:rPr>
        <w:t>U</w:t>
      </w:r>
      <w:r w:rsidRPr="00893E6D">
        <w:rPr>
          <w:rFonts w:ascii="Times New Roman" w:hAnsi="Times New Roman" w:cs="Times New Roman"/>
          <w:sz w:val="24"/>
          <w:szCs w:val="24"/>
        </w:rPr>
        <w:t>nexpected operating income</w:t>
      </w:r>
      <w:r w:rsidR="00B517FE" w:rsidRPr="00893E6D">
        <w:rPr>
          <w:rFonts w:ascii="Times New Roman" w:hAnsi="Times New Roman" w:cs="Times New Roman"/>
          <w:sz w:val="24"/>
          <w:szCs w:val="24"/>
        </w:rPr>
        <w:t xml:space="preserve"> is computed</w:t>
      </w:r>
      <w:r w:rsidRPr="00893E6D">
        <w:rPr>
          <w:rFonts w:ascii="Times New Roman" w:hAnsi="Times New Roman" w:cs="Times New Roman"/>
          <w:sz w:val="24"/>
          <w:szCs w:val="24"/>
        </w:rPr>
        <w:t xml:space="preserve"> as the difference between reported and expected operating income</w:t>
      </w:r>
      <w:r w:rsidR="00577CC3">
        <w:rPr>
          <w:rFonts w:ascii="Times New Roman" w:hAnsi="Times New Roman" w:cs="Times New Roman"/>
          <w:sz w:val="24"/>
          <w:szCs w:val="24"/>
        </w:rPr>
        <w:t xml:space="preserve"> as in Equation (14)</w:t>
      </w:r>
      <w:r w:rsidR="00EE5EDF" w:rsidRPr="00893E6D">
        <w:rPr>
          <w:rFonts w:ascii="Times New Roman" w:hAnsi="Times New Roman" w:cs="Times New Roman"/>
          <w:sz w:val="24"/>
          <w:szCs w:val="24"/>
        </w:rPr>
        <w:t>. We use the unexpected values of operating earnings to proxy for potential</w:t>
      </w:r>
      <w:r w:rsidR="00F6367D" w:rsidRPr="00893E6D">
        <w:rPr>
          <w:rFonts w:ascii="Times New Roman" w:hAnsi="Times New Roman" w:cs="Times New Roman"/>
          <w:sz w:val="24"/>
          <w:szCs w:val="24"/>
        </w:rPr>
        <w:t>ly</w:t>
      </w:r>
      <w:r w:rsidR="00EE5EDF" w:rsidRPr="00893E6D">
        <w:rPr>
          <w:rFonts w:ascii="Times New Roman" w:hAnsi="Times New Roman" w:cs="Times New Roman"/>
          <w:sz w:val="24"/>
          <w:szCs w:val="24"/>
        </w:rPr>
        <w:t xml:space="preserve"> </w:t>
      </w:r>
      <w:r w:rsidR="00F6367D" w:rsidRPr="00893E6D">
        <w:rPr>
          <w:rFonts w:ascii="Times New Roman" w:hAnsi="Times New Roman" w:cs="Times New Roman"/>
          <w:sz w:val="24"/>
          <w:szCs w:val="24"/>
        </w:rPr>
        <w:t>misclassified non-operating earnings.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3"/>
        <w:gridCol w:w="897"/>
      </w:tblGrid>
      <w:tr w:rsidR="00445FE6" w:rsidRPr="00893E6D" w14:paraId="742BF7A8" w14:textId="77777777" w:rsidTr="003319C1">
        <w:tc>
          <w:tcPr>
            <w:tcW w:w="4521" w:type="pct"/>
          </w:tcPr>
          <w:p w14:paraId="1CE5E7AC" w14:textId="77777777" w:rsidR="00445FE6" w:rsidRPr="00893E6D" w:rsidRDefault="00445FE6" w:rsidP="00A1062B">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 xml:space="preserve">Unexpected </m:t>
                </m:r>
                <m:d>
                  <m:dPr>
                    <m:ctrlPr>
                      <w:rPr>
                        <w:rFonts w:ascii="Cambria Math" w:hAnsi="Cambria Math" w:cs="Times New Roman"/>
                        <w:i/>
                        <w:sz w:val="24"/>
                        <w:szCs w:val="24"/>
                      </w:rPr>
                    </m:ctrlPr>
                  </m:dPr>
                  <m:e>
                    <m:r>
                      <w:rPr>
                        <w:rFonts w:ascii="Cambria Math" w:hAnsi="Cambria Math" w:cs="Times New Roman"/>
                        <w:sz w:val="24"/>
                        <w:szCs w:val="24"/>
                      </w:rPr>
                      <m:t>OPERIN</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e>
                </m:d>
                <m:r>
                  <w:rPr>
                    <w:rFonts w:ascii="Cambria Math" w:hAnsi="Cambria Math" w:cs="Times New Roman"/>
                    <w:sz w:val="24"/>
                    <w:szCs w:val="24"/>
                  </w:rPr>
                  <m:t>=OPERIN</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-Expected (OPERIN</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m:t>
                </m:r>
              </m:oMath>
            </m:oMathPara>
          </w:p>
        </w:tc>
        <w:tc>
          <w:tcPr>
            <w:tcW w:w="479" w:type="pct"/>
          </w:tcPr>
          <w:p w14:paraId="3AF56B8E" w14:textId="0506158A" w:rsidR="00445FE6" w:rsidRPr="00893E6D" w:rsidRDefault="001F190D" w:rsidP="00A1062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5FE6" w:rsidRPr="00893E6D">
              <w:rPr>
                <w:rFonts w:ascii="Times New Roman" w:hAnsi="Times New Roman" w:cs="Times New Roman"/>
                <w:sz w:val="24"/>
                <w:szCs w:val="24"/>
              </w:rPr>
              <w:t>(1</w:t>
            </w:r>
            <w:r w:rsidR="00980317" w:rsidRPr="00893E6D">
              <w:rPr>
                <w:rFonts w:ascii="Times New Roman" w:hAnsi="Times New Roman" w:cs="Times New Roman"/>
                <w:sz w:val="24"/>
                <w:szCs w:val="24"/>
              </w:rPr>
              <w:t>4</w:t>
            </w:r>
            <w:r w:rsidR="00445FE6" w:rsidRPr="00893E6D">
              <w:rPr>
                <w:rFonts w:ascii="Times New Roman" w:hAnsi="Times New Roman" w:cs="Times New Roman"/>
                <w:sz w:val="24"/>
                <w:szCs w:val="24"/>
              </w:rPr>
              <w:t>)</w:t>
            </w:r>
          </w:p>
        </w:tc>
      </w:tr>
    </w:tbl>
    <w:p w14:paraId="4BD47037" w14:textId="69DD8C35" w:rsidR="009617BF" w:rsidRDefault="00445FE6" w:rsidP="00A1062B">
      <w:pPr>
        <w:spacing w:line="480" w:lineRule="auto"/>
        <w:ind w:firstLine="720"/>
        <w:jc w:val="both"/>
        <w:rPr>
          <w:rFonts w:ascii="Times New Roman" w:hAnsi="Times New Roman" w:cs="Times New Roman"/>
          <w:sz w:val="24"/>
          <w:szCs w:val="24"/>
        </w:rPr>
      </w:pPr>
      <w:r w:rsidRPr="00893E6D">
        <w:rPr>
          <w:rFonts w:ascii="Times New Roman" w:hAnsi="Times New Roman" w:cs="Times New Roman"/>
          <w:sz w:val="24"/>
          <w:szCs w:val="24"/>
        </w:rPr>
        <w:t xml:space="preserve">We present the results of Equation </w:t>
      </w:r>
      <w:r w:rsidR="00B45922" w:rsidRPr="00893E6D">
        <w:rPr>
          <w:rFonts w:ascii="Times New Roman" w:hAnsi="Times New Roman" w:cs="Times New Roman"/>
          <w:sz w:val="24"/>
          <w:szCs w:val="24"/>
        </w:rPr>
        <w:t>(</w:t>
      </w:r>
      <w:r w:rsidR="00EE5EDF" w:rsidRPr="00893E6D">
        <w:rPr>
          <w:rFonts w:ascii="Times New Roman" w:hAnsi="Times New Roman" w:cs="Times New Roman"/>
          <w:sz w:val="24"/>
          <w:szCs w:val="24"/>
        </w:rPr>
        <w:t>11</w:t>
      </w:r>
      <w:r w:rsidR="00B45922" w:rsidRPr="00893E6D">
        <w:rPr>
          <w:rFonts w:ascii="Times New Roman" w:hAnsi="Times New Roman" w:cs="Times New Roman"/>
          <w:sz w:val="24"/>
          <w:szCs w:val="24"/>
        </w:rPr>
        <w:t>)</w:t>
      </w:r>
      <w:r w:rsidRPr="00893E6D">
        <w:rPr>
          <w:rFonts w:ascii="Times New Roman" w:hAnsi="Times New Roman" w:cs="Times New Roman"/>
          <w:sz w:val="24"/>
          <w:szCs w:val="24"/>
        </w:rPr>
        <w:t xml:space="preserve"> </w:t>
      </w:r>
      <w:r w:rsidR="0013411F" w:rsidRPr="00893E6D">
        <w:rPr>
          <w:rFonts w:ascii="Times New Roman" w:hAnsi="Times New Roman" w:cs="Times New Roman"/>
          <w:sz w:val="24"/>
          <w:szCs w:val="24"/>
        </w:rPr>
        <w:t xml:space="preserve">on estimating the expected operating earnings </w:t>
      </w:r>
      <w:r w:rsidRPr="00893E6D">
        <w:rPr>
          <w:rFonts w:ascii="Times New Roman" w:hAnsi="Times New Roman" w:cs="Times New Roman"/>
          <w:sz w:val="24"/>
          <w:szCs w:val="24"/>
        </w:rPr>
        <w:t xml:space="preserve">in </w:t>
      </w:r>
      <w:r w:rsidR="00CB5A90" w:rsidRPr="00893E6D">
        <w:rPr>
          <w:rFonts w:ascii="Times New Roman" w:hAnsi="Times New Roman" w:cs="Times New Roman"/>
          <w:sz w:val="24"/>
          <w:szCs w:val="24"/>
        </w:rPr>
        <w:t xml:space="preserve">Appendix </w:t>
      </w:r>
      <w:r w:rsidRPr="00893E6D">
        <w:rPr>
          <w:rFonts w:ascii="Times New Roman" w:hAnsi="Times New Roman" w:cs="Times New Roman"/>
          <w:sz w:val="24"/>
          <w:szCs w:val="24"/>
        </w:rPr>
        <w:t xml:space="preserve">Table </w:t>
      </w:r>
      <w:r w:rsidR="008A2889" w:rsidRPr="00893E6D">
        <w:rPr>
          <w:rFonts w:ascii="Times New Roman" w:hAnsi="Times New Roman" w:cs="Times New Roman"/>
          <w:sz w:val="24"/>
          <w:szCs w:val="24"/>
        </w:rPr>
        <w:t>A1</w:t>
      </w:r>
      <w:r w:rsidR="009617BF">
        <w:rPr>
          <w:rFonts w:ascii="Times New Roman" w:hAnsi="Times New Roman" w:cs="Times New Roman"/>
          <w:sz w:val="24"/>
          <w:szCs w:val="24"/>
        </w:rPr>
        <w:t xml:space="preserve">, </w:t>
      </w:r>
      <w:r w:rsidR="0013411F" w:rsidRPr="00893E6D">
        <w:rPr>
          <w:rFonts w:ascii="Times New Roman" w:hAnsi="Times New Roman" w:cs="Times New Roman"/>
          <w:sz w:val="24"/>
          <w:szCs w:val="24"/>
        </w:rPr>
        <w:t>Panel A</w:t>
      </w:r>
      <w:r w:rsidR="00F76516">
        <w:rPr>
          <w:rFonts w:ascii="Times New Roman" w:hAnsi="Times New Roman" w:cs="Times New Roman"/>
          <w:sz w:val="24"/>
          <w:szCs w:val="24"/>
        </w:rPr>
        <w:t>.</w:t>
      </w:r>
      <w:r w:rsidR="0013411F" w:rsidRPr="00893E6D">
        <w:rPr>
          <w:rFonts w:ascii="Times New Roman" w:hAnsi="Times New Roman" w:cs="Times New Roman"/>
          <w:sz w:val="24"/>
          <w:szCs w:val="24"/>
        </w:rPr>
        <w:t xml:space="preserve"> </w:t>
      </w:r>
      <w:r w:rsidR="009617BF" w:rsidRPr="009617BF">
        <w:rPr>
          <w:rFonts w:ascii="Times New Roman" w:hAnsi="Times New Roman" w:cs="Times New Roman"/>
          <w:sz w:val="24"/>
          <w:szCs w:val="24"/>
        </w:rPr>
        <w:t>The adjusted R-squared for this regression is 83.7%. There is a highly significant autocorrelation between the ratio of operating income-to-total assets (</w:t>
      </w:r>
      <w:r w:rsidR="009617BF" w:rsidRPr="00811D08">
        <w:rPr>
          <w:rFonts w:ascii="Times New Roman" w:hAnsi="Times New Roman" w:cs="Times New Roman"/>
          <w:i/>
          <w:iCs/>
          <w:sz w:val="24"/>
          <w:szCs w:val="24"/>
        </w:rPr>
        <w:t>OPERINC</w:t>
      </w:r>
      <w:r w:rsidR="009617BF" w:rsidRPr="009617BF">
        <w:rPr>
          <w:rFonts w:ascii="Times New Roman" w:hAnsi="Times New Roman" w:cs="Times New Roman"/>
          <w:sz w:val="24"/>
          <w:szCs w:val="24"/>
        </w:rPr>
        <w:t xml:space="preserve">) and its one-year lagged value. Consistent with </w:t>
      </w:r>
      <w:proofErr w:type="spellStart"/>
      <w:r w:rsidR="009617BF" w:rsidRPr="009617BF">
        <w:rPr>
          <w:rFonts w:ascii="Times New Roman" w:hAnsi="Times New Roman" w:cs="Times New Roman"/>
          <w:sz w:val="24"/>
          <w:szCs w:val="24"/>
        </w:rPr>
        <w:t>McVay</w:t>
      </w:r>
      <w:proofErr w:type="spellEnd"/>
      <w:r w:rsidR="009617BF" w:rsidRPr="009617BF">
        <w:rPr>
          <w:rFonts w:ascii="Times New Roman" w:hAnsi="Times New Roman" w:cs="Times New Roman"/>
          <w:sz w:val="24"/>
          <w:szCs w:val="24"/>
        </w:rPr>
        <w:t xml:space="preserve"> (2006), we document a significant and positive association between accruals and </w:t>
      </w:r>
      <w:r w:rsidR="009617BF" w:rsidRPr="00811D08">
        <w:rPr>
          <w:rFonts w:ascii="Times New Roman" w:hAnsi="Times New Roman" w:cs="Times New Roman"/>
          <w:i/>
          <w:iCs/>
          <w:sz w:val="24"/>
          <w:szCs w:val="24"/>
        </w:rPr>
        <w:t>OPERINC</w:t>
      </w:r>
      <w:r w:rsidR="009617BF" w:rsidRPr="009617BF">
        <w:rPr>
          <w:rFonts w:ascii="Times New Roman" w:hAnsi="Times New Roman" w:cs="Times New Roman"/>
          <w:sz w:val="24"/>
          <w:szCs w:val="24"/>
        </w:rPr>
        <w:t xml:space="preserve">. </w:t>
      </w:r>
      <w:r w:rsidR="009617BF" w:rsidRPr="00811D08">
        <w:rPr>
          <w:rFonts w:ascii="Times New Roman" w:hAnsi="Times New Roman" w:cs="Times New Roman"/>
          <w:i/>
          <w:iCs/>
          <w:sz w:val="24"/>
          <w:szCs w:val="24"/>
        </w:rPr>
        <w:t>OPERINC</w:t>
      </w:r>
      <w:r w:rsidR="009617BF" w:rsidRPr="009617BF">
        <w:rPr>
          <w:rFonts w:ascii="Times New Roman" w:hAnsi="Times New Roman" w:cs="Times New Roman"/>
          <w:sz w:val="24"/>
          <w:szCs w:val="24"/>
        </w:rPr>
        <w:t xml:space="preserve"> is also positively related to the change in sales from the previous year and the firm's market-adjusted stock return.</w:t>
      </w:r>
    </w:p>
    <w:p w14:paraId="1E0E2224" w14:textId="7D4BD4BB" w:rsidR="00445FE6" w:rsidRPr="00893E6D" w:rsidRDefault="00445FE6" w:rsidP="00A1062B">
      <w:pPr>
        <w:spacing w:line="480" w:lineRule="auto"/>
        <w:ind w:firstLine="720"/>
        <w:jc w:val="both"/>
        <w:rPr>
          <w:rFonts w:ascii="Times New Roman" w:hAnsi="Times New Roman" w:cs="Times New Roman"/>
          <w:sz w:val="24"/>
          <w:szCs w:val="24"/>
        </w:rPr>
      </w:pPr>
      <w:r w:rsidRPr="00893E6D">
        <w:rPr>
          <w:rFonts w:ascii="Times New Roman" w:hAnsi="Times New Roman" w:cs="Times New Roman"/>
          <w:sz w:val="24"/>
          <w:szCs w:val="24"/>
        </w:rPr>
        <w:t xml:space="preserve">In Table </w:t>
      </w:r>
      <w:r w:rsidR="00CF2EB2">
        <w:rPr>
          <w:rFonts w:ascii="Times New Roman" w:hAnsi="Times New Roman" w:cs="Times New Roman"/>
          <w:sz w:val="24"/>
          <w:szCs w:val="24"/>
        </w:rPr>
        <w:t>9</w:t>
      </w:r>
      <w:r w:rsidRPr="00893E6D">
        <w:rPr>
          <w:rFonts w:ascii="Times New Roman" w:hAnsi="Times New Roman" w:cs="Times New Roman"/>
          <w:sz w:val="24"/>
          <w:szCs w:val="24"/>
        </w:rPr>
        <w:t xml:space="preserve">, we show the results of </w:t>
      </w:r>
      <w:r w:rsidR="00F03D26" w:rsidRPr="00893E6D">
        <w:rPr>
          <w:rFonts w:ascii="Times New Roman" w:hAnsi="Times New Roman" w:cs="Times New Roman"/>
          <w:sz w:val="24"/>
          <w:szCs w:val="24"/>
        </w:rPr>
        <w:t>Equation</w:t>
      </w:r>
      <w:r w:rsidR="00403F6B" w:rsidRPr="00893E6D">
        <w:rPr>
          <w:rFonts w:ascii="Times New Roman" w:hAnsi="Times New Roman" w:cs="Times New Roman"/>
          <w:sz w:val="24"/>
          <w:szCs w:val="24"/>
        </w:rPr>
        <w:t>s</w:t>
      </w:r>
      <w:r w:rsidRPr="00893E6D">
        <w:rPr>
          <w:rFonts w:ascii="Times New Roman" w:hAnsi="Times New Roman" w:cs="Times New Roman"/>
          <w:sz w:val="24"/>
          <w:szCs w:val="24"/>
        </w:rPr>
        <w:t xml:space="preserve"> </w:t>
      </w:r>
      <w:r w:rsidR="009617BF">
        <w:rPr>
          <w:rFonts w:ascii="Times New Roman" w:hAnsi="Times New Roman" w:cs="Times New Roman"/>
          <w:sz w:val="24"/>
          <w:szCs w:val="24"/>
        </w:rPr>
        <w:t>(8), (9) and (10),</w:t>
      </w:r>
      <w:r w:rsidRPr="00893E6D">
        <w:rPr>
          <w:rFonts w:ascii="Times New Roman" w:hAnsi="Times New Roman" w:cs="Times New Roman"/>
          <w:sz w:val="24"/>
          <w:szCs w:val="24"/>
        </w:rPr>
        <w:t xml:space="preserve"> whereby we replace the actual values of </w:t>
      </w:r>
      <w:r w:rsidRPr="00224F69">
        <w:rPr>
          <w:rFonts w:ascii="Times New Roman" w:hAnsi="Times New Roman" w:cs="Times New Roman"/>
          <w:i/>
          <w:sz w:val="24"/>
          <w:szCs w:val="24"/>
        </w:rPr>
        <w:t>OPERINC</w:t>
      </w:r>
      <w:r w:rsidRPr="00893E6D">
        <w:rPr>
          <w:rFonts w:ascii="Times New Roman" w:hAnsi="Times New Roman" w:cs="Times New Roman"/>
          <w:sz w:val="24"/>
          <w:szCs w:val="24"/>
        </w:rPr>
        <w:t xml:space="preserve"> by </w:t>
      </w:r>
      <w:r w:rsidR="009617BF">
        <w:rPr>
          <w:rFonts w:ascii="Times New Roman" w:hAnsi="Times New Roman" w:cs="Times New Roman"/>
          <w:sz w:val="24"/>
          <w:szCs w:val="24"/>
        </w:rPr>
        <w:t>its constituent parts, i.e.,</w:t>
      </w:r>
      <w:r w:rsidR="009617BF" w:rsidRPr="00893E6D">
        <w:rPr>
          <w:rFonts w:ascii="Times New Roman" w:hAnsi="Times New Roman" w:cs="Times New Roman"/>
          <w:sz w:val="24"/>
          <w:szCs w:val="24"/>
        </w:rPr>
        <w:t xml:space="preserve"> </w:t>
      </w:r>
      <w:r w:rsidR="00403F6B" w:rsidRPr="00893E6D">
        <w:rPr>
          <w:rFonts w:ascii="Times New Roman" w:hAnsi="Times New Roman" w:cs="Times New Roman"/>
          <w:sz w:val="24"/>
          <w:szCs w:val="24"/>
        </w:rPr>
        <w:t>expected</w:t>
      </w:r>
      <w:r w:rsidRPr="00893E6D">
        <w:rPr>
          <w:rFonts w:ascii="Times New Roman" w:hAnsi="Times New Roman" w:cs="Times New Roman"/>
          <w:sz w:val="24"/>
          <w:szCs w:val="24"/>
        </w:rPr>
        <w:t xml:space="preserve"> and unexpected </w:t>
      </w:r>
      <w:r w:rsidR="009617BF" w:rsidRPr="00224F69">
        <w:rPr>
          <w:rFonts w:ascii="Times New Roman" w:hAnsi="Times New Roman" w:cs="Times New Roman"/>
          <w:i/>
          <w:sz w:val="24"/>
          <w:szCs w:val="24"/>
        </w:rPr>
        <w:t>OPERINC</w:t>
      </w:r>
      <w:r w:rsidR="00B55CF3">
        <w:rPr>
          <w:rFonts w:ascii="Times New Roman" w:hAnsi="Times New Roman" w:cs="Times New Roman"/>
          <w:i/>
          <w:sz w:val="24"/>
          <w:szCs w:val="24"/>
        </w:rPr>
        <w:t>,</w:t>
      </w:r>
      <w:r w:rsidRPr="00893E6D">
        <w:rPr>
          <w:rFonts w:ascii="Times New Roman" w:hAnsi="Times New Roman" w:cs="Times New Roman"/>
          <w:sz w:val="24"/>
          <w:szCs w:val="24"/>
        </w:rPr>
        <w:t xml:space="preserve"> to account for classification shifting. The coefficient of the </w:t>
      </w:r>
      <w:r w:rsidR="009617BF">
        <w:rPr>
          <w:rFonts w:ascii="Times New Roman" w:hAnsi="Times New Roman" w:cs="Times New Roman"/>
          <w:sz w:val="24"/>
          <w:szCs w:val="24"/>
        </w:rPr>
        <w:t xml:space="preserve">variable representing </w:t>
      </w:r>
      <w:r w:rsidR="00F03D26" w:rsidRPr="00893E6D">
        <w:rPr>
          <w:rFonts w:ascii="Times New Roman" w:hAnsi="Times New Roman" w:cs="Times New Roman"/>
          <w:sz w:val="24"/>
          <w:szCs w:val="24"/>
        </w:rPr>
        <w:t>expect</w:t>
      </w:r>
      <w:r w:rsidRPr="00893E6D">
        <w:rPr>
          <w:rFonts w:ascii="Times New Roman" w:hAnsi="Times New Roman" w:cs="Times New Roman"/>
          <w:sz w:val="24"/>
          <w:szCs w:val="24"/>
        </w:rPr>
        <w:t>ed operating income</w:t>
      </w:r>
      <w:r w:rsidR="009617BF">
        <w:rPr>
          <w:rFonts w:ascii="Times New Roman" w:hAnsi="Times New Roman" w:cs="Times New Roman"/>
          <w:sz w:val="24"/>
          <w:szCs w:val="24"/>
        </w:rPr>
        <w:t xml:space="preserve"> (i.e., </w:t>
      </w:r>
      <w:r w:rsidR="009617BF" w:rsidRPr="00224F69">
        <w:rPr>
          <w:rFonts w:ascii="Times New Roman" w:hAnsi="Times New Roman" w:cs="Times New Roman"/>
          <w:i/>
          <w:sz w:val="24"/>
          <w:szCs w:val="24"/>
        </w:rPr>
        <w:t>OPERINC_PREDICTED</w:t>
      </w:r>
      <w:r w:rsidR="009617BF">
        <w:rPr>
          <w:rFonts w:ascii="Times New Roman" w:hAnsi="Times New Roman" w:cs="Times New Roman"/>
          <w:sz w:val="24"/>
          <w:szCs w:val="24"/>
        </w:rPr>
        <w:t>)</w:t>
      </w:r>
      <w:r w:rsidRPr="00893E6D">
        <w:rPr>
          <w:rFonts w:ascii="Times New Roman" w:hAnsi="Times New Roman" w:cs="Times New Roman"/>
          <w:sz w:val="24"/>
          <w:szCs w:val="24"/>
        </w:rPr>
        <w:t xml:space="preserve"> </w:t>
      </w:r>
      <w:r w:rsidR="00F03D26" w:rsidRPr="00893E6D">
        <w:rPr>
          <w:rFonts w:ascii="Times New Roman" w:hAnsi="Times New Roman" w:cs="Times New Roman"/>
          <w:sz w:val="24"/>
          <w:szCs w:val="24"/>
        </w:rPr>
        <w:t>is</w:t>
      </w:r>
      <w:r w:rsidRPr="00893E6D">
        <w:rPr>
          <w:rFonts w:ascii="Times New Roman" w:hAnsi="Times New Roman" w:cs="Times New Roman"/>
          <w:sz w:val="24"/>
          <w:szCs w:val="24"/>
        </w:rPr>
        <w:t xml:space="preserve"> negative and statistically significant in all the regressions, </w:t>
      </w:r>
      <w:r w:rsidR="009617BF" w:rsidRPr="00893E6D">
        <w:rPr>
          <w:rFonts w:ascii="Times New Roman" w:hAnsi="Times New Roman" w:cs="Times New Roman"/>
          <w:sz w:val="24"/>
          <w:szCs w:val="24"/>
        </w:rPr>
        <w:t>signifying</w:t>
      </w:r>
      <w:r w:rsidRPr="00893E6D">
        <w:rPr>
          <w:rFonts w:ascii="Times New Roman" w:hAnsi="Times New Roman" w:cs="Times New Roman"/>
          <w:sz w:val="24"/>
          <w:szCs w:val="24"/>
        </w:rPr>
        <w:t xml:space="preserve"> that operating income </w:t>
      </w:r>
      <w:r w:rsidR="009617BF">
        <w:rPr>
          <w:rFonts w:ascii="Times New Roman" w:hAnsi="Times New Roman" w:cs="Times New Roman"/>
          <w:sz w:val="24"/>
          <w:szCs w:val="24"/>
        </w:rPr>
        <w:t>reduces risk</w:t>
      </w:r>
      <w:r w:rsidRPr="00893E6D">
        <w:rPr>
          <w:rFonts w:ascii="Times New Roman" w:hAnsi="Times New Roman" w:cs="Times New Roman"/>
          <w:sz w:val="24"/>
          <w:szCs w:val="24"/>
        </w:rPr>
        <w:t xml:space="preserve">. </w:t>
      </w:r>
      <w:r w:rsidR="009617BF">
        <w:rPr>
          <w:rFonts w:ascii="Times New Roman" w:hAnsi="Times New Roman" w:cs="Times New Roman"/>
          <w:sz w:val="24"/>
          <w:szCs w:val="24"/>
        </w:rPr>
        <w:t>T</w:t>
      </w:r>
      <w:r w:rsidRPr="00893E6D">
        <w:rPr>
          <w:rFonts w:ascii="Times New Roman" w:hAnsi="Times New Roman" w:cs="Times New Roman"/>
          <w:sz w:val="24"/>
          <w:szCs w:val="24"/>
        </w:rPr>
        <w:t>he coefficient</w:t>
      </w:r>
      <w:r w:rsidR="00F03D26" w:rsidRPr="00893E6D">
        <w:rPr>
          <w:rFonts w:ascii="Times New Roman" w:hAnsi="Times New Roman" w:cs="Times New Roman"/>
          <w:sz w:val="24"/>
          <w:szCs w:val="24"/>
        </w:rPr>
        <w:t>s</w:t>
      </w:r>
      <w:r w:rsidRPr="00893E6D">
        <w:rPr>
          <w:rFonts w:ascii="Times New Roman" w:hAnsi="Times New Roman" w:cs="Times New Roman"/>
          <w:sz w:val="24"/>
          <w:szCs w:val="24"/>
        </w:rPr>
        <w:t xml:space="preserve"> of </w:t>
      </w:r>
      <m:oMath>
        <m:r>
          <w:rPr>
            <w:rFonts w:ascii="Cambria Math" w:hAnsi="Cambria Math" w:cs="Times New Roman"/>
            <w:sz w:val="24"/>
            <w:szCs w:val="24"/>
          </w:rPr>
          <m:t>NONOPERIN</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oMath>
      <w:r w:rsidRPr="00893E6D">
        <w:rPr>
          <w:rFonts w:ascii="Times New Roman" w:hAnsi="Times New Roman" w:cs="Times New Roman"/>
          <w:sz w:val="24"/>
          <w:szCs w:val="24"/>
        </w:rPr>
        <w:t xml:space="preserve"> </w:t>
      </w:r>
      <w:r w:rsidR="00F03D26" w:rsidRPr="00893E6D">
        <w:rPr>
          <w:rFonts w:ascii="Times New Roman" w:hAnsi="Times New Roman" w:cs="Times New Roman"/>
          <w:sz w:val="24"/>
          <w:szCs w:val="24"/>
        </w:rPr>
        <w:t>and the unexpected operating earnings</w:t>
      </w:r>
      <w:r w:rsidR="009617BF">
        <w:rPr>
          <w:rFonts w:ascii="Times New Roman" w:hAnsi="Times New Roman" w:cs="Times New Roman"/>
          <w:sz w:val="24"/>
          <w:szCs w:val="24"/>
        </w:rPr>
        <w:t>, i.e.,</w:t>
      </w:r>
      <w:r w:rsidR="009617BF" w:rsidRPr="009617BF">
        <w:rPr>
          <w:rFonts w:ascii="Times New Roman" w:hAnsi="Times New Roman" w:cs="Times New Roman"/>
          <w:sz w:val="24"/>
          <w:szCs w:val="24"/>
        </w:rPr>
        <w:tab/>
      </w:r>
      <w:r w:rsidR="009617BF" w:rsidRPr="00224F69">
        <w:rPr>
          <w:rFonts w:ascii="Times New Roman" w:hAnsi="Times New Roman" w:cs="Times New Roman"/>
          <w:i/>
          <w:sz w:val="24"/>
          <w:szCs w:val="24"/>
        </w:rPr>
        <w:t>OPERINC_UNEXPECTED</w:t>
      </w:r>
      <w:r w:rsidR="009617BF">
        <w:rPr>
          <w:rFonts w:ascii="Times New Roman" w:hAnsi="Times New Roman" w:cs="Times New Roman"/>
          <w:sz w:val="24"/>
          <w:szCs w:val="24"/>
        </w:rPr>
        <w:t xml:space="preserve">, </w:t>
      </w:r>
      <w:r w:rsidR="008E10EA">
        <w:rPr>
          <w:rFonts w:ascii="Times New Roman" w:hAnsi="Times New Roman" w:cs="Times New Roman"/>
          <w:sz w:val="24"/>
          <w:szCs w:val="24"/>
        </w:rPr>
        <w:t>(</w:t>
      </w:r>
      <w:r w:rsidR="009617BF">
        <w:rPr>
          <w:rFonts w:ascii="Times New Roman" w:hAnsi="Times New Roman" w:cs="Times New Roman"/>
          <w:sz w:val="24"/>
          <w:szCs w:val="24"/>
        </w:rPr>
        <w:t xml:space="preserve">i.e., our estimate of the </w:t>
      </w:r>
      <w:r w:rsidR="008E10EA">
        <w:rPr>
          <w:rFonts w:ascii="Times New Roman" w:hAnsi="Times New Roman" w:cs="Times New Roman"/>
          <w:sz w:val="24"/>
          <w:szCs w:val="24"/>
        </w:rPr>
        <w:t>mis</w:t>
      </w:r>
      <w:r w:rsidR="00F32AFF" w:rsidRPr="00893E6D">
        <w:rPr>
          <w:rFonts w:ascii="Times New Roman" w:hAnsi="Times New Roman" w:cs="Times New Roman"/>
          <w:sz w:val="24"/>
          <w:szCs w:val="24"/>
        </w:rPr>
        <w:t>classified portion of non-operating earnings)</w:t>
      </w:r>
      <w:r w:rsidR="00F03D26" w:rsidRPr="00893E6D">
        <w:rPr>
          <w:rFonts w:ascii="Times New Roman" w:hAnsi="Times New Roman" w:cs="Times New Roman"/>
          <w:sz w:val="24"/>
          <w:szCs w:val="24"/>
        </w:rPr>
        <w:t xml:space="preserve"> are</w:t>
      </w:r>
      <w:r w:rsidRPr="00893E6D">
        <w:rPr>
          <w:rFonts w:ascii="Times New Roman" w:hAnsi="Times New Roman" w:cs="Times New Roman"/>
          <w:sz w:val="24"/>
          <w:szCs w:val="24"/>
        </w:rPr>
        <w:t xml:space="preserve"> </w:t>
      </w:r>
      <w:r w:rsidR="009617BF">
        <w:rPr>
          <w:rFonts w:ascii="Times New Roman" w:hAnsi="Times New Roman" w:cs="Times New Roman"/>
          <w:sz w:val="24"/>
          <w:szCs w:val="24"/>
        </w:rPr>
        <w:t xml:space="preserve">both </w:t>
      </w:r>
      <w:r w:rsidRPr="00893E6D">
        <w:rPr>
          <w:rFonts w:ascii="Times New Roman" w:hAnsi="Times New Roman" w:cs="Times New Roman"/>
          <w:sz w:val="24"/>
          <w:szCs w:val="24"/>
        </w:rPr>
        <w:t xml:space="preserve">negative and highly significant in </w:t>
      </w:r>
      <w:r w:rsidR="009617BF">
        <w:rPr>
          <w:rFonts w:ascii="Times New Roman" w:hAnsi="Times New Roman" w:cs="Times New Roman"/>
          <w:sz w:val="24"/>
          <w:szCs w:val="24"/>
        </w:rPr>
        <w:t>the regressions of</w:t>
      </w:r>
      <w:r w:rsidR="009617BF" w:rsidRPr="00893E6D">
        <w:rPr>
          <w:rFonts w:ascii="Times New Roman" w:hAnsi="Times New Roman" w:cs="Times New Roman"/>
          <w:sz w:val="24"/>
          <w:szCs w:val="24"/>
        </w:rPr>
        <w:t xml:space="preserve"> </w:t>
      </w:r>
      <w:r w:rsidRPr="00893E6D">
        <w:rPr>
          <w:rFonts w:ascii="Times New Roman" w:hAnsi="Times New Roman" w:cs="Times New Roman"/>
          <w:sz w:val="24"/>
          <w:szCs w:val="24"/>
        </w:rPr>
        <w:t xml:space="preserve">the </w:t>
      </w:r>
      <w:r w:rsidR="009617BF">
        <w:rPr>
          <w:rFonts w:ascii="Times New Roman" w:hAnsi="Times New Roman" w:cs="Times New Roman"/>
          <w:sz w:val="24"/>
          <w:szCs w:val="24"/>
        </w:rPr>
        <w:t>stock</w:t>
      </w:r>
      <w:r w:rsidR="009617BF" w:rsidRPr="00893E6D">
        <w:rPr>
          <w:rFonts w:ascii="Times New Roman" w:hAnsi="Times New Roman" w:cs="Times New Roman"/>
          <w:sz w:val="24"/>
          <w:szCs w:val="24"/>
        </w:rPr>
        <w:t xml:space="preserve"> market</w:t>
      </w:r>
      <w:r w:rsidRPr="00893E6D">
        <w:rPr>
          <w:rFonts w:ascii="Times New Roman" w:hAnsi="Times New Roman" w:cs="Times New Roman"/>
          <w:sz w:val="24"/>
          <w:szCs w:val="24"/>
        </w:rPr>
        <w:t xml:space="preserve">-based measures of volatility. Thus, </w:t>
      </w:r>
      <w:r w:rsidR="00F03D26" w:rsidRPr="00893E6D">
        <w:rPr>
          <w:rFonts w:ascii="Times New Roman" w:hAnsi="Times New Roman" w:cs="Times New Roman"/>
          <w:sz w:val="24"/>
          <w:szCs w:val="24"/>
        </w:rPr>
        <w:t xml:space="preserve">after </w:t>
      </w:r>
      <w:r w:rsidR="009617BF">
        <w:rPr>
          <w:rFonts w:ascii="Times New Roman" w:hAnsi="Times New Roman" w:cs="Times New Roman"/>
          <w:sz w:val="24"/>
          <w:szCs w:val="24"/>
        </w:rPr>
        <w:t>accounting for</w:t>
      </w:r>
      <w:r w:rsidR="009617BF" w:rsidRPr="00893E6D">
        <w:rPr>
          <w:rFonts w:ascii="Times New Roman" w:hAnsi="Times New Roman" w:cs="Times New Roman"/>
          <w:sz w:val="24"/>
          <w:szCs w:val="24"/>
        </w:rPr>
        <w:t xml:space="preserve"> </w:t>
      </w:r>
      <w:r w:rsidR="00F03D26" w:rsidRPr="00893E6D">
        <w:rPr>
          <w:rFonts w:ascii="Times New Roman" w:hAnsi="Times New Roman" w:cs="Times New Roman"/>
          <w:sz w:val="24"/>
          <w:szCs w:val="24"/>
        </w:rPr>
        <w:t xml:space="preserve">potential </w:t>
      </w:r>
      <w:r w:rsidRPr="00893E6D">
        <w:rPr>
          <w:rFonts w:ascii="Times New Roman" w:hAnsi="Times New Roman" w:cs="Times New Roman"/>
          <w:sz w:val="24"/>
          <w:szCs w:val="24"/>
        </w:rPr>
        <w:t>classification shifting</w:t>
      </w:r>
      <w:r w:rsidR="00F03D26" w:rsidRPr="00893E6D">
        <w:rPr>
          <w:rFonts w:ascii="Times New Roman" w:hAnsi="Times New Roman" w:cs="Times New Roman"/>
          <w:sz w:val="24"/>
          <w:szCs w:val="24"/>
        </w:rPr>
        <w:t xml:space="preserve"> and earnings management</w:t>
      </w:r>
      <w:r w:rsidRPr="00893E6D">
        <w:rPr>
          <w:rFonts w:ascii="Times New Roman" w:hAnsi="Times New Roman" w:cs="Times New Roman"/>
          <w:sz w:val="24"/>
          <w:szCs w:val="24"/>
        </w:rPr>
        <w:t xml:space="preserve">, </w:t>
      </w:r>
      <w:r w:rsidR="009617BF">
        <w:rPr>
          <w:rFonts w:ascii="Times New Roman" w:hAnsi="Times New Roman" w:cs="Times New Roman"/>
          <w:sz w:val="24"/>
          <w:szCs w:val="24"/>
        </w:rPr>
        <w:t>non-operating income continues to be adversely associated to</w:t>
      </w:r>
      <w:r w:rsidRPr="00893E6D">
        <w:rPr>
          <w:rFonts w:ascii="Times New Roman" w:hAnsi="Times New Roman" w:cs="Times New Roman"/>
          <w:sz w:val="24"/>
          <w:szCs w:val="24"/>
        </w:rPr>
        <w:t xml:space="preserve"> stock price volatility</w:t>
      </w:r>
      <w:r w:rsidR="00701F53">
        <w:rPr>
          <w:rFonts w:ascii="Times New Roman" w:hAnsi="Times New Roman" w:cs="Times New Roman"/>
          <w:sz w:val="24"/>
          <w:szCs w:val="24"/>
        </w:rPr>
        <w:t xml:space="preserve">. </w:t>
      </w:r>
      <w:r w:rsidR="009617BF">
        <w:rPr>
          <w:rFonts w:ascii="Times New Roman" w:hAnsi="Times New Roman" w:cs="Times New Roman"/>
          <w:sz w:val="24"/>
          <w:szCs w:val="24"/>
        </w:rPr>
        <w:t xml:space="preserve">Taken together, the evidence does not support </w:t>
      </w:r>
      <w:r w:rsidR="000268C2">
        <w:rPr>
          <w:rFonts w:ascii="Times New Roman" w:hAnsi="Times New Roman" w:cs="Times New Roman"/>
          <w:sz w:val="24"/>
          <w:szCs w:val="24"/>
        </w:rPr>
        <w:t>H</w:t>
      </w:r>
      <w:r w:rsidR="000268C2" w:rsidRPr="00811D08">
        <w:rPr>
          <w:rFonts w:ascii="Times New Roman" w:hAnsi="Times New Roman" w:cs="Times New Roman"/>
          <w:sz w:val="24"/>
          <w:szCs w:val="24"/>
          <w:vertAlign w:val="subscript"/>
        </w:rPr>
        <w:t>2</w:t>
      </w:r>
      <w:r w:rsidR="0025004F" w:rsidRPr="00811D08">
        <w:rPr>
          <w:rFonts w:ascii="Times New Roman" w:hAnsi="Times New Roman" w:cs="Times New Roman"/>
          <w:sz w:val="24"/>
          <w:szCs w:val="24"/>
          <w:vertAlign w:val="subscript"/>
        </w:rPr>
        <w:t>b</w:t>
      </w:r>
      <w:r w:rsidR="00F538FB" w:rsidRPr="00893E6D">
        <w:rPr>
          <w:rFonts w:ascii="Times New Roman" w:hAnsi="Times New Roman" w:cs="Times New Roman"/>
          <w:sz w:val="24"/>
          <w:szCs w:val="24"/>
        </w:rPr>
        <w:t>.</w:t>
      </w:r>
    </w:p>
    <w:p w14:paraId="1F408810" w14:textId="0F54529E" w:rsidR="00445FE6" w:rsidRPr="00893E6D" w:rsidRDefault="00445FE6" w:rsidP="00B73A42">
      <w:pPr>
        <w:spacing w:line="480" w:lineRule="auto"/>
        <w:jc w:val="center"/>
        <w:rPr>
          <w:rFonts w:ascii="Times New Roman" w:hAnsi="Times New Roman" w:cs="Times New Roman"/>
          <w:sz w:val="24"/>
          <w:szCs w:val="24"/>
        </w:rPr>
      </w:pPr>
      <w:r w:rsidRPr="00893E6D">
        <w:rPr>
          <w:rFonts w:ascii="Times New Roman" w:hAnsi="Times New Roman" w:cs="Times New Roman"/>
          <w:sz w:val="24"/>
          <w:szCs w:val="24"/>
        </w:rPr>
        <w:t xml:space="preserve">[INSERT TABLE </w:t>
      </w:r>
      <w:r w:rsidR="00CF2EB2">
        <w:rPr>
          <w:rFonts w:ascii="Times New Roman" w:hAnsi="Times New Roman" w:cs="Times New Roman"/>
          <w:sz w:val="24"/>
          <w:szCs w:val="24"/>
        </w:rPr>
        <w:t>9</w:t>
      </w:r>
      <w:r w:rsidR="00CF2EB2" w:rsidRPr="00893E6D">
        <w:rPr>
          <w:rFonts w:ascii="Times New Roman" w:hAnsi="Times New Roman" w:cs="Times New Roman"/>
          <w:sz w:val="24"/>
          <w:szCs w:val="24"/>
        </w:rPr>
        <w:t xml:space="preserve"> </w:t>
      </w:r>
      <w:r w:rsidRPr="00893E6D">
        <w:rPr>
          <w:rFonts w:ascii="Times New Roman" w:hAnsi="Times New Roman" w:cs="Times New Roman"/>
          <w:sz w:val="24"/>
          <w:szCs w:val="24"/>
        </w:rPr>
        <w:t>ABOUT HERE]</w:t>
      </w:r>
    </w:p>
    <w:p w14:paraId="09B07E25" w14:textId="7A968655" w:rsidR="00445FE6" w:rsidRPr="00E33283" w:rsidRDefault="00445FE6" w:rsidP="00E33283">
      <w:pPr>
        <w:pStyle w:val="ListParagraph"/>
        <w:numPr>
          <w:ilvl w:val="2"/>
          <w:numId w:val="12"/>
        </w:numPr>
        <w:spacing w:line="480" w:lineRule="auto"/>
        <w:jc w:val="both"/>
        <w:rPr>
          <w:rFonts w:ascii="Times New Roman" w:hAnsi="Times New Roman" w:cs="Times New Roman"/>
          <w:b/>
          <w:i/>
          <w:sz w:val="24"/>
          <w:szCs w:val="24"/>
        </w:rPr>
      </w:pPr>
      <w:r w:rsidRPr="00E33283">
        <w:rPr>
          <w:rFonts w:ascii="Times New Roman" w:hAnsi="Times New Roman" w:cs="Times New Roman"/>
          <w:b/>
          <w:i/>
          <w:sz w:val="24"/>
          <w:szCs w:val="24"/>
        </w:rPr>
        <w:lastRenderedPageBreak/>
        <w:t xml:space="preserve">Unexpected </w:t>
      </w:r>
      <w:r w:rsidR="000E01C0" w:rsidRPr="00E33283">
        <w:rPr>
          <w:rFonts w:ascii="Times New Roman" w:hAnsi="Times New Roman" w:cs="Times New Roman"/>
          <w:b/>
          <w:i/>
          <w:sz w:val="24"/>
          <w:szCs w:val="24"/>
        </w:rPr>
        <w:t>n</w:t>
      </w:r>
      <w:r w:rsidRPr="00E33283">
        <w:rPr>
          <w:rFonts w:ascii="Times New Roman" w:hAnsi="Times New Roman" w:cs="Times New Roman"/>
          <w:b/>
          <w:i/>
          <w:sz w:val="24"/>
          <w:szCs w:val="24"/>
        </w:rPr>
        <w:t xml:space="preserve">on-operating </w:t>
      </w:r>
      <w:r w:rsidR="000E01C0" w:rsidRPr="00E33283">
        <w:rPr>
          <w:rFonts w:ascii="Times New Roman" w:hAnsi="Times New Roman" w:cs="Times New Roman"/>
          <w:b/>
          <w:i/>
          <w:sz w:val="24"/>
          <w:szCs w:val="24"/>
        </w:rPr>
        <w:t>i</w:t>
      </w:r>
      <w:r w:rsidRPr="00E33283">
        <w:rPr>
          <w:rFonts w:ascii="Times New Roman" w:hAnsi="Times New Roman" w:cs="Times New Roman"/>
          <w:b/>
          <w:i/>
          <w:sz w:val="24"/>
          <w:szCs w:val="24"/>
        </w:rPr>
        <w:t xml:space="preserve">ncome and </w:t>
      </w:r>
      <w:r w:rsidR="000E01C0" w:rsidRPr="00E33283">
        <w:rPr>
          <w:rFonts w:ascii="Times New Roman" w:hAnsi="Times New Roman" w:cs="Times New Roman"/>
          <w:b/>
          <w:i/>
          <w:sz w:val="24"/>
          <w:szCs w:val="24"/>
        </w:rPr>
        <w:t>r</w:t>
      </w:r>
      <w:r w:rsidRPr="00E33283">
        <w:rPr>
          <w:rFonts w:ascii="Times New Roman" w:hAnsi="Times New Roman" w:cs="Times New Roman"/>
          <w:b/>
          <w:i/>
          <w:sz w:val="24"/>
          <w:szCs w:val="24"/>
        </w:rPr>
        <w:t xml:space="preserve">isk </w:t>
      </w:r>
      <w:r w:rsidR="000E01C0" w:rsidRPr="00E33283">
        <w:rPr>
          <w:rFonts w:ascii="Times New Roman" w:hAnsi="Times New Roman" w:cs="Times New Roman"/>
          <w:b/>
          <w:i/>
          <w:sz w:val="24"/>
          <w:szCs w:val="24"/>
        </w:rPr>
        <w:t>m</w:t>
      </w:r>
      <w:r w:rsidRPr="00E33283">
        <w:rPr>
          <w:rFonts w:ascii="Times New Roman" w:hAnsi="Times New Roman" w:cs="Times New Roman"/>
          <w:b/>
          <w:i/>
          <w:sz w:val="24"/>
          <w:szCs w:val="24"/>
        </w:rPr>
        <w:t>easures</w:t>
      </w:r>
    </w:p>
    <w:p w14:paraId="52E40AFC" w14:textId="748F6C2D" w:rsidR="00445FE6" w:rsidRPr="00893E6D" w:rsidRDefault="00B55CF3" w:rsidP="00A1062B">
      <w:pPr>
        <w:spacing w:line="480" w:lineRule="auto"/>
        <w:ind w:firstLine="720"/>
        <w:jc w:val="both"/>
        <w:rPr>
          <w:rFonts w:ascii="Times New Roman" w:hAnsi="Times New Roman" w:cs="Times New Roman"/>
          <w:sz w:val="24"/>
          <w:szCs w:val="24"/>
        </w:rPr>
      </w:pPr>
      <w:r w:rsidRPr="00893E6D">
        <w:rPr>
          <w:rFonts w:ascii="Times New Roman" w:hAnsi="Times New Roman" w:cs="Times New Roman"/>
          <w:sz w:val="24"/>
          <w:szCs w:val="24"/>
        </w:rPr>
        <w:t>We follow the same procedure as that in Section 4.6.</w:t>
      </w:r>
      <w:r w:rsidR="00987498">
        <w:rPr>
          <w:rFonts w:ascii="Times New Roman" w:hAnsi="Times New Roman" w:cs="Times New Roman"/>
          <w:sz w:val="24"/>
          <w:szCs w:val="24"/>
        </w:rPr>
        <w:t>1</w:t>
      </w:r>
      <w:r w:rsidR="00987498" w:rsidRPr="00893E6D">
        <w:rPr>
          <w:rFonts w:ascii="Times New Roman" w:hAnsi="Times New Roman" w:cs="Times New Roman"/>
          <w:sz w:val="24"/>
          <w:szCs w:val="24"/>
        </w:rPr>
        <w:t xml:space="preserve"> </w:t>
      </w:r>
      <w:r w:rsidRPr="00893E6D">
        <w:rPr>
          <w:rFonts w:ascii="Times New Roman" w:hAnsi="Times New Roman" w:cs="Times New Roman"/>
          <w:sz w:val="24"/>
          <w:szCs w:val="24"/>
        </w:rPr>
        <w:t xml:space="preserve">to obtain expected and unexpected non-operating income. </w:t>
      </w:r>
      <w:r w:rsidR="00445FE6" w:rsidRPr="00893E6D">
        <w:rPr>
          <w:rFonts w:ascii="Times New Roman" w:hAnsi="Times New Roman" w:cs="Times New Roman"/>
          <w:sz w:val="24"/>
          <w:szCs w:val="24"/>
        </w:rPr>
        <w:t>We present the regression results for the expected levels of the ratio of non-operating income-to-total assets in</w:t>
      </w:r>
      <w:r w:rsidR="00143DDD" w:rsidRPr="00893E6D">
        <w:rPr>
          <w:rFonts w:ascii="Times New Roman" w:hAnsi="Times New Roman" w:cs="Times New Roman"/>
          <w:sz w:val="24"/>
          <w:szCs w:val="24"/>
        </w:rPr>
        <w:t xml:space="preserve"> Panel B of</w:t>
      </w:r>
      <w:r w:rsidR="00445FE6" w:rsidRPr="00893E6D">
        <w:rPr>
          <w:rFonts w:ascii="Times New Roman" w:hAnsi="Times New Roman" w:cs="Times New Roman"/>
          <w:sz w:val="24"/>
          <w:szCs w:val="24"/>
        </w:rPr>
        <w:t xml:space="preserve"> Table </w:t>
      </w:r>
      <w:r w:rsidR="00F03D26" w:rsidRPr="00893E6D">
        <w:rPr>
          <w:rFonts w:ascii="Times New Roman" w:hAnsi="Times New Roman" w:cs="Times New Roman"/>
          <w:sz w:val="24"/>
          <w:szCs w:val="24"/>
        </w:rPr>
        <w:t>A</w:t>
      </w:r>
      <w:r w:rsidR="00143DDD" w:rsidRPr="00893E6D">
        <w:rPr>
          <w:rFonts w:ascii="Times New Roman" w:hAnsi="Times New Roman" w:cs="Times New Roman"/>
          <w:sz w:val="24"/>
          <w:szCs w:val="24"/>
        </w:rPr>
        <w:t>1</w:t>
      </w:r>
      <w:r w:rsidR="00445FE6" w:rsidRPr="00893E6D">
        <w:rPr>
          <w:rFonts w:ascii="Times New Roman" w:hAnsi="Times New Roman" w:cs="Times New Roman"/>
          <w:sz w:val="24"/>
          <w:szCs w:val="24"/>
        </w:rPr>
        <w:t xml:space="preserve">. </w:t>
      </w:r>
      <w:r w:rsidR="00C23DF4" w:rsidRPr="00C23DF4">
        <w:rPr>
          <w:rFonts w:ascii="Times New Roman" w:hAnsi="Times New Roman" w:cs="Times New Roman"/>
          <w:sz w:val="24"/>
          <w:szCs w:val="24"/>
        </w:rPr>
        <w:t xml:space="preserve">The adjusted R-squared is 44.7%. The coefficient of the lagged value of non-operating income-to-total assets is negative, </w:t>
      </w:r>
      <w:r w:rsidR="00C23DF4">
        <w:rPr>
          <w:rFonts w:ascii="Times New Roman" w:hAnsi="Times New Roman" w:cs="Times New Roman"/>
          <w:sz w:val="24"/>
          <w:szCs w:val="24"/>
        </w:rPr>
        <w:t>which suggests</w:t>
      </w:r>
      <w:r w:rsidR="00C23DF4" w:rsidRPr="00C23DF4">
        <w:rPr>
          <w:rFonts w:ascii="Times New Roman" w:hAnsi="Times New Roman" w:cs="Times New Roman"/>
          <w:sz w:val="24"/>
          <w:szCs w:val="24"/>
        </w:rPr>
        <w:t xml:space="preserve"> that firms </w:t>
      </w:r>
      <w:r w:rsidR="00C23DF4">
        <w:rPr>
          <w:rFonts w:ascii="Times New Roman" w:hAnsi="Times New Roman" w:cs="Times New Roman"/>
          <w:sz w:val="24"/>
          <w:szCs w:val="24"/>
        </w:rPr>
        <w:t>reporting</w:t>
      </w:r>
      <w:r w:rsidR="00C23DF4" w:rsidRPr="00C23DF4">
        <w:rPr>
          <w:rFonts w:ascii="Times New Roman" w:hAnsi="Times New Roman" w:cs="Times New Roman"/>
          <w:sz w:val="24"/>
          <w:szCs w:val="24"/>
        </w:rPr>
        <w:t xml:space="preserve"> a large value of non-operating income this year are </w:t>
      </w:r>
      <w:r w:rsidR="00C23DF4">
        <w:rPr>
          <w:rFonts w:ascii="Times New Roman" w:hAnsi="Times New Roman" w:cs="Times New Roman"/>
          <w:sz w:val="24"/>
          <w:szCs w:val="24"/>
        </w:rPr>
        <w:t>likely</w:t>
      </w:r>
      <w:r w:rsidR="00C23DF4" w:rsidRPr="00C23DF4">
        <w:rPr>
          <w:rFonts w:ascii="Times New Roman" w:hAnsi="Times New Roman" w:cs="Times New Roman"/>
          <w:sz w:val="24"/>
          <w:szCs w:val="24"/>
        </w:rPr>
        <w:t xml:space="preserve"> to report a smaller non-operating income </w:t>
      </w:r>
      <w:r w:rsidR="00C23DF4">
        <w:rPr>
          <w:rFonts w:ascii="Times New Roman" w:hAnsi="Times New Roman" w:cs="Times New Roman"/>
          <w:sz w:val="24"/>
          <w:szCs w:val="24"/>
        </w:rPr>
        <w:t>next</w:t>
      </w:r>
      <w:r w:rsidR="00C23DF4" w:rsidRPr="00C23DF4">
        <w:rPr>
          <w:rFonts w:ascii="Times New Roman" w:hAnsi="Times New Roman" w:cs="Times New Roman"/>
          <w:sz w:val="24"/>
          <w:szCs w:val="24"/>
        </w:rPr>
        <w:t xml:space="preserve"> year.</w:t>
      </w:r>
    </w:p>
    <w:p w14:paraId="4629B396" w14:textId="0A15E9DA" w:rsidR="008412BC" w:rsidRPr="00893E6D" w:rsidRDefault="00224F69" w:rsidP="00A1062B">
      <w:pPr>
        <w:spacing w:line="480" w:lineRule="auto"/>
        <w:ind w:firstLine="720"/>
        <w:jc w:val="both"/>
        <w:rPr>
          <w:rFonts w:ascii="Times New Roman" w:hAnsi="Times New Roman" w:cs="Times New Roman"/>
          <w:sz w:val="24"/>
          <w:szCs w:val="24"/>
        </w:rPr>
      </w:pPr>
      <w:r w:rsidRPr="00224F69">
        <w:rPr>
          <w:rFonts w:ascii="Times New Roman" w:hAnsi="Times New Roman" w:cs="Times New Roman"/>
          <w:sz w:val="24"/>
          <w:szCs w:val="24"/>
        </w:rPr>
        <w:t xml:space="preserve">In Table 10, we replace the actual values of </w:t>
      </w:r>
      <w:r w:rsidRPr="00224F69">
        <w:rPr>
          <w:rFonts w:ascii="Times New Roman" w:hAnsi="Times New Roman" w:cs="Times New Roman"/>
          <w:i/>
          <w:sz w:val="24"/>
          <w:szCs w:val="24"/>
        </w:rPr>
        <w:t>NONOPERINC</w:t>
      </w:r>
      <w:r w:rsidRPr="00224F69">
        <w:rPr>
          <w:rFonts w:ascii="Times New Roman" w:hAnsi="Times New Roman" w:cs="Times New Roman"/>
          <w:sz w:val="24"/>
          <w:szCs w:val="24"/>
        </w:rPr>
        <w:t xml:space="preserve"> and </w:t>
      </w:r>
      <w:r w:rsidRPr="00224F69">
        <w:rPr>
          <w:rFonts w:ascii="Times New Roman" w:hAnsi="Times New Roman" w:cs="Times New Roman"/>
          <w:i/>
          <w:sz w:val="24"/>
          <w:szCs w:val="24"/>
        </w:rPr>
        <w:t>OPERINC</w:t>
      </w:r>
      <w:r w:rsidRPr="00224F69">
        <w:rPr>
          <w:rFonts w:ascii="Times New Roman" w:hAnsi="Times New Roman" w:cs="Times New Roman"/>
          <w:sz w:val="24"/>
          <w:szCs w:val="24"/>
        </w:rPr>
        <w:t xml:space="preserve"> by their corresponding expected and unexpected values to account for classification shifting of earnings. The coefficients of operating income (i.e., both </w:t>
      </w:r>
      <w:r w:rsidRPr="00224F69">
        <w:rPr>
          <w:rFonts w:ascii="Times New Roman" w:hAnsi="Times New Roman" w:cs="Times New Roman"/>
          <w:i/>
          <w:sz w:val="24"/>
          <w:szCs w:val="24"/>
        </w:rPr>
        <w:t>OPERINC</w:t>
      </w:r>
      <w:r w:rsidRPr="00224F69">
        <w:rPr>
          <w:rFonts w:ascii="Times New Roman" w:hAnsi="Times New Roman" w:cs="Times New Roman"/>
          <w:sz w:val="24"/>
          <w:szCs w:val="24"/>
        </w:rPr>
        <w:t>_</w:t>
      </w:r>
      <w:r w:rsidRPr="00224F69">
        <w:rPr>
          <w:rFonts w:ascii="Times New Roman" w:hAnsi="Times New Roman" w:cs="Times New Roman"/>
          <w:i/>
          <w:sz w:val="24"/>
          <w:szCs w:val="24"/>
        </w:rPr>
        <w:t>PREDICTED</w:t>
      </w:r>
      <w:r w:rsidRPr="00224F69">
        <w:rPr>
          <w:rFonts w:ascii="Times New Roman" w:hAnsi="Times New Roman" w:cs="Times New Roman"/>
          <w:sz w:val="24"/>
          <w:szCs w:val="24"/>
        </w:rPr>
        <w:t xml:space="preserve"> and </w:t>
      </w:r>
      <w:r w:rsidRPr="00224F69">
        <w:rPr>
          <w:rFonts w:ascii="Times New Roman" w:hAnsi="Times New Roman" w:cs="Times New Roman"/>
          <w:i/>
          <w:sz w:val="24"/>
          <w:szCs w:val="24"/>
        </w:rPr>
        <w:t>OPERINC_UNEXPECTED</w:t>
      </w:r>
      <w:r w:rsidRPr="00224F69">
        <w:rPr>
          <w:rFonts w:ascii="Times New Roman" w:hAnsi="Times New Roman" w:cs="Times New Roman"/>
          <w:sz w:val="24"/>
          <w:szCs w:val="24"/>
        </w:rPr>
        <w:t xml:space="preserve">) are negative and statistically significant, consistent with the adverse association between operating income and the risk measures documented earlier. Crucially, the coefficients related to non-operating income (i.e., both </w:t>
      </w:r>
      <w:r w:rsidRPr="00224F69">
        <w:rPr>
          <w:rFonts w:ascii="Times New Roman" w:hAnsi="Times New Roman" w:cs="Times New Roman"/>
          <w:i/>
          <w:sz w:val="24"/>
          <w:szCs w:val="24"/>
        </w:rPr>
        <w:t>NONOPERINC_PREDICTED</w:t>
      </w:r>
      <w:r w:rsidRPr="00224F69">
        <w:rPr>
          <w:rFonts w:ascii="Times New Roman" w:hAnsi="Times New Roman" w:cs="Times New Roman"/>
          <w:sz w:val="24"/>
          <w:szCs w:val="24"/>
        </w:rPr>
        <w:t xml:space="preserve"> and </w:t>
      </w:r>
      <w:r w:rsidRPr="00224F69">
        <w:rPr>
          <w:rFonts w:ascii="Times New Roman" w:hAnsi="Times New Roman" w:cs="Times New Roman"/>
          <w:i/>
          <w:sz w:val="24"/>
          <w:szCs w:val="24"/>
        </w:rPr>
        <w:t>NONOPERINC_UNEXPECTED</w:t>
      </w:r>
      <w:r w:rsidRPr="00224F69">
        <w:rPr>
          <w:rFonts w:ascii="Times New Roman" w:hAnsi="Times New Roman" w:cs="Times New Roman"/>
          <w:sz w:val="24"/>
          <w:szCs w:val="24"/>
        </w:rPr>
        <w:t xml:space="preserve">) are also negative and statistically </w:t>
      </w:r>
      <w:r w:rsidR="00A87465">
        <w:rPr>
          <w:rFonts w:ascii="Times New Roman" w:hAnsi="Times New Roman" w:cs="Times New Roman"/>
          <w:sz w:val="24"/>
          <w:szCs w:val="24"/>
        </w:rPr>
        <w:t xml:space="preserve">significant </w:t>
      </w:r>
      <w:r w:rsidRPr="00224F69">
        <w:rPr>
          <w:rFonts w:ascii="Times New Roman" w:hAnsi="Times New Roman" w:cs="Times New Roman"/>
          <w:sz w:val="24"/>
          <w:szCs w:val="24"/>
        </w:rPr>
        <w:t xml:space="preserve">in the regressions of </w:t>
      </w:r>
      <w:r w:rsidR="00E714E3">
        <w:rPr>
          <w:rFonts w:ascii="Times New Roman" w:hAnsi="Times New Roman" w:cs="Times New Roman"/>
          <w:sz w:val="24"/>
          <w:szCs w:val="24"/>
        </w:rPr>
        <w:t>two</w:t>
      </w:r>
      <w:r w:rsidR="00E714E3" w:rsidRPr="00224F69">
        <w:rPr>
          <w:rFonts w:ascii="Times New Roman" w:hAnsi="Times New Roman" w:cs="Times New Roman"/>
          <w:sz w:val="24"/>
          <w:szCs w:val="24"/>
        </w:rPr>
        <w:t xml:space="preserve"> </w:t>
      </w:r>
      <w:r w:rsidRPr="00224F69">
        <w:rPr>
          <w:rFonts w:ascii="Times New Roman" w:hAnsi="Times New Roman" w:cs="Times New Roman"/>
          <w:sz w:val="24"/>
          <w:szCs w:val="24"/>
        </w:rPr>
        <w:t xml:space="preserve">stock market-based risk measures, i.e., </w:t>
      </w:r>
      <w:r w:rsidRPr="00224F69">
        <w:rPr>
          <w:rFonts w:ascii="Times New Roman" w:hAnsi="Times New Roman" w:cs="Times New Roman"/>
          <w:i/>
          <w:sz w:val="24"/>
          <w:szCs w:val="24"/>
        </w:rPr>
        <w:t>TOTRISK</w:t>
      </w:r>
      <w:r w:rsidR="00E714E3">
        <w:rPr>
          <w:rFonts w:ascii="Times New Roman" w:hAnsi="Times New Roman" w:cs="Times New Roman"/>
          <w:sz w:val="24"/>
          <w:szCs w:val="24"/>
        </w:rPr>
        <w:t xml:space="preserve"> and </w:t>
      </w:r>
      <w:r w:rsidRPr="00224F69">
        <w:rPr>
          <w:rFonts w:ascii="Times New Roman" w:hAnsi="Times New Roman" w:cs="Times New Roman"/>
          <w:i/>
          <w:sz w:val="24"/>
          <w:szCs w:val="24"/>
        </w:rPr>
        <w:t>IDIORISK</w:t>
      </w:r>
      <w:r w:rsidRPr="00224F69">
        <w:rPr>
          <w:rFonts w:ascii="Times New Roman" w:hAnsi="Times New Roman" w:cs="Times New Roman"/>
          <w:sz w:val="24"/>
          <w:szCs w:val="24"/>
        </w:rPr>
        <w:t xml:space="preserve">. </w:t>
      </w:r>
      <w:r w:rsidR="00DC43E4">
        <w:rPr>
          <w:rFonts w:ascii="Times New Roman" w:hAnsi="Times New Roman" w:cs="Times New Roman"/>
          <w:sz w:val="24"/>
          <w:szCs w:val="24"/>
        </w:rPr>
        <w:t>The</w:t>
      </w:r>
      <w:r w:rsidRPr="00224F69">
        <w:rPr>
          <w:rFonts w:ascii="Times New Roman" w:hAnsi="Times New Roman" w:cs="Times New Roman"/>
          <w:sz w:val="24"/>
          <w:szCs w:val="24"/>
        </w:rPr>
        <w:t xml:space="preserve"> coefficient of </w:t>
      </w:r>
      <w:r w:rsidRPr="00224F69">
        <w:rPr>
          <w:rFonts w:ascii="Times New Roman" w:hAnsi="Times New Roman" w:cs="Times New Roman"/>
          <w:i/>
          <w:sz w:val="24"/>
          <w:szCs w:val="24"/>
        </w:rPr>
        <w:t>NONOPERINC_PREDICTED</w:t>
      </w:r>
      <w:r w:rsidRPr="00224F69">
        <w:rPr>
          <w:rFonts w:ascii="Times New Roman" w:hAnsi="Times New Roman" w:cs="Times New Roman"/>
          <w:sz w:val="24"/>
          <w:szCs w:val="24"/>
        </w:rPr>
        <w:t xml:space="preserve"> is negative and statistically significant, though the coefficient of </w:t>
      </w:r>
      <w:r w:rsidRPr="00224F69">
        <w:rPr>
          <w:rFonts w:ascii="Times New Roman" w:hAnsi="Times New Roman" w:cs="Times New Roman"/>
          <w:i/>
          <w:sz w:val="24"/>
          <w:szCs w:val="24"/>
        </w:rPr>
        <w:t>NONOPERINC_</w:t>
      </w:r>
      <w:r w:rsidR="00A87465">
        <w:rPr>
          <w:rFonts w:ascii="Times New Roman" w:hAnsi="Times New Roman" w:cs="Times New Roman"/>
          <w:i/>
          <w:sz w:val="24"/>
          <w:szCs w:val="24"/>
        </w:rPr>
        <w:t>UNEXPECTED</w:t>
      </w:r>
      <w:r w:rsidR="00A87465" w:rsidRPr="00224F69">
        <w:rPr>
          <w:rFonts w:ascii="Times New Roman" w:hAnsi="Times New Roman" w:cs="Times New Roman"/>
          <w:sz w:val="24"/>
          <w:szCs w:val="24"/>
        </w:rPr>
        <w:t xml:space="preserve"> </w:t>
      </w:r>
      <w:r w:rsidRPr="00224F69">
        <w:rPr>
          <w:rFonts w:ascii="Times New Roman" w:hAnsi="Times New Roman" w:cs="Times New Roman"/>
          <w:sz w:val="24"/>
          <w:szCs w:val="24"/>
        </w:rPr>
        <w:t xml:space="preserve">is not significant in the regression of </w:t>
      </w:r>
      <w:r w:rsidRPr="00224F69">
        <w:rPr>
          <w:rFonts w:ascii="Times New Roman" w:hAnsi="Times New Roman" w:cs="Times New Roman"/>
          <w:i/>
          <w:sz w:val="24"/>
          <w:szCs w:val="24"/>
        </w:rPr>
        <w:t>ROAVOL</w:t>
      </w:r>
      <w:r w:rsidRPr="00224F69">
        <w:rPr>
          <w:rFonts w:ascii="Times New Roman" w:hAnsi="Times New Roman" w:cs="Times New Roman"/>
          <w:sz w:val="24"/>
          <w:szCs w:val="24"/>
        </w:rPr>
        <w:t>.</w:t>
      </w:r>
    </w:p>
    <w:p w14:paraId="354F4C9D" w14:textId="08D0F9EB" w:rsidR="00445FE6" w:rsidRPr="00893E6D" w:rsidRDefault="00445FE6" w:rsidP="00B73A42">
      <w:pPr>
        <w:spacing w:line="480" w:lineRule="auto"/>
        <w:ind w:firstLine="720"/>
        <w:jc w:val="center"/>
        <w:rPr>
          <w:rFonts w:ascii="Times New Roman" w:hAnsi="Times New Roman" w:cs="Times New Roman"/>
          <w:sz w:val="24"/>
          <w:szCs w:val="24"/>
        </w:rPr>
      </w:pPr>
      <w:r w:rsidRPr="00893E6D">
        <w:rPr>
          <w:rFonts w:ascii="Times New Roman" w:hAnsi="Times New Roman" w:cs="Times New Roman"/>
          <w:sz w:val="24"/>
          <w:szCs w:val="24"/>
        </w:rPr>
        <w:t xml:space="preserve">[INSERT TABLE </w:t>
      </w:r>
      <w:r w:rsidR="00CF2EB2" w:rsidRPr="00893E6D">
        <w:rPr>
          <w:rFonts w:ascii="Times New Roman" w:hAnsi="Times New Roman" w:cs="Times New Roman"/>
          <w:sz w:val="24"/>
          <w:szCs w:val="24"/>
        </w:rPr>
        <w:t>1</w:t>
      </w:r>
      <w:r w:rsidR="00CF2EB2">
        <w:rPr>
          <w:rFonts w:ascii="Times New Roman" w:hAnsi="Times New Roman" w:cs="Times New Roman"/>
          <w:sz w:val="24"/>
          <w:szCs w:val="24"/>
        </w:rPr>
        <w:t>0</w:t>
      </w:r>
      <w:r w:rsidR="00CF2EB2" w:rsidRPr="00893E6D">
        <w:rPr>
          <w:rFonts w:ascii="Times New Roman" w:hAnsi="Times New Roman" w:cs="Times New Roman"/>
          <w:sz w:val="24"/>
          <w:szCs w:val="24"/>
        </w:rPr>
        <w:t xml:space="preserve"> </w:t>
      </w:r>
      <w:r w:rsidRPr="00893E6D">
        <w:rPr>
          <w:rFonts w:ascii="Times New Roman" w:hAnsi="Times New Roman" w:cs="Times New Roman"/>
          <w:sz w:val="24"/>
          <w:szCs w:val="24"/>
        </w:rPr>
        <w:t>ABOUT HERE]</w:t>
      </w:r>
    </w:p>
    <w:p w14:paraId="270625ED" w14:textId="0E859DFC" w:rsidR="00A14668" w:rsidRDefault="008412BC" w:rsidP="00A1062B">
      <w:pPr>
        <w:spacing w:line="480" w:lineRule="auto"/>
        <w:ind w:firstLine="720"/>
        <w:jc w:val="both"/>
        <w:rPr>
          <w:rFonts w:ascii="Times New Roman" w:hAnsi="Times New Roman" w:cs="Times New Roman"/>
          <w:sz w:val="24"/>
          <w:szCs w:val="24"/>
        </w:rPr>
      </w:pPr>
      <w:r w:rsidRPr="00893E6D">
        <w:rPr>
          <w:rFonts w:ascii="Times New Roman" w:hAnsi="Times New Roman" w:cs="Times New Roman"/>
          <w:sz w:val="24"/>
          <w:szCs w:val="24"/>
        </w:rPr>
        <w:t xml:space="preserve">The results </w:t>
      </w:r>
      <w:r w:rsidR="00224F69">
        <w:rPr>
          <w:rFonts w:ascii="Times New Roman" w:hAnsi="Times New Roman" w:cs="Times New Roman"/>
          <w:sz w:val="24"/>
          <w:szCs w:val="24"/>
        </w:rPr>
        <w:t>from</w:t>
      </w:r>
      <w:r w:rsidR="00224F69" w:rsidRPr="00893E6D">
        <w:rPr>
          <w:rFonts w:ascii="Times New Roman" w:hAnsi="Times New Roman" w:cs="Times New Roman"/>
          <w:sz w:val="24"/>
          <w:szCs w:val="24"/>
        </w:rPr>
        <w:t xml:space="preserve"> </w:t>
      </w:r>
      <w:r w:rsidRPr="00893E6D">
        <w:rPr>
          <w:rFonts w:ascii="Times New Roman" w:hAnsi="Times New Roman" w:cs="Times New Roman"/>
          <w:sz w:val="24"/>
          <w:szCs w:val="24"/>
        </w:rPr>
        <w:t xml:space="preserve">Tables </w:t>
      </w:r>
      <w:r w:rsidR="00CF2EB2">
        <w:rPr>
          <w:rFonts w:ascii="Times New Roman" w:hAnsi="Times New Roman" w:cs="Times New Roman"/>
          <w:sz w:val="24"/>
          <w:szCs w:val="24"/>
        </w:rPr>
        <w:t>9</w:t>
      </w:r>
      <w:r w:rsidR="00CF2EB2" w:rsidRPr="00893E6D">
        <w:rPr>
          <w:rFonts w:ascii="Times New Roman" w:hAnsi="Times New Roman" w:cs="Times New Roman"/>
          <w:sz w:val="24"/>
          <w:szCs w:val="24"/>
        </w:rPr>
        <w:t xml:space="preserve"> </w:t>
      </w:r>
      <w:r w:rsidR="00F538FB" w:rsidRPr="00893E6D">
        <w:rPr>
          <w:rFonts w:ascii="Times New Roman" w:hAnsi="Times New Roman" w:cs="Times New Roman"/>
          <w:sz w:val="24"/>
          <w:szCs w:val="24"/>
        </w:rPr>
        <w:t xml:space="preserve">and </w:t>
      </w:r>
      <w:r w:rsidR="00CF2EB2" w:rsidRPr="00893E6D">
        <w:rPr>
          <w:rFonts w:ascii="Times New Roman" w:hAnsi="Times New Roman" w:cs="Times New Roman"/>
          <w:sz w:val="24"/>
          <w:szCs w:val="24"/>
        </w:rPr>
        <w:t>1</w:t>
      </w:r>
      <w:r w:rsidR="00CF2EB2">
        <w:rPr>
          <w:rFonts w:ascii="Times New Roman" w:hAnsi="Times New Roman" w:cs="Times New Roman"/>
          <w:sz w:val="24"/>
          <w:szCs w:val="24"/>
        </w:rPr>
        <w:t>0</w:t>
      </w:r>
      <w:r w:rsidR="00CF2EB2" w:rsidRPr="00893E6D">
        <w:rPr>
          <w:rFonts w:ascii="Times New Roman" w:hAnsi="Times New Roman" w:cs="Times New Roman"/>
          <w:sz w:val="24"/>
          <w:szCs w:val="24"/>
        </w:rPr>
        <w:t xml:space="preserve"> </w:t>
      </w:r>
      <w:r w:rsidR="00224F69">
        <w:rPr>
          <w:rFonts w:ascii="Times New Roman" w:hAnsi="Times New Roman" w:cs="Times New Roman"/>
          <w:sz w:val="24"/>
          <w:szCs w:val="24"/>
        </w:rPr>
        <w:t>suggest</w:t>
      </w:r>
      <w:r w:rsidR="00224F69" w:rsidRPr="00893E6D">
        <w:rPr>
          <w:rFonts w:ascii="Times New Roman" w:hAnsi="Times New Roman" w:cs="Times New Roman"/>
          <w:sz w:val="24"/>
          <w:szCs w:val="24"/>
        </w:rPr>
        <w:t xml:space="preserve"> </w:t>
      </w:r>
      <w:r w:rsidRPr="00893E6D">
        <w:rPr>
          <w:rFonts w:ascii="Times New Roman" w:hAnsi="Times New Roman" w:cs="Times New Roman"/>
          <w:sz w:val="24"/>
          <w:szCs w:val="24"/>
        </w:rPr>
        <w:t xml:space="preserve">that classification shifting and earnings management do not </w:t>
      </w:r>
      <w:r w:rsidR="00224F69">
        <w:rPr>
          <w:rFonts w:ascii="Times New Roman" w:hAnsi="Times New Roman" w:cs="Times New Roman"/>
          <w:sz w:val="24"/>
          <w:szCs w:val="24"/>
        </w:rPr>
        <w:t>displace the inverse association</w:t>
      </w:r>
      <w:r w:rsidR="00376D02">
        <w:rPr>
          <w:rFonts w:ascii="Times New Roman" w:hAnsi="Times New Roman" w:cs="Times New Roman"/>
          <w:sz w:val="24"/>
          <w:szCs w:val="24"/>
        </w:rPr>
        <w:t>s</w:t>
      </w:r>
      <w:r w:rsidR="00224F69">
        <w:rPr>
          <w:rFonts w:ascii="Times New Roman" w:hAnsi="Times New Roman" w:cs="Times New Roman"/>
          <w:sz w:val="24"/>
          <w:szCs w:val="24"/>
        </w:rPr>
        <w:t xml:space="preserve"> between non-operating income and the various risk measures</w:t>
      </w:r>
      <w:r w:rsidR="00DD74B2" w:rsidRPr="00893E6D">
        <w:rPr>
          <w:rFonts w:ascii="Times New Roman" w:hAnsi="Times New Roman" w:cs="Times New Roman"/>
          <w:sz w:val="24"/>
          <w:szCs w:val="24"/>
        </w:rPr>
        <w:t>. The risk</w:t>
      </w:r>
      <w:r w:rsidR="00F76516">
        <w:rPr>
          <w:rFonts w:ascii="Times New Roman" w:hAnsi="Times New Roman" w:cs="Times New Roman"/>
          <w:sz w:val="24"/>
          <w:szCs w:val="24"/>
        </w:rPr>
        <w:t>-</w:t>
      </w:r>
      <w:r w:rsidR="00DD74B2" w:rsidRPr="00893E6D">
        <w:rPr>
          <w:rFonts w:ascii="Times New Roman" w:hAnsi="Times New Roman" w:cs="Times New Roman"/>
          <w:sz w:val="24"/>
          <w:szCs w:val="24"/>
        </w:rPr>
        <w:t xml:space="preserve">reducing </w:t>
      </w:r>
      <w:r w:rsidR="00224F69">
        <w:rPr>
          <w:rFonts w:ascii="Times New Roman" w:hAnsi="Times New Roman" w:cs="Times New Roman"/>
          <w:sz w:val="24"/>
          <w:szCs w:val="24"/>
        </w:rPr>
        <w:t>characteristic</w:t>
      </w:r>
      <w:r w:rsidR="00224F69" w:rsidRPr="00893E6D">
        <w:rPr>
          <w:rFonts w:ascii="Times New Roman" w:hAnsi="Times New Roman" w:cs="Times New Roman"/>
          <w:sz w:val="24"/>
          <w:szCs w:val="24"/>
        </w:rPr>
        <w:t xml:space="preserve"> </w:t>
      </w:r>
      <w:r w:rsidR="00DD74B2" w:rsidRPr="00893E6D">
        <w:rPr>
          <w:rFonts w:ascii="Times New Roman" w:hAnsi="Times New Roman" w:cs="Times New Roman"/>
          <w:sz w:val="24"/>
          <w:szCs w:val="24"/>
        </w:rPr>
        <w:t xml:space="preserve">of non-operating earnings </w:t>
      </w:r>
      <w:r w:rsidR="00224F69">
        <w:rPr>
          <w:rFonts w:ascii="Times New Roman" w:hAnsi="Times New Roman" w:cs="Times New Roman"/>
          <w:sz w:val="24"/>
          <w:szCs w:val="24"/>
        </w:rPr>
        <w:t>could be the results of diversification and transparency</w:t>
      </w:r>
      <w:r w:rsidR="00CE39C1" w:rsidRPr="00893E6D">
        <w:rPr>
          <w:rFonts w:ascii="Times New Roman" w:hAnsi="Times New Roman" w:cs="Times New Roman"/>
          <w:sz w:val="24"/>
          <w:szCs w:val="24"/>
        </w:rPr>
        <w:t>.</w:t>
      </w:r>
    </w:p>
    <w:p w14:paraId="78718D78" w14:textId="27EA4ACE" w:rsidR="004E7553" w:rsidRPr="00FE2B09" w:rsidRDefault="004E7553" w:rsidP="004E7553">
      <w:pPr>
        <w:pStyle w:val="ListParagraph"/>
        <w:numPr>
          <w:ilvl w:val="2"/>
          <w:numId w:val="8"/>
        </w:numPr>
        <w:spacing w:line="480" w:lineRule="auto"/>
        <w:jc w:val="both"/>
        <w:rPr>
          <w:rFonts w:ascii="Times New Roman" w:hAnsi="Times New Roman" w:cs="Times New Roman"/>
          <w:b/>
          <w:bCs/>
          <w:i/>
          <w:iCs/>
          <w:sz w:val="24"/>
          <w:szCs w:val="24"/>
        </w:rPr>
      </w:pPr>
      <w:r w:rsidRPr="00FE2B09">
        <w:rPr>
          <w:rFonts w:ascii="Times New Roman" w:hAnsi="Times New Roman" w:cs="Times New Roman"/>
          <w:b/>
          <w:bCs/>
          <w:i/>
          <w:iCs/>
          <w:sz w:val="24"/>
          <w:szCs w:val="24"/>
        </w:rPr>
        <w:lastRenderedPageBreak/>
        <w:t xml:space="preserve">Non-operating </w:t>
      </w:r>
      <w:r w:rsidR="000307F6" w:rsidRPr="00FE2B09">
        <w:rPr>
          <w:rFonts w:ascii="Times New Roman" w:hAnsi="Times New Roman" w:cs="Times New Roman"/>
          <w:b/>
          <w:bCs/>
          <w:i/>
          <w:iCs/>
          <w:sz w:val="24"/>
          <w:szCs w:val="24"/>
        </w:rPr>
        <w:t xml:space="preserve">earnings </w:t>
      </w:r>
      <w:r w:rsidRPr="00FE2B09">
        <w:rPr>
          <w:rFonts w:ascii="Times New Roman" w:hAnsi="Times New Roman" w:cs="Times New Roman"/>
          <w:b/>
          <w:bCs/>
          <w:i/>
          <w:iCs/>
          <w:sz w:val="24"/>
          <w:szCs w:val="24"/>
        </w:rPr>
        <w:t>and the risk measures</w:t>
      </w:r>
      <w:r w:rsidR="000307F6" w:rsidRPr="00FE2B09">
        <w:rPr>
          <w:rFonts w:ascii="Times New Roman" w:hAnsi="Times New Roman" w:cs="Times New Roman"/>
          <w:b/>
          <w:bCs/>
          <w:i/>
          <w:iCs/>
          <w:sz w:val="24"/>
          <w:szCs w:val="24"/>
        </w:rPr>
        <w:t>: controlling for invested and non-operating assets</w:t>
      </w:r>
    </w:p>
    <w:p w14:paraId="6DD0CCCE" w14:textId="40810FBC" w:rsidR="004E7553" w:rsidRPr="00FE2B09" w:rsidRDefault="004E7553" w:rsidP="004E7553">
      <w:pPr>
        <w:spacing w:line="480" w:lineRule="auto"/>
        <w:ind w:firstLine="720"/>
        <w:jc w:val="both"/>
        <w:rPr>
          <w:rFonts w:ascii="Times New Roman" w:hAnsi="Times New Roman" w:cs="Times New Roman"/>
          <w:sz w:val="24"/>
          <w:szCs w:val="24"/>
        </w:rPr>
      </w:pPr>
      <w:r w:rsidRPr="00FE2B09">
        <w:rPr>
          <w:rFonts w:ascii="Times New Roman" w:hAnsi="Times New Roman" w:cs="Times New Roman"/>
          <w:sz w:val="24"/>
          <w:szCs w:val="24"/>
        </w:rPr>
        <w:t xml:space="preserve">In this section, we </w:t>
      </w:r>
      <w:r w:rsidR="00DF3864" w:rsidRPr="00FE2B09">
        <w:rPr>
          <w:rFonts w:ascii="Times New Roman" w:hAnsi="Times New Roman" w:cs="Times New Roman"/>
          <w:sz w:val="24"/>
          <w:szCs w:val="24"/>
        </w:rPr>
        <w:t>account for</w:t>
      </w:r>
      <w:r w:rsidRPr="00FE2B09">
        <w:rPr>
          <w:rFonts w:ascii="Times New Roman" w:hAnsi="Times New Roman" w:cs="Times New Roman"/>
          <w:sz w:val="24"/>
          <w:szCs w:val="24"/>
        </w:rPr>
        <w:t xml:space="preserve"> the effects of non-operating capital since it is the combination of non-operating earnings and non-operating capital that yields ROA. Separating invested capital from non-operating assets could yield further insights into the role of non-operating activities. It would also uncover how non-operating income relates to non-operating assets. </w:t>
      </w:r>
    </w:p>
    <w:p w14:paraId="529464AB" w14:textId="777E4322" w:rsidR="004E7553" w:rsidRPr="00FE2B09" w:rsidRDefault="004E7553" w:rsidP="004E7553">
      <w:pPr>
        <w:spacing w:line="480" w:lineRule="auto"/>
        <w:ind w:firstLine="720"/>
        <w:jc w:val="both"/>
        <w:rPr>
          <w:rFonts w:ascii="Times New Roman" w:hAnsi="Times New Roman" w:cs="Times New Roman"/>
          <w:sz w:val="24"/>
          <w:szCs w:val="24"/>
        </w:rPr>
      </w:pPr>
      <w:r w:rsidRPr="00FE2B09">
        <w:rPr>
          <w:rFonts w:ascii="Times New Roman" w:hAnsi="Times New Roman" w:cs="Times New Roman"/>
          <w:sz w:val="24"/>
          <w:szCs w:val="24"/>
        </w:rPr>
        <w:t xml:space="preserve">We calculate operating asset ratio and non-operating asset ratio and control for both ratios in the regressions of the risk measures. We follow Shu and Thomas </w:t>
      </w:r>
      <w:r w:rsidR="002C77AC" w:rsidRPr="00FE2B09">
        <w:rPr>
          <w:rFonts w:ascii="Times New Roman" w:hAnsi="Times New Roman" w:cs="Times New Roman"/>
          <w:sz w:val="24"/>
          <w:szCs w:val="24"/>
        </w:rPr>
        <w:t>(</w:t>
      </w:r>
      <w:r w:rsidRPr="00FE2B09">
        <w:rPr>
          <w:rFonts w:ascii="Times New Roman" w:hAnsi="Times New Roman" w:cs="Times New Roman"/>
          <w:sz w:val="24"/>
          <w:szCs w:val="24"/>
        </w:rPr>
        <w:t>2019) to calculate operating asset ratio as the sum of cash, total receivables, inventories, prepaid expenses, deferred taxes, net plant</w:t>
      </w:r>
      <w:r w:rsidR="00DC43E4" w:rsidRPr="00FE2B09">
        <w:rPr>
          <w:rFonts w:ascii="Times New Roman" w:hAnsi="Times New Roman" w:cs="Times New Roman"/>
          <w:sz w:val="24"/>
          <w:szCs w:val="24"/>
        </w:rPr>
        <w:t>,</w:t>
      </w:r>
      <w:r w:rsidRPr="00FE2B09">
        <w:rPr>
          <w:rFonts w:ascii="Times New Roman" w:hAnsi="Times New Roman" w:cs="Times New Roman"/>
          <w:sz w:val="24"/>
          <w:szCs w:val="24"/>
        </w:rPr>
        <w:t xml:space="preserve"> property and equipment, goodwill and intangibles scaled by total assets. This measure of the operating asset includes invested capital, i.e., operating working capital plus net plant, property, and equipment. We follow </w:t>
      </w:r>
      <w:proofErr w:type="spellStart"/>
      <w:r w:rsidRPr="00FE2B09">
        <w:rPr>
          <w:rFonts w:ascii="Times New Roman" w:hAnsi="Times New Roman" w:cs="Times New Roman"/>
          <w:sz w:val="24"/>
          <w:szCs w:val="24"/>
        </w:rPr>
        <w:t>Anabila</w:t>
      </w:r>
      <w:proofErr w:type="spellEnd"/>
      <w:r w:rsidRPr="00FE2B09">
        <w:rPr>
          <w:rFonts w:ascii="Times New Roman" w:hAnsi="Times New Roman" w:cs="Times New Roman"/>
          <w:sz w:val="24"/>
          <w:szCs w:val="24"/>
        </w:rPr>
        <w:t xml:space="preserve"> (2012) to calculate the non-operating asset ratio as the sum of short-term investment</w:t>
      </w:r>
      <w:r w:rsidR="00F5219E" w:rsidRPr="00FE2B09">
        <w:rPr>
          <w:rFonts w:ascii="Times New Roman" w:hAnsi="Times New Roman" w:cs="Times New Roman"/>
          <w:sz w:val="24"/>
          <w:szCs w:val="24"/>
        </w:rPr>
        <w:t xml:space="preserve"> and </w:t>
      </w:r>
      <w:r w:rsidRPr="00FE2B09">
        <w:rPr>
          <w:rFonts w:ascii="Times New Roman" w:hAnsi="Times New Roman" w:cs="Times New Roman"/>
          <w:sz w:val="24"/>
          <w:szCs w:val="24"/>
        </w:rPr>
        <w:t xml:space="preserve">total investment and advances scaled by total assets. We present the findings in Table 11. The coefficients of non-operating income, i.e., </w:t>
      </w:r>
      <w:r w:rsidRPr="00FE2B09">
        <w:rPr>
          <w:rFonts w:ascii="Times New Roman" w:hAnsi="Times New Roman" w:cs="Times New Roman"/>
          <w:i/>
          <w:iCs/>
          <w:sz w:val="24"/>
          <w:szCs w:val="24"/>
        </w:rPr>
        <w:t>NONOPERINC</w:t>
      </w:r>
      <w:r w:rsidRPr="00FE2B09">
        <w:rPr>
          <w:rFonts w:ascii="Times New Roman" w:hAnsi="Times New Roman" w:cs="Times New Roman"/>
          <w:sz w:val="24"/>
          <w:szCs w:val="24"/>
        </w:rPr>
        <w:t>, is negative and statistically significant in all the regressions of the risk measures</w:t>
      </w:r>
      <w:r w:rsidR="001B48B5">
        <w:rPr>
          <w:rFonts w:ascii="Times New Roman" w:hAnsi="Times New Roman" w:cs="Times New Roman"/>
          <w:sz w:val="24"/>
          <w:szCs w:val="24"/>
        </w:rPr>
        <w:t xml:space="preserve">, suggesting </w:t>
      </w:r>
      <w:r w:rsidR="001B48B5" w:rsidRPr="00FE2B09">
        <w:rPr>
          <w:rFonts w:ascii="Times New Roman" w:hAnsi="Times New Roman" w:cs="Times New Roman"/>
          <w:sz w:val="24"/>
          <w:szCs w:val="24"/>
        </w:rPr>
        <w:t>non-operating earnings reduce ROA volatility and firm risk after controlling for non-operating asset ratio and operating asset ratio</w:t>
      </w:r>
      <w:r w:rsidRPr="00FE2B09">
        <w:rPr>
          <w:rFonts w:ascii="Times New Roman" w:hAnsi="Times New Roman" w:cs="Times New Roman"/>
          <w:sz w:val="24"/>
          <w:szCs w:val="24"/>
        </w:rPr>
        <w:t>.</w:t>
      </w:r>
    </w:p>
    <w:p w14:paraId="42B077FF" w14:textId="6A645681" w:rsidR="002C77AC" w:rsidRPr="00FE2B09" w:rsidRDefault="002C77AC" w:rsidP="00504CB8">
      <w:pPr>
        <w:spacing w:line="480" w:lineRule="auto"/>
        <w:jc w:val="center"/>
        <w:rPr>
          <w:rFonts w:ascii="Times New Roman" w:hAnsi="Times New Roman" w:cs="Times New Roman"/>
          <w:sz w:val="24"/>
          <w:szCs w:val="24"/>
        </w:rPr>
      </w:pPr>
      <w:r w:rsidRPr="00FE2B09">
        <w:rPr>
          <w:rFonts w:ascii="Times New Roman" w:hAnsi="Times New Roman" w:cs="Times New Roman"/>
          <w:sz w:val="24"/>
          <w:szCs w:val="24"/>
        </w:rPr>
        <w:t>[INSERT TABLE 11 ABOUT HERE]</w:t>
      </w:r>
    </w:p>
    <w:p w14:paraId="26578A27" w14:textId="75B4096F" w:rsidR="00504CB8" w:rsidRPr="00FE2B09" w:rsidRDefault="00C9510B" w:rsidP="00504CB8">
      <w:pPr>
        <w:pStyle w:val="ListParagraph"/>
        <w:numPr>
          <w:ilvl w:val="2"/>
          <w:numId w:val="8"/>
        </w:numPr>
        <w:spacing w:line="480" w:lineRule="auto"/>
        <w:jc w:val="both"/>
        <w:rPr>
          <w:rFonts w:ascii="Times New Roman" w:hAnsi="Times New Roman" w:cs="Times New Roman"/>
          <w:b/>
          <w:bCs/>
          <w:i/>
          <w:iCs/>
          <w:sz w:val="24"/>
          <w:szCs w:val="24"/>
        </w:rPr>
      </w:pPr>
      <w:r w:rsidRPr="00FE2B09">
        <w:rPr>
          <w:rFonts w:ascii="Times New Roman" w:hAnsi="Times New Roman" w:cs="Times New Roman"/>
          <w:b/>
          <w:bCs/>
          <w:i/>
          <w:iCs/>
          <w:sz w:val="24"/>
          <w:szCs w:val="24"/>
        </w:rPr>
        <w:t>Non-operating earnings and t</w:t>
      </w:r>
      <w:r w:rsidR="00504CB8" w:rsidRPr="00FE2B09">
        <w:rPr>
          <w:rFonts w:ascii="Times New Roman" w:hAnsi="Times New Roman" w:cs="Times New Roman"/>
          <w:b/>
          <w:bCs/>
          <w:i/>
          <w:iCs/>
          <w:sz w:val="24"/>
          <w:szCs w:val="24"/>
        </w:rPr>
        <w:t xml:space="preserve">he components of ROA </w:t>
      </w:r>
      <w:r w:rsidR="00C756FE" w:rsidRPr="00FE2B09">
        <w:rPr>
          <w:rFonts w:ascii="Times New Roman" w:hAnsi="Times New Roman" w:cs="Times New Roman"/>
          <w:b/>
          <w:bCs/>
          <w:i/>
          <w:iCs/>
          <w:sz w:val="24"/>
          <w:szCs w:val="24"/>
        </w:rPr>
        <w:t>volatility</w:t>
      </w:r>
    </w:p>
    <w:p w14:paraId="7D5E8103" w14:textId="7A31AAE4" w:rsidR="00504CB8" w:rsidRPr="00FE2B09" w:rsidRDefault="00504CB8" w:rsidP="00504CB8">
      <w:pPr>
        <w:spacing w:line="480" w:lineRule="auto"/>
        <w:ind w:firstLine="720"/>
        <w:jc w:val="both"/>
        <w:rPr>
          <w:rFonts w:ascii="Times New Roman" w:hAnsi="Times New Roman" w:cs="Times New Roman"/>
          <w:sz w:val="24"/>
          <w:szCs w:val="24"/>
        </w:rPr>
      </w:pPr>
      <w:r w:rsidRPr="00FE2B09">
        <w:rPr>
          <w:rFonts w:ascii="Times New Roman" w:hAnsi="Times New Roman" w:cs="Times New Roman"/>
          <w:sz w:val="24"/>
          <w:szCs w:val="24"/>
        </w:rPr>
        <w:t xml:space="preserve">ROA is a function of profit margin and asset turnover. As such, the inverse association between non-operating income and ROA volatility could be due to </w:t>
      </w:r>
      <w:r w:rsidR="003752D6" w:rsidRPr="00FE2B09">
        <w:rPr>
          <w:rFonts w:ascii="Times New Roman" w:hAnsi="Times New Roman" w:cs="Times New Roman"/>
          <w:sz w:val="24"/>
          <w:szCs w:val="24"/>
        </w:rPr>
        <w:t>the</w:t>
      </w:r>
      <w:r w:rsidRPr="00FE2B09">
        <w:rPr>
          <w:rFonts w:ascii="Times New Roman" w:hAnsi="Times New Roman" w:cs="Times New Roman"/>
          <w:sz w:val="24"/>
          <w:szCs w:val="24"/>
        </w:rPr>
        <w:t xml:space="preserve"> effect of non-operating </w:t>
      </w:r>
      <w:r w:rsidRPr="00FE2B09">
        <w:rPr>
          <w:rFonts w:ascii="Times New Roman" w:hAnsi="Times New Roman" w:cs="Times New Roman"/>
          <w:sz w:val="24"/>
          <w:szCs w:val="24"/>
        </w:rPr>
        <w:lastRenderedPageBreak/>
        <w:t>earnings on profit margin volatility or</w:t>
      </w:r>
      <w:r w:rsidR="003752D6" w:rsidRPr="00FE2B09">
        <w:rPr>
          <w:rFonts w:ascii="Times New Roman" w:hAnsi="Times New Roman" w:cs="Times New Roman"/>
          <w:sz w:val="24"/>
          <w:szCs w:val="24"/>
        </w:rPr>
        <w:t xml:space="preserve"> the effect on </w:t>
      </w:r>
      <w:r w:rsidRPr="00FE2B09">
        <w:rPr>
          <w:rFonts w:ascii="Times New Roman" w:hAnsi="Times New Roman" w:cs="Times New Roman"/>
          <w:sz w:val="24"/>
          <w:szCs w:val="24"/>
        </w:rPr>
        <w:t xml:space="preserve">asset turnover volatility or both. We calculate the volatility of profit margin and asset turnover in the 5-year window and regress these two variables on non-operating earnings. We present our findings in Table 12. The coefficient of </w:t>
      </w:r>
      <w:r w:rsidRPr="00FE2B09">
        <w:rPr>
          <w:rFonts w:ascii="Times New Roman" w:hAnsi="Times New Roman" w:cs="Times New Roman"/>
          <w:i/>
          <w:iCs/>
          <w:sz w:val="24"/>
          <w:szCs w:val="24"/>
        </w:rPr>
        <w:t>NONOPERINC</w:t>
      </w:r>
      <w:r w:rsidRPr="00FE2B09">
        <w:rPr>
          <w:rFonts w:ascii="Times New Roman" w:hAnsi="Times New Roman" w:cs="Times New Roman"/>
          <w:sz w:val="24"/>
          <w:szCs w:val="24"/>
        </w:rPr>
        <w:t xml:space="preserve"> is negative and statistically significant in </w:t>
      </w:r>
      <w:r w:rsidR="00C756FE" w:rsidRPr="00FE2B09">
        <w:rPr>
          <w:rFonts w:ascii="Times New Roman" w:hAnsi="Times New Roman" w:cs="Times New Roman"/>
          <w:sz w:val="24"/>
          <w:szCs w:val="24"/>
        </w:rPr>
        <w:t>both models</w:t>
      </w:r>
      <w:r w:rsidR="00543EAA">
        <w:rPr>
          <w:rFonts w:ascii="Times New Roman" w:hAnsi="Times New Roman" w:cs="Times New Roman"/>
          <w:sz w:val="24"/>
          <w:szCs w:val="24"/>
        </w:rPr>
        <w:t xml:space="preserve">, indicating </w:t>
      </w:r>
      <w:r w:rsidR="00543EAA" w:rsidRPr="00FE2B09">
        <w:rPr>
          <w:rFonts w:ascii="Times New Roman" w:hAnsi="Times New Roman" w:cs="Times New Roman"/>
          <w:sz w:val="24"/>
          <w:szCs w:val="24"/>
        </w:rPr>
        <w:t>that non-operating earnings are inversely related to both profit margin and asset turnover volatility</w:t>
      </w:r>
      <w:r w:rsidRPr="00FE2B09">
        <w:rPr>
          <w:rFonts w:ascii="Times New Roman" w:hAnsi="Times New Roman" w:cs="Times New Roman"/>
          <w:sz w:val="24"/>
          <w:szCs w:val="24"/>
        </w:rPr>
        <w:t>. Thus, the beneficial effect of non-operating earnings on ROA volatility is driven by decreases in the volatility of both profit margin and asset turnover.</w:t>
      </w:r>
    </w:p>
    <w:p w14:paraId="16C13F79" w14:textId="7ABB3050" w:rsidR="00504CB8" w:rsidRPr="00504CB8" w:rsidRDefault="00504CB8" w:rsidP="00504CB8">
      <w:pPr>
        <w:spacing w:line="480" w:lineRule="auto"/>
        <w:jc w:val="center"/>
        <w:rPr>
          <w:rFonts w:ascii="Times New Roman" w:hAnsi="Times New Roman" w:cs="Times New Roman"/>
          <w:sz w:val="24"/>
          <w:szCs w:val="24"/>
        </w:rPr>
      </w:pPr>
      <w:r w:rsidRPr="00FE2B09">
        <w:rPr>
          <w:rFonts w:ascii="Times New Roman" w:hAnsi="Times New Roman" w:cs="Times New Roman"/>
          <w:sz w:val="24"/>
          <w:szCs w:val="24"/>
        </w:rPr>
        <w:t>[INSERT TABLE 12 ABOUT HERE]</w:t>
      </w:r>
    </w:p>
    <w:p w14:paraId="0746B43A" w14:textId="7C4ABB58" w:rsidR="00B22F36" w:rsidRPr="00893E6D" w:rsidRDefault="00B22F36" w:rsidP="00A1062B">
      <w:pPr>
        <w:pStyle w:val="ListParagraph"/>
        <w:numPr>
          <w:ilvl w:val="1"/>
          <w:numId w:val="8"/>
        </w:numPr>
        <w:spacing w:line="480" w:lineRule="auto"/>
        <w:jc w:val="both"/>
        <w:rPr>
          <w:rFonts w:ascii="Times New Roman" w:hAnsi="Times New Roman" w:cs="Times New Roman"/>
          <w:b/>
          <w:i/>
          <w:sz w:val="24"/>
          <w:szCs w:val="24"/>
        </w:rPr>
      </w:pPr>
      <w:r w:rsidRPr="00893E6D">
        <w:rPr>
          <w:rFonts w:ascii="Times New Roman" w:hAnsi="Times New Roman" w:cs="Times New Roman"/>
          <w:b/>
          <w:i/>
          <w:sz w:val="24"/>
          <w:szCs w:val="24"/>
        </w:rPr>
        <w:t xml:space="preserve">Additional </w:t>
      </w:r>
      <w:r w:rsidR="000E01C0">
        <w:rPr>
          <w:rFonts w:ascii="Times New Roman" w:hAnsi="Times New Roman" w:cs="Times New Roman"/>
          <w:b/>
          <w:i/>
          <w:sz w:val="24"/>
          <w:szCs w:val="24"/>
        </w:rPr>
        <w:t>r</w:t>
      </w:r>
      <w:r w:rsidRPr="00893E6D">
        <w:rPr>
          <w:rFonts w:ascii="Times New Roman" w:hAnsi="Times New Roman" w:cs="Times New Roman"/>
          <w:b/>
          <w:i/>
          <w:sz w:val="24"/>
          <w:szCs w:val="24"/>
        </w:rPr>
        <w:t xml:space="preserve">obustness </w:t>
      </w:r>
      <w:r w:rsidR="000E01C0">
        <w:rPr>
          <w:rFonts w:ascii="Times New Roman" w:hAnsi="Times New Roman" w:cs="Times New Roman"/>
          <w:b/>
          <w:i/>
          <w:sz w:val="24"/>
          <w:szCs w:val="24"/>
        </w:rPr>
        <w:t>t</w:t>
      </w:r>
      <w:r w:rsidR="00ED7586" w:rsidRPr="00893E6D">
        <w:rPr>
          <w:rFonts w:ascii="Times New Roman" w:hAnsi="Times New Roman" w:cs="Times New Roman"/>
          <w:b/>
          <w:i/>
          <w:sz w:val="24"/>
          <w:szCs w:val="24"/>
        </w:rPr>
        <w:t>ests</w:t>
      </w:r>
    </w:p>
    <w:p w14:paraId="4E21EBD5" w14:textId="221B9911" w:rsidR="00363183" w:rsidRPr="00893E6D" w:rsidRDefault="00363183" w:rsidP="00197B3E">
      <w:pPr>
        <w:spacing w:line="480" w:lineRule="auto"/>
        <w:ind w:firstLine="720"/>
        <w:jc w:val="both"/>
        <w:rPr>
          <w:rFonts w:ascii="Times New Roman" w:hAnsi="Times New Roman" w:cs="Times New Roman"/>
          <w:b/>
          <w:i/>
          <w:sz w:val="24"/>
          <w:szCs w:val="24"/>
        </w:rPr>
      </w:pPr>
      <w:r w:rsidRPr="00893E6D">
        <w:rPr>
          <w:rFonts w:ascii="Times New Roman" w:hAnsi="Times New Roman" w:cs="Times New Roman"/>
          <w:sz w:val="24"/>
          <w:szCs w:val="24"/>
        </w:rPr>
        <w:t xml:space="preserve">We perform further robustness checks. To save space, we present the results in </w:t>
      </w:r>
      <w:r w:rsidR="00224F69">
        <w:rPr>
          <w:rFonts w:ascii="Times New Roman" w:hAnsi="Times New Roman" w:cs="Times New Roman"/>
          <w:sz w:val="24"/>
          <w:szCs w:val="24"/>
        </w:rPr>
        <w:t xml:space="preserve">the </w:t>
      </w:r>
      <w:r w:rsidRPr="00893E6D">
        <w:rPr>
          <w:rFonts w:ascii="Times New Roman" w:hAnsi="Times New Roman" w:cs="Times New Roman"/>
          <w:sz w:val="24"/>
          <w:szCs w:val="24"/>
        </w:rPr>
        <w:t>Appendix</w:t>
      </w:r>
      <w:r w:rsidR="00FE3662" w:rsidRPr="00893E6D">
        <w:rPr>
          <w:rFonts w:ascii="Times New Roman" w:hAnsi="Times New Roman" w:cs="Times New Roman"/>
          <w:sz w:val="24"/>
          <w:szCs w:val="24"/>
        </w:rPr>
        <w:t xml:space="preserve"> and </w:t>
      </w:r>
      <w:r w:rsidR="00771242" w:rsidRPr="00893E6D">
        <w:rPr>
          <w:rFonts w:ascii="Times New Roman" w:hAnsi="Times New Roman" w:cs="Times New Roman"/>
          <w:sz w:val="24"/>
          <w:szCs w:val="24"/>
        </w:rPr>
        <w:t xml:space="preserve">report </w:t>
      </w:r>
      <w:r w:rsidR="00224F69">
        <w:rPr>
          <w:rFonts w:ascii="Times New Roman" w:hAnsi="Times New Roman" w:cs="Times New Roman"/>
          <w:sz w:val="24"/>
          <w:szCs w:val="24"/>
        </w:rPr>
        <w:t xml:space="preserve">only </w:t>
      </w:r>
      <w:r w:rsidR="00771242" w:rsidRPr="00893E6D">
        <w:rPr>
          <w:rFonts w:ascii="Times New Roman" w:hAnsi="Times New Roman" w:cs="Times New Roman"/>
          <w:sz w:val="24"/>
          <w:szCs w:val="24"/>
        </w:rPr>
        <w:t xml:space="preserve">the coefficients on </w:t>
      </w:r>
      <w:r w:rsidR="00771242" w:rsidRPr="00893E6D">
        <w:rPr>
          <w:rFonts w:ascii="Times New Roman" w:hAnsi="Times New Roman" w:cs="Times New Roman"/>
          <w:i/>
          <w:sz w:val="24"/>
          <w:szCs w:val="24"/>
        </w:rPr>
        <w:t>NONOPERINC</w:t>
      </w:r>
      <w:r w:rsidR="00771242" w:rsidRPr="00893E6D">
        <w:rPr>
          <w:rFonts w:ascii="Times New Roman" w:hAnsi="Times New Roman" w:cs="Times New Roman"/>
          <w:sz w:val="24"/>
          <w:szCs w:val="24"/>
        </w:rPr>
        <w:t xml:space="preserve"> and </w:t>
      </w:r>
      <w:r w:rsidR="00771242" w:rsidRPr="00893E6D">
        <w:rPr>
          <w:rFonts w:ascii="Times New Roman" w:hAnsi="Times New Roman" w:cs="Times New Roman"/>
          <w:i/>
          <w:sz w:val="24"/>
          <w:szCs w:val="24"/>
        </w:rPr>
        <w:t>OPERINC</w:t>
      </w:r>
      <w:r w:rsidR="00771242" w:rsidRPr="00893E6D">
        <w:rPr>
          <w:rFonts w:ascii="Times New Roman" w:hAnsi="Times New Roman" w:cs="Times New Roman"/>
          <w:sz w:val="24"/>
          <w:szCs w:val="24"/>
        </w:rPr>
        <w:t xml:space="preserve"> and the model fitness statistics</w:t>
      </w:r>
      <w:r w:rsidR="0023772D" w:rsidRPr="00893E6D">
        <w:rPr>
          <w:rFonts w:ascii="Times New Roman" w:hAnsi="Times New Roman" w:cs="Times New Roman"/>
          <w:sz w:val="24"/>
          <w:szCs w:val="24"/>
        </w:rPr>
        <w:t>.</w:t>
      </w:r>
    </w:p>
    <w:p w14:paraId="3E7CD9B4" w14:textId="4D285DD4" w:rsidR="00B22F36" w:rsidRPr="00893E6D" w:rsidRDefault="00B22F36" w:rsidP="00A1062B">
      <w:pPr>
        <w:pStyle w:val="ListParagraph"/>
        <w:numPr>
          <w:ilvl w:val="2"/>
          <w:numId w:val="11"/>
        </w:numPr>
        <w:spacing w:line="480" w:lineRule="auto"/>
        <w:jc w:val="both"/>
        <w:rPr>
          <w:rFonts w:ascii="Times New Roman" w:hAnsi="Times New Roman" w:cs="Times New Roman"/>
          <w:b/>
          <w:i/>
          <w:sz w:val="24"/>
          <w:szCs w:val="24"/>
        </w:rPr>
      </w:pPr>
      <w:r w:rsidRPr="00893E6D">
        <w:rPr>
          <w:rFonts w:ascii="Times New Roman" w:hAnsi="Times New Roman" w:cs="Times New Roman"/>
          <w:b/>
          <w:i/>
          <w:sz w:val="24"/>
          <w:szCs w:val="24"/>
        </w:rPr>
        <w:t xml:space="preserve">Operating </w:t>
      </w:r>
      <w:r w:rsidR="00F735FD">
        <w:rPr>
          <w:rFonts w:ascii="Times New Roman" w:hAnsi="Times New Roman" w:cs="Times New Roman"/>
          <w:b/>
          <w:i/>
          <w:sz w:val="24"/>
          <w:szCs w:val="24"/>
        </w:rPr>
        <w:t>p</w:t>
      </w:r>
      <w:r w:rsidR="00F735FD" w:rsidRPr="00893E6D">
        <w:rPr>
          <w:rFonts w:ascii="Times New Roman" w:hAnsi="Times New Roman" w:cs="Times New Roman"/>
          <w:b/>
          <w:i/>
          <w:sz w:val="24"/>
          <w:szCs w:val="24"/>
        </w:rPr>
        <w:t xml:space="preserve">erformance </w:t>
      </w:r>
      <w:r w:rsidRPr="00893E6D">
        <w:rPr>
          <w:rFonts w:ascii="Times New Roman" w:hAnsi="Times New Roman" w:cs="Times New Roman"/>
          <w:b/>
          <w:i/>
          <w:sz w:val="24"/>
          <w:szCs w:val="24"/>
        </w:rPr>
        <w:t xml:space="preserve">and </w:t>
      </w:r>
      <w:r w:rsidR="00F735FD">
        <w:rPr>
          <w:rFonts w:ascii="Times New Roman" w:hAnsi="Times New Roman" w:cs="Times New Roman"/>
          <w:b/>
          <w:i/>
          <w:sz w:val="24"/>
          <w:szCs w:val="24"/>
        </w:rPr>
        <w:t>r</w:t>
      </w:r>
      <w:r w:rsidR="00F735FD" w:rsidRPr="00893E6D">
        <w:rPr>
          <w:rFonts w:ascii="Times New Roman" w:hAnsi="Times New Roman" w:cs="Times New Roman"/>
          <w:b/>
          <w:i/>
          <w:sz w:val="24"/>
          <w:szCs w:val="24"/>
        </w:rPr>
        <w:t xml:space="preserve">isk </w:t>
      </w:r>
      <w:r w:rsidR="00F735FD">
        <w:rPr>
          <w:rFonts w:ascii="Times New Roman" w:hAnsi="Times New Roman" w:cs="Times New Roman"/>
          <w:b/>
          <w:i/>
          <w:sz w:val="24"/>
          <w:szCs w:val="24"/>
        </w:rPr>
        <w:t>m</w:t>
      </w:r>
      <w:r w:rsidR="00F735FD" w:rsidRPr="00893E6D">
        <w:rPr>
          <w:rFonts w:ascii="Times New Roman" w:hAnsi="Times New Roman" w:cs="Times New Roman"/>
          <w:b/>
          <w:i/>
          <w:sz w:val="24"/>
          <w:szCs w:val="24"/>
        </w:rPr>
        <w:t xml:space="preserve">easures </w:t>
      </w:r>
    </w:p>
    <w:p w14:paraId="59F244C4" w14:textId="5E75F353" w:rsidR="00B22F36" w:rsidRPr="00893E6D" w:rsidRDefault="00B22F36" w:rsidP="00A1062B">
      <w:pPr>
        <w:spacing w:line="480" w:lineRule="auto"/>
        <w:ind w:left="90" w:firstLine="630"/>
        <w:jc w:val="both"/>
        <w:rPr>
          <w:rFonts w:ascii="Times New Roman" w:hAnsi="Times New Roman" w:cs="Times New Roman"/>
          <w:sz w:val="24"/>
          <w:szCs w:val="24"/>
        </w:rPr>
      </w:pPr>
      <w:r w:rsidRPr="00893E6D">
        <w:rPr>
          <w:rFonts w:ascii="Times New Roman" w:hAnsi="Times New Roman" w:cs="Times New Roman"/>
          <w:sz w:val="24"/>
          <w:szCs w:val="24"/>
        </w:rPr>
        <w:t>Firms</w:t>
      </w:r>
      <w:r w:rsidR="00186585" w:rsidRPr="00186585">
        <w:rPr>
          <w:rFonts w:ascii="Times New Roman" w:hAnsi="Times New Roman" w:cs="Times New Roman"/>
          <w:sz w:val="24"/>
          <w:szCs w:val="24"/>
        </w:rPr>
        <w:t xml:space="preserve"> with strong operating performance may not need to rely heavily on non-operating activities. Therefore, the impact of non-operating income on ROA volatility, stock price risk, and stock price crash risk are more </w:t>
      </w:r>
      <w:r w:rsidR="00782386" w:rsidRPr="00186585">
        <w:rPr>
          <w:rFonts w:ascii="Times New Roman" w:hAnsi="Times New Roman" w:cs="Times New Roman"/>
          <w:sz w:val="24"/>
          <w:szCs w:val="24"/>
        </w:rPr>
        <w:t>germane</w:t>
      </w:r>
      <w:r w:rsidR="00186585" w:rsidRPr="00186585">
        <w:rPr>
          <w:rFonts w:ascii="Times New Roman" w:hAnsi="Times New Roman" w:cs="Times New Roman"/>
          <w:sz w:val="24"/>
          <w:szCs w:val="24"/>
        </w:rPr>
        <w:t xml:space="preserve"> to firms with weaker operating performance. We test this possibility with two subsamples: firms with negative </w:t>
      </w:r>
      <w:r w:rsidR="00186585" w:rsidRPr="008E4DA4">
        <w:rPr>
          <w:rFonts w:ascii="Times New Roman" w:hAnsi="Times New Roman" w:cs="Times New Roman"/>
          <w:i/>
          <w:sz w:val="24"/>
          <w:szCs w:val="24"/>
        </w:rPr>
        <w:t>OPERINC</w:t>
      </w:r>
      <w:r w:rsidR="00186585" w:rsidRPr="00186585">
        <w:rPr>
          <w:rFonts w:ascii="Times New Roman" w:hAnsi="Times New Roman" w:cs="Times New Roman"/>
          <w:sz w:val="24"/>
          <w:szCs w:val="24"/>
        </w:rPr>
        <w:t xml:space="preserve"> and those with positive </w:t>
      </w:r>
      <w:r w:rsidR="00186585" w:rsidRPr="008E4DA4">
        <w:rPr>
          <w:rFonts w:ascii="Times New Roman" w:hAnsi="Times New Roman" w:cs="Times New Roman"/>
          <w:i/>
          <w:sz w:val="24"/>
          <w:szCs w:val="24"/>
        </w:rPr>
        <w:t>OPERINC</w:t>
      </w:r>
      <w:r w:rsidR="00186585" w:rsidRPr="00186585">
        <w:rPr>
          <w:rFonts w:ascii="Times New Roman" w:hAnsi="Times New Roman" w:cs="Times New Roman"/>
          <w:sz w:val="24"/>
          <w:szCs w:val="24"/>
        </w:rPr>
        <w:t xml:space="preserve">. The results are presented in Table A2. Panel A shows that the coefficient on </w:t>
      </w:r>
      <w:r w:rsidR="00186585" w:rsidRPr="00811D08">
        <w:rPr>
          <w:rFonts w:ascii="Times New Roman" w:hAnsi="Times New Roman" w:cs="Times New Roman"/>
          <w:i/>
          <w:sz w:val="24"/>
          <w:szCs w:val="24"/>
        </w:rPr>
        <w:t>NONOPERINC</w:t>
      </w:r>
      <w:r w:rsidR="00186585" w:rsidRPr="00186585">
        <w:rPr>
          <w:rFonts w:ascii="Times New Roman" w:hAnsi="Times New Roman" w:cs="Times New Roman"/>
          <w:sz w:val="24"/>
          <w:szCs w:val="24"/>
        </w:rPr>
        <w:t xml:space="preserve"> is statistically significant only for the subsample of firms with operating losses, confirming our prediction that the stabilizing effect of </w:t>
      </w:r>
      <w:r w:rsidR="00186585" w:rsidRPr="00811D08">
        <w:rPr>
          <w:rFonts w:ascii="Times New Roman" w:hAnsi="Times New Roman" w:cs="Times New Roman"/>
          <w:i/>
          <w:sz w:val="24"/>
          <w:szCs w:val="24"/>
        </w:rPr>
        <w:t>NONOPERINC</w:t>
      </w:r>
      <w:r w:rsidR="00186585" w:rsidRPr="00186585">
        <w:rPr>
          <w:rFonts w:ascii="Times New Roman" w:hAnsi="Times New Roman" w:cs="Times New Roman"/>
          <w:sz w:val="24"/>
          <w:szCs w:val="24"/>
        </w:rPr>
        <w:t xml:space="preserve"> on earnings volatility is more potent in firms with weaker operating performance. In Panels B, C, and D, the coefficient </w:t>
      </w:r>
      <w:r w:rsidR="00186585" w:rsidRPr="00186585">
        <w:rPr>
          <w:rFonts w:ascii="Times New Roman" w:hAnsi="Times New Roman" w:cs="Times New Roman"/>
          <w:sz w:val="24"/>
          <w:szCs w:val="24"/>
        </w:rPr>
        <w:lastRenderedPageBreak/>
        <w:t xml:space="preserve">on </w:t>
      </w:r>
      <w:r w:rsidR="00186585" w:rsidRPr="00811D08">
        <w:rPr>
          <w:rFonts w:ascii="Times New Roman" w:hAnsi="Times New Roman" w:cs="Times New Roman"/>
          <w:i/>
          <w:sz w:val="24"/>
          <w:szCs w:val="24"/>
        </w:rPr>
        <w:t>NONOPERINC</w:t>
      </w:r>
      <w:r w:rsidR="00186585" w:rsidRPr="00186585">
        <w:rPr>
          <w:rFonts w:ascii="Times New Roman" w:hAnsi="Times New Roman" w:cs="Times New Roman"/>
          <w:sz w:val="24"/>
          <w:szCs w:val="24"/>
        </w:rPr>
        <w:t xml:space="preserve"> is negative and significant for both subsamples. However, </w:t>
      </w:r>
      <w:r w:rsidR="0098618D" w:rsidRPr="00AC0D8E">
        <w:rPr>
          <w:rFonts w:ascii="Times New Roman" w:hAnsi="Times New Roman" w:cs="Times New Roman"/>
          <w:sz w:val="24"/>
          <w:szCs w:val="24"/>
        </w:rPr>
        <w:t>the risk-reducing impact</w:t>
      </w:r>
      <w:r w:rsidR="00D17B82">
        <w:rPr>
          <w:rFonts w:ascii="Times New Roman" w:hAnsi="Times New Roman" w:cs="Times New Roman"/>
          <w:sz w:val="24"/>
          <w:szCs w:val="24"/>
        </w:rPr>
        <w:t xml:space="preserve"> of non-operating earnings</w:t>
      </w:r>
      <w:r w:rsidR="0098618D" w:rsidRPr="00AC0D8E">
        <w:rPr>
          <w:rFonts w:ascii="Times New Roman" w:hAnsi="Times New Roman" w:cs="Times New Roman"/>
          <w:sz w:val="24"/>
          <w:szCs w:val="24"/>
        </w:rPr>
        <w:t xml:space="preserve"> </w:t>
      </w:r>
      <w:r w:rsidR="0098618D">
        <w:rPr>
          <w:rFonts w:ascii="Times New Roman" w:hAnsi="Times New Roman" w:cs="Times New Roman"/>
          <w:sz w:val="24"/>
          <w:szCs w:val="24"/>
        </w:rPr>
        <w:t>is</w:t>
      </w:r>
      <w:r w:rsidR="00186585" w:rsidRPr="00186585">
        <w:rPr>
          <w:rFonts w:ascii="Times New Roman" w:hAnsi="Times New Roman" w:cs="Times New Roman"/>
          <w:sz w:val="24"/>
          <w:szCs w:val="24"/>
        </w:rPr>
        <w:t xml:space="preserve"> larger for the subsample of firms with operating losses.</w:t>
      </w:r>
    </w:p>
    <w:p w14:paraId="3E45047F" w14:textId="77F5B192" w:rsidR="00B22F36" w:rsidRPr="00893E6D" w:rsidRDefault="00B22F36" w:rsidP="00A1062B">
      <w:pPr>
        <w:pStyle w:val="ListParagraph"/>
        <w:numPr>
          <w:ilvl w:val="2"/>
          <w:numId w:val="11"/>
        </w:numPr>
        <w:spacing w:line="480" w:lineRule="auto"/>
        <w:jc w:val="both"/>
        <w:rPr>
          <w:rFonts w:ascii="Times New Roman" w:hAnsi="Times New Roman" w:cs="Times New Roman"/>
          <w:b/>
          <w:i/>
          <w:sz w:val="24"/>
          <w:szCs w:val="24"/>
        </w:rPr>
      </w:pPr>
      <w:r w:rsidRPr="00893E6D">
        <w:rPr>
          <w:rFonts w:ascii="Times New Roman" w:hAnsi="Times New Roman" w:cs="Times New Roman"/>
          <w:b/>
          <w:i/>
          <w:sz w:val="24"/>
          <w:szCs w:val="24"/>
        </w:rPr>
        <w:t xml:space="preserve">Debt and </w:t>
      </w:r>
      <w:r w:rsidR="000E01C0">
        <w:rPr>
          <w:rFonts w:ascii="Times New Roman" w:hAnsi="Times New Roman" w:cs="Times New Roman"/>
          <w:b/>
          <w:i/>
          <w:sz w:val="24"/>
          <w:szCs w:val="24"/>
        </w:rPr>
        <w:t>r</w:t>
      </w:r>
      <w:r w:rsidRPr="00893E6D">
        <w:rPr>
          <w:rFonts w:ascii="Times New Roman" w:hAnsi="Times New Roman" w:cs="Times New Roman"/>
          <w:b/>
          <w:i/>
          <w:sz w:val="24"/>
          <w:szCs w:val="24"/>
        </w:rPr>
        <w:t xml:space="preserve">isk </w:t>
      </w:r>
      <w:r w:rsidR="000E01C0">
        <w:rPr>
          <w:rFonts w:ascii="Times New Roman" w:hAnsi="Times New Roman" w:cs="Times New Roman"/>
          <w:b/>
          <w:i/>
          <w:sz w:val="24"/>
          <w:szCs w:val="24"/>
        </w:rPr>
        <w:t>m</w:t>
      </w:r>
      <w:r w:rsidRPr="00893E6D">
        <w:rPr>
          <w:rFonts w:ascii="Times New Roman" w:hAnsi="Times New Roman" w:cs="Times New Roman"/>
          <w:b/>
          <w:i/>
          <w:sz w:val="24"/>
          <w:szCs w:val="24"/>
        </w:rPr>
        <w:t>easures</w:t>
      </w:r>
    </w:p>
    <w:p w14:paraId="78CA4830" w14:textId="6085A349" w:rsidR="00B22F36" w:rsidRPr="00893E6D" w:rsidRDefault="00B22F36" w:rsidP="00A1062B">
      <w:pPr>
        <w:spacing w:line="480" w:lineRule="auto"/>
        <w:ind w:firstLine="720"/>
        <w:jc w:val="both"/>
        <w:rPr>
          <w:rFonts w:ascii="Times New Roman" w:hAnsi="Times New Roman" w:cs="Times New Roman"/>
          <w:sz w:val="24"/>
          <w:szCs w:val="24"/>
        </w:rPr>
      </w:pPr>
      <w:r w:rsidRPr="00893E6D">
        <w:rPr>
          <w:rFonts w:ascii="Times New Roman" w:hAnsi="Times New Roman" w:cs="Times New Roman"/>
          <w:sz w:val="24"/>
          <w:szCs w:val="24"/>
        </w:rPr>
        <w:t>Debt</w:t>
      </w:r>
      <w:r w:rsidR="00186585" w:rsidRPr="00186585">
        <w:rPr>
          <w:rFonts w:ascii="Times New Roman" w:hAnsi="Times New Roman" w:cs="Times New Roman"/>
          <w:sz w:val="24"/>
          <w:szCs w:val="24"/>
        </w:rPr>
        <w:t xml:space="preserve"> induces earnings volatility, and the stabilizing effects of non-operating income may be contingent on debt usage. We repeat the primary analysis with two subsamples dissected with the sample median debt-to-asset ratio: firms with above </w:t>
      </w:r>
      <w:r w:rsidR="0014574C">
        <w:rPr>
          <w:rFonts w:ascii="Times New Roman" w:hAnsi="Times New Roman" w:cs="Times New Roman"/>
          <w:sz w:val="24"/>
          <w:szCs w:val="24"/>
        </w:rPr>
        <w:t xml:space="preserve">the </w:t>
      </w:r>
      <w:r w:rsidR="00186585" w:rsidRPr="00186585">
        <w:rPr>
          <w:rFonts w:ascii="Times New Roman" w:hAnsi="Times New Roman" w:cs="Times New Roman"/>
          <w:sz w:val="24"/>
          <w:szCs w:val="24"/>
        </w:rPr>
        <w:t xml:space="preserve">sample median debt-to-asset ratio and those with below </w:t>
      </w:r>
      <w:r w:rsidR="0014574C">
        <w:rPr>
          <w:rFonts w:ascii="Times New Roman" w:hAnsi="Times New Roman" w:cs="Times New Roman"/>
          <w:sz w:val="24"/>
          <w:szCs w:val="24"/>
        </w:rPr>
        <w:t xml:space="preserve">the </w:t>
      </w:r>
      <w:r w:rsidR="00186585" w:rsidRPr="00186585">
        <w:rPr>
          <w:rFonts w:ascii="Times New Roman" w:hAnsi="Times New Roman" w:cs="Times New Roman"/>
          <w:sz w:val="24"/>
          <w:szCs w:val="24"/>
        </w:rPr>
        <w:t>sample median</w:t>
      </w:r>
      <w:r w:rsidR="001C58E7">
        <w:rPr>
          <w:rFonts w:ascii="Times New Roman" w:hAnsi="Times New Roman" w:cs="Times New Roman"/>
          <w:sz w:val="24"/>
          <w:szCs w:val="24"/>
        </w:rPr>
        <w:t xml:space="preserve"> </w:t>
      </w:r>
      <w:r w:rsidR="001C58E7" w:rsidRPr="00186585">
        <w:rPr>
          <w:rFonts w:ascii="Times New Roman" w:hAnsi="Times New Roman" w:cs="Times New Roman"/>
          <w:sz w:val="24"/>
          <w:szCs w:val="24"/>
        </w:rPr>
        <w:t>debt-to-asset ratio</w:t>
      </w:r>
      <w:r w:rsidR="00186585" w:rsidRPr="00186585">
        <w:rPr>
          <w:rFonts w:ascii="Times New Roman" w:hAnsi="Times New Roman" w:cs="Times New Roman"/>
          <w:sz w:val="24"/>
          <w:szCs w:val="24"/>
        </w:rPr>
        <w:t xml:space="preserve">. We report the results in Table A3. The coefficient on </w:t>
      </w:r>
      <w:r w:rsidR="00186585" w:rsidRPr="00811D08">
        <w:rPr>
          <w:rFonts w:ascii="Times New Roman" w:hAnsi="Times New Roman" w:cs="Times New Roman"/>
          <w:i/>
          <w:sz w:val="24"/>
          <w:szCs w:val="24"/>
        </w:rPr>
        <w:t>NONOPERINC</w:t>
      </w:r>
      <w:r w:rsidR="00186585" w:rsidRPr="00186585">
        <w:rPr>
          <w:rFonts w:ascii="Times New Roman" w:hAnsi="Times New Roman" w:cs="Times New Roman"/>
          <w:sz w:val="24"/>
          <w:szCs w:val="24"/>
        </w:rPr>
        <w:t xml:space="preserve"> is negative and significant for </w:t>
      </w:r>
      <w:r w:rsidR="00186585" w:rsidRPr="00AC0D8E">
        <w:rPr>
          <w:rFonts w:ascii="Times New Roman" w:hAnsi="Times New Roman" w:cs="Times New Roman"/>
          <w:sz w:val="24"/>
          <w:szCs w:val="24"/>
        </w:rPr>
        <w:t xml:space="preserve">both subsamples in Panels A, B, and C, implying that non-operating earnings alleviate earnings volatility and stock price risk regardless of the level of </w:t>
      </w:r>
      <w:r w:rsidR="0059042A" w:rsidRPr="00AC0D8E">
        <w:rPr>
          <w:rFonts w:ascii="Times New Roman" w:hAnsi="Times New Roman" w:cs="Times New Roman"/>
          <w:sz w:val="24"/>
          <w:szCs w:val="24"/>
        </w:rPr>
        <w:t>debt</w:t>
      </w:r>
      <w:r w:rsidR="004C4363" w:rsidRPr="00AC0D8E">
        <w:rPr>
          <w:rFonts w:ascii="Times New Roman" w:hAnsi="Times New Roman" w:cs="Times New Roman"/>
          <w:sz w:val="24"/>
          <w:szCs w:val="24"/>
        </w:rPr>
        <w:t>, but the risk-reducing impact is larger in firms with high debt usage</w:t>
      </w:r>
      <w:r w:rsidR="0059042A" w:rsidRPr="00AC0D8E">
        <w:rPr>
          <w:rFonts w:ascii="Times New Roman" w:hAnsi="Times New Roman" w:cs="Times New Roman"/>
          <w:sz w:val="24"/>
          <w:szCs w:val="24"/>
        </w:rPr>
        <w:t>.</w:t>
      </w:r>
      <w:r w:rsidRPr="00893E6D">
        <w:rPr>
          <w:rFonts w:ascii="Times New Roman" w:hAnsi="Times New Roman" w:cs="Times New Roman"/>
          <w:sz w:val="24"/>
          <w:szCs w:val="24"/>
        </w:rPr>
        <w:t xml:space="preserve"> </w:t>
      </w:r>
    </w:p>
    <w:p w14:paraId="5315846E" w14:textId="349A78FE" w:rsidR="00B22F36" w:rsidRPr="00893E6D" w:rsidRDefault="00B22F36" w:rsidP="00A1062B">
      <w:pPr>
        <w:pStyle w:val="ListParagraph"/>
        <w:numPr>
          <w:ilvl w:val="2"/>
          <w:numId w:val="11"/>
        </w:numPr>
        <w:spacing w:line="480" w:lineRule="auto"/>
        <w:jc w:val="both"/>
        <w:rPr>
          <w:rFonts w:ascii="Times New Roman" w:hAnsi="Times New Roman" w:cs="Times New Roman"/>
          <w:b/>
          <w:i/>
          <w:sz w:val="24"/>
          <w:szCs w:val="24"/>
        </w:rPr>
      </w:pPr>
      <w:r w:rsidRPr="00893E6D">
        <w:rPr>
          <w:rFonts w:ascii="Times New Roman" w:hAnsi="Times New Roman" w:cs="Times New Roman"/>
          <w:b/>
          <w:i/>
          <w:sz w:val="24"/>
          <w:szCs w:val="24"/>
        </w:rPr>
        <w:t xml:space="preserve">Growth </w:t>
      </w:r>
      <w:r w:rsidR="000E01C0">
        <w:rPr>
          <w:rFonts w:ascii="Times New Roman" w:hAnsi="Times New Roman" w:cs="Times New Roman"/>
          <w:b/>
          <w:i/>
          <w:sz w:val="24"/>
          <w:szCs w:val="24"/>
        </w:rPr>
        <w:t>u</w:t>
      </w:r>
      <w:r w:rsidRPr="00893E6D">
        <w:rPr>
          <w:rFonts w:ascii="Times New Roman" w:hAnsi="Times New Roman" w:cs="Times New Roman"/>
          <w:b/>
          <w:i/>
          <w:sz w:val="24"/>
          <w:szCs w:val="24"/>
        </w:rPr>
        <w:t xml:space="preserve">ncertainty and </w:t>
      </w:r>
      <w:r w:rsidR="000E01C0">
        <w:rPr>
          <w:rFonts w:ascii="Times New Roman" w:hAnsi="Times New Roman" w:cs="Times New Roman"/>
          <w:b/>
          <w:i/>
          <w:sz w:val="24"/>
          <w:szCs w:val="24"/>
        </w:rPr>
        <w:t>r</w:t>
      </w:r>
      <w:r w:rsidRPr="00893E6D">
        <w:rPr>
          <w:rFonts w:ascii="Times New Roman" w:hAnsi="Times New Roman" w:cs="Times New Roman"/>
          <w:b/>
          <w:i/>
          <w:sz w:val="24"/>
          <w:szCs w:val="24"/>
        </w:rPr>
        <w:t xml:space="preserve">isk </w:t>
      </w:r>
      <w:r w:rsidR="000E01C0">
        <w:rPr>
          <w:rFonts w:ascii="Times New Roman" w:hAnsi="Times New Roman" w:cs="Times New Roman"/>
          <w:b/>
          <w:i/>
          <w:sz w:val="24"/>
          <w:szCs w:val="24"/>
        </w:rPr>
        <w:t>m</w:t>
      </w:r>
      <w:r w:rsidRPr="00893E6D">
        <w:rPr>
          <w:rFonts w:ascii="Times New Roman" w:hAnsi="Times New Roman" w:cs="Times New Roman"/>
          <w:b/>
          <w:i/>
          <w:sz w:val="24"/>
          <w:szCs w:val="24"/>
        </w:rPr>
        <w:t>easures</w:t>
      </w:r>
    </w:p>
    <w:p w14:paraId="255C1ECF" w14:textId="0300FF14" w:rsidR="00744E26" w:rsidRPr="00893E6D" w:rsidRDefault="00B22F36">
      <w:pPr>
        <w:spacing w:line="480" w:lineRule="auto"/>
        <w:ind w:left="90" w:firstLine="630"/>
        <w:jc w:val="both"/>
        <w:rPr>
          <w:rFonts w:ascii="Times New Roman" w:hAnsi="Times New Roman" w:cs="Times New Roman"/>
          <w:b/>
          <w:i/>
          <w:sz w:val="24"/>
          <w:szCs w:val="24"/>
        </w:rPr>
      </w:pPr>
      <w:r w:rsidRPr="00893E6D">
        <w:rPr>
          <w:rFonts w:ascii="Times New Roman" w:hAnsi="Times New Roman" w:cs="Times New Roman"/>
          <w:sz w:val="24"/>
          <w:szCs w:val="24"/>
        </w:rPr>
        <w:t>Growth</w:t>
      </w:r>
      <w:r w:rsidR="007D1E72" w:rsidRPr="007D1E72">
        <w:rPr>
          <w:rFonts w:ascii="Times New Roman" w:hAnsi="Times New Roman" w:cs="Times New Roman"/>
          <w:sz w:val="24"/>
          <w:szCs w:val="24"/>
        </w:rPr>
        <w:t xml:space="preserve"> uncertainty entails more volatility in operating cash flows and, consequently, higher stock price risk. </w:t>
      </w:r>
      <w:proofErr w:type="spellStart"/>
      <w:r w:rsidR="007D1E72" w:rsidRPr="007D1E72">
        <w:rPr>
          <w:rFonts w:ascii="Times New Roman" w:hAnsi="Times New Roman" w:cs="Times New Roman"/>
          <w:sz w:val="24"/>
          <w:szCs w:val="24"/>
        </w:rPr>
        <w:t>Malikov</w:t>
      </w:r>
      <w:proofErr w:type="spellEnd"/>
      <w:r w:rsidR="007D1E72" w:rsidRPr="007D1E72">
        <w:rPr>
          <w:rFonts w:ascii="Times New Roman" w:hAnsi="Times New Roman" w:cs="Times New Roman"/>
          <w:sz w:val="24"/>
          <w:szCs w:val="24"/>
        </w:rPr>
        <w:t xml:space="preserve"> </w:t>
      </w:r>
      <w:r w:rsidR="007D1E72" w:rsidRPr="0059042A">
        <w:rPr>
          <w:rFonts w:ascii="Times New Roman" w:hAnsi="Times New Roman" w:cs="Times New Roman"/>
          <w:i/>
          <w:sz w:val="24"/>
          <w:szCs w:val="24"/>
        </w:rPr>
        <w:t>et al</w:t>
      </w:r>
      <w:r w:rsidR="007D1E72" w:rsidRPr="007D1E72">
        <w:rPr>
          <w:rFonts w:ascii="Times New Roman" w:hAnsi="Times New Roman" w:cs="Times New Roman"/>
          <w:sz w:val="24"/>
          <w:szCs w:val="24"/>
        </w:rPr>
        <w:t>. (2018) document that firms with low growth use a higher degree of classification shifting of revenues, which implies that non-operating activities are especially important to stabilize earnings in firms with high growth uncertainty. We use R&amp;D expenditure to proxy for growth uncertainty. We examine how the effect of non-operating earnings vary between firms with R&amp;D expenditure (high growth and high uncertainty firms) and those without such expenditure. Table A4 Panel A shows that non-operating earnings are negatively associated with earnings volatility among firms with R&amp;D expenditure</w:t>
      </w:r>
      <w:r w:rsidR="00782386">
        <w:rPr>
          <w:rFonts w:ascii="Times New Roman" w:hAnsi="Times New Roman" w:cs="Times New Roman"/>
          <w:sz w:val="24"/>
          <w:szCs w:val="24"/>
        </w:rPr>
        <w:t>,</w:t>
      </w:r>
      <w:r w:rsidR="007D1E72" w:rsidRPr="007D1E72">
        <w:rPr>
          <w:rFonts w:ascii="Times New Roman" w:hAnsi="Times New Roman" w:cs="Times New Roman"/>
          <w:sz w:val="24"/>
          <w:szCs w:val="24"/>
        </w:rPr>
        <w:t xml:space="preserve"> </w:t>
      </w:r>
      <w:r w:rsidR="00782386">
        <w:rPr>
          <w:rFonts w:ascii="Times New Roman" w:hAnsi="Times New Roman" w:cs="Times New Roman"/>
          <w:sz w:val="24"/>
          <w:szCs w:val="24"/>
        </w:rPr>
        <w:t xml:space="preserve">i.e., our proxy for </w:t>
      </w:r>
      <w:r w:rsidR="007D1E72" w:rsidRPr="007D1E72">
        <w:rPr>
          <w:rFonts w:ascii="Times New Roman" w:hAnsi="Times New Roman" w:cs="Times New Roman"/>
          <w:sz w:val="24"/>
          <w:szCs w:val="24"/>
        </w:rPr>
        <w:t>high growth uncertainty. The results in Panels B, C, and D suggest that non-operating earnings and stock price volatility or crash risk are inversely related regardless of the level of growth and uncertainty.</w:t>
      </w:r>
    </w:p>
    <w:p w14:paraId="151B1C7D" w14:textId="5A037369" w:rsidR="00B22F36" w:rsidRPr="00893E6D" w:rsidRDefault="00B22F36" w:rsidP="00A1062B">
      <w:pPr>
        <w:pStyle w:val="ListParagraph"/>
        <w:numPr>
          <w:ilvl w:val="2"/>
          <w:numId w:val="11"/>
        </w:numPr>
        <w:spacing w:line="480" w:lineRule="auto"/>
        <w:jc w:val="both"/>
        <w:rPr>
          <w:rFonts w:ascii="Times New Roman" w:hAnsi="Times New Roman" w:cs="Times New Roman"/>
          <w:b/>
          <w:i/>
          <w:sz w:val="24"/>
          <w:szCs w:val="24"/>
        </w:rPr>
      </w:pPr>
      <w:r w:rsidRPr="00893E6D">
        <w:rPr>
          <w:rFonts w:ascii="Times New Roman" w:hAnsi="Times New Roman" w:cs="Times New Roman"/>
          <w:b/>
          <w:i/>
          <w:sz w:val="24"/>
          <w:szCs w:val="24"/>
        </w:rPr>
        <w:lastRenderedPageBreak/>
        <w:t xml:space="preserve">Financial </w:t>
      </w:r>
      <w:r w:rsidR="000E01C0">
        <w:rPr>
          <w:rFonts w:ascii="Times New Roman" w:hAnsi="Times New Roman" w:cs="Times New Roman"/>
          <w:b/>
          <w:i/>
          <w:sz w:val="24"/>
          <w:szCs w:val="24"/>
        </w:rPr>
        <w:t>c</w:t>
      </w:r>
      <w:r w:rsidRPr="00893E6D">
        <w:rPr>
          <w:rFonts w:ascii="Times New Roman" w:hAnsi="Times New Roman" w:cs="Times New Roman"/>
          <w:b/>
          <w:i/>
          <w:sz w:val="24"/>
          <w:szCs w:val="24"/>
        </w:rPr>
        <w:t xml:space="preserve">risis and </w:t>
      </w:r>
      <w:r w:rsidR="000E01C0">
        <w:rPr>
          <w:rFonts w:ascii="Times New Roman" w:hAnsi="Times New Roman" w:cs="Times New Roman"/>
          <w:b/>
          <w:i/>
          <w:sz w:val="24"/>
          <w:szCs w:val="24"/>
        </w:rPr>
        <w:t>r</w:t>
      </w:r>
      <w:r w:rsidRPr="00893E6D">
        <w:rPr>
          <w:rFonts w:ascii="Times New Roman" w:hAnsi="Times New Roman" w:cs="Times New Roman"/>
          <w:b/>
          <w:i/>
          <w:sz w:val="24"/>
          <w:szCs w:val="24"/>
        </w:rPr>
        <w:t xml:space="preserve">isk </w:t>
      </w:r>
      <w:r w:rsidR="000E01C0">
        <w:rPr>
          <w:rFonts w:ascii="Times New Roman" w:hAnsi="Times New Roman" w:cs="Times New Roman"/>
          <w:b/>
          <w:i/>
          <w:sz w:val="24"/>
          <w:szCs w:val="24"/>
        </w:rPr>
        <w:t>m</w:t>
      </w:r>
      <w:r w:rsidRPr="00893E6D">
        <w:rPr>
          <w:rFonts w:ascii="Times New Roman" w:hAnsi="Times New Roman" w:cs="Times New Roman"/>
          <w:b/>
          <w:i/>
          <w:sz w:val="24"/>
          <w:szCs w:val="24"/>
        </w:rPr>
        <w:t>easures</w:t>
      </w:r>
    </w:p>
    <w:p w14:paraId="4C20AAFF" w14:textId="6E0492CA" w:rsidR="00B22F36" w:rsidRPr="00AC0D8E" w:rsidRDefault="007C6302" w:rsidP="00A1062B">
      <w:pPr>
        <w:spacing w:line="480" w:lineRule="auto"/>
        <w:ind w:firstLine="720"/>
        <w:jc w:val="both"/>
        <w:rPr>
          <w:rFonts w:ascii="Times New Roman" w:hAnsi="Times New Roman" w:cs="Times New Roman"/>
          <w:sz w:val="24"/>
          <w:szCs w:val="24"/>
        </w:rPr>
      </w:pPr>
      <w:r w:rsidRPr="00893E6D">
        <w:rPr>
          <w:rFonts w:ascii="Times New Roman" w:hAnsi="Times New Roman" w:cs="Times New Roman"/>
          <w:sz w:val="24"/>
          <w:szCs w:val="24"/>
        </w:rPr>
        <w:t>F</w:t>
      </w:r>
      <w:r w:rsidR="00B22F36" w:rsidRPr="00893E6D">
        <w:rPr>
          <w:rFonts w:ascii="Times New Roman" w:hAnsi="Times New Roman" w:cs="Times New Roman"/>
          <w:sz w:val="24"/>
          <w:szCs w:val="24"/>
        </w:rPr>
        <w:t>inancial</w:t>
      </w:r>
      <w:r w:rsidR="00B768FD" w:rsidRPr="00B768FD">
        <w:rPr>
          <w:rFonts w:ascii="Times New Roman" w:hAnsi="Times New Roman" w:cs="Times New Roman"/>
          <w:sz w:val="24"/>
          <w:szCs w:val="24"/>
        </w:rPr>
        <w:t xml:space="preserve"> crises escalate risk and volatility. The extreme volatility of the 2007-2009 financial crisis would overshadow the real effects of non-operating earnings on </w:t>
      </w:r>
      <w:r w:rsidR="00DE179E">
        <w:rPr>
          <w:rFonts w:ascii="Times New Roman" w:hAnsi="Times New Roman" w:cs="Times New Roman"/>
          <w:sz w:val="24"/>
          <w:szCs w:val="24"/>
        </w:rPr>
        <w:t xml:space="preserve">the </w:t>
      </w:r>
      <w:r w:rsidR="00B768FD" w:rsidRPr="00B768FD">
        <w:rPr>
          <w:rFonts w:ascii="Times New Roman" w:hAnsi="Times New Roman" w:cs="Times New Roman"/>
          <w:sz w:val="24"/>
          <w:szCs w:val="24"/>
        </w:rPr>
        <w:t xml:space="preserve">various risk measures and </w:t>
      </w:r>
      <w:r w:rsidR="00DE179E">
        <w:rPr>
          <w:rFonts w:ascii="Times New Roman" w:hAnsi="Times New Roman" w:cs="Times New Roman"/>
          <w:sz w:val="24"/>
          <w:szCs w:val="24"/>
        </w:rPr>
        <w:t>confound</w:t>
      </w:r>
      <w:r w:rsidR="00DE179E" w:rsidRPr="00B768FD">
        <w:rPr>
          <w:rFonts w:ascii="Times New Roman" w:hAnsi="Times New Roman" w:cs="Times New Roman"/>
          <w:sz w:val="24"/>
          <w:szCs w:val="24"/>
        </w:rPr>
        <w:t xml:space="preserve"> </w:t>
      </w:r>
      <w:r w:rsidR="00B768FD" w:rsidRPr="00B768FD">
        <w:rPr>
          <w:rFonts w:ascii="Times New Roman" w:hAnsi="Times New Roman" w:cs="Times New Roman"/>
          <w:sz w:val="24"/>
          <w:szCs w:val="24"/>
        </w:rPr>
        <w:t xml:space="preserve">our results. To account for this possibility, we analyze three subsamples separately: 1990-2006 (pre-crisis), 2007-2009 (during-crisis), and 2010-2016 (post-crisis), and present our findings in Table A5. The inverse association between non-operating earnings and the various risk measures </w:t>
      </w:r>
      <w:r w:rsidR="00DE179E" w:rsidRPr="00AC0D8E">
        <w:rPr>
          <w:rFonts w:ascii="Times New Roman" w:hAnsi="Times New Roman" w:cs="Times New Roman"/>
          <w:sz w:val="24"/>
          <w:szCs w:val="24"/>
        </w:rPr>
        <w:t xml:space="preserve">is </w:t>
      </w:r>
      <w:r w:rsidR="00B768FD" w:rsidRPr="00AC0D8E">
        <w:rPr>
          <w:rFonts w:ascii="Times New Roman" w:hAnsi="Times New Roman" w:cs="Times New Roman"/>
          <w:sz w:val="24"/>
          <w:szCs w:val="24"/>
        </w:rPr>
        <w:t>most significant during the pre-crisis period. Thus, during normal times, the inverse association between non-operating earnings and the risk measures holds</w:t>
      </w:r>
      <w:r w:rsidR="00B22F36" w:rsidRPr="00AC0D8E">
        <w:rPr>
          <w:rFonts w:ascii="Times New Roman" w:hAnsi="Times New Roman" w:cs="Times New Roman"/>
          <w:sz w:val="24"/>
          <w:szCs w:val="24"/>
        </w:rPr>
        <w:t>.</w:t>
      </w:r>
    </w:p>
    <w:p w14:paraId="4947AE99" w14:textId="769204E3" w:rsidR="00B22F36" w:rsidRPr="00AC0D8E" w:rsidRDefault="00B22F36" w:rsidP="00A1062B">
      <w:pPr>
        <w:pStyle w:val="ListParagraph"/>
        <w:numPr>
          <w:ilvl w:val="2"/>
          <w:numId w:val="11"/>
        </w:numPr>
        <w:spacing w:line="480" w:lineRule="auto"/>
        <w:jc w:val="both"/>
        <w:rPr>
          <w:rFonts w:ascii="Times New Roman" w:hAnsi="Times New Roman" w:cs="Times New Roman"/>
          <w:b/>
          <w:i/>
          <w:sz w:val="24"/>
          <w:szCs w:val="24"/>
        </w:rPr>
      </w:pPr>
      <w:r w:rsidRPr="00AC0D8E">
        <w:rPr>
          <w:rFonts w:ascii="Times New Roman" w:hAnsi="Times New Roman" w:cs="Times New Roman"/>
          <w:b/>
          <w:i/>
          <w:sz w:val="24"/>
          <w:szCs w:val="24"/>
        </w:rPr>
        <w:t xml:space="preserve">The 2002 Sarbanes-Oxley Act and </w:t>
      </w:r>
      <w:r w:rsidR="000E01C0" w:rsidRPr="00AC0D8E">
        <w:rPr>
          <w:rFonts w:ascii="Times New Roman" w:hAnsi="Times New Roman" w:cs="Times New Roman"/>
          <w:b/>
          <w:i/>
          <w:sz w:val="24"/>
          <w:szCs w:val="24"/>
        </w:rPr>
        <w:t>r</w:t>
      </w:r>
      <w:r w:rsidRPr="00AC0D8E">
        <w:rPr>
          <w:rFonts w:ascii="Times New Roman" w:hAnsi="Times New Roman" w:cs="Times New Roman"/>
          <w:b/>
          <w:i/>
          <w:sz w:val="24"/>
          <w:szCs w:val="24"/>
        </w:rPr>
        <w:t xml:space="preserve">isk </w:t>
      </w:r>
      <w:r w:rsidR="000E01C0" w:rsidRPr="00AC0D8E">
        <w:rPr>
          <w:rFonts w:ascii="Times New Roman" w:hAnsi="Times New Roman" w:cs="Times New Roman"/>
          <w:b/>
          <w:i/>
          <w:sz w:val="24"/>
          <w:szCs w:val="24"/>
        </w:rPr>
        <w:t>m</w:t>
      </w:r>
      <w:r w:rsidRPr="00AC0D8E">
        <w:rPr>
          <w:rFonts w:ascii="Times New Roman" w:hAnsi="Times New Roman" w:cs="Times New Roman"/>
          <w:b/>
          <w:i/>
          <w:sz w:val="24"/>
          <w:szCs w:val="24"/>
        </w:rPr>
        <w:t>easures</w:t>
      </w:r>
    </w:p>
    <w:p w14:paraId="5E01F5A1" w14:textId="40802ED7" w:rsidR="00B22F36" w:rsidRPr="00893E6D" w:rsidRDefault="005F30C3" w:rsidP="00A1062B">
      <w:pPr>
        <w:spacing w:line="480" w:lineRule="auto"/>
        <w:ind w:firstLine="720"/>
        <w:jc w:val="both"/>
        <w:rPr>
          <w:rFonts w:ascii="Times New Roman" w:hAnsi="Times New Roman" w:cs="Times New Roman"/>
          <w:sz w:val="24"/>
          <w:szCs w:val="24"/>
        </w:rPr>
      </w:pPr>
      <w:r w:rsidRPr="00AC0D8E">
        <w:rPr>
          <w:rFonts w:ascii="Times New Roman" w:hAnsi="Times New Roman" w:cs="Times New Roman"/>
          <w:sz w:val="24"/>
          <w:szCs w:val="24"/>
        </w:rPr>
        <w:t xml:space="preserve">It is inconceivable that auditors </w:t>
      </w:r>
      <w:r w:rsidR="00B768FD" w:rsidRPr="00AC0D8E">
        <w:rPr>
          <w:rFonts w:ascii="Times New Roman" w:hAnsi="Times New Roman" w:cs="Times New Roman"/>
          <w:sz w:val="24"/>
          <w:szCs w:val="24"/>
        </w:rPr>
        <w:t xml:space="preserve">are not concerned about classification shifting, especially after the passage of the Sarbanes-Oxley Act (SOX) in 2002, which imposes stiff penalties on both manipulating firms and their auditors. </w:t>
      </w:r>
      <w:r w:rsidR="00B768FD" w:rsidRPr="002A1026">
        <w:rPr>
          <w:rFonts w:ascii="Times New Roman" w:hAnsi="Times New Roman" w:cs="Times New Roman"/>
          <w:sz w:val="24"/>
          <w:szCs w:val="24"/>
        </w:rPr>
        <w:t>Li (2016)</w:t>
      </w:r>
      <w:r w:rsidR="00B768FD" w:rsidRPr="00AC0D8E">
        <w:rPr>
          <w:rFonts w:ascii="Times New Roman" w:hAnsi="Times New Roman" w:cs="Times New Roman"/>
          <w:sz w:val="24"/>
          <w:szCs w:val="24"/>
        </w:rPr>
        <w:t xml:space="preserve"> documents</w:t>
      </w:r>
      <w:r w:rsidR="00B768FD" w:rsidRPr="00B768FD">
        <w:rPr>
          <w:rFonts w:ascii="Times New Roman" w:hAnsi="Times New Roman" w:cs="Times New Roman"/>
          <w:sz w:val="24"/>
          <w:szCs w:val="24"/>
        </w:rPr>
        <w:t xml:space="preserve"> that SOX has a deterring effect on classification shifting, i.e., the magnitude of unexpected core earnings declines, and firms shift fewer core expenses to special items post-SOX. We split our sample into pre-and post-SOX, run the regressions in both subsamples, and report the results in Table A6. We observe an inverse association between non-operating income and all the risk measures across both </w:t>
      </w:r>
      <w:r w:rsidR="00636C4A" w:rsidRPr="00B768FD">
        <w:rPr>
          <w:rFonts w:ascii="Times New Roman" w:hAnsi="Times New Roman" w:cs="Times New Roman"/>
          <w:sz w:val="24"/>
          <w:szCs w:val="24"/>
        </w:rPr>
        <w:t>sub</w:t>
      </w:r>
      <w:r w:rsidR="00C21813">
        <w:rPr>
          <w:rFonts w:ascii="Times New Roman" w:hAnsi="Times New Roman" w:cs="Times New Roman"/>
          <w:sz w:val="24"/>
          <w:szCs w:val="24"/>
        </w:rPr>
        <w:t>-</w:t>
      </w:r>
      <w:r w:rsidR="00636C4A" w:rsidRPr="00B768FD">
        <w:rPr>
          <w:rFonts w:ascii="Times New Roman" w:hAnsi="Times New Roman" w:cs="Times New Roman"/>
          <w:sz w:val="24"/>
          <w:szCs w:val="24"/>
        </w:rPr>
        <w:t>periods</w:t>
      </w:r>
      <w:r w:rsidR="00B768FD" w:rsidRPr="00B768FD">
        <w:rPr>
          <w:rFonts w:ascii="Times New Roman" w:hAnsi="Times New Roman" w:cs="Times New Roman"/>
          <w:sz w:val="24"/>
          <w:szCs w:val="24"/>
        </w:rPr>
        <w:t>.</w:t>
      </w:r>
    </w:p>
    <w:p w14:paraId="7F13297E" w14:textId="5FD93F41" w:rsidR="00B22F36" w:rsidRPr="00893E6D" w:rsidRDefault="00B22F36" w:rsidP="00A1062B">
      <w:pPr>
        <w:pStyle w:val="ListParagraph"/>
        <w:numPr>
          <w:ilvl w:val="2"/>
          <w:numId w:val="11"/>
        </w:numPr>
        <w:spacing w:line="480" w:lineRule="auto"/>
        <w:jc w:val="both"/>
        <w:rPr>
          <w:rFonts w:ascii="Times New Roman" w:hAnsi="Times New Roman" w:cs="Times New Roman"/>
          <w:b/>
          <w:i/>
          <w:sz w:val="24"/>
          <w:szCs w:val="24"/>
        </w:rPr>
      </w:pPr>
      <w:r w:rsidRPr="00893E6D">
        <w:rPr>
          <w:rFonts w:ascii="Times New Roman" w:hAnsi="Times New Roman" w:cs="Times New Roman"/>
          <w:b/>
          <w:i/>
          <w:sz w:val="24"/>
          <w:szCs w:val="24"/>
        </w:rPr>
        <w:t xml:space="preserve">Managerial </w:t>
      </w:r>
      <w:r w:rsidR="000E01C0">
        <w:rPr>
          <w:rFonts w:ascii="Times New Roman" w:hAnsi="Times New Roman" w:cs="Times New Roman"/>
          <w:b/>
          <w:i/>
          <w:sz w:val="24"/>
          <w:szCs w:val="24"/>
        </w:rPr>
        <w:t>a</w:t>
      </w:r>
      <w:r w:rsidRPr="00893E6D">
        <w:rPr>
          <w:rFonts w:ascii="Times New Roman" w:hAnsi="Times New Roman" w:cs="Times New Roman"/>
          <w:b/>
          <w:i/>
          <w:sz w:val="24"/>
          <w:szCs w:val="24"/>
        </w:rPr>
        <w:t xml:space="preserve">bility and </w:t>
      </w:r>
      <w:r w:rsidR="000E01C0">
        <w:rPr>
          <w:rFonts w:ascii="Times New Roman" w:hAnsi="Times New Roman" w:cs="Times New Roman"/>
          <w:b/>
          <w:i/>
          <w:sz w:val="24"/>
          <w:szCs w:val="24"/>
        </w:rPr>
        <w:t>r</w:t>
      </w:r>
      <w:r w:rsidRPr="00893E6D">
        <w:rPr>
          <w:rFonts w:ascii="Times New Roman" w:hAnsi="Times New Roman" w:cs="Times New Roman"/>
          <w:b/>
          <w:i/>
          <w:sz w:val="24"/>
          <w:szCs w:val="24"/>
        </w:rPr>
        <w:t xml:space="preserve">isk </w:t>
      </w:r>
      <w:r w:rsidR="000E01C0">
        <w:rPr>
          <w:rFonts w:ascii="Times New Roman" w:hAnsi="Times New Roman" w:cs="Times New Roman"/>
          <w:b/>
          <w:i/>
          <w:sz w:val="24"/>
          <w:szCs w:val="24"/>
        </w:rPr>
        <w:t>m</w:t>
      </w:r>
      <w:r w:rsidRPr="00893E6D">
        <w:rPr>
          <w:rFonts w:ascii="Times New Roman" w:hAnsi="Times New Roman" w:cs="Times New Roman"/>
          <w:b/>
          <w:i/>
          <w:sz w:val="24"/>
          <w:szCs w:val="24"/>
        </w:rPr>
        <w:t>easures</w:t>
      </w:r>
    </w:p>
    <w:p w14:paraId="32524405" w14:textId="2AC0F7EE" w:rsidR="00B22F36" w:rsidRPr="00893E6D" w:rsidRDefault="00B22F36" w:rsidP="00A1062B">
      <w:pPr>
        <w:spacing w:line="480" w:lineRule="auto"/>
        <w:ind w:firstLine="720"/>
        <w:contextualSpacing/>
        <w:jc w:val="both"/>
        <w:rPr>
          <w:rFonts w:ascii="Times New Roman" w:hAnsi="Times New Roman" w:cs="Times New Roman"/>
          <w:sz w:val="24"/>
          <w:szCs w:val="24"/>
        </w:rPr>
      </w:pPr>
      <w:r w:rsidRPr="00893E6D">
        <w:rPr>
          <w:rFonts w:ascii="Times New Roman" w:hAnsi="Times New Roman" w:cs="Times New Roman"/>
          <w:sz w:val="24"/>
          <w:szCs w:val="24"/>
        </w:rPr>
        <w:t>A</w:t>
      </w:r>
      <w:r w:rsidR="00B768FD" w:rsidRPr="00B768FD">
        <w:rPr>
          <w:rFonts w:ascii="Times New Roman" w:hAnsi="Times New Roman" w:cs="Times New Roman"/>
          <w:sz w:val="24"/>
          <w:szCs w:val="24"/>
        </w:rPr>
        <w:t xml:space="preserve"> firm's risk profile reflects its managers' choices. We divide the sample into firms with high vs. low skilled managers. High-skilled managers represent firms with managerial ability scores higher than the median industry score</w:t>
      </w:r>
      <w:r w:rsidR="00CC1B05">
        <w:rPr>
          <w:rFonts w:ascii="Times New Roman" w:hAnsi="Times New Roman" w:cs="Times New Roman"/>
          <w:sz w:val="24"/>
          <w:szCs w:val="24"/>
        </w:rPr>
        <w:t>s</w:t>
      </w:r>
      <w:r w:rsidR="00B768FD" w:rsidRPr="00B768FD">
        <w:rPr>
          <w:rFonts w:ascii="Times New Roman" w:hAnsi="Times New Roman" w:cs="Times New Roman"/>
          <w:sz w:val="24"/>
          <w:szCs w:val="24"/>
        </w:rPr>
        <w:t xml:space="preserve"> over the </w:t>
      </w:r>
      <w:r w:rsidR="00CC1B05">
        <w:rPr>
          <w:rFonts w:ascii="Times New Roman" w:hAnsi="Times New Roman" w:cs="Times New Roman"/>
          <w:sz w:val="24"/>
          <w:szCs w:val="24"/>
        </w:rPr>
        <w:t>p</w:t>
      </w:r>
      <w:r w:rsidR="00CC1B05" w:rsidRPr="00B768FD">
        <w:rPr>
          <w:rFonts w:ascii="Times New Roman" w:hAnsi="Times New Roman" w:cs="Times New Roman"/>
          <w:sz w:val="24"/>
          <w:szCs w:val="24"/>
        </w:rPr>
        <w:t xml:space="preserve">ast </w:t>
      </w:r>
      <w:r w:rsidR="00B768FD" w:rsidRPr="00B768FD">
        <w:rPr>
          <w:rFonts w:ascii="Times New Roman" w:hAnsi="Times New Roman" w:cs="Times New Roman"/>
          <w:sz w:val="24"/>
          <w:szCs w:val="24"/>
        </w:rPr>
        <w:t xml:space="preserve">three years to eliminate chance occurrence. We refer to this category of firms as </w:t>
      </w:r>
      <w:r w:rsidR="00B768FD" w:rsidRPr="00811D08">
        <w:rPr>
          <w:rFonts w:ascii="Times New Roman" w:hAnsi="Times New Roman" w:cs="Times New Roman"/>
          <w:i/>
          <w:sz w:val="24"/>
          <w:szCs w:val="24"/>
        </w:rPr>
        <w:t>SKILL</w:t>
      </w:r>
      <w:r w:rsidR="00B768FD" w:rsidRPr="00B768FD">
        <w:rPr>
          <w:rFonts w:ascii="Times New Roman" w:hAnsi="Times New Roman" w:cs="Times New Roman"/>
          <w:sz w:val="24"/>
          <w:szCs w:val="24"/>
        </w:rPr>
        <w:t xml:space="preserve"> or high-ability managers. The other category of firms is categorized as </w:t>
      </w:r>
      <w:r w:rsidR="00B768FD" w:rsidRPr="00811D08">
        <w:rPr>
          <w:rFonts w:ascii="Times New Roman" w:hAnsi="Times New Roman" w:cs="Times New Roman"/>
          <w:i/>
          <w:sz w:val="24"/>
          <w:szCs w:val="24"/>
        </w:rPr>
        <w:t>LUCK</w:t>
      </w:r>
      <w:r w:rsidR="00B768FD" w:rsidRPr="00B768FD">
        <w:rPr>
          <w:rFonts w:ascii="Times New Roman" w:hAnsi="Times New Roman" w:cs="Times New Roman"/>
          <w:sz w:val="24"/>
          <w:szCs w:val="24"/>
        </w:rPr>
        <w:t xml:space="preserve"> or low-ability managers. We present the findings in </w:t>
      </w:r>
      <w:r w:rsidR="00B768FD" w:rsidRPr="00B768FD">
        <w:rPr>
          <w:rFonts w:ascii="Times New Roman" w:hAnsi="Times New Roman" w:cs="Times New Roman"/>
          <w:sz w:val="24"/>
          <w:szCs w:val="24"/>
        </w:rPr>
        <w:lastRenderedPageBreak/>
        <w:t xml:space="preserve">Table A7. The coefficients </w:t>
      </w:r>
      <w:r w:rsidR="00CC1B05">
        <w:rPr>
          <w:rFonts w:ascii="Times New Roman" w:hAnsi="Times New Roman" w:cs="Times New Roman"/>
          <w:sz w:val="24"/>
          <w:szCs w:val="24"/>
        </w:rPr>
        <w:t>of</w:t>
      </w:r>
      <w:r w:rsidR="00CC1B05" w:rsidRPr="00B768FD">
        <w:rPr>
          <w:rFonts w:ascii="Times New Roman" w:hAnsi="Times New Roman" w:cs="Times New Roman"/>
          <w:sz w:val="24"/>
          <w:szCs w:val="24"/>
        </w:rPr>
        <w:t xml:space="preserve"> </w:t>
      </w:r>
      <w:r w:rsidR="00B768FD" w:rsidRPr="00811D08">
        <w:rPr>
          <w:rFonts w:ascii="Times New Roman" w:hAnsi="Times New Roman" w:cs="Times New Roman"/>
          <w:i/>
          <w:sz w:val="24"/>
          <w:szCs w:val="24"/>
        </w:rPr>
        <w:t>NONOPERINC</w:t>
      </w:r>
      <w:r w:rsidR="00B768FD" w:rsidRPr="00B768FD">
        <w:rPr>
          <w:rFonts w:ascii="Times New Roman" w:hAnsi="Times New Roman" w:cs="Times New Roman"/>
          <w:sz w:val="24"/>
          <w:szCs w:val="24"/>
        </w:rPr>
        <w:t xml:space="preserve"> are significant in the subsample representing luck or low-ability managers. They are not significant in the subsample representing skill</w:t>
      </w:r>
      <w:r w:rsidR="00017624">
        <w:rPr>
          <w:rFonts w:ascii="Times New Roman" w:hAnsi="Times New Roman" w:cs="Times New Roman"/>
          <w:sz w:val="24"/>
          <w:szCs w:val="24"/>
        </w:rPr>
        <w:t>ed</w:t>
      </w:r>
      <w:r w:rsidR="00B768FD" w:rsidRPr="00B768FD">
        <w:rPr>
          <w:rFonts w:ascii="Times New Roman" w:hAnsi="Times New Roman" w:cs="Times New Roman"/>
          <w:sz w:val="24"/>
          <w:szCs w:val="24"/>
        </w:rPr>
        <w:t xml:space="preserve"> or high</w:t>
      </w:r>
      <w:r w:rsidR="000950FE">
        <w:rPr>
          <w:rFonts w:ascii="Times New Roman" w:hAnsi="Times New Roman" w:cs="Times New Roman"/>
          <w:sz w:val="24"/>
          <w:szCs w:val="24"/>
        </w:rPr>
        <w:t>-ability</w:t>
      </w:r>
      <w:r w:rsidR="00B768FD" w:rsidRPr="00B768FD">
        <w:rPr>
          <w:rFonts w:ascii="Times New Roman" w:hAnsi="Times New Roman" w:cs="Times New Roman"/>
          <w:sz w:val="24"/>
          <w:szCs w:val="24"/>
        </w:rPr>
        <w:t xml:space="preserve"> managers. Possible explanations include: more able managers make better investment decisions and thus help generate higher operating earnings, which, consequently, mitigate the effects of non-operating earnings</w:t>
      </w:r>
      <w:r w:rsidR="00041A68">
        <w:rPr>
          <w:rFonts w:ascii="Times New Roman" w:hAnsi="Times New Roman" w:cs="Times New Roman"/>
          <w:sz w:val="24"/>
          <w:szCs w:val="24"/>
        </w:rPr>
        <w:t>; or h</w:t>
      </w:r>
      <w:r w:rsidR="00041A68" w:rsidRPr="00B768FD">
        <w:rPr>
          <w:rFonts w:ascii="Times New Roman" w:hAnsi="Times New Roman" w:cs="Times New Roman"/>
          <w:sz w:val="24"/>
          <w:szCs w:val="24"/>
        </w:rPr>
        <w:t>igh</w:t>
      </w:r>
      <w:r w:rsidR="00B768FD" w:rsidRPr="00B768FD">
        <w:rPr>
          <w:rFonts w:ascii="Times New Roman" w:hAnsi="Times New Roman" w:cs="Times New Roman"/>
          <w:sz w:val="24"/>
          <w:szCs w:val="24"/>
        </w:rPr>
        <w:t xml:space="preserve">-ability managers are confident in their </w:t>
      </w:r>
      <w:r w:rsidR="00017624">
        <w:rPr>
          <w:rFonts w:ascii="Times New Roman" w:hAnsi="Times New Roman" w:cs="Times New Roman"/>
          <w:sz w:val="24"/>
          <w:szCs w:val="24"/>
        </w:rPr>
        <w:t>ability</w:t>
      </w:r>
      <w:r w:rsidR="00017624" w:rsidRPr="00B768FD">
        <w:rPr>
          <w:rFonts w:ascii="Times New Roman" w:hAnsi="Times New Roman" w:cs="Times New Roman"/>
          <w:sz w:val="24"/>
          <w:szCs w:val="24"/>
        </w:rPr>
        <w:t xml:space="preserve"> </w:t>
      </w:r>
      <w:r w:rsidR="00B768FD" w:rsidRPr="00B768FD">
        <w:rPr>
          <w:rFonts w:ascii="Times New Roman" w:hAnsi="Times New Roman" w:cs="Times New Roman"/>
          <w:sz w:val="24"/>
          <w:szCs w:val="24"/>
        </w:rPr>
        <w:t xml:space="preserve">and choose not to invest in non-operating activities in the first place, a result documented in the first stage regression of the IV analysis (in Panel A of Table 7 whereby the coefficient of </w:t>
      </w:r>
      <w:r w:rsidR="00B768FD" w:rsidRPr="00811D08">
        <w:rPr>
          <w:rFonts w:ascii="Times New Roman" w:hAnsi="Times New Roman" w:cs="Times New Roman"/>
          <w:i/>
          <w:sz w:val="24"/>
          <w:szCs w:val="24"/>
        </w:rPr>
        <w:t>SKILL</w:t>
      </w:r>
      <w:r w:rsidR="00B768FD" w:rsidRPr="00B768FD">
        <w:rPr>
          <w:rFonts w:ascii="Times New Roman" w:hAnsi="Times New Roman" w:cs="Times New Roman"/>
          <w:sz w:val="24"/>
          <w:szCs w:val="24"/>
        </w:rPr>
        <w:t xml:space="preserve"> is negative). Conversely, low-ability managers engage in more non-operating activities to mitigate risks.</w:t>
      </w:r>
      <w:r w:rsidRPr="00893E6D">
        <w:rPr>
          <w:rFonts w:ascii="Times New Roman" w:hAnsi="Times New Roman" w:cs="Times New Roman"/>
          <w:sz w:val="24"/>
          <w:szCs w:val="24"/>
        </w:rPr>
        <w:t xml:space="preserve"> </w:t>
      </w:r>
    </w:p>
    <w:p w14:paraId="6EBC9538" w14:textId="4C6AF3B9" w:rsidR="00FC32CD" w:rsidRPr="00893E6D" w:rsidRDefault="006E1A9C" w:rsidP="00A1062B">
      <w:pPr>
        <w:pStyle w:val="ListParagraph"/>
        <w:numPr>
          <w:ilvl w:val="0"/>
          <w:numId w:val="11"/>
        </w:numPr>
        <w:spacing w:line="480" w:lineRule="auto"/>
        <w:jc w:val="both"/>
        <w:rPr>
          <w:rFonts w:ascii="Times New Roman" w:hAnsi="Times New Roman" w:cs="Times New Roman"/>
          <w:b/>
          <w:sz w:val="24"/>
          <w:szCs w:val="24"/>
        </w:rPr>
      </w:pPr>
      <w:r w:rsidRPr="00893E6D">
        <w:rPr>
          <w:rFonts w:ascii="Times New Roman" w:hAnsi="Times New Roman" w:cs="Times New Roman"/>
          <w:b/>
          <w:sz w:val="24"/>
          <w:szCs w:val="24"/>
        </w:rPr>
        <w:t>Conclusion</w:t>
      </w:r>
    </w:p>
    <w:p w14:paraId="5268102C" w14:textId="47F435DC" w:rsidR="00D0327A" w:rsidRDefault="00D0327A" w:rsidP="00D0327A">
      <w:pPr>
        <w:pStyle w:val="paragraph"/>
        <w:spacing w:line="480" w:lineRule="auto"/>
        <w:ind w:firstLine="720"/>
        <w:jc w:val="both"/>
        <w:textAlignment w:val="baseline"/>
        <w:rPr>
          <w:rStyle w:val="normaltextrun"/>
        </w:rPr>
      </w:pPr>
      <w:bookmarkStart w:id="6" w:name="_Hlk3186834"/>
      <w:r>
        <w:rPr>
          <w:rStyle w:val="normaltextrun"/>
        </w:rPr>
        <w:t>In this paper, we investigate whether non-operating activities significantly stabilize total earnings and reduce firm risk. We document strong and consistent empirical evidence that non-operating earnings reduce firm risk</w:t>
      </w:r>
      <w:r w:rsidR="004E185B">
        <w:rPr>
          <w:rStyle w:val="normaltextrun"/>
        </w:rPr>
        <w:t>,</w:t>
      </w:r>
      <w:r>
        <w:rPr>
          <w:rStyle w:val="normaltextrun"/>
        </w:rPr>
        <w:t xml:space="preserve"> and classification shifting and other types of earnings management fail to displace the contributory role of non-operating activities in reducing uncertainty. Further analysis shows that equity earnings, among other non-operating earnings, play a significant role in reducing firm risk. The results hold in various model specifications, variable measurements, various subsample analyses, and multiple robustness checks. We believe that the risk-reducing impacts of non-operating earnings may come from two sources embedded in the features of non-operating activities: diversification and reduced information asymmetry associated with </w:t>
      </w:r>
      <w:r w:rsidR="00CC1B05">
        <w:rPr>
          <w:rStyle w:val="normaltextrun"/>
        </w:rPr>
        <w:t xml:space="preserve">the </w:t>
      </w:r>
      <w:r>
        <w:rPr>
          <w:rStyle w:val="normaltextrun"/>
        </w:rPr>
        <w:t>full disclosure of non-operating activities.</w:t>
      </w:r>
    </w:p>
    <w:p w14:paraId="07E508E4" w14:textId="77777777" w:rsidR="00D0327A" w:rsidRDefault="00D0327A">
      <w:pPr>
        <w:rPr>
          <w:rStyle w:val="normaltextrun"/>
          <w:rFonts w:ascii="Times New Roman" w:eastAsia="Times New Roman" w:hAnsi="Times New Roman" w:cs="Times New Roman"/>
          <w:sz w:val="24"/>
          <w:szCs w:val="24"/>
        </w:rPr>
      </w:pPr>
      <w:r>
        <w:rPr>
          <w:rStyle w:val="normaltextrun"/>
        </w:rPr>
        <w:br w:type="page"/>
      </w:r>
    </w:p>
    <w:bookmarkEnd w:id="6"/>
    <w:p w14:paraId="71984E3B" w14:textId="32A7857D" w:rsidR="00E460F7" w:rsidRPr="00893E6D" w:rsidRDefault="00E460F7" w:rsidP="00A1062B">
      <w:pPr>
        <w:spacing w:line="240" w:lineRule="auto"/>
        <w:contextualSpacing/>
        <w:jc w:val="both"/>
        <w:rPr>
          <w:rFonts w:ascii="Times New Roman" w:hAnsi="Times New Roman" w:cs="Times New Roman"/>
          <w:b/>
          <w:sz w:val="24"/>
          <w:szCs w:val="24"/>
        </w:rPr>
      </w:pPr>
      <w:r w:rsidRPr="00893E6D">
        <w:rPr>
          <w:rFonts w:ascii="Times New Roman" w:hAnsi="Times New Roman" w:cs="Times New Roman"/>
          <w:b/>
          <w:sz w:val="24"/>
          <w:szCs w:val="24"/>
        </w:rPr>
        <w:lastRenderedPageBreak/>
        <w:t>References</w:t>
      </w:r>
    </w:p>
    <w:p w14:paraId="7FE7E8FE" w14:textId="3A2C1AF0" w:rsidR="00F20754" w:rsidRDefault="00F20754" w:rsidP="0024510B">
      <w:pPr>
        <w:spacing w:after="120" w:line="240" w:lineRule="auto"/>
        <w:ind w:left="720" w:hanging="720"/>
        <w:jc w:val="both"/>
        <w:rPr>
          <w:rFonts w:ascii="Times New Roman" w:hAnsi="Times New Roman" w:cs="Times New Roman"/>
          <w:sz w:val="24"/>
          <w:szCs w:val="24"/>
        </w:rPr>
      </w:pPr>
      <w:proofErr w:type="spellStart"/>
      <w:r w:rsidRPr="00B54811">
        <w:rPr>
          <w:rFonts w:ascii="Times New Roman" w:hAnsi="Times New Roman" w:cs="Times New Roman"/>
          <w:sz w:val="24"/>
          <w:szCs w:val="24"/>
        </w:rPr>
        <w:t>Abdoh</w:t>
      </w:r>
      <w:proofErr w:type="spellEnd"/>
      <w:r w:rsidRPr="00B54811">
        <w:rPr>
          <w:rFonts w:ascii="Times New Roman" w:hAnsi="Times New Roman" w:cs="Times New Roman"/>
          <w:sz w:val="24"/>
          <w:szCs w:val="24"/>
        </w:rPr>
        <w:t>, H.</w:t>
      </w:r>
      <w:r w:rsidR="00B54811">
        <w:rPr>
          <w:rFonts w:ascii="Times New Roman" w:hAnsi="Times New Roman" w:cs="Times New Roman"/>
          <w:sz w:val="24"/>
          <w:szCs w:val="24"/>
        </w:rPr>
        <w:t>,</w:t>
      </w:r>
      <w:r w:rsidRPr="00B54811">
        <w:rPr>
          <w:rFonts w:ascii="Times New Roman" w:hAnsi="Times New Roman" w:cs="Times New Roman"/>
          <w:sz w:val="24"/>
          <w:szCs w:val="24"/>
        </w:rPr>
        <w:t xml:space="preserve"> </w:t>
      </w:r>
      <w:r w:rsidR="00B54811" w:rsidRPr="00B54811">
        <w:rPr>
          <w:rFonts w:ascii="Times New Roman" w:hAnsi="Times New Roman" w:cs="Times New Roman"/>
          <w:sz w:val="24"/>
          <w:szCs w:val="24"/>
        </w:rPr>
        <w:t>&amp;</w:t>
      </w:r>
      <w:r w:rsidRPr="00B54811">
        <w:rPr>
          <w:rFonts w:ascii="Times New Roman" w:hAnsi="Times New Roman" w:cs="Times New Roman"/>
          <w:sz w:val="24"/>
          <w:szCs w:val="24"/>
        </w:rPr>
        <w:t xml:space="preserve"> Varela, O. (2017). Product market competition, idiosyncratic and</w:t>
      </w:r>
      <w:r w:rsidR="002A31A0">
        <w:rPr>
          <w:rFonts w:ascii="Times New Roman" w:hAnsi="Times New Roman" w:cs="Times New Roman"/>
          <w:sz w:val="24"/>
          <w:szCs w:val="24"/>
        </w:rPr>
        <w:t xml:space="preserve"> </w:t>
      </w:r>
      <w:r w:rsidRPr="00B54811">
        <w:rPr>
          <w:rFonts w:ascii="Times New Roman" w:hAnsi="Times New Roman" w:cs="Times New Roman"/>
          <w:sz w:val="24"/>
          <w:szCs w:val="24"/>
        </w:rPr>
        <w:t xml:space="preserve">systematic volatility. </w:t>
      </w:r>
      <w:r w:rsidRPr="00197B3E">
        <w:rPr>
          <w:rFonts w:ascii="Times New Roman" w:hAnsi="Times New Roman" w:cs="Times New Roman"/>
          <w:i/>
          <w:iCs/>
          <w:sz w:val="24"/>
          <w:szCs w:val="24"/>
        </w:rPr>
        <w:t>Journal of Corporate Finance</w:t>
      </w:r>
      <w:r w:rsidR="00DD56DF">
        <w:rPr>
          <w:rFonts w:ascii="Times New Roman" w:hAnsi="Times New Roman" w:cs="Times New Roman"/>
          <w:sz w:val="24"/>
          <w:szCs w:val="24"/>
        </w:rPr>
        <w:t>,</w:t>
      </w:r>
      <w:r w:rsidRPr="00B54811">
        <w:rPr>
          <w:rFonts w:ascii="Times New Roman" w:hAnsi="Times New Roman" w:cs="Times New Roman"/>
          <w:sz w:val="24"/>
          <w:szCs w:val="24"/>
        </w:rPr>
        <w:t xml:space="preserve"> 43, 500–513.</w:t>
      </w:r>
    </w:p>
    <w:p w14:paraId="49123C0F" w14:textId="3B45BB16" w:rsidR="002C77AC" w:rsidRPr="00B54811" w:rsidRDefault="002C77AC" w:rsidP="0024510B">
      <w:pPr>
        <w:spacing w:after="120" w:line="240" w:lineRule="auto"/>
        <w:ind w:left="720" w:hanging="720"/>
        <w:jc w:val="both"/>
        <w:rPr>
          <w:rFonts w:ascii="Times New Roman" w:hAnsi="Times New Roman" w:cs="Times New Roman"/>
          <w:sz w:val="24"/>
          <w:szCs w:val="24"/>
        </w:rPr>
      </w:pPr>
      <w:proofErr w:type="spellStart"/>
      <w:r w:rsidRPr="00F15FF6">
        <w:rPr>
          <w:rFonts w:ascii="Times New Roman" w:hAnsi="Times New Roman" w:cs="Times New Roman"/>
          <w:sz w:val="24"/>
          <w:szCs w:val="24"/>
        </w:rPr>
        <w:t>Anabila</w:t>
      </w:r>
      <w:proofErr w:type="spellEnd"/>
      <w:r w:rsidRPr="00F15FF6">
        <w:rPr>
          <w:rFonts w:ascii="Times New Roman" w:hAnsi="Times New Roman" w:cs="Times New Roman"/>
          <w:sz w:val="24"/>
          <w:szCs w:val="24"/>
        </w:rPr>
        <w:t xml:space="preserve">, A. </w:t>
      </w:r>
      <w:r w:rsidR="0051477E" w:rsidRPr="00F15FF6">
        <w:rPr>
          <w:rFonts w:ascii="Times New Roman" w:hAnsi="Times New Roman" w:cs="Times New Roman"/>
          <w:sz w:val="24"/>
          <w:szCs w:val="24"/>
        </w:rPr>
        <w:t>(</w:t>
      </w:r>
      <w:r w:rsidRPr="00F15FF6">
        <w:rPr>
          <w:rFonts w:ascii="Times New Roman" w:hAnsi="Times New Roman" w:cs="Times New Roman"/>
          <w:sz w:val="24"/>
          <w:szCs w:val="24"/>
        </w:rPr>
        <w:t>2012</w:t>
      </w:r>
      <w:r w:rsidR="0051477E" w:rsidRPr="00F15FF6">
        <w:rPr>
          <w:rFonts w:ascii="Times New Roman" w:hAnsi="Times New Roman" w:cs="Times New Roman"/>
          <w:sz w:val="24"/>
          <w:szCs w:val="24"/>
        </w:rPr>
        <w:t>)</w:t>
      </w:r>
      <w:r w:rsidRPr="00F15FF6">
        <w:rPr>
          <w:rFonts w:ascii="Times New Roman" w:hAnsi="Times New Roman" w:cs="Times New Roman"/>
          <w:sz w:val="24"/>
          <w:szCs w:val="24"/>
        </w:rPr>
        <w:t xml:space="preserve">. Value </w:t>
      </w:r>
      <w:r w:rsidR="0051477E" w:rsidRPr="00F15FF6">
        <w:rPr>
          <w:rFonts w:ascii="Times New Roman" w:hAnsi="Times New Roman" w:cs="Times New Roman"/>
          <w:sz w:val="24"/>
          <w:szCs w:val="24"/>
        </w:rPr>
        <w:t xml:space="preserve">implications </w:t>
      </w:r>
      <w:r w:rsidRPr="00F15FF6">
        <w:rPr>
          <w:rFonts w:ascii="Times New Roman" w:hAnsi="Times New Roman" w:cs="Times New Roman"/>
          <w:sz w:val="24"/>
          <w:szCs w:val="24"/>
        </w:rPr>
        <w:t xml:space="preserve">of the </w:t>
      </w:r>
      <w:r w:rsidR="0051477E" w:rsidRPr="00F15FF6">
        <w:rPr>
          <w:rFonts w:ascii="Times New Roman" w:hAnsi="Times New Roman" w:cs="Times New Roman"/>
          <w:sz w:val="24"/>
          <w:szCs w:val="24"/>
        </w:rPr>
        <w:t xml:space="preserve">proportion </w:t>
      </w:r>
      <w:r w:rsidRPr="00F15FF6">
        <w:rPr>
          <w:rFonts w:ascii="Times New Roman" w:hAnsi="Times New Roman" w:cs="Times New Roman"/>
          <w:sz w:val="24"/>
          <w:szCs w:val="24"/>
        </w:rPr>
        <w:t xml:space="preserve">of </w:t>
      </w:r>
      <w:r w:rsidR="0051477E" w:rsidRPr="00F15FF6">
        <w:rPr>
          <w:rFonts w:ascii="Times New Roman" w:hAnsi="Times New Roman" w:cs="Times New Roman"/>
          <w:sz w:val="24"/>
          <w:szCs w:val="24"/>
        </w:rPr>
        <w:t>non</w:t>
      </w:r>
      <w:r w:rsidRPr="00F15FF6">
        <w:rPr>
          <w:rFonts w:ascii="Times New Roman" w:hAnsi="Times New Roman" w:cs="Times New Roman"/>
          <w:sz w:val="24"/>
          <w:szCs w:val="24"/>
        </w:rPr>
        <w:t>-</w:t>
      </w:r>
      <w:r w:rsidR="0051477E" w:rsidRPr="00F15FF6">
        <w:rPr>
          <w:rFonts w:ascii="Times New Roman" w:hAnsi="Times New Roman" w:cs="Times New Roman"/>
          <w:sz w:val="24"/>
          <w:szCs w:val="24"/>
        </w:rPr>
        <w:t xml:space="preserve">operating income. </w:t>
      </w:r>
      <w:r w:rsidRPr="00F15FF6">
        <w:rPr>
          <w:rFonts w:ascii="Times New Roman" w:hAnsi="Times New Roman" w:cs="Times New Roman"/>
          <w:i/>
          <w:iCs/>
          <w:sz w:val="24"/>
          <w:szCs w:val="24"/>
        </w:rPr>
        <w:t>Journal of Accounting and Finance</w:t>
      </w:r>
      <w:r w:rsidR="0051477E" w:rsidRPr="00F15FF6">
        <w:rPr>
          <w:rFonts w:ascii="Times New Roman" w:hAnsi="Times New Roman" w:cs="Times New Roman"/>
          <w:i/>
          <w:iCs/>
          <w:sz w:val="24"/>
          <w:szCs w:val="24"/>
        </w:rPr>
        <w:t>,</w:t>
      </w:r>
      <w:r w:rsidRPr="00F15FF6">
        <w:rPr>
          <w:rFonts w:ascii="Times New Roman" w:hAnsi="Times New Roman" w:cs="Times New Roman"/>
          <w:sz w:val="24"/>
          <w:szCs w:val="24"/>
        </w:rPr>
        <w:t xml:space="preserve"> 12(3), 54-70.</w:t>
      </w:r>
    </w:p>
    <w:p w14:paraId="7AFE1CC6" w14:textId="7A7BF4E0" w:rsidR="00FF722B" w:rsidRPr="00B54811" w:rsidRDefault="00FF722B"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 xml:space="preserve">An, H., &amp; Zhang, T. (2013). Stock price synchronicity, crash risk, and institutional investors. </w:t>
      </w:r>
      <w:r w:rsidRPr="00197B3E">
        <w:rPr>
          <w:rFonts w:ascii="Times New Roman" w:hAnsi="Times New Roman" w:cs="Times New Roman"/>
          <w:i/>
          <w:iCs/>
          <w:sz w:val="24"/>
          <w:szCs w:val="24"/>
        </w:rPr>
        <w:t>Journal of</w:t>
      </w:r>
      <w:r w:rsidR="00BD1468" w:rsidRPr="00197B3E">
        <w:rPr>
          <w:rFonts w:ascii="Times New Roman" w:hAnsi="Times New Roman" w:cs="Times New Roman"/>
          <w:i/>
          <w:iCs/>
          <w:sz w:val="24"/>
          <w:szCs w:val="24"/>
        </w:rPr>
        <w:t xml:space="preserve"> </w:t>
      </w:r>
      <w:r w:rsidRPr="00197B3E">
        <w:rPr>
          <w:rFonts w:ascii="Times New Roman" w:hAnsi="Times New Roman" w:cs="Times New Roman"/>
          <w:i/>
          <w:iCs/>
          <w:sz w:val="24"/>
          <w:szCs w:val="24"/>
        </w:rPr>
        <w:t>Corporate Finance</w:t>
      </w:r>
      <w:r w:rsidRPr="00B54811">
        <w:rPr>
          <w:rFonts w:ascii="Times New Roman" w:hAnsi="Times New Roman" w:cs="Times New Roman"/>
          <w:sz w:val="24"/>
          <w:szCs w:val="24"/>
        </w:rPr>
        <w:t xml:space="preserve">, 21, 1–15. </w:t>
      </w:r>
    </w:p>
    <w:p w14:paraId="32EDDFEE" w14:textId="43CDEE8A" w:rsidR="00115771" w:rsidRPr="00B54811" w:rsidRDefault="00115771"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 xml:space="preserve">Arthur, N., Cheng, M., &amp; </w:t>
      </w:r>
      <w:proofErr w:type="spellStart"/>
      <w:r w:rsidRPr="00B54811">
        <w:rPr>
          <w:rFonts w:ascii="Times New Roman" w:hAnsi="Times New Roman" w:cs="Times New Roman"/>
          <w:sz w:val="24"/>
          <w:szCs w:val="24"/>
        </w:rPr>
        <w:t>Czernkowski</w:t>
      </w:r>
      <w:proofErr w:type="spellEnd"/>
      <w:r w:rsidRPr="00B54811">
        <w:rPr>
          <w:rFonts w:ascii="Times New Roman" w:hAnsi="Times New Roman" w:cs="Times New Roman"/>
          <w:sz w:val="24"/>
          <w:szCs w:val="24"/>
        </w:rPr>
        <w:t xml:space="preserve">, R. (2010). Cash flow disaggregation and the prediction of future earnings. </w:t>
      </w:r>
      <w:r w:rsidRPr="00197B3E">
        <w:rPr>
          <w:rFonts w:ascii="Times New Roman" w:hAnsi="Times New Roman" w:cs="Times New Roman"/>
          <w:i/>
          <w:iCs/>
          <w:sz w:val="24"/>
          <w:szCs w:val="24"/>
        </w:rPr>
        <w:t>Accounting &amp; Finance</w:t>
      </w:r>
      <w:r w:rsidRPr="00B54811">
        <w:rPr>
          <w:rFonts w:ascii="Times New Roman" w:hAnsi="Times New Roman" w:cs="Times New Roman"/>
          <w:sz w:val="24"/>
          <w:szCs w:val="24"/>
        </w:rPr>
        <w:t>, 50(1), 1</w:t>
      </w:r>
      <w:r w:rsidR="008626DD" w:rsidRPr="00B54811">
        <w:rPr>
          <w:rFonts w:ascii="Times New Roman" w:hAnsi="Times New Roman" w:cs="Times New Roman"/>
          <w:sz w:val="24"/>
          <w:szCs w:val="24"/>
        </w:rPr>
        <w:t>–</w:t>
      </w:r>
      <w:r w:rsidRPr="00B54811">
        <w:rPr>
          <w:rFonts w:ascii="Times New Roman" w:hAnsi="Times New Roman" w:cs="Times New Roman"/>
          <w:sz w:val="24"/>
          <w:szCs w:val="24"/>
        </w:rPr>
        <w:t>30.</w:t>
      </w:r>
    </w:p>
    <w:p w14:paraId="7D1909C6" w14:textId="5F29031E" w:rsidR="0033268B" w:rsidRPr="00B54811" w:rsidRDefault="0033268B" w:rsidP="0024510B">
      <w:pPr>
        <w:spacing w:after="120" w:line="240" w:lineRule="auto"/>
        <w:ind w:left="720" w:hanging="720"/>
        <w:jc w:val="both"/>
        <w:rPr>
          <w:rFonts w:ascii="Times New Roman" w:hAnsi="Times New Roman" w:cs="Times New Roman"/>
          <w:sz w:val="24"/>
          <w:szCs w:val="24"/>
        </w:rPr>
      </w:pPr>
      <w:proofErr w:type="spellStart"/>
      <w:r w:rsidRPr="00B54811">
        <w:rPr>
          <w:rFonts w:ascii="Times New Roman" w:hAnsi="Times New Roman" w:cs="Times New Roman"/>
          <w:sz w:val="24"/>
          <w:szCs w:val="24"/>
        </w:rPr>
        <w:t>Athanasakou</w:t>
      </w:r>
      <w:proofErr w:type="spellEnd"/>
      <w:r w:rsidRPr="00B54811">
        <w:rPr>
          <w:rFonts w:ascii="Times New Roman" w:hAnsi="Times New Roman" w:cs="Times New Roman"/>
          <w:sz w:val="24"/>
          <w:szCs w:val="24"/>
        </w:rPr>
        <w:t xml:space="preserve">, V. E., Strong, N. C., &amp; Walker, M. (2011). The market reward for achieving analyst earnings expectations: Does managing expectations or earnings matter? </w:t>
      </w:r>
      <w:r w:rsidRPr="00197B3E">
        <w:rPr>
          <w:rFonts w:ascii="Times New Roman" w:hAnsi="Times New Roman" w:cs="Times New Roman"/>
          <w:i/>
          <w:iCs/>
          <w:sz w:val="24"/>
          <w:szCs w:val="24"/>
        </w:rPr>
        <w:t>Journal of Business Finance and Accounting</w:t>
      </w:r>
      <w:r w:rsidRPr="00B54811">
        <w:rPr>
          <w:rFonts w:ascii="Times New Roman" w:hAnsi="Times New Roman" w:cs="Times New Roman"/>
          <w:sz w:val="24"/>
          <w:szCs w:val="24"/>
        </w:rPr>
        <w:t>, 38(1–2), 58–94.</w:t>
      </w:r>
    </w:p>
    <w:p w14:paraId="5E01ECAE" w14:textId="4E4504A4" w:rsidR="0060591A" w:rsidRPr="00B54811" w:rsidRDefault="0060591A"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 xml:space="preserve">Bowen, R. (1981). Valuation of earnings components in the electric utility industry. </w:t>
      </w:r>
      <w:r w:rsidRPr="00197B3E">
        <w:rPr>
          <w:rFonts w:ascii="Times New Roman" w:hAnsi="Times New Roman" w:cs="Times New Roman"/>
          <w:i/>
          <w:iCs/>
          <w:sz w:val="24"/>
          <w:szCs w:val="24"/>
        </w:rPr>
        <w:t>The Accounting Review</w:t>
      </w:r>
      <w:r w:rsidR="00DD56DF">
        <w:rPr>
          <w:rFonts w:ascii="Times New Roman" w:hAnsi="Times New Roman" w:cs="Times New Roman"/>
          <w:sz w:val="24"/>
          <w:szCs w:val="24"/>
        </w:rPr>
        <w:t>,</w:t>
      </w:r>
      <w:r w:rsidRPr="00B54811">
        <w:rPr>
          <w:rFonts w:ascii="Times New Roman" w:hAnsi="Times New Roman" w:cs="Times New Roman"/>
          <w:sz w:val="24"/>
          <w:szCs w:val="24"/>
        </w:rPr>
        <w:t xml:space="preserve"> 56(1), 1-22.</w:t>
      </w:r>
    </w:p>
    <w:p w14:paraId="5C827C7A" w14:textId="78561A0D" w:rsidR="00274088" w:rsidRPr="00B54811" w:rsidRDefault="00274088"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 xml:space="preserve">Brown, L. D., &amp; Sivakumar, K. (2003). Comparing the </w:t>
      </w:r>
      <w:r w:rsidR="00E81BA2">
        <w:rPr>
          <w:rFonts w:ascii="Times New Roman" w:hAnsi="Times New Roman" w:cs="Times New Roman"/>
          <w:sz w:val="24"/>
          <w:szCs w:val="24"/>
        </w:rPr>
        <w:t>v</w:t>
      </w:r>
      <w:r w:rsidRPr="00B54811">
        <w:rPr>
          <w:rFonts w:ascii="Times New Roman" w:hAnsi="Times New Roman" w:cs="Times New Roman"/>
          <w:sz w:val="24"/>
          <w:szCs w:val="24"/>
        </w:rPr>
        <w:t xml:space="preserve">alue </w:t>
      </w:r>
      <w:r w:rsidR="00E81BA2">
        <w:rPr>
          <w:rFonts w:ascii="Times New Roman" w:hAnsi="Times New Roman" w:cs="Times New Roman"/>
          <w:sz w:val="24"/>
          <w:szCs w:val="24"/>
        </w:rPr>
        <w:t>r</w:t>
      </w:r>
      <w:r w:rsidRPr="00B54811">
        <w:rPr>
          <w:rFonts w:ascii="Times New Roman" w:hAnsi="Times New Roman" w:cs="Times New Roman"/>
          <w:sz w:val="24"/>
          <w:szCs w:val="24"/>
        </w:rPr>
        <w:t xml:space="preserve">elevance of </w:t>
      </w:r>
      <w:r w:rsidR="00E81BA2">
        <w:rPr>
          <w:rFonts w:ascii="Times New Roman" w:hAnsi="Times New Roman" w:cs="Times New Roman"/>
          <w:sz w:val="24"/>
          <w:szCs w:val="24"/>
        </w:rPr>
        <w:t>t</w:t>
      </w:r>
      <w:r w:rsidRPr="00B54811">
        <w:rPr>
          <w:rFonts w:ascii="Times New Roman" w:hAnsi="Times New Roman" w:cs="Times New Roman"/>
          <w:sz w:val="24"/>
          <w:szCs w:val="24"/>
        </w:rPr>
        <w:t xml:space="preserve">wo </w:t>
      </w:r>
      <w:r w:rsidR="00E81BA2">
        <w:rPr>
          <w:rFonts w:ascii="Times New Roman" w:hAnsi="Times New Roman" w:cs="Times New Roman"/>
          <w:sz w:val="24"/>
          <w:szCs w:val="24"/>
        </w:rPr>
        <w:t>o</w:t>
      </w:r>
      <w:r w:rsidRPr="00B54811">
        <w:rPr>
          <w:rFonts w:ascii="Times New Roman" w:hAnsi="Times New Roman" w:cs="Times New Roman"/>
          <w:sz w:val="24"/>
          <w:szCs w:val="24"/>
        </w:rPr>
        <w:t xml:space="preserve">perating </w:t>
      </w:r>
      <w:r w:rsidR="00E81BA2">
        <w:rPr>
          <w:rFonts w:ascii="Times New Roman" w:hAnsi="Times New Roman" w:cs="Times New Roman"/>
          <w:sz w:val="24"/>
          <w:szCs w:val="24"/>
        </w:rPr>
        <w:t>i</w:t>
      </w:r>
      <w:r w:rsidRPr="00B54811">
        <w:rPr>
          <w:rFonts w:ascii="Times New Roman" w:hAnsi="Times New Roman" w:cs="Times New Roman"/>
          <w:sz w:val="24"/>
          <w:szCs w:val="24"/>
        </w:rPr>
        <w:t xml:space="preserve">ncome </w:t>
      </w:r>
      <w:r w:rsidR="00E81BA2">
        <w:rPr>
          <w:rFonts w:ascii="Times New Roman" w:hAnsi="Times New Roman" w:cs="Times New Roman"/>
          <w:sz w:val="24"/>
          <w:szCs w:val="24"/>
        </w:rPr>
        <w:t>m</w:t>
      </w:r>
      <w:r w:rsidRPr="00B54811">
        <w:rPr>
          <w:rFonts w:ascii="Times New Roman" w:hAnsi="Times New Roman" w:cs="Times New Roman"/>
          <w:sz w:val="24"/>
          <w:szCs w:val="24"/>
        </w:rPr>
        <w:t xml:space="preserve">easures. </w:t>
      </w:r>
      <w:r w:rsidRPr="00197B3E">
        <w:rPr>
          <w:rFonts w:ascii="Times New Roman" w:hAnsi="Times New Roman" w:cs="Times New Roman"/>
          <w:i/>
          <w:iCs/>
          <w:sz w:val="24"/>
          <w:szCs w:val="24"/>
        </w:rPr>
        <w:t>Review of Accounting Studies</w:t>
      </w:r>
      <w:r w:rsidRPr="00B54811">
        <w:rPr>
          <w:rFonts w:ascii="Times New Roman" w:hAnsi="Times New Roman" w:cs="Times New Roman"/>
          <w:sz w:val="24"/>
          <w:szCs w:val="24"/>
        </w:rPr>
        <w:t>, 8(4), 561–572.</w:t>
      </w:r>
    </w:p>
    <w:p w14:paraId="5ED76745" w14:textId="7351916B" w:rsidR="00B0745D" w:rsidRPr="00B54811" w:rsidRDefault="00B0745D"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Bao, B.</w:t>
      </w:r>
      <w:r w:rsidR="00B54811">
        <w:rPr>
          <w:rFonts w:ascii="Times New Roman" w:hAnsi="Times New Roman" w:cs="Times New Roman"/>
          <w:sz w:val="24"/>
          <w:szCs w:val="24"/>
        </w:rPr>
        <w:t>, &amp;</w:t>
      </w:r>
      <w:r w:rsidRPr="00B54811">
        <w:rPr>
          <w:rFonts w:ascii="Times New Roman" w:hAnsi="Times New Roman" w:cs="Times New Roman"/>
          <w:sz w:val="24"/>
          <w:szCs w:val="24"/>
        </w:rPr>
        <w:t xml:space="preserve"> Bao, D. (2004). Value relevance of operating income versus </w:t>
      </w:r>
      <w:r w:rsidR="00AB2468" w:rsidRPr="00B54811">
        <w:rPr>
          <w:rFonts w:ascii="Times New Roman" w:hAnsi="Times New Roman" w:cs="Times New Roman"/>
          <w:sz w:val="24"/>
          <w:szCs w:val="24"/>
        </w:rPr>
        <w:t>non-operating</w:t>
      </w:r>
      <w:r w:rsidR="00E81BA2">
        <w:rPr>
          <w:rFonts w:ascii="Times New Roman" w:hAnsi="Times New Roman" w:cs="Times New Roman"/>
          <w:sz w:val="24"/>
          <w:szCs w:val="24"/>
        </w:rPr>
        <w:t xml:space="preserve"> </w:t>
      </w:r>
      <w:r w:rsidRPr="00B54811">
        <w:rPr>
          <w:rFonts w:ascii="Times New Roman" w:hAnsi="Times New Roman" w:cs="Times New Roman"/>
          <w:sz w:val="24"/>
          <w:szCs w:val="24"/>
        </w:rPr>
        <w:t xml:space="preserve">income in the Taiwan stock exchange. </w:t>
      </w:r>
      <w:r w:rsidRPr="00197B3E">
        <w:rPr>
          <w:rFonts w:ascii="Times New Roman" w:hAnsi="Times New Roman" w:cs="Times New Roman"/>
          <w:i/>
          <w:iCs/>
          <w:sz w:val="24"/>
          <w:szCs w:val="24"/>
        </w:rPr>
        <w:t>Advances in International Accounting</w:t>
      </w:r>
      <w:r w:rsidR="00DD56DF">
        <w:rPr>
          <w:rFonts w:ascii="Times New Roman" w:hAnsi="Times New Roman" w:cs="Times New Roman"/>
          <w:sz w:val="24"/>
          <w:szCs w:val="24"/>
        </w:rPr>
        <w:t>,</w:t>
      </w:r>
      <w:r w:rsidRPr="00B54811">
        <w:rPr>
          <w:rFonts w:ascii="Times New Roman" w:hAnsi="Times New Roman" w:cs="Times New Roman"/>
          <w:sz w:val="24"/>
          <w:szCs w:val="24"/>
        </w:rPr>
        <w:t xml:space="preserve"> 17, 103–117.</w:t>
      </w:r>
    </w:p>
    <w:p w14:paraId="2D66EA07" w14:textId="48CFDF9E" w:rsidR="00124E11" w:rsidRPr="00B54811" w:rsidRDefault="00124E11"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Bui, G., Chen, Y., Hasan, I.</w:t>
      </w:r>
      <w:r w:rsidR="00B54811">
        <w:rPr>
          <w:rFonts w:ascii="Times New Roman" w:hAnsi="Times New Roman" w:cs="Times New Roman"/>
          <w:sz w:val="24"/>
          <w:szCs w:val="24"/>
        </w:rPr>
        <w:t>,</w:t>
      </w:r>
      <w:r w:rsidRPr="00B54811">
        <w:rPr>
          <w:rFonts w:ascii="Times New Roman" w:hAnsi="Times New Roman" w:cs="Times New Roman"/>
          <w:sz w:val="24"/>
          <w:szCs w:val="24"/>
        </w:rPr>
        <w:t xml:space="preserve"> </w:t>
      </w:r>
      <w:r w:rsidR="00B54811" w:rsidRPr="00B54811">
        <w:rPr>
          <w:rFonts w:ascii="Times New Roman" w:hAnsi="Times New Roman" w:cs="Times New Roman"/>
          <w:sz w:val="24"/>
          <w:szCs w:val="24"/>
        </w:rPr>
        <w:t>&amp;</w:t>
      </w:r>
      <w:r w:rsidRPr="00B54811">
        <w:rPr>
          <w:rFonts w:ascii="Times New Roman" w:hAnsi="Times New Roman" w:cs="Times New Roman"/>
          <w:sz w:val="24"/>
          <w:szCs w:val="24"/>
        </w:rPr>
        <w:t xml:space="preserve"> Lin, C. </w:t>
      </w:r>
      <w:r w:rsidR="005B3FBF" w:rsidRPr="00B54811">
        <w:rPr>
          <w:rFonts w:ascii="Times New Roman" w:hAnsi="Times New Roman" w:cs="Times New Roman"/>
          <w:sz w:val="24"/>
          <w:szCs w:val="24"/>
        </w:rPr>
        <w:t>(</w:t>
      </w:r>
      <w:r w:rsidRPr="00B54811">
        <w:rPr>
          <w:rFonts w:ascii="Times New Roman" w:hAnsi="Times New Roman" w:cs="Times New Roman"/>
          <w:sz w:val="24"/>
          <w:szCs w:val="24"/>
        </w:rPr>
        <w:t>2018</w:t>
      </w:r>
      <w:r w:rsidR="005B3FBF" w:rsidRPr="00B54811">
        <w:rPr>
          <w:rFonts w:ascii="Times New Roman" w:hAnsi="Times New Roman" w:cs="Times New Roman"/>
          <w:sz w:val="24"/>
          <w:szCs w:val="24"/>
        </w:rPr>
        <w:t>)</w:t>
      </w:r>
      <w:r w:rsidRPr="00B54811">
        <w:rPr>
          <w:rFonts w:ascii="Times New Roman" w:hAnsi="Times New Roman" w:cs="Times New Roman"/>
          <w:sz w:val="24"/>
          <w:szCs w:val="24"/>
        </w:rPr>
        <w:t>. Can lenders discern managerial ability from luck? Evidence from bank loan contracts.</w:t>
      </w:r>
      <w:r w:rsidRPr="00B54811">
        <w:t xml:space="preserve"> </w:t>
      </w:r>
      <w:r w:rsidRPr="00197B3E">
        <w:rPr>
          <w:rFonts w:ascii="Times New Roman" w:hAnsi="Times New Roman" w:cs="Times New Roman"/>
          <w:i/>
          <w:iCs/>
          <w:sz w:val="24"/>
          <w:szCs w:val="24"/>
        </w:rPr>
        <w:t>Journal of Banking and Finance</w:t>
      </w:r>
      <w:r w:rsidR="00DD56DF">
        <w:rPr>
          <w:rFonts w:ascii="Times New Roman" w:hAnsi="Times New Roman" w:cs="Times New Roman"/>
          <w:sz w:val="24"/>
          <w:szCs w:val="24"/>
        </w:rPr>
        <w:t>,</w:t>
      </w:r>
      <w:r w:rsidRPr="00B54811">
        <w:rPr>
          <w:rFonts w:ascii="Times New Roman" w:hAnsi="Times New Roman" w:cs="Times New Roman"/>
          <w:sz w:val="24"/>
          <w:szCs w:val="24"/>
        </w:rPr>
        <w:t xml:space="preserve"> 87, 187–201.</w:t>
      </w:r>
    </w:p>
    <w:p w14:paraId="6696D13F" w14:textId="69B39B82" w:rsidR="00145948" w:rsidRDefault="00844396" w:rsidP="00145948">
      <w:pPr>
        <w:spacing w:after="120" w:line="240" w:lineRule="auto"/>
        <w:ind w:left="720" w:hanging="720"/>
        <w:jc w:val="both"/>
        <w:rPr>
          <w:rFonts w:ascii="Times New Roman" w:hAnsi="Times New Roman" w:cs="Times New Roman"/>
          <w:sz w:val="24"/>
          <w:szCs w:val="24"/>
        </w:rPr>
      </w:pPr>
      <w:proofErr w:type="spellStart"/>
      <w:r w:rsidRPr="00B54811">
        <w:rPr>
          <w:rFonts w:ascii="Times New Roman" w:hAnsi="Times New Roman" w:cs="Times New Roman"/>
          <w:sz w:val="24"/>
          <w:szCs w:val="24"/>
        </w:rPr>
        <w:t>Bushee</w:t>
      </w:r>
      <w:proofErr w:type="spellEnd"/>
      <w:r w:rsidRPr="00B54811">
        <w:rPr>
          <w:rFonts w:ascii="Times New Roman" w:hAnsi="Times New Roman" w:cs="Times New Roman"/>
          <w:sz w:val="24"/>
          <w:szCs w:val="24"/>
        </w:rPr>
        <w:t>, B</w:t>
      </w:r>
      <w:r w:rsidR="00B54811">
        <w:rPr>
          <w:rFonts w:ascii="Times New Roman" w:hAnsi="Times New Roman" w:cs="Times New Roman"/>
          <w:sz w:val="24"/>
          <w:szCs w:val="24"/>
        </w:rPr>
        <w:t>.</w:t>
      </w:r>
      <w:r w:rsidRPr="00B54811">
        <w:rPr>
          <w:rFonts w:ascii="Times New Roman" w:hAnsi="Times New Roman" w:cs="Times New Roman"/>
          <w:sz w:val="24"/>
          <w:szCs w:val="24"/>
        </w:rPr>
        <w:t xml:space="preserve"> </w:t>
      </w:r>
      <w:r w:rsidR="008626DD">
        <w:rPr>
          <w:rFonts w:ascii="Times New Roman" w:hAnsi="Times New Roman" w:cs="Times New Roman"/>
          <w:sz w:val="24"/>
          <w:szCs w:val="24"/>
        </w:rPr>
        <w:t>(</w:t>
      </w:r>
      <w:r w:rsidRPr="00B54811">
        <w:rPr>
          <w:rFonts w:ascii="Times New Roman" w:hAnsi="Times New Roman" w:cs="Times New Roman"/>
          <w:sz w:val="24"/>
          <w:szCs w:val="24"/>
        </w:rPr>
        <w:t>2001</w:t>
      </w:r>
      <w:r w:rsidR="008626DD">
        <w:rPr>
          <w:rFonts w:ascii="Times New Roman" w:hAnsi="Times New Roman" w:cs="Times New Roman"/>
          <w:sz w:val="24"/>
          <w:szCs w:val="24"/>
        </w:rPr>
        <w:t>)</w:t>
      </w:r>
      <w:r w:rsidRPr="00B54811">
        <w:rPr>
          <w:rFonts w:ascii="Times New Roman" w:hAnsi="Times New Roman" w:cs="Times New Roman"/>
          <w:sz w:val="24"/>
          <w:szCs w:val="24"/>
        </w:rPr>
        <w:t xml:space="preserve">. Do institutional investors prefer near-term earnings over long-run value? </w:t>
      </w:r>
      <w:r w:rsidRPr="00197B3E">
        <w:rPr>
          <w:rFonts w:ascii="Times New Roman" w:hAnsi="Times New Roman" w:cs="Times New Roman"/>
          <w:i/>
          <w:iCs/>
          <w:sz w:val="24"/>
          <w:szCs w:val="24"/>
        </w:rPr>
        <w:t>Contemporary Accounting Research</w:t>
      </w:r>
      <w:r w:rsidR="00DD56DF">
        <w:rPr>
          <w:rFonts w:ascii="Times New Roman" w:hAnsi="Times New Roman" w:cs="Times New Roman"/>
          <w:sz w:val="24"/>
          <w:szCs w:val="24"/>
        </w:rPr>
        <w:t>,</w:t>
      </w:r>
      <w:r w:rsidRPr="00B54811">
        <w:rPr>
          <w:rFonts w:ascii="Times New Roman" w:hAnsi="Times New Roman" w:cs="Times New Roman"/>
          <w:sz w:val="24"/>
          <w:szCs w:val="24"/>
        </w:rPr>
        <w:t xml:space="preserve"> 18, 207–246.</w:t>
      </w:r>
    </w:p>
    <w:p w14:paraId="5D10AB75" w14:textId="77777777" w:rsidR="00D26D75" w:rsidRDefault="002D2F83" w:rsidP="00D26D75">
      <w:pPr>
        <w:spacing w:after="120" w:line="240" w:lineRule="auto"/>
        <w:ind w:left="720" w:hanging="720"/>
        <w:jc w:val="both"/>
        <w:rPr>
          <w:rFonts w:ascii="Times New Roman" w:hAnsi="Times New Roman" w:cs="Times New Roman"/>
          <w:sz w:val="24"/>
          <w:szCs w:val="24"/>
        </w:rPr>
      </w:pPr>
      <w:hyperlink r:id="rId10" w:tooltip="Search for Chauvin, Keith W." w:history="1">
        <w:r w:rsidR="00D26D75" w:rsidRPr="00D26D75">
          <w:rPr>
            <w:rFonts w:ascii="Times New Roman" w:hAnsi="Times New Roman" w:cs="Times New Roman"/>
            <w:sz w:val="24"/>
            <w:szCs w:val="24"/>
          </w:rPr>
          <w:t>Chauvin, K. W.</w:t>
        </w:r>
      </w:hyperlink>
      <w:r w:rsidR="00D26D75" w:rsidRPr="00D26D75">
        <w:rPr>
          <w:rFonts w:ascii="Times New Roman" w:hAnsi="Times New Roman" w:cs="Times New Roman"/>
          <w:sz w:val="24"/>
          <w:szCs w:val="24"/>
        </w:rPr>
        <w:t xml:space="preserve">, &amp; </w:t>
      </w:r>
      <w:hyperlink r:id="rId11" w:tooltip="Search for Hirschey, Mark" w:history="1">
        <w:proofErr w:type="spellStart"/>
        <w:r w:rsidR="00D26D75" w:rsidRPr="00D26D75">
          <w:rPr>
            <w:rFonts w:ascii="Times New Roman" w:hAnsi="Times New Roman" w:cs="Times New Roman"/>
            <w:sz w:val="24"/>
            <w:szCs w:val="24"/>
          </w:rPr>
          <w:t>Hirschey</w:t>
        </w:r>
        <w:proofErr w:type="spellEnd"/>
        <w:r w:rsidR="00D26D75" w:rsidRPr="00D26D75">
          <w:rPr>
            <w:rFonts w:ascii="Times New Roman" w:hAnsi="Times New Roman" w:cs="Times New Roman"/>
            <w:sz w:val="24"/>
            <w:szCs w:val="24"/>
          </w:rPr>
          <w:t>, M.</w:t>
        </w:r>
      </w:hyperlink>
      <w:r w:rsidR="00D26D75" w:rsidRPr="00D26D75">
        <w:rPr>
          <w:rFonts w:ascii="Times New Roman" w:hAnsi="Times New Roman" w:cs="Times New Roman"/>
          <w:sz w:val="24"/>
          <w:szCs w:val="24"/>
        </w:rPr>
        <w:t xml:space="preserve"> (1993). Advertising, R&amp;D expenditures and the market value of the firm. </w:t>
      </w:r>
      <w:r w:rsidR="00D26D75" w:rsidRPr="00D26D75">
        <w:rPr>
          <w:rFonts w:ascii="Times New Roman" w:hAnsi="Times New Roman" w:cs="Times New Roman"/>
          <w:i/>
          <w:iCs/>
          <w:sz w:val="24"/>
          <w:szCs w:val="24"/>
        </w:rPr>
        <w:t>Financial Management</w:t>
      </w:r>
      <w:r w:rsidR="00D26D75" w:rsidRPr="00D26D75">
        <w:rPr>
          <w:rFonts w:ascii="Times New Roman" w:hAnsi="Times New Roman" w:cs="Times New Roman"/>
          <w:sz w:val="24"/>
          <w:szCs w:val="24"/>
        </w:rPr>
        <w:t>, 22 (4), 128–140.</w:t>
      </w:r>
    </w:p>
    <w:p w14:paraId="05437071" w14:textId="77777777" w:rsidR="0057634B" w:rsidRPr="00B54811" w:rsidRDefault="0057634B" w:rsidP="0057634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Chen, G., Firth, M., &amp; Gao, D.</w:t>
      </w:r>
      <w:r>
        <w:rPr>
          <w:rFonts w:ascii="Times New Roman" w:hAnsi="Times New Roman" w:cs="Times New Roman"/>
          <w:sz w:val="24"/>
          <w:szCs w:val="24"/>
        </w:rPr>
        <w:t xml:space="preserve"> N.</w:t>
      </w:r>
      <w:r w:rsidRPr="00B54811">
        <w:rPr>
          <w:rFonts w:ascii="Times New Roman" w:hAnsi="Times New Roman" w:cs="Times New Roman"/>
          <w:sz w:val="24"/>
          <w:szCs w:val="24"/>
        </w:rPr>
        <w:t xml:space="preserve"> (2011). The information content of earnings components: Evidence from the Chinese stock market. </w:t>
      </w:r>
      <w:r w:rsidRPr="00197B3E">
        <w:rPr>
          <w:rFonts w:ascii="Times New Roman" w:hAnsi="Times New Roman" w:cs="Times New Roman"/>
          <w:i/>
          <w:iCs/>
          <w:sz w:val="24"/>
          <w:szCs w:val="24"/>
        </w:rPr>
        <w:t>European Accounting Review</w:t>
      </w:r>
      <w:r w:rsidRPr="00B54811">
        <w:rPr>
          <w:rFonts w:ascii="Times New Roman" w:hAnsi="Times New Roman" w:cs="Times New Roman"/>
          <w:sz w:val="24"/>
          <w:szCs w:val="24"/>
        </w:rPr>
        <w:t>, 20(4), 669-692.</w:t>
      </w:r>
    </w:p>
    <w:p w14:paraId="1304359E" w14:textId="35B4CD35" w:rsidR="00342EA6" w:rsidRPr="00B54811" w:rsidRDefault="00342EA6"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 xml:space="preserve">Chen, J., Hong, H. </w:t>
      </w:r>
      <w:r w:rsidR="00B54811" w:rsidRPr="00B54811">
        <w:rPr>
          <w:rFonts w:ascii="Times New Roman" w:hAnsi="Times New Roman" w:cs="Times New Roman"/>
          <w:sz w:val="24"/>
          <w:szCs w:val="24"/>
        </w:rPr>
        <w:t>&amp;</w:t>
      </w:r>
      <w:r w:rsidRPr="00B54811">
        <w:rPr>
          <w:rFonts w:ascii="Times New Roman" w:hAnsi="Times New Roman" w:cs="Times New Roman"/>
          <w:sz w:val="24"/>
          <w:szCs w:val="24"/>
        </w:rPr>
        <w:t xml:space="preserve"> Stein, J. (2001). Forecasting crashes: trading volume, past returns, and conditional skewness in stock prices. </w:t>
      </w:r>
      <w:r w:rsidRPr="00197B3E">
        <w:rPr>
          <w:rFonts w:ascii="Times New Roman" w:hAnsi="Times New Roman" w:cs="Times New Roman"/>
          <w:i/>
          <w:iCs/>
          <w:sz w:val="24"/>
          <w:szCs w:val="24"/>
        </w:rPr>
        <w:t>Journal of Financial Economics</w:t>
      </w:r>
      <w:r w:rsidR="00DD56DF">
        <w:rPr>
          <w:rFonts w:ascii="Times New Roman" w:hAnsi="Times New Roman" w:cs="Times New Roman"/>
          <w:sz w:val="24"/>
          <w:szCs w:val="24"/>
        </w:rPr>
        <w:t>,</w:t>
      </w:r>
      <w:r w:rsidRPr="00B54811">
        <w:rPr>
          <w:rFonts w:ascii="Times New Roman" w:hAnsi="Times New Roman" w:cs="Times New Roman"/>
          <w:sz w:val="24"/>
          <w:szCs w:val="24"/>
        </w:rPr>
        <w:t xml:space="preserve"> 61, 345–381.</w:t>
      </w:r>
    </w:p>
    <w:p w14:paraId="1DD512B2" w14:textId="58AE3727" w:rsidR="00274088" w:rsidRPr="00B54811" w:rsidRDefault="00274088"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 xml:space="preserve">Cheng, C. S. A., &amp; Cheung, J. K. (1993). On the usefulness of operating income, net income and comprehensive income in explaining security returns. </w:t>
      </w:r>
      <w:r w:rsidRPr="00197B3E">
        <w:rPr>
          <w:rFonts w:ascii="Times New Roman" w:hAnsi="Times New Roman" w:cs="Times New Roman"/>
          <w:i/>
          <w:iCs/>
          <w:sz w:val="24"/>
          <w:szCs w:val="24"/>
        </w:rPr>
        <w:t>Accounting &amp; Business Research</w:t>
      </w:r>
      <w:r w:rsidRPr="00B54811">
        <w:rPr>
          <w:rFonts w:ascii="Times New Roman" w:hAnsi="Times New Roman" w:cs="Times New Roman"/>
          <w:sz w:val="24"/>
          <w:szCs w:val="24"/>
        </w:rPr>
        <w:t xml:space="preserve"> (Wolters Kluwer UK), 23(91), 195–203.</w:t>
      </w:r>
    </w:p>
    <w:p w14:paraId="42AE248E" w14:textId="0BA8F3BE" w:rsidR="00115771" w:rsidRPr="00B54811" w:rsidRDefault="00115771"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Cheng, C. A., &amp; Hollie, D. (2008). Do core and non-core cash flows from operations persist differentially i</w:t>
      </w:r>
      <w:r w:rsidR="00B54811">
        <w:rPr>
          <w:rFonts w:ascii="Times New Roman" w:hAnsi="Times New Roman" w:cs="Times New Roman"/>
          <w:sz w:val="24"/>
          <w:szCs w:val="24"/>
        </w:rPr>
        <w:t>n predicting future cash flows?</w:t>
      </w:r>
      <w:r w:rsidRPr="00B54811">
        <w:rPr>
          <w:rFonts w:ascii="Times New Roman" w:hAnsi="Times New Roman" w:cs="Times New Roman"/>
          <w:sz w:val="24"/>
          <w:szCs w:val="24"/>
        </w:rPr>
        <w:t xml:space="preserve"> </w:t>
      </w:r>
      <w:r w:rsidRPr="00197B3E">
        <w:rPr>
          <w:rFonts w:ascii="Times New Roman" w:hAnsi="Times New Roman" w:cs="Times New Roman"/>
          <w:i/>
          <w:iCs/>
          <w:sz w:val="24"/>
          <w:szCs w:val="24"/>
        </w:rPr>
        <w:t>Review of Quantitative Finance and Accounting</w:t>
      </w:r>
      <w:r w:rsidRPr="00B54811">
        <w:rPr>
          <w:rFonts w:ascii="Times New Roman" w:hAnsi="Times New Roman" w:cs="Times New Roman"/>
          <w:sz w:val="24"/>
          <w:szCs w:val="24"/>
        </w:rPr>
        <w:t>, 31(1), 29-53.</w:t>
      </w:r>
    </w:p>
    <w:p w14:paraId="1155C4F4" w14:textId="2A61B5D3" w:rsidR="007E6E49" w:rsidRPr="00B54811" w:rsidRDefault="007E6E49" w:rsidP="0024510B">
      <w:pPr>
        <w:spacing w:after="120" w:line="240" w:lineRule="auto"/>
        <w:ind w:left="720" w:hanging="720"/>
        <w:jc w:val="both"/>
        <w:rPr>
          <w:rFonts w:ascii="Times New Roman" w:hAnsi="Times New Roman" w:cs="Times New Roman"/>
          <w:sz w:val="24"/>
          <w:szCs w:val="24"/>
        </w:rPr>
      </w:pPr>
      <w:proofErr w:type="spellStart"/>
      <w:r w:rsidRPr="00B54811">
        <w:rPr>
          <w:rFonts w:ascii="Times New Roman" w:hAnsi="Times New Roman" w:cs="Times New Roman"/>
          <w:sz w:val="24"/>
          <w:szCs w:val="24"/>
        </w:rPr>
        <w:t>Chichernea</w:t>
      </w:r>
      <w:proofErr w:type="spellEnd"/>
      <w:r w:rsidRPr="00B54811">
        <w:rPr>
          <w:rFonts w:ascii="Times New Roman" w:hAnsi="Times New Roman" w:cs="Times New Roman"/>
          <w:sz w:val="24"/>
          <w:szCs w:val="24"/>
        </w:rPr>
        <w:t xml:space="preserve">, D., </w:t>
      </w:r>
      <w:proofErr w:type="spellStart"/>
      <w:r w:rsidRPr="00B54811">
        <w:rPr>
          <w:rFonts w:ascii="Times New Roman" w:hAnsi="Times New Roman" w:cs="Times New Roman"/>
          <w:sz w:val="24"/>
          <w:szCs w:val="24"/>
        </w:rPr>
        <w:t>Petkevich</w:t>
      </w:r>
      <w:proofErr w:type="spellEnd"/>
      <w:r w:rsidRPr="00B54811">
        <w:rPr>
          <w:rFonts w:ascii="Times New Roman" w:hAnsi="Times New Roman" w:cs="Times New Roman"/>
          <w:sz w:val="24"/>
          <w:szCs w:val="24"/>
        </w:rPr>
        <w:t>, A.</w:t>
      </w:r>
      <w:r w:rsidR="00B54811">
        <w:rPr>
          <w:rFonts w:ascii="Times New Roman" w:hAnsi="Times New Roman" w:cs="Times New Roman"/>
          <w:sz w:val="24"/>
          <w:szCs w:val="24"/>
        </w:rPr>
        <w:t>,</w:t>
      </w:r>
      <w:r w:rsidRPr="00B54811">
        <w:rPr>
          <w:rFonts w:ascii="Times New Roman" w:hAnsi="Times New Roman" w:cs="Times New Roman"/>
          <w:sz w:val="24"/>
          <w:szCs w:val="24"/>
        </w:rPr>
        <w:t xml:space="preserve"> </w:t>
      </w:r>
      <w:r w:rsidR="00B54811" w:rsidRPr="00B54811">
        <w:rPr>
          <w:rFonts w:ascii="Times New Roman" w:hAnsi="Times New Roman" w:cs="Times New Roman"/>
          <w:sz w:val="24"/>
          <w:szCs w:val="24"/>
        </w:rPr>
        <w:t>&amp;</w:t>
      </w:r>
      <w:r w:rsidRPr="00B54811">
        <w:rPr>
          <w:rFonts w:ascii="Times New Roman" w:hAnsi="Times New Roman" w:cs="Times New Roman"/>
          <w:sz w:val="24"/>
          <w:szCs w:val="24"/>
        </w:rPr>
        <w:t xml:space="preserve"> </w:t>
      </w:r>
      <w:proofErr w:type="spellStart"/>
      <w:r w:rsidRPr="00B54811">
        <w:rPr>
          <w:rFonts w:ascii="Times New Roman" w:hAnsi="Times New Roman" w:cs="Times New Roman"/>
          <w:sz w:val="24"/>
          <w:szCs w:val="24"/>
        </w:rPr>
        <w:t>Zykaj</w:t>
      </w:r>
      <w:proofErr w:type="spellEnd"/>
      <w:r w:rsidRPr="00B54811">
        <w:rPr>
          <w:rFonts w:ascii="Times New Roman" w:hAnsi="Times New Roman" w:cs="Times New Roman"/>
          <w:sz w:val="24"/>
          <w:szCs w:val="24"/>
        </w:rPr>
        <w:t xml:space="preserve">, B. (2015). Idiosyncratic volatility, institutional ownership, and investment horizon. </w:t>
      </w:r>
      <w:r w:rsidRPr="00197B3E">
        <w:rPr>
          <w:rFonts w:ascii="Times New Roman" w:hAnsi="Times New Roman" w:cs="Times New Roman"/>
          <w:i/>
          <w:iCs/>
          <w:sz w:val="24"/>
          <w:szCs w:val="24"/>
        </w:rPr>
        <w:t>European Financial Management</w:t>
      </w:r>
      <w:r w:rsidR="00DD56DF">
        <w:rPr>
          <w:rFonts w:ascii="Times New Roman" w:hAnsi="Times New Roman" w:cs="Times New Roman"/>
          <w:sz w:val="24"/>
          <w:szCs w:val="24"/>
        </w:rPr>
        <w:t>,</w:t>
      </w:r>
      <w:r w:rsidRPr="00B54811">
        <w:rPr>
          <w:rFonts w:ascii="Times New Roman" w:hAnsi="Times New Roman" w:cs="Times New Roman"/>
          <w:sz w:val="24"/>
          <w:szCs w:val="24"/>
        </w:rPr>
        <w:t xml:space="preserve"> 21(4), 613–645.</w:t>
      </w:r>
    </w:p>
    <w:p w14:paraId="08A1ADD1" w14:textId="1CD7BC52" w:rsidR="00B0745D" w:rsidRPr="00B54811" w:rsidRDefault="007D5069"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 xml:space="preserve">Curtis, A. B., </w:t>
      </w:r>
      <w:proofErr w:type="spellStart"/>
      <w:r w:rsidRPr="00B54811">
        <w:rPr>
          <w:rFonts w:ascii="Times New Roman" w:hAnsi="Times New Roman" w:cs="Times New Roman"/>
          <w:sz w:val="24"/>
          <w:szCs w:val="24"/>
        </w:rPr>
        <w:t>McVay</w:t>
      </w:r>
      <w:proofErr w:type="spellEnd"/>
      <w:r w:rsidRPr="00B54811">
        <w:rPr>
          <w:rFonts w:ascii="Times New Roman" w:hAnsi="Times New Roman" w:cs="Times New Roman"/>
          <w:sz w:val="24"/>
          <w:szCs w:val="24"/>
        </w:rPr>
        <w:t xml:space="preserve">, S. E., &amp; Whipple, B. C. (2014). The disclosure of non-GAAP earnings information in the presence of transitory gains. </w:t>
      </w:r>
      <w:r w:rsidRPr="00197B3E">
        <w:rPr>
          <w:rFonts w:ascii="Times New Roman" w:hAnsi="Times New Roman" w:cs="Times New Roman"/>
          <w:i/>
          <w:iCs/>
          <w:sz w:val="24"/>
          <w:szCs w:val="24"/>
        </w:rPr>
        <w:t>The Accounting Review</w:t>
      </w:r>
      <w:r w:rsidRPr="00B54811">
        <w:rPr>
          <w:rFonts w:ascii="Times New Roman" w:hAnsi="Times New Roman" w:cs="Times New Roman"/>
          <w:sz w:val="24"/>
          <w:szCs w:val="24"/>
        </w:rPr>
        <w:t>, 89(3),</w:t>
      </w:r>
      <w:r w:rsidR="002D4283" w:rsidRPr="00B54811">
        <w:rPr>
          <w:rFonts w:ascii="Times New Roman" w:hAnsi="Times New Roman" w:cs="Times New Roman"/>
          <w:sz w:val="24"/>
          <w:szCs w:val="24"/>
        </w:rPr>
        <w:t xml:space="preserve"> </w:t>
      </w:r>
      <w:r w:rsidRPr="00B54811">
        <w:rPr>
          <w:rFonts w:ascii="Times New Roman" w:hAnsi="Times New Roman" w:cs="Times New Roman"/>
          <w:sz w:val="24"/>
          <w:szCs w:val="24"/>
        </w:rPr>
        <w:t>933–958.</w:t>
      </w:r>
    </w:p>
    <w:p w14:paraId="62817C3E" w14:textId="01893334" w:rsidR="002023DF" w:rsidRPr="00B54811" w:rsidRDefault="002023DF"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lastRenderedPageBreak/>
        <w:t>Dao, M</w:t>
      </w:r>
      <w:r w:rsidR="00B54811">
        <w:rPr>
          <w:rFonts w:ascii="Times New Roman" w:hAnsi="Times New Roman" w:cs="Times New Roman"/>
          <w:sz w:val="24"/>
          <w:szCs w:val="24"/>
        </w:rPr>
        <w:t>.,</w:t>
      </w:r>
      <w:r w:rsidRPr="00B54811">
        <w:rPr>
          <w:rFonts w:ascii="Times New Roman" w:hAnsi="Times New Roman" w:cs="Times New Roman"/>
          <w:sz w:val="24"/>
          <w:szCs w:val="24"/>
        </w:rPr>
        <w:t xml:space="preserve"> and Xu, H</w:t>
      </w:r>
      <w:r w:rsidR="00B54811">
        <w:rPr>
          <w:rFonts w:ascii="Times New Roman" w:hAnsi="Times New Roman" w:cs="Times New Roman"/>
          <w:sz w:val="24"/>
          <w:szCs w:val="24"/>
        </w:rPr>
        <w:t>.,</w:t>
      </w:r>
      <w:r w:rsidRPr="00B54811">
        <w:rPr>
          <w:rFonts w:ascii="Times New Roman" w:hAnsi="Times New Roman" w:cs="Times New Roman"/>
          <w:sz w:val="24"/>
          <w:szCs w:val="24"/>
        </w:rPr>
        <w:t xml:space="preserve"> </w:t>
      </w:r>
      <w:r w:rsidR="008626DD" w:rsidRPr="00B54811">
        <w:rPr>
          <w:rFonts w:ascii="Times New Roman" w:hAnsi="Times New Roman" w:cs="Times New Roman"/>
          <w:sz w:val="24"/>
          <w:szCs w:val="24"/>
        </w:rPr>
        <w:t>&amp;</w:t>
      </w:r>
      <w:r w:rsidRPr="00B54811">
        <w:rPr>
          <w:rFonts w:ascii="Times New Roman" w:hAnsi="Times New Roman" w:cs="Times New Roman"/>
          <w:sz w:val="24"/>
          <w:szCs w:val="24"/>
        </w:rPr>
        <w:t xml:space="preserve"> Pham, T</w:t>
      </w:r>
      <w:r w:rsidR="00B54811">
        <w:rPr>
          <w:rFonts w:ascii="Times New Roman" w:hAnsi="Times New Roman" w:cs="Times New Roman"/>
          <w:sz w:val="24"/>
          <w:szCs w:val="24"/>
        </w:rPr>
        <w:t>.</w:t>
      </w:r>
      <w:r w:rsidR="00A17A74">
        <w:rPr>
          <w:rFonts w:ascii="Times New Roman" w:hAnsi="Times New Roman" w:cs="Times New Roman"/>
          <w:sz w:val="24"/>
          <w:szCs w:val="24"/>
        </w:rPr>
        <w:t xml:space="preserve"> (2018).</w:t>
      </w:r>
      <w:r w:rsidRPr="00B54811">
        <w:rPr>
          <w:rFonts w:ascii="Times New Roman" w:hAnsi="Times New Roman" w:cs="Times New Roman"/>
          <w:sz w:val="24"/>
          <w:szCs w:val="24"/>
        </w:rPr>
        <w:t xml:space="preserve"> Auditors' </w:t>
      </w:r>
      <w:r w:rsidR="00A17A74">
        <w:rPr>
          <w:rFonts w:ascii="Times New Roman" w:hAnsi="Times New Roman" w:cs="Times New Roman"/>
          <w:sz w:val="24"/>
          <w:szCs w:val="24"/>
        </w:rPr>
        <w:t>r</w:t>
      </w:r>
      <w:r w:rsidRPr="00B54811">
        <w:rPr>
          <w:rFonts w:ascii="Times New Roman" w:hAnsi="Times New Roman" w:cs="Times New Roman"/>
          <w:sz w:val="24"/>
          <w:szCs w:val="24"/>
        </w:rPr>
        <w:t xml:space="preserve">esponse to </w:t>
      </w:r>
      <w:r w:rsidR="00A17A74">
        <w:rPr>
          <w:rFonts w:ascii="Times New Roman" w:hAnsi="Times New Roman" w:cs="Times New Roman"/>
          <w:sz w:val="24"/>
          <w:szCs w:val="24"/>
        </w:rPr>
        <w:t>c</w:t>
      </w:r>
      <w:r w:rsidRPr="00B54811">
        <w:rPr>
          <w:rFonts w:ascii="Times New Roman" w:hAnsi="Times New Roman" w:cs="Times New Roman"/>
          <w:sz w:val="24"/>
          <w:szCs w:val="24"/>
        </w:rPr>
        <w:t xml:space="preserve">lassification </w:t>
      </w:r>
      <w:r w:rsidR="00A17A74">
        <w:rPr>
          <w:rFonts w:ascii="Times New Roman" w:hAnsi="Times New Roman" w:cs="Times New Roman"/>
          <w:sz w:val="24"/>
          <w:szCs w:val="24"/>
        </w:rPr>
        <w:t>s</w:t>
      </w:r>
      <w:r w:rsidRPr="00B54811">
        <w:rPr>
          <w:rFonts w:ascii="Times New Roman" w:hAnsi="Times New Roman" w:cs="Times New Roman"/>
          <w:sz w:val="24"/>
          <w:szCs w:val="24"/>
        </w:rPr>
        <w:t xml:space="preserve">hifting: Evidence from US </w:t>
      </w:r>
      <w:r w:rsidR="00A17A74">
        <w:rPr>
          <w:rFonts w:ascii="Times New Roman" w:hAnsi="Times New Roman" w:cs="Times New Roman"/>
          <w:sz w:val="24"/>
          <w:szCs w:val="24"/>
        </w:rPr>
        <w:t>f</w:t>
      </w:r>
      <w:r w:rsidRPr="00B54811">
        <w:rPr>
          <w:rFonts w:ascii="Times New Roman" w:hAnsi="Times New Roman" w:cs="Times New Roman"/>
          <w:sz w:val="24"/>
          <w:szCs w:val="24"/>
        </w:rPr>
        <w:t xml:space="preserve">irms. </w:t>
      </w:r>
      <w:r w:rsidR="002D4283" w:rsidRPr="00B54811">
        <w:rPr>
          <w:rFonts w:ascii="Times New Roman" w:hAnsi="Times New Roman" w:cs="Times New Roman"/>
          <w:sz w:val="24"/>
          <w:szCs w:val="24"/>
        </w:rPr>
        <w:t>Working paper, University of Toledo.</w:t>
      </w:r>
    </w:p>
    <w:p w14:paraId="14506498" w14:textId="077DF350" w:rsidR="00107134" w:rsidRPr="00B54811" w:rsidRDefault="00107134" w:rsidP="0024510B">
      <w:pPr>
        <w:spacing w:after="120" w:line="240" w:lineRule="auto"/>
        <w:ind w:left="720" w:hanging="720"/>
        <w:jc w:val="both"/>
        <w:rPr>
          <w:rFonts w:ascii="Times New Roman" w:hAnsi="Times New Roman" w:cs="Times New Roman"/>
          <w:sz w:val="24"/>
          <w:szCs w:val="24"/>
        </w:rPr>
      </w:pPr>
      <w:proofErr w:type="spellStart"/>
      <w:r w:rsidRPr="00B54811">
        <w:rPr>
          <w:rFonts w:ascii="Times New Roman" w:hAnsi="Times New Roman" w:cs="Times New Roman"/>
          <w:sz w:val="24"/>
          <w:szCs w:val="24"/>
        </w:rPr>
        <w:t>Demerjian</w:t>
      </w:r>
      <w:proofErr w:type="spellEnd"/>
      <w:r w:rsidRPr="00B54811">
        <w:rPr>
          <w:rFonts w:ascii="Times New Roman" w:hAnsi="Times New Roman" w:cs="Times New Roman"/>
          <w:sz w:val="24"/>
          <w:szCs w:val="24"/>
        </w:rPr>
        <w:t>, P., Lev, B.</w:t>
      </w:r>
      <w:r w:rsidR="00B54811">
        <w:rPr>
          <w:rFonts w:ascii="Times New Roman" w:hAnsi="Times New Roman" w:cs="Times New Roman"/>
          <w:sz w:val="24"/>
          <w:szCs w:val="24"/>
        </w:rPr>
        <w:t>,</w:t>
      </w:r>
      <w:r w:rsidRPr="00B54811">
        <w:rPr>
          <w:rFonts w:ascii="Times New Roman" w:hAnsi="Times New Roman" w:cs="Times New Roman"/>
          <w:sz w:val="24"/>
          <w:szCs w:val="24"/>
        </w:rPr>
        <w:t xml:space="preserve"> </w:t>
      </w:r>
      <w:r w:rsidR="00B54811" w:rsidRPr="00B54811">
        <w:rPr>
          <w:rFonts w:ascii="Times New Roman" w:hAnsi="Times New Roman" w:cs="Times New Roman"/>
          <w:sz w:val="24"/>
          <w:szCs w:val="24"/>
        </w:rPr>
        <w:t>&amp;</w:t>
      </w:r>
      <w:r w:rsidRPr="00B54811">
        <w:rPr>
          <w:rFonts w:ascii="Times New Roman" w:hAnsi="Times New Roman" w:cs="Times New Roman"/>
          <w:sz w:val="24"/>
          <w:szCs w:val="24"/>
        </w:rPr>
        <w:t xml:space="preserve"> </w:t>
      </w:r>
      <w:proofErr w:type="spellStart"/>
      <w:r w:rsidRPr="00B54811">
        <w:rPr>
          <w:rFonts w:ascii="Times New Roman" w:hAnsi="Times New Roman" w:cs="Times New Roman"/>
          <w:sz w:val="24"/>
          <w:szCs w:val="24"/>
        </w:rPr>
        <w:t>McVay</w:t>
      </w:r>
      <w:proofErr w:type="spellEnd"/>
      <w:r w:rsidRPr="00B54811">
        <w:rPr>
          <w:rFonts w:ascii="Times New Roman" w:hAnsi="Times New Roman" w:cs="Times New Roman"/>
          <w:sz w:val="24"/>
          <w:szCs w:val="24"/>
        </w:rPr>
        <w:t xml:space="preserve">, S. </w:t>
      </w:r>
      <w:r w:rsidR="005B3FBF" w:rsidRPr="00B54811">
        <w:rPr>
          <w:rFonts w:ascii="Times New Roman" w:hAnsi="Times New Roman" w:cs="Times New Roman"/>
          <w:sz w:val="24"/>
          <w:szCs w:val="24"/>
        </w:rPr>
        <w:t>(</w:t>
      </w:r>
      <w:r w:rsidRPr="00B54811">
        <w:rPr>
          <w:rFonts w:ascii="Times New Roman" w:hAnsi="Times New Roman" w:cs="Times New Roman"/>
          <w:sz w:val="24"/>
          <w:szCs w:val="24"/>
        </w:rPr>
        <w:t>2012</w:t>
      </w:r>
      <w:r w:rsidR="005B3FBF" w:rsidRPr="00B54811">
        <w:rPr>
          <w:rFonts w:ascii="Times New Roman" w:hAnsi="Times New Roman" w:cs="Times New Roman"/>
          <w:sz w:val="24"/>
          <w:szCs w:val="24"/>
        </w:rPr>
        <w:t>)</w:t>
      </w:r>
      <w:r w:rsidRPr="00B54811">
        <w:rPr>
          <w:rFonts w:ascii="Times New Roman" w:hAnsi="Times New Roman" w:cs="Times New Roman"/>
          <w:sz w:val="24"/>
          <w:szCs w:val="24"/>
        </w:rPr>
        <w:t xml:space="preserve">. Quantifying managerial ability: A new measure and validity tests. </w:t>
      </w:r>
      <w:r w:rsidRPr="00197B3E">
        <w:rPr>
          <w:rFonts w:ascii="Times New Roman" w:hAnsi="Times New Roman" w:cs="Times New Roman"/>
          <w:i/>
          <w:iCs/>
          <w:sz w:val="24"/>
          <w:szCs w:val="24"/>
        </w:rPr>
        <w:t>Management Science</w:t>
      </w:r>
      <w:r w:rsidR="00DD56DF">
        <w:rPr>
          <w:rFonts w:ascii="Times New Roman" w:hAnsi="Times New Roman" w:cs="Times New Roman"/>
          <w:sz w:val="24"/>
          <w:szCs w:val="24"/>
        </w:rPr>
        <w:t>,</w:t>
      </w:r>
      <w:r w:rsidRPr="00B54811">
        <w:rPr>
          <w:rFonts w:ascii="Times New Roman" w:hAnsi="Times New Roman" w:cs="Times New Roman"/>
          <w:sz w:val="24"/>
          <w:szCs w:val="24"/>
        </w:rPr>
        <w:t xml:space="preserve"> 58(7), 1229–1248.</w:t>
      </w:r>
    </w:p>
    <w:p w14:paraId="5B06F68B" w14:textId="55DAAD34" w:rsidR="009F7946" w:rsidRDefault="009F7946" w:rsidP="0024510B">
      <w:pPr>
        <w:spacing w:after="120" w:line="240" w:lineRule="auto"/>
        <w:ind w:left="720" w:hanging="720"/>
        <w:jc w:val="both"/>
        <w:rPr>
          <w:rFonts w:ascii="Times New Roman" w:hAnsi="Times New Roman" w:cs="Times New Roman"/>
          <w:sz w:val="24"/>
          <w:szCs w:val="24"/>
        </w:rPr>
      </w:pPr>
      <w:proofErr w:type="spellStart"/>
      <w:r w:rsidRPr="00B54811">
        <w:rPr>
          <w:rFonts w:ascii="Times New Roman" w:hAnsi="Times New Roman" w:cs="Times New Roman"/>
          <w:sz w:val="24"/>
          <w:szCs w:val="24"/>
        </w:rPr>
        <w:t>Eldenburg</w:t>
      </w:r>
      <w:proofErr w:type="spellEnd"/>
      <w:r w:rsidRPr="00B54811">
        <w:rPr>
          <w:rFonts w:ascii="Times New Roman" w:hAnsi="Times New Roman" w:cs="Times New Roman"/>
          <w:sz w:val="24"/>
          <w:szCs w:val="24"/>
        </w:rPr>
        <w:t xml:space="preserve">, L., Gunny, K., </w:t>
      </w:r>
      <w:proofErr w:type="spellStart"/>
      <w:r w:rsidRPr="00B54811">
        <w:rPr>
          <w:rFonts w:ascii="Times New Roman" w:hAnsi="Times New Roman" w:cs="Times New Roman"/>
          <w:sz w:val="24"/>
          <w:szCs w:val="24"/>
        </w:rPr>
        <w:t>Hee</w:t>
      </w:r>
      <w:proofErr w:type="spellEnd"/>
      <w:r w:rsidRPr="00B54811">
        <w:rPr>
          <w:rFonts w:ascii="Times New Roman" w:hAnsi="Times New Roman" w:cs="Times New Roman"/>
          <w:sz w:val="24"/>
          <w:szCs w:val="24"/>
        </w:rPr>
        <w:t xml:space="preserve">, K., </w:t>
      </w:r>
      <w:r w:rsidR="00B54811" w:rsidRPr="00B54811">
        <w:rPr>
          <w:rFonts w:ascii="Times New Roman" w:hAnsi="Times New Roman" w:cs="Times New Roman"/>
          <w:sz w:val="24"/>
          <w:szCs w:val="24"/>
        </w:rPr>
        <w:t>&amp;</w:t>
      </w:r>
      <w:r w:rsidRPr="00B54811">
        <w:rPr>
          <w:rFonts w:ascii="Times New Roman" w:hAnsi="Times New Roman" w:cs="Times New Roman"/>
          <w:sz w:val="24"/>
          <w:szCs w:val="24"/>
        </w:rPr>
        <w:t xml:space="preserve"> </w:t>
      </w:r>
      <w:proofErr w:type="spellStart"/>
      <w:r w:rsidRPr="00B54811">
        <w:rPr>
          <w:rFonts w:ascii="Times New Roman" w:hAnsi="Times New Roman" w:cs="Times New Roman"/>
          <w:sz w:val="24"/>
          <w:szCs w:val="24"/>
        </w:rPr>
        <w:t>Soderstrom</w:t>
      </w:r>
      <w:proofErr w:type="spellEnd"/>
      <w:r w:rsidRPr="00B54811">
        <w:rPr>
          <w:rFonts w:ascii="Times New Roman" w:hAnsi="Times New Roman" w:cs="Times New Roman"/>
          <w:sz w:val="24"/>
          <w:szCs w:val="24"/>
        </w:rPr>
        <w:t xml:space="preserve">, N. (2011). Earnings management using real activities: evidence from nonprofit hospitals. </w:t>
      </w:r>
      <w:r w:rsidRPr="00197B3E">
        <w:rPr>
          <w:rFonts w:ascii="Times New Roman" w:hAnsi="Times New Roman" w:cs="Times New Roman"/>
          <w:i/>
          <w:iCs/>
          <w:sz w:val="24"/>
          <w:szCs w:val="24"/>
        </w:rPr>
        <w:t>Accounting Review</w:t>
      </w:r>
      <w:r w:rsidR="00DD56DF">
        <w:rPr>
          <w:rFonts w:ascii="Times New Roman" w:hAnsi="Times New Roman" w:cs="Times New Roman"/>
          <w:sz w:val="24"/>
          <w:szCs w:val="24"/>
        </w:rPr>
        <w:t>,</w:t>
      </w:r>
      <w:r w:rsidRPr="00B54811">
        <w:rPr>
          <w:rFonts w:ascii="Times New Roman" w:hAnsi="Times New Roman" w:cs="Times New Roman"/>
          <w:sz w:val="24"/>
          <w:szCs w:val="24"/>
        </w:rPr>
        <w:t xml:space="preserve"> 86(5), 1605-1630.</w:t>
      </w:r>
    </w:p>
    <w:p w14:paraId="6438B3AC" w14:textId="41337A5C" w:rsidR="00B31C6F" w:rsidRPr="00197B3E" w:rsidRDefault="00B31C6F" w:rsidP="00197B3E">
      <w:pPr>
        <w:spacing w:after="120" w:line="240" w:lineRule="auto"/>
        <w:ind w:left="720" w:hanging="720"/>
        <w:jc w:val="both"/>
        <w:rPr>
          <w:rFonts w:ascii="Times New Roman" w:hAnsi="Times New Roman" w:cs="Times New Roman"/>
          <w:sz w:val="24"/>
          <w:szCs w:val="24"/>
        </w:rPr>
      </w:pPr>
      <w:r w:rsidRPr="00D26D75">
        <w:rPr>
          <w:rFonts w:ascii="Times New Roman" w:hAnsi="Times New Roman" w:cs="Times New Roman"/>
          <w:sz w:val="24"/>
          <w:szCs w:val="24"/>
        </w:rPr>
        <w:t>Erickson, G.</w:t>
      </w:r>
      <w:r w:rsidR="00AE080C" w:rsidRPr="00D26D75">
        <w:rPr>
          <w:rFonts w:ascii="Times New Roman" w:hAnsi="Times New Roman" w:cs="Times New Roman"/>
          <w:sz w:val="24"/>
          <w:szCs w:val="24"/>
        </w:rPr>
        <w:t>,</w:t>
      </w:r>
      <w:r w:rsidRPr="00D26D75">
        <w:rPr>
          <w:rFonts w:ascii="Times New Roman" w:hAnsi="Times New Roman" w:cs="Times New Roman"/>
          <w:sz w:val="24"/>
          <w:szCs w:val="24"/>
        </w:rPr>
        <w:t xml:space="preserve"> &amp; Jacobson, R. (1992). Gaining comparative advantage through discretionary expenditures: The returns to R&amp;D and advertising. </w:t>
      </w:r>
      <w:hyperlink r:id="rId12" w:tooltip="Search for Management Science" w:history="1">
        <w:r w:rsidRPr="00D26D75">
          <w:rPr>
            <w:rFonts w:ascii="Times New Roman" w:hAnsi="Times New Roman" w:cs="Times New Roman"/>
            <w:i/>
            <w:iCs/>
            <w:sz w:val="24"/>
            <w:szCs w:val="24"/>
          </w:rPr>
          <w:t>Management Science</w:t>
        </w:r>
      </w:hyperlink>
      <w:r w:rsidR="00DD56DF" w:rsidRPr="00D26D75">
        <w:rPr>
          <w:rFonts w:ascii="Times New Roman" w:hAnsi="Times New Roman" w:cs="Times New Roman"/>
          <w:sz w:val="24"/>
          <w:szCs w:val="24"/>
        </w:rPr>
        <w:t>,</w:t>
      </w:r>
      <w:r w:rsidRPr="00D26D75">
        <w:rPr>
          <w:rFonts w:ascii="Times New Roman" w:hAnsi="Times New Roman" w:cs="Times New Roman"/>
          <w:sz w:val="24"/>
          <w:szCs w:val="24"/>
        </w:rPr>
        <w:t xml:space="preserve"> 38 (9), 1264-1279.</w:t>
      </w:r>
    </w:p>
    <w:p w14:paraId="3D95F182" w14:textId="74313A20" w:rsidR="009E6C21" w:rsidRPr="00B54811" w:rsidRDefault="00474FEF"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 xml:space="preserve">Fairfield, P. M., Sweeney, R. J., &amp; </w:t>
      </w:r>
      <w:proofErr w:type="spellStart"/>
      <w:r w:rsidRPr="00B54811">
        <w:rPr>
          <w:rFonts w:ascii="Times New Roman" w:hAnsi="Times New Roman" w:cs="Times New Roman"/>
          <w:sz w:val="24"/>
          <w:szCs w:val="24"/>
        </w:rPr>
        <w:t>Yohn</w:t>
      </w:r>
      <w:proofErr w:type="spellEnd"/>
      <w:r w:rsidRPr="00B54811">
        <w:rPr>
          <w:rFonts w:ascii="Times New Roman" w:hAnsi="Times New Roman" w:cs="Times New Roman"/>
          <w:sz w:val="24"/>
          <w:szCs w:val="24"/>
        </w:rPr>
        <w:t xml:space="preserve">, T. L. (1996). Accounting classification and the predictive content of earnings. </w:t>
      </w:r>
      <w:r w:rsidRPr="00197B3E">
        <w:rPr>
          <w:rFonts w:ascii="Times New Roman" w:hAnsi="Times New Roman" w:cs="Times New Roman"/>
          <w:i/>
          <w:iCs/>
          <w:sz w:val="24"/>
          <w:szCs w:val="24"/>
        </w:rPr>
        <w:t>Accounting Review</w:t>
      </w:r>
      <w:r w:rsidR="00DD56DF">
        <w:rPr>
          <w:rFonts w:ascii="Times New Roman" w:hAnsi="Times New Roman" w:cs="Times New Roman"/>
          <w:sz w:val="24"/>
          <w:szCs w:val="24"/>
        </w:rPr>
        <w:t>,</w:t>
      </w:r>
      <w:r w:rsidR="009F7946" w:rsidRPr="00B54811">
        <w:rPr>
          <w:rFonts w:ascii="Times New Roman" w:hAnsi="Times New Roman" w:cs="Times New Roman"/>
          <w:sz w:val="24"/>
          <w:szCs w:val="24"/>
        </w:rPr>
        <w:t xml:space="preserve"> 71(3), </w:t>
      </w:r>
      <w:r w:rsidRPr="00B54811">
        <w:rPr>
          <w:rFonts w:ascii="Times New Roman" w:hAnsi="Times New Roman" w:cs="Times New Roman"/>
          <w:sz w:val="24"/>
          <w:szCs w:val="24"/>
        </w:rPr>
        <w:t>337-355.</w:t>
      </w:r>
    </w:p>
    <w:p w14:paraId="595E0DB7" w14:textId="0FFE59F6" w:rsidR="00EF3AC7" w:rsidRPr="00B54811" w:rsidRDefault="00EF3AC7"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 xml:space="preserve">Fan, Y., </w:t>
      </w:r>
      <w:proofErr w:type="spellStart"/>
      <w:r w:rsidRPr="00B54811">
        <w:rPr>
          <w:rFonts w:ascii="Times New Roman" w:hAnsi="Times New Roman" w:cs="Times New Roman"/>
          <w:sz w:val="24"/>
          <w:szCs w:val="24"/>
        </w:rPr>
        <w:t>Barua</w:t>
      </w:r>
      <w:proofErr w:type="spellEnd"/>
      <w:r w:rsidRPr="00B54811">
        <w:rPr>
          <w:rFonts w:ascii="Times New Roman" w:hAnsi="Times New Roman" w:cs="Times New Roman"/>
          <w:sz w:val="24"/>
          <w:szCs w:val="24"/>
        </w:rPr>
        <w:t xml:space="preserve">, A., </w:t>
      </w:r>
      <w:proofErr w:type="spellStart"/>
      <w:r w:rsidRPr="00B54811">
        <w:rPr>
          <w:rFonts w:ascii="Times New Roman" w:hAnsi="Times New Roman" w:cs="Times New Roman"/>
          <w:sz w:val="24"/>
          <w:szCs w:val="24"/>
        </w:rPr>
        <w:t>Cready</w:t>
      </w:r>
      <w:proofErr w:type="spellEnd"/>
      <w:r w:rsidRPr="00B54811">
        <w:rPr>
          <w:rFonts w:ascii="Times New Roman" w:hAnsi="Times New Roman" w:cs="Times New Roman"/>
          <w:sz w:val="24"/>
          <w:szCs w:val="24"/>
        </w:rPr>
        <w:t xml:space="preserve">, W. M., &amp; Thomas, W. B. (2010). Managing earnings using classification shifting: Evidence from quarterly special items. </w:t>
      </w:r>
      <w:r w:rsidRPr="00197B3E">
        <w:rPr>
          <w:rFonts w:ascii="Times New Roman" w:hAnsi="Times New Roman" w:cs="Times New Roman"/>
          <w:i/>
          <w:iCs/>
          <w:sz w:val="24"/>
          <w:szCs w:val="24"/>
        </w:rPr>
        <w:t>The Accounting Review</w:t>
      </w:r>
      <w:r w:rsidRPr="00B54811">
        <w:rPr>
          <w:rFonts w:ascii="Times New Roman" w:hAnsi="Times New Roman" w:cs="Times New Roman"/>
          <w:sz w:val="24"/>
          <w:szCs w:val="24"/>
        </w:rPr>
        <w:t>, 85(4), 1303–1323.</w:t>
      </w:r>
    </w:p>
    <w:p w14:paraId="4D803761" w14:textId="3A3C1CFF" w:rsidR="001D18E8" w:rsidRPr="00B54811" w:rsidRDefault="001D18E8"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 xml:space="preserve">Fan, Y., &amp; Liu, X. K. (2017). Misclassifying core expenses as special items: Cost of goods sold or selling, general, and administrative expenses? </w:t>
      </w:r>
      <w:r w:rsidRPr="00197B3E">
        <w:rPr>
          <w:rFonts w:ascii="Times New Roman" w:hAnsi="Times New Roman" w:cs="Times New Roman"/>
          <w:i/>
          <w:iCs/>
          <w:sz w:val="24"/>
          <w:szCs w:val="24"/>
        </w:rPr>
        <w:t>Contemporary Accounting Research</w:t>
      </w:r>
      <w:r w:rsidRPr="00B54811">
        <w:rPr>
          <w:rFonts w:ascii="Times New Roman" w:hAnsi="Times New Roman" w:cs="Times New Roman"/>
          <w:sz w:val="24"/>
          <w:szCs w:val="24"/>
        </w:rPr>
        <w:t>, 34(1), 400–426.</w:t>
      </w:r>
    </w:p>
    <w:p w14:paraId="48BFB16B" w14:textId="71193A77" w:rsidR="0023772D" w:rsidRPr="00B54811" w:rsidRDefault="0023772D"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 xml:space="preserve">Fenn, G. W., &amp; Liang, N. (2001). Corporate payout policy and managerial stock incentives. </w:t>
      </w:r>
      <w:r w:rsidRPr="00197B3E">
        <w:rPr>
          <w:rFonts w:ascii="Times New Roman" w:hAnsi="Times New Roman" w:cs="Times New Roman"/>
          <w:i/>
          <w:iCs/>
          <w:sz w:val="24"/>
          <w:szCs w:val="24"/>
        </w:rPr>
        <w:t xml:space="preserve">Journal of </w:t>
      </w:r>
      <w:r w:rsidR="00887320">
        <w:rPr>
          <w:rFonts w:ascii="Times New Roman" w:hAnsi="Times New Roman" w:cs="Times New Roman"/>
          <w:i/>
          <w:iCs/>
          <w:sz w:val="24"/>
          <w:szCs w:val="24"/>
        </w:rPr>
        <w:t>F</w:t>
      </w:r>
      <w:r w:rsidR="00887320" w:rsidRPr="00197B3E">
        <w:rPr>
          <w:rFonts w:ascii="Times New Roman" w:hAnsi="Times New Roman" w:cs="Times New Roman"/>
          <w:i/>
          <w:iCs/>
          <w:sz w:val="24"/>
          <w:szCs w:val="24"/>
        </w:rPr>
        <w:t xml:space="preserve">inancial </w:t>
      </w:r>
      <w:r w:rsidR="00887320">
        <w:rPr>
          <w:rFonts w:ascii="Times New Roman" w:hAnsi="Times New Roman" w:cs="Times New Roman"/>
          <w:i/>
          <w:iCs/>
          <w:sz w:val="24"/>
          <w:szCs w:val="24"/>
        </w:rPr>
        <w:t>E</w:t>
      </w:r>
      <w:r w:rsidR="00887320" w:rsidRPr="00197B3E">
        <w:rPr>
          <w:rFonts w:ascii="Times New Roman" w:hAnsi="Times New Roman" w:cs="Times New Roman"/>
          <w:i/>
          <w:iCs/>
          <w:sz w:val="24"/>
          <w:szCs w:val="24"/>
        </w:rPr>
        <w:t>conomics</w:t>
      </w:r>
      <w:r w:rsidRPr="00B54811">
        <w:rPr>
          <w:rFonts w:ascii="Times New Roman" w:hAnsi="Times New Roman" w:cs="Times New Roman"/>
          <w:sz w:val="24"/>
          <w:szCs w:val="24"/>
        </w:rPr>
        <w:t>, 60(1), 45-72.</w:t>
      </w:r>
    </w:p>
    <w:p w14:paraId="3C5EE61D" w14:textId="48958588" w:rsidR="00FF722B" w:rsidRPr="00B54811" w:rsidRDefault="007320D2"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Francis, B., Hasan, I.</w:t>
      </w:r>
      <w:r w:rsidR="00B54811">
        <w:rPr>
          <w:rFonts w:ascii="Times New Roman" w:hAnsi="Times New Roman" w:cs="Times New Roman"/>
          <w:sz w:val="24"/>
          <w:szCs w:val="24"/>
        </w:rPr>
        <w:t>,</w:t>
      </w:r>
      <w:r w:rsidRPr="00B54811">
        <w:rPr>
          <w:rFonts w:ascii="Times New Roman" w:hAnsi="Times New Roman" w:cs="Times New Roman"/>
          <w:sz w:val="24"/>
          <w:szCs w:val="24"/>
        </w:rPr>
        <w:t xml:space="preserve"> </w:t>
      </w:r>
      <w:r w:rsidR="00B54811" w:rsidRPr="00B54811">
        <w:rPr>
          <w:rFonts w:ascii="Times New Roman" w:hAnsi="Times New Roman" w:cs="Times New Roman"/>
          <w:sz w:val="24"/>
          <w:szCs w:val="24"/>
        </w:rPr>
        <w:t>&amp;</w:t>
      </w:r>
      <w:r w:rsidRPr="00B54811">
        <w:rPr>
          <w:rFonts w:ascii="Times New Roman" w:hAnsi="Times New Roman" w:cs="Times New Roman"/>
          <w:sz w:val="24"/>
          <w:szCs w:val="24"/>
        </w:rPr>
        <w:t xml:space="preserve"> Li, L. (2016). Abnormal real operations, real earnings management, and subsequent crashes in stock prices. </w:t>
      </w:r>
      <w:r w:rsidRPr="00197B3E">
        <w:rPr>
          <w:rFonts w:ascii="Times New Roman" w:hAnsi="Times New Roman" w:cs="Times New Roman"/>
          <w:i/>
          <w:iCs/>
          <w:sz w:val="24"/>
          <w:szCs w:val="24"/>
        </w:rPr>
        <w:t>Review of Quantitative Finance and Accounting</w:t>
      </w:r>
      <w:r w:rsidR="00DD56DF">
        <w:rPr>
          <w:rFonts w:ascii="Times New Roman" w:hAnsi="Times New Roman" w:cs="Times New Roman"/>
          <w:sz w:val="24"/>
          <w:szCs w:val="24"/>
        </w:rPr>
        <w:t xml:space="preserve">, </w:t>
      </w:r>
      <w:r w:rsidRPr="00B54811">
        <w:rPr>
          <w:rFonts w:ascii="Times New Roman" w:hAnsi="Times New Roman" w:cs="Times New Roman"/>
          <w:sz w:val="24"/>
          <w:szCs w:val="24"/>
        </w:rPr>
        <w:t>46(2), 217-260.</w:t>
      </w:r>
    </w:p>
    <w:p w14:paraId="2409BC08" w14:textId="638478D9" w:rsidR="001F2800" w:rsidRPr="00B54811" w:rsidRDefault="001F2800"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 xml:space="preserve">Hamada, R. (1972). The effects of the firm's capital structure on systematic risk of common stocks. </w:t>
      </w:r>
      <w:r w:rsidRPr="00197B3E">
        <w:rPr>
          <w:rFonts w:ascii="Times New Roman" w:hAnsi="Times New Roman" w:cs="Times New Roman"/>
          <w:i/>
          <w:iCs/>
          <w:sz w:val="24"/>
          <w:szCs w:val="24"/>
        </w:rPr>
        <w:t>Journal of Finance</w:t>
      </w:r>
      <w:r w:rsidR="00DD56DF">
        <w:rPr>
          <w:rFonts w:ascii="Times New Roman" w:hAnsi="Times New Roman" w:cs="Times New Roman"/>
          <w:sz w:val="24"/>
          <w:szCs w:val="24"/>
        </w:rPr>
        <w:t>,</w:t>
      </w:r>
      <w:r w:rsidRPr="00B54811">
        <w:rPr>
          <w:rFonts w:ascii="Times New Roman" w:hAnsi="Times New Roman" w:cs="Times New Roman"/>
          <w:sz w:val="24"/>
          <w:szCs w:val="24"/>
        </w:rPr>
        <w:t xml:space="preserve"> 27, 435–452.</w:t>
      </w:r>
    </w:p>
    <w:p w14:paraId="32D20EB5" w14:textId="2B3081B8" w:rsidR="00C24EC9" w:rsidRPr="00B54811" w:rsidRDefault="00C24EC9"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Habiba, A.</w:t>
      </w:r>
      <w:r w:rsidR="00B54811">
        <w:rPr>
          <w:rFonts w:ascii="Times New Roman" w:hAnsi="Times New Roman" w:cs="Times New Roman"/>
          <w:sz w:val="24"/>
          <w:szCs w:val="24"/>
        </w:rPr>
        <w:t>,</w:t>
      </w:r>
      <w:r w:rsidRPr="00B54811">
        <w:rPr>
          <w:rFonts w:ascii="Times New Roman" w:hAnsi="Times New Roman" w:cs="Times New Roman"/>
          <w:sz w:val="24"/>
          <w:szCs w:val="24"/>
        </w:rPr>
        <w:t xml:space="preserve"> </w:t>
      </w:r>
      <w:r w:rsidR="00B54811" w:rsidRPr="00B54811">
        <w:rPr>
          <w:rFonts w:ascii="Times New Roman" w:hAnsi="Times New Roman" w:cs="Times New Roman"/>
          <w:sz w:val="24"/>
          <w:szCs w:val="24"/>
        </w:rPr>
        <w:t>&amp;</w:t>
      </w:r>
      <w:r w:rsidRPr="00B54811">
        <w:rPr>
          <w:rFonts w:ascii="Times New Roman" w:hAnsi="Times New Roman" w:cs="Times New Roman"/>
          <w:sz w:val="24"/>
          <w:szCs w:val="24"/>
        </w:rPr>
        <w:t xml:space="preserve"> Hasan, M. (2017). Managerial ability, investment efficiency and stock price crash risk</w:t>
      </w:r>
      <w:r w:rsidR="00BA793E" w:rsidRPr="00B54811">
        <w:rPr>
          <w:rFonts w:ascii="Times New Roman" w:hAnsi="Times New Roman" w:cs="Times New Roman"/>
          <w:sz w:val="24"/>
          <w:szCs w:val="24"/>
        </w:rPr>
        <w:t xml:space="preserve">. </w:t>
      </w:r>
      <w:r w:rsidR="00BA793E" w:rsidRPr="00197B3E">
        <w:rPr>
          <w:rFonts w:ascii="Times New Roman" w:hAnsi="Times New Roman" w:cs="Times New Roman"/>
          <w:i/>
          <w:iCs/>
          <w:sz w:val="24"/>
          <w:szCs w:val="24"/>
        </w:rPr>
        <w:t>Research in International Business and Finance</w:t>
      </w:r>
      <w:r w:rsidR="00DD56DF">
        <w:rPr>
          <w:rFonts w:ascii="Times New Roman" w:hAnsi="Times New Roman" w:cs="Times New Roman"/>
          <w:sz w:val="24"/>
          <w:szCs w:val="24"/>
        </w:rPr>
        <w:t>,</w:t>
      </w:r>
      <w:r w:rsidR="00BA793E" w:rsidRPr="00B54811">
        <w:rPr>
          <w:rFonts w:ascii="Times New Roman" w:hAnsi="Times New Roman" w:cs="Times New Roman"/>
          <w:sz w:val="24"/>
          <w:szCs w:val="24"/>
        </w:rPr>
        <w:t xml:space="preserve"> 42, 262-274.</w:t>
      </w:r>
    </w:p>
    <w:p w14:paraId="13BEFA28" w14:textId="1F1AA32B" w:rsidR="0033268B" w:rsidRPr="00B54811" w:rsidRDefault="0033268B"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 xml:space="preserve">Haw, I. M., Ho, S. S., &amp; Li, A. Y. (2011). Corporate governance and earnings management by classification shifting. </w:t>
      </w:r>
      <w:r w:rsidRPr="00197B3E">
        <w:rPr>
          <w:rFonts w:ascii="Times New Roman" w:hAnsi="Times New Roman" w:cs="Times New Roman"/>
          <w:i/>
          <w:iCs/>
          <w:sz w:val="24"/>
          <w:szCs w:val="24"/>
        </w:rPr>
        <w:t>Contemporary Accounting Research</w:t>
      </w:r>
      <w:r w:rsidRPr="00B54811">
        <w:rPr>
          <w:rFonts w:ascii="Times New Roman" w:hAnsi="Times New Roman" w:cs="Times New Roman"/>
          <w:sz w:val="24"/>
          <w:szCs w:val="24"/>
        </w:rPr>
        <w:t>, 28(2), 517–553.</w:t>
      </w:r>
    </w:p>
    <w:p w14:paraId="1FAEB0DE" w14:textId="2CED217B" w:rsidR="00FF722B" w:rsidRPr="00B54811" w:rsidRDefault="00FF722B"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 xml:space="preserve">Hutton, A. P., Marcus, A. J., &amp; </w:t>
      </w:r>
      <w:proofErr w:type="spellStart"/>
      <w:r w:rsidRPr="00B54811">
        <w:rPr>
          <w:rFonts w:ascii="Times New Roman" w:hAnsi="Times New Roman" w:cs="Times New Roman"/>
          <w:sz w:val="24"/>
          <w:szCs w:val="24"/>
        </w:rPr>
        <w:t>Tehranian</w:t>
      </w:r>
      <w:proofErr w:type="spellEnd"/>
      <w:r w:rsidRPr="00B54811">
        <w:rPr>
          <w:rFonts w:ascii="Times New Roman" w:hAnsi="Times New Roman" w:cs="Times New Roman"/>
          <w:sz w:val="24"/>
          <w:szCs w:val="24"/>
        </w:rPr>
        <w:t>, H. (2009). Opaque financial reports, R</w:t>
      </w:r>
      <w:r w:rsidRPr="00B54811">
        <w:rPr>
          <w:rFonts w:ascii="Times New Roman" w:hAnsi="Times New Roman" w:cs="Times New Roman"/>
          <w:sz w:val="24"/>
          <w:szCs w:val="24"/>
          <w:vertAlign w:val="superscript"/>
        </w:rPr>
        <w:t>2</w:t>
      </w:r>
      <w:r w:rsidRPr="00B54811">
        <w:rPr>
          <w:rFonts w:ascii="Times New Roman" w:hAnsi="Times New Roman" w:cs="Times New Roman"/>
          <w:sz w:val="24"/>
          <w:szCs w:val="24"/>
        </w:rPr>
        <w:t xml:space="preserve">, and crash risk. </w:t>
      </w:r>
      <w:r w:rsidRPr="00197B3E">
        <w:rPr>
          <w:rFonts w:ascii="Times New Roman" w:hAnsi="Times New Roman" w:cs="Times New Roman"/>
          <w:i/>
          <w:iCs/>
          <w:sz w:val="24"/>
          <w:szCs w:val="24"/>
        </w:rPr>
        <w:t>Journal of Financial Economics</w:t>
      </w:r>
      <w:r w:rsidRPr="00B54811">
        <w:rPr>
          <w:rFonts w:ascii="Times New Roman" w:hAnsi="Times New Roman" w:cs="Times New Roman"/>
          <w:sz w:val="24"/>
          <w:szCs w:val="24"/>
        </w:rPr>
        <w:t>, 94, 67–86.</w:t>
      </w:r>
    </w:p>
    <w:p w14:paraId="64320D3F" w14:textId="38823540" w:rsidR="00A07FA1" w:rsidRPr="00B54811" w:rsidRDefault="00A07FA1"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 xml:space="preserve">Hsu, C., &amp; </w:t>
      </w:r>
      <w:proofErr w:type="spellStart"/>
      <w:r w:rsidRPr="00B54811">
        <w:rPr>
          <w:rFonts w:ascii="Times New Roman" w:hAnsi="Times New Roman" w:cs="Times New Roman"/>
          <w:sz w:val="24"/>
          <w:szCs w:val="24"/>
        </w:rPr>
        <w:t>Kross</w:t>
      </w:r>
      <w:proofErr w:type="spellEnd"/>
      <w:r w:rsidRPr="00B54811">
        <w:rPr>
          <w:rFonts w:ascii="Times New Roman" w:hAnsi="Times New Roman" w:cs="Times New Roman"/>
          <w:sz w:val="24"/>
          <w:szCs w:val="24"/>
        </w:rPr>
        <w:t xml:space="preserve">, W. (2011). The market pricing of special items that are included in versus excluded from street earnings. </w:t>
      </w:r>
      <w:r w:rsidRPr="00197B3E">
        <w:rPr>
          <w:rFonts w:ascii="Times New Roman" w:hAnsi="Times New Roman" w:cs="Times New Roman"/>
          <w:i/>
          <w:iCs/>
          <w:sz w:val="24"/>
          <w:szCs w:val="24"/>
        </w:rPr>
        <w:t>Contemporary Accounting Research</w:t>
      </w:r>
      <w:r w:rsidRPr="00B54811">
        <w:rPr>
          <w:rFonts w:ascii="Times New Roman" w:hAnsi="Times New Roman" w:cs="Times New Roman"/>
          <w:sz w:val="24"/>
          <w:szCs w:val="24"/>
        </w:rPr>
        <w:t>, 28(3), 990–1017.</w:t>
      </w:r>
    </w:p>
    <w:p w14:paraId="0BC3EF52" w14:textId="7730E6BD" w:rsidR="003C3D6D" w:rsidRDefault="00986072" w:rsidP="0024510B">
      <w:pPr>
        <w:spacing w:after="120" w:line="240" w:lineRule="auto"/>
        <w:ind w:left="720" w:hanging="720"/>
        <w:jc w:val="both"/>
        <w:rPr>
          <w:rFonts w:ascii="Times New Roman" w:hAnsi="Times New Roman" w:cs="Times New Roman"/>
          <w:sz w:val="24"/>
          <w:szCs w:val="24"/>
        </w:rPr>
      </w:pPr>
      <w:proofErr w:type="spellStart"/>
      <w:r w:rsidRPr="00B54811">
        <w:rPr>
          <w:rFonts w:ascii="Times New Roman" w:hAnsi="Times New Roman" w:cs="Times New Roman"/>
          <w:sz w:val="24"/>
          <w:szCs w:val="24"/>
        </w:rPr>
        <w:t>Jin</w:t>
      </w:r>
      <w:proofErr w:type="spellEnd"/>
      <w:r w:rsidRPr="00B54811">
        <w:rPr>
          <w:rFonts w:ascii="Times New Roman" w:hAnsi="Times New Roman" w:cs="Times New Roman"/>
          <w:sz w:val="24"/>
          <w:szCs w:val="24"/>
        </w:rPr>
        <w:t>, L., &amp; Myers, S. C. (2006). R</w:t>
      </w:r>
      <w:r w:rsidRPr="00B54811">
        <w:rPr>
          <w:rFonts w:ascii="Times New Roman" w:hAnsi="Times New Roman" w:cs="Times New Roman"/>
          <w:sz w:val="24"/>
          <w:szCs w:val="24"/>
          <w:vertAlign w:val="superscript"/>
        </w:rPr>
        <w:t>2</w:t>
      </w:r>
      <w:r w:rsidRPr="00B54811">
        <w:rPr>
          <w:rFonts w:ascii="Times New Roman" w:hAnsi="Times New Roman" w:cs="Times New Roman"/>
          <w:sz w:val="24"/>
          <w:szCs w:val="24"/>
        </w:rPr>
        <w:t xml:space="preserve"> around the world: new theory and new tests. </w:t>
      </w:r>
      <w:r w:rsidRPr="00197B3E">
        <w:rPr>
          <w:rFonts w:ascii="Times New Roman" w:hAnsi="Times New Roman" w:cs="Times New Roman"/>
          <w:i/>
          <w:iCs/>
          <w:sz w:val="24"/>
          <w:szCs w:val="24"/>
        </w:rPr>
        <w:t>Journal of Financial</w:t>
      </w:r>
      <w:r w:rsidR="001767EE" w:rsidRPr="00197B3E">
        <w:rPr>
          <w:rFonts w:ascii="Times New Roman" w:hAnsi="Times New Roman" w:cs="Times New Roman"/>
          <w:i/>
          <w:iCs/>
          <w:sz w:val="24"/>
          <w:szCs w:val="24"/>
        </w:rPr>
        <w:t xml:space="preserve"> </w:t>
      </w:r>
      <w:r w:rsidRPr="00197B3E">
        <w:rPr>
          <w:rFonts w:ascii="Times New Roman" w:hAnsi="Times New Roman" w:cs="Times New Roman"/>
          <w:i/>
          <w:iCs/>
          <w:sz w:val="24"/>
          <w:szCs w:val="24"/>
        </w:rPr>
        <w:t>Economics</w:t>
      </w:r>
      <w:r w:rsidRPr="00B54811">
        <w:rPr>
          <w:rFonts w:ascii="Times New Roman" w:hAnsi="Times New Roman" w:cs="Times New Roman"/>
          <w:sz w:val="24"/>
          <w:szCs w:val="24"/>
        </w:rPr>
        <w:t>, 79, 257–292.</w:t>
      </w:r>
    </w:p>
    <w:p w14:paraId="2A10E9C8" w14:textId="2F8C80DF" w:rsidR="00DA2366" w:rsidRPr="00B54811" w:rsidRDefault="00DA2366" w:rsidP="0024510B">
      <w:pPr>
        <w:spacing w:after="120" w:line="240" w:lineRule="auto"/>
        <w:ind w:left="720" w:hanging="720"/>
        <w:jc w:val="both"/>
        <w:rPr>
          <w:rFonts w:ascii="Times New Roman" w:hAnsi="Times New Roman" w:cs="Times New Roman"/>
          <w:sz w:val="24"/>
          <w:szCs w:val="24"/>
        </w:rPr>
      </w:pPr>
      <w:r w:rsidRPr="00D26D75">
        <w:rPr>
          <w:rFonts w:ascii="Times New Roman" w:hAnsi="Times New Roman" w:cs="Times New Roman"/>
          <w:sz w:val="24"/>
          <w:szCs w:val="24"/>
        </w:rPr>
        <w:t>Jones</w:t>
      </w:r>
      <w:r w:rsidR="0051477E" w:rsidRPr="00D26D75">
        <w:rPr>
          <w:rFonts w:ascii="Times New Roman" w:hAnsi="Times New Roman" w:cs="Times New Roman"/>
          <w:sz w:val="24"/>
          <w:szCs w:val="24"/>
        </w:rPr>
        <w:t>,</w:t>
      </w:r>
      <w:r w:rsidRPr="00D26D75">
        <w:rPr>
          <w:rFonts w:ascii="Times New Roman" w:hAnsi="Times New Roman" w:cs="Times New Roman"/>
          <w:sz w:val="24"/>
          <w:szCs w:val="24"/>
        </w:rPr>
        <w:t xml:space="preserve"> J</w:t>
      </w:r>
      <w:r w:rsidR="0051477E" w:rsidRPr="00D26D75">
        <w:rPr>
          <w:rFonts w:ascii="Times New Roman" w:hAnsi="Times New Roman" w:cs="Times New Roman"/>
          <w:sz w:val="24"/>
          <w:szCs w:val="24"/>
        </w:rPr>
        <w:t>.</w:t>
      </w:r>
      <w:r w:rsidRPr="00D26D75">
        <w:rPr>
          <w:rFonts w:ascii="Times New Roman" w:hAnsi="Times New Roman" w:cs="Times New Roman"/>
          <w:sz w:val="24"/>
          <w:szCs w:val="24"/>
        </w:rPr>
        <w:t xml:space="preserve"> (1991). Earnings management during import relief investigations. </w:t>
      </w:r>
      <w:r w:rsidRPr="00D26D75">
        <w:rPr>
          <w:rFonts w:ascii="Times New Roman" w:hAnsi="Times New Roman" w:cs="Times New Roman"/>
          <w:i/>
          <w:sz w:val="24"/>
          <w:szCs w:val="24"/>
        </w:rPr>
        <w:t>Journal of Accounting Research</w:t>
      </w:r>
      <w:r w:rsidRPr="00D26D75">
        <w:rPr>
          <w:rFonts w:ascii="Times New Roman" w:hAnsi="Times New Roman" w:cs="Times New Roman"/>
          <w:sz w:val="24"/>
          <w:szCs w:val="24"/>
        </w:rPr>
        <w:t>, 29, 193-228</w:t>
      </w:r>
      <w:r w:rsidR="00A23571" w:rsidRPr="00041A68">
        <w:rPr>
          <w:rFonts w:ascii="Times New Roman" w:hAnsi="Times New Roman" w:cs="Times New Roman"/>
          <w:sz w:val="24"/>
          <w:szCs w:val="24"/>
        </w:rPr>
        <w:t>.</w:t>
      </w:r>
    </w:p>
    <w:p w14:paraId="590A2A90" w14:textId="6EE9E66C" w:rsidR="00D755AA" w:rsidRPr="00B54811" w:rsidRDefault="00D755AA" w:rsidP="0024510B">
      <w:pPr>
        <w:spacing w:after="120" w:line="240" w:lineRule="auto"/>
        <w:ind w:left="720" w:hanging="720"/>
        <w:jc w:val="both"/>
        <w:rPr>
          <w:rFonts w:ascii="Times New Roman" w:hAnsi="Times New Roman" w:cs="Times New Roman"/>
          <w:sz w:val="24"/>
          <w:szCs w:val="24"/>
        </w:rPr>
      </w:pPr>
      <w:proofErr w:type="spellStart"/>
      <w:r w:rsidRPr="00B54811">
        <w:rPr>
          <w:rFonts w:ascii="Times New Roman" w:hAnsi="Times New Roman" w:cs="Times New Roman"/>
          <w:sz w:val="24"/>
          <w:szCs w:val="24"/>
        </w:rPr>
        <w:t>Karpoff</w:t>
      </w:r>
      <w:proofErr w:type="spellEnd"/>
      <w:r w:rsidRPr="00B54811">
        <w:rPr>
          <w:rFonts w:ascii="Times New Roman" w:hAnsi="Times New Roman" w:cs="Times New Roman"/>
          <w:sz w:val="24"/>
          <w:szCs w:val="24"/>
        </w:rPr>
        <w:t xml:space="preserve">, J. </w:t>
      </w:r>
      <w:r w:rsidR="00A22D9C" w:rsidRPr="00B54811">
        <w:rPr>
          <w:rFonts w:ascii="Times New Roman" w:hAnsi="Times New Roman" w:cs="Times New Roman"/>
          <w:sz w:val="24"/>
          <w:szCs w:val="24"/>
        </w:rPr>
        <w:t>(</w:t>
      </w:r>
      <w:r w:rsidRPr="00B54811">
        <w:rPr>
          <w:rFonts w:ascii="Times New Roman" w:hAnsi="Times New Roman" w:cs="Times New Roman"/>
          <w:sz w:val="24"/>
          <w:szCs w:val="24"/>
        </w:rPr>
        <w:t>1987</w:t>
      </w:r>
      <w:r w:rsidR="00A22D9C" w:rsidRPr="00B54811">
        <w:rPr>
          <w:rFonts w:ascii="Times New Roman" w:hAnsi="Times New Roman" w:cs="Times New Roman"/>
          <w:sz w:val="24"/>
          <w:szCs w:val="24"/>
        </w:rPr>
        <w:t>)</w:t>
      </w:r>
      <w:r w:rsidRPr="00B54811">
        <w:rPr>
          <w:rFonts w:ascii="Times New Roman" w:hAnsi="Times New Roman" w:cs="Times New Roman"/>
          <w:sz w:val="24"/>
          <w:szCs w:val="24"/>
        </w:rPr>
        <w:t xml:space="preserve">. The relation between price changes and trading volume: A survey. </w:t>
      </w:r>
      <w:r w:rsidRPr="00197B3E">
        <w:rPr>
          <w:rFonts w:ascii="Times New Roman" w:hAnsi="Times New Roman" w:cs="Times New Roman"/>
          <w:i/>
          <w:iCs/>
          <w:sz w:val="24"/>
          <w:szCs w:val="24"/>
        </w:rPr>
        <w:t>J</w:t>
      </w:r>
      <w:r w:rsidR="001F2800" w:rsidRPr="00197B3E">
        <w:rPr>
          <w:rFonts w:ascii="Times New Roman" w:hAnsi="Times New Roman" w:cs="Times New Roman"/>
          <w:i/>
          <w:iCs/>
          <w:sz w:val="24"/>
          <w:szCs w:val="24"/>
        </w:rPr>
        <w:t xml:space="preserve">ournal of Financial </w:t>
      </w:r>
      <w:r w:rsidRPr="00197B3E">
        <w:rPr>
          <w:rFonts w:ascii="Times New Roman" w:hAnsi="Times New Roman" w:cs="Times New Roman"/>
          <w:i/>
          <w:iCs/>
          <w:sz w:val="24"/>
          <w:szCs w:val="24"/>
        </w:rPr>
        <w:t>Quant</w:t>
      </w:r>
      <w:r w:rsidR="001F2800" w:rsidRPr="00197B3E">
        <w:rPr>
          <w:rFonts w:ascii="Times New Roman" w:hAnsi="Times New Roman" w:cs="Times New Roman"/>
          <w:i/>
          <w:iCs/>
          <w:sz w:val="24"/>
          <w:szCs w:val="24"/>
        </w:rPr>
        <w:t>itative</w:t>
      </w:r>
      <w:r w:rsidRPr="00197B3E">
        <w:rPr>
          <w:rFonts w:ascii="Times New Roman" w:hAnsi="Times New Roman" w:cs="Times New Roman"/>
          <w:i/>
          <w:iCs/>
          <w:sz w:val="24"/>
          <w:szCs w:val="24"/>
        </w:rPr>
        <w:t xml:space="preserve"> Anal</w:t>
      </w:r>
      <w:r w:rsidR="001F2800" w:rsidRPr="00197B3E">
        <w:rPr>
          <w:rFonts w:ascii="Times New Roman" w:hAnsi="Times New Roman" w:cs="Times New Roman"/>
          <w:i/>
          <w:iCs/>
          <w:sz w:val="24"/>
          <w:szCs w:val="24"/>
        </w:rPr>
        <w:t>ysis</w:t>
      </w:r>
      <w:r w:rsidR="00DD56DF">
        <w:rPr>
          <w:rFonts w:ascii="Times New Roman" w:hAnsi="Times New Roman" w:cs="Times New Roman"/>
          <w:sz w:val="24"/>
          <w:szCs w:val="24"/>
        </w:rPr>
        <w:t>,</w:t>
      </w:r>
      <w:r w:rsidRPr="00B54811">
        <w:rPr>
          <w:rFonts w:ascii="Times New Roman" w:hAnsi="Times New Roman" w:cs="Times New Roman"/>
          <w:sz w:val="24"/>
          <w:szCs w:val="24"/>
        </w:rPr>
        <w:t xml:space="preserve"> 22, 109–126.</w:t>
      </w:r>
    </w:p>
    <w:p w14:paraId="76C0D8E1" w14:textId="38A19A97" w:rsidR="00FF722B" w:rsidRPr="00B54811" w:rsidRDefault="00FF722B"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lastRenderedPageBreak/>
        <w:t xml:space="preserve">Kim, J. B., Li, Y., &amp; Zhang, L. (2011a). CFOs versus CEOs: equity incentives and crashes. </w:t>
      </w:r>
      <w:r w:rsidRPr="00197B3E">
        <w:rPr>
          <w:rFonts w:ascii="Times New Roman" w:hAnsi="Times New Roman" w:cs="Times New Roman"/>
          <w:i/>
          <w:iCs/>
          <w:sz w:val="24"/>
          <w:szCs w:val="24"/>
        </w:rPr>
        <w:t>Journal of</w:t>
      </w:r>
      <w:r w:rsidR="001767EE" w:rsidRPr="00197B3E">
        <w:rPr>
          <w:rFonts w:ascii="Times New Roman" w:hAnsi="Times New Roman" w:cs="Times New Roman"/>
          <w:i/>
          <w:iCs/>
          <w:sz w:val="24"/>
          <w:szCs w:val="24"/>
        </w:rPr>
        <w:t xml:space="preserve"> </w:t>
      </w:r>
      <w:r w:rsidRPr="00197B3E">
        <w:rPr>
          <w:rFonts w:ascii="Times New Roman" w:hAnsi="Times New Roman" w:cs="Times New Roman"/>
          <w:i/>
          <w:iCs/>
          <w:sz w:val="24"/>
          <w:szCs w:val="24"/>
        </w:rPr>
        <w:t>Financial Economics</w:t>
      </w:r>
      <w:r w:rsidRPr="00B54811">
        <w:rPr>
          <w:rFonts w:ascii="Times New Roman" w:hAnsi="Times New Roman" w:cs="Times New Roman"/>
          <w:sz w:val="24"/>
          <w:szCs w:val="24"/>
        </w:rPr>
        <w:t>, 101, 713–730.</w:t>
      </w:r>
    </w:p>
    <w:p w14:paraId="5F4D2380" w14:textId="52E0956F" w:rsidR="00FF722B" w:rsidRPr="00B54811" w:rsidRDefault="00FF722B"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Kim, J. B., Li, Y., &amp; Zhang, L. (2011b). Corporate tax avoidance and stock price crash risk: firm-level</w:t>
      </w:r>
      <w:r w:rsidR="00CB7766" w:rsidRPr="00B54811">
        <w:rPr>
          <w:rFonts w:ascii="Times New Roman" w:hAnsi="Times New Roman" w:cs="Times New Roman"/>
          <w:sz w:val="24"/>
          <w:szCs w:val="24"/>
        </w:rPr>
        <w:t xml:space="preserve"> </w:t>
      </w:r>
      <w:r w:rsidRPr="00B54811">
        <w:rPr>
          <w:rFonts w:ascii="Times New Roman" w:hAnsi="Times New Roman" w:cs="Times New Roman"/>
          <w:sz w:val="24"/>
          <w:szCs w:val="24"/>
        </w:rPr>
        <w:t xml:space="preserve">analysis. </w:t>
      </w:r>
      <w:r w:rsidRPr="00197B3E">
        <w:rPr>
          <w:rFonts w:ascii="Times New Roman" w:hAnsi="Times New Roman" w:cs="Times New Roman"/>
          <w:i/>
          <w:iCs/>
          <w:sz w:val="24"/>
          <w:szCs w:val="24"/>
        </w:rPr>
        <w:t>Journal of Financial Economics</w:t>
      </w:r>
      <w:r w:rsidRPr="00B54811">
        <w:rPr>
          <w:rFonts w:ascii="Times New Roman" w:hAnsi="Times New Roman" w:cs="Times New Roman"/>
          <w:sz w:val="24"/>
          <w:szCs w:val="24"/>
        </w:rPr>
        <w:t>, 100, 639–662.</w:t>
      </w:r>
    </w:p>
    <w:p w14:paraId="760A0A11" w14:textId="2500B808" w:rsidR="00466CF4" w:rsidRPr="00B54811" w:rsidRDefault="00466CF4"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 xml:space="preserve">Kinney, M., &amp; </w:t>
      </w:r>
      <w:proofErr w:type="spellStart"/>
      <w:r w:rsidRPr="00B54811">
        <w:rPr>
          <w:rFonts w:ascii="Times New Roman" w:hAnsi="Times New Roman" w:cs="Times New Roman"/>
          <w:sz w:val="24"/>
          <w:szCs w:val="24"/>
        </w:rPr>
        <w:t>Trezevant</w:t>
      </w:r>
      <w:proofErr w:type="spellEnd"/>
      <w:r w:rsidRPr="00B54811">
        <w:rPr>
          <w:rFonts w:ascii="Times New Roman" w:hAnsi="Times New Roman" w:cs="Times New Roman"/>
          <w:sz w:val="24"/>
          <w:szCs w:val="24"/>
        </w:rPr>
        <w:t xml:space="preserve">, R. (1997). </w:t>
      </w:r>
      <w:r w:rsidRPr="00197B3E">
        <w:rPr>
          <w:rFonts w:ascii="Times New Roman" w:hAnsi="Times New Roman" w:cs="Times New Roman"/>
          <w:i/>
          <w:iCs/>
          <w:sz w:val="24"/>
          <w:szCs w:val="24"/>
        </w:rPr>
        <w:t xml:space="preserve">The </w:t>
      </w:r>
      <w:r w:rsidR="00A17A74" w:rsidRPr="00197B3E">
        <w:rPr>
          <w:rFonts w:ascii="Times New Roman" w:hAnsi="Times New Roman" w:cs="Times New Roman"/>
          <w:i/>
          <w:iCs/>
          <w:sz w:val="24"/>
          <w:szCs w:val="24"/>
        </w:rPr>
        <w:t>u</w:t>
      </w:r>
      <w:r w:rsidRPr="00197B3E">
        <w:rPr>
          <w:rFonts w:ascii="Times New Roman" w:hAnsi="Times New Roman" w:cs="Times New Roman"/>
          <w:i/>
          <w:iCs/>
          <w:sz w:val="24"/>
          <w:szCs w:val="24"/>
        </w:rPr>
        <w:t>se of special Items to manage earnings and perceptions. Journal of Financial Statement Analysis</w:t>
      </w:r>
      <w:r w:rsidRPr="00B54811">
        <w:rPr>
          <w:rFonts w:ascii="Times New Roman" w:hAnsi="Times New Roman" w:cs="Times New Roman"/>
          <w:sz w:val="24"/>
          <w:szCs w:val="24"/>
        </w:rPr>
        <w:t>, 3(1), 45–53.</w:t>
      </w:r>
    </w:p>
    <w:p w14:paraId="2D57D7C4" w14:textId="2FAD5D05" w:rsidR="00FF722B" w:rsidRPr="00B54811" w:rsidRDefault="00CB7766"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Kothari, S. P., Laguerre,</w:t>
      </w:r>
      <w:r w:rsidR="00B54811">
        <w:rPr>
          <w:rFonts w:ascii="Times New Roman" w:hAnsi="Times New Roman" w:cs="Times New Roman"/>
          <w:sz w:val="24"/>
          <w:szCs w:val="24"/>
        </w:rPr>
        <w:t xml:space="preserve"> T. E.,</w:t>
      </w:r>
      <w:r w:rsidRPr="00B54811">
        <w:rPr>
          <w:rFonts w:ascii="Times New Roman" w:hAnsi="Times New Roman" w:cs="Times New Roman"/>
          <w:sz w:val="24"/>
          <w:szCs w:val="24"/>
        </w:rPr>
        <w:t xml:space="preserve"> </w:t>
      </w:r>
      <w:r w:rsidR="00B54811" w:rsidRPr="00B54811">
        <w:rPr>
          <w:rFonts w:ascii="Times New Roman" w:hAnsi="Times New Roman" w:cs="Times New Roman"/>
          <w:sz w:val="24"/>
          <w:szCs w:val="24"/>
        </w:rPr>
        <w:t>&amp;</w:t>
      </w:r>
      <w:r w:rsidRPr="00B54811">
        <w:rPr>
          <w:rFonts w:ascii="Times New Roman" w:hAnsi="Times New Roman" w:cs="Times New Roman"/>
          <w:sz w:val="24"/>
          <w:szCs w:val="24"/>
        </w:rPr>
        <w:t xml:space="preserve"> Leone</w:t>
      </w:r>
      <w:r w:rsidR="00B54811">
        <w:rPr>
          <w:rFonts w:ascii="Times New Roman" w:hAnsi="Times New Roman" w:cs="Times New Roman"/>
          <w:sz w:val="24"/>
          <w:szCs w:val="24"/>
        </w:rPr>
        <w:t xml:space="preserve">, </w:t>
      </w:r>
      <w:r w:rsidR="00B54811" w:rsidRPr="00B54811">
        <w:rPr>
          <w:rFonts w:ascii="Times New Roman" w:hAnsi="Times New Roman" w:cs="Times New Roman"/>
          <w:sz w:val="24"/>
          <w:szCs w:val="24"/>
        </w:rPr>
        <w:t>A. J.</w:t>
      </w:r>
      <w:r w:rsidRPr="00B54811">
        <w:rPr>
          <w:rFonts w:ascii="Times New Roman" w:hAnsi="Times New Roman" w:cs="Times New Roman"/>
          <w:sz w:val="24"/>
          <w:szCs w:val="24"/>
        </w:rPr>
        <w:t xml:space="preserve"> (2002). Capitalization versus expensing: evidence on the uncertainty of future earnings from capital expenditure versus R&amp;D outlays. </w:t>
      </w:r>
      <w:r w:rsidRPr="00197B3E">
        <w:rPr>
          <w:rFonts w:ascii="Times New Roman" w:hAnsi="Times New Roman" w:cs="Times New Roman"/>
          <w:i/>
          <w:iCs/>
          <w:sz w:val="24"/>
          <w:szCs w:val="24"/>
        </w:rPr>
        <w:t>Review of Accounting Studies</w:t>
      </w:r>
      <w:r w:rsidR="00B54811">
        <w:rPr>
          <w:rFonts w:ascii="Times New Roman" w:hAnsi="Times New Roman" w:cs="Times New Roman"/>
          <w:sz w:val="24"/>
          <w:szCs w:val="24"/>
        </w:rPr>
        <w:t>,</w:t>
      </w:r>
      <w:r w:rsidRPr="00B54811">
        <w:rPr>
          <w:rFonts w:ascii="Times New Roman" w:hAnsi="Times New Roman" w:cs="Times New Roman"/>
          <w:sz w:val="24"/>
          <w:szCs w:val="24"/>
        </w:rPr>
        <w:t xml:space="preserve"> 7, 355–382.</w:t>
      </w:r>
    </w:p>
    <w:p w14:paraId="4AEE9C22" w14:textId="6CAC6E63" w:rsidR="0023772D" w:rsidRPr="00B54811" w:rsidRDefault="0023772D" w:rsidP="0024510B">
      <w:pPr>
        <w:spacing w:after="120" w:line="240" w:lineRule="auto"/>
        <w:ind w:left="720" w:hanging="720"/>
        <w:jc w:val="both"/>
        <w:rPr>
          <w:rFonts w:ascii="Times New Roman" w:hAnsi="Times New Roman" w:cs="Times New Roman"/>
          <w:sz w:val="24"/>
          <w:szCs w:val="24"/>
        </w:rPr>
      </w:pPr>
      <w:proofErr w:type="spellStart"/>
      <w:r w:rsidRPr="00B54811">
        <w:rPr>
          <w:rFonts w:ascii="Times New Roman" w:hAnsi="Times New Roman" w:cs="Times New Roman"/>
          <w:sz w:val="24"/>
          <w:szCs w:val="24"/>
        </w:rPr>
        <w:t>Kulchania</w:t>
      </w:r>
      <w:proofErr w:type="spellEnd"/>
      <w:r w:rsidRPr="00B54811">
        <w:rPr>
          <w:rFonts w:ascii="Times New Roman" w:hAnsi="Times New Roman" w:cs="Times New Roman"/>
          <w:sz w:val="24"/>
          <w:szCs w:val="24"/>
        </w:rPr>
        <w:t xml:space="preserve">, M. (2016). Cost structure and payout policy. </w:t>
      </w:r>
      <w:r w:rsidRPr="00197B3E">
        <w:rPr>
          <w:rFonts w:ascii="Times New Roman" w:hAnsi="Times New Roman" w:cs="Times New Roman"/>
          <w:i/>
          <w:iCs/>
          <w:sz w:val="24"/>
          <w:szCs w:val="24"/>
        </w:rPr>
        <w:t>Financial Management</w:t>
      </w:r>
      <w:r w:rsidRPr="00B54811">
        <w:rPr>
          <w:rFonts w:ascii="Times New Roman" w:hAnsi="Times New Roman" w:cs="Times New Roman"/>
          <w:sz w:val="24"/>
          <w:szCs w:val="24"/>
        </w:rPr>
        <w:t>, 45(4), 981-1009.</w:t>
      </w:r>
    </w:p>
    <w:p w14:paraId="59D31541" w14:textId="268356FD" w:rsidR="00BB7F09" w:rsidRDefault="00BB7F09"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Lee, B.S.</w:t>
      </w:r>
      <w:r w:rsidR="00B54811">
        <w:rPr>
          <w:rFonts w:ascii="Times New Roman" w:hAnsi="Times New Roman" w:cs="Times New Roman"/>
          <w:sz w:val="24"/>
          <w:szCs w:val="24"/>
        </w:rPr>
        <w:t>,</w:t>
      </w:r>
      <w:r w:rsidRPr="00B54811">
        <w:rPr>
          <w:rFonts w:ascii="Times New Roman" w:hAnsi="Times New Roman" w:cs="Times New Roman"/>
          <w:sz w:val="24"/>
          <w:szCs w:val="24"/>
        </w:rPr>
        <w:t xml:space="preserve"> </w:t>
      </w:r>
      <w:r w:rsidR="00B54811" w:rsidRPr="00B54811">
        <w:rPr>
          <w:rFonts w:ascii="Times New Roman" w:hAnsi="Times New Roman" w:cs="Times New Roman"/>
          <w:sz w:val="24"/>
          <w:szCs w:val="24"/>
        </w:rPr>
        <w:t>&amp;</w:t>
      </w:r>
      <w:r w:rsidRPr="00B54811">
        <w:rPr>
          <w:rFonts w:ascii="Times New Roman" w:hAnsi="Times New Roman" w:cs="Times New Roman"/>
          <w:sz w:val="24"/>
          <w:szCs w:val="24"/>
        </w:rPr>
        <w:t xml:space="preserve"> </w:t>
      </w:r>
      <w:proofErr w:type="spellStart"/>
      <w:r w:rsidRPr="00B54811">
        <w:rPr>
          <w:rFonts w:ascii="Times New Roman" w:hAnsi="Times New Roman" w:cs="Times New Roman"/>
          <w:sz w:val="24"/>
          <w:szCs w:val="24"/>
        </w:rPr>
        <w:t>Mauck</w:t>
      </w:r>
      <w:proofErr w:type="spellEnd"/>
      <w:r w:rsidRPr="00B54811">
        <w:rPr>
          <w:rFonts w:ascii="Times New Roman" w:hAnsi="Times New Roman" w:cs="Times New Roman"/>
          <w:sz w:val="24"/>
          <w:szCs w:val="24"/>
        </w:rPr>
        <w:t xml:space="preserve">, N. (2016). Dividend initiations, increases and idiosyncratic volatility. </w:t>
      </w:r>
      <w:r w:rsidRPr="00197B3E">
        <w:rPr>
          <w:rFonts w:ascii="Times New Roman" w:hAnsi="Times New Roman" w:cs="Times New Roman"/>
          <w:i/>
          <w:iCs/>
          <w:sz w:val="24"/>
          <w:szCs w:val="24"/>
        </w:rPr>
        <w:t>Journal of Corporate Finance</w:t>
      </w:r>
      <w:r w:rsidR="00DD56DF">
        <w:rPr>
          <w:rFonts w:ascii="Times New Roman" w:hAnsi="Times New Roman" w:cs="Times New Roman"/>
          <w:sz w:val="24"/>
          <w:szCs w:val="24"/>
        </w:rPr>
        <w:t>,</w:t>
      </w:r>
      <w:r w:rsidRPr="00B54811">
        <w:rPr>
          <w:rFonts w:ascii="Times New Roman" w:hAnsi="Times New Roman" w:cs="Times New Roman"/>
          <w:sz w:val="24"/>
          <w:szCs w:val="24"/>
        </w:rPr>
        <w:t xml:space="preserve"> 40, 47–60.</w:t>
      </w:r>
    </w:p>
    <w:p w14:paraId="17803869" w14:textId="78BD8FCD" w:rsidR="00715A1B" w:rsidRPr="006A07BC" w:rsidRDefault="00715A1B" w:rsidP="006A07BC">
      <w:pPr>
        <w:spacing w:after="120" w:line="240" w:lineRule="auto"/>
        <w:ind w:left="720" w:hanging="720"/>
        <w:jc w:val="both"/>
        <w:rPr>
          <w:rFonts w:ascii="Times New Roman" w:hAnsi="Times New Roman" w:cs="Times New Roman"/>
          <w:sz w:val="24"/>
          <w:szCs w:val="24"/>
        </w:rPr>
      </w:pPr>
      <w:r w:rsidRPr="00D26D75">
        <w:rPr>
          <w:rFonts w:ascii="Times New Roman" w:hAnsi="Times New Roman" w:cs="Times New Roman"/>
          <w:sz w:val="24"/>
          <w:szCs w:val="24"/>
        </w:rPr>
        <w:t xml:space="preserve">Li, X. (2016). The impact of the Sarbanes-Oxley Act on earnings management using classification shifting: Evidence from core earnings and special items. </w:t>
      </w:r>
      <w:r w:rsidRPr="00D26D75">
        <w:rPr>
          <w:rFonts w:ascii="Times New Roman" w:hAnsi="Times New Roman" w:cs="Times New Roman"/>
          <w:i/>
          <w:sz w:val="24"/>
          <w:szCs w:val="24"/>
        </w:rPr>
        <w:t>Accounting &amp; Taxation</w:t>
      </w:r>
      <w:r w:rsidRPr="00D26D75">
        <w:rPr>
          <w:rFonts w:ascii="Times New Roman" w:hAnsi="Times New Roman" w:cs="Times New Roman"/>
          <w:sz w:val="24"/>
          <w:szCs w:val="24"/>
        </w:rPr>
        <w:t>, 8 (1), 39-48</w:t>
      </w:r>
      <w:r w:rsidR="009F5208" w:rsidRPr="00041A68">
        <w:rPr>
          <w:rFonts w:ascii="Times New Roman" w:hAnsi="Times New Roman" w:cs="Times New Roman"/>
          <w:sz w:val="24"/>
          <w:szCs w:val="24"/>
        </w:rPr>
        <w:t>.</w:t>
      </w:r>
    </w:p>
    <w:p w14:paraId="1DFD541F" w14:textId="7EED40C3" w:rsidR="003C3D6D" w:rsidRPr="00B54811" w:rsidRDefault="00127254" w:rsidP="0024510B">
      <w:pPr>
        <w:spacing w:after="120" w:line="240" w:lineRule="auto"/>
        <w:ind w:left="720" w:hanging="720"/>
        <w:jc w:val="both"/>
        <w:rPr>
          <w:rFonts w:ascii="Times New Roman" w:hAnsi="Times New Roman" w:cs="Times New Roman"/>
          <w:sz w:val="24"/>
          <w:szCs w:val="24"/>
        </w:rPr>
      </w:pPr>
      <w:proofErr w:type="spellStart"/>
      <w:r w:rsidRPr="00C84A00">
        <w:rPr>
          <w:rFonts w:ascii="Times New Roman" w:hAnsi="Times New Roman" w:cs="Times New Roman"/>
          <w:sz w:val="24"/>
          <w:szCs w:val="24"/>
          <w:lang w:val="fr-FR"/>
        </w:rPr>
        <w:t>Malikov</w:t>
      </w:r>
      <w:proofErr w:type="spellEnd"/>
      <w:r w:rsidRPr="00C84A00">
        <w:rPr>
          <w:rFonts w:ascii="Times New Roman" w:hAnsi="Times New Roman" w:cs="Times New Roman"/>
          <w:sz w:val="24"/>
          <w:szCs w:val="24"/>
          <w:lang w:val="fr-FR"/>
        </w:rPr>
        <w:t xml:space="preserve">, K., Manson, S., &amp; </w:t>
      </w:r>
      <w:proofErr w:type="spellStart"/>
      <w:r w:rsidRPr="00C84A00">
        <w:rPr>
          <w:rFonts w:ascii="Times New Roman" w:hAnsi="Times New Roman" w:cs="Times New Roman"/>
          <w:sz w:val="24"/>
          <w:szCs w:val="24"/>
          <w:lang w:val="fr-FR"/>
        </w:rPr>
        <w:t>Coakley</w:t>
      </w:r>
      <w:proofErr w:type="spellEnd"/>
      <w:r w:rsidRPr="00C84A00">
        <w:rPr>
          <w:rFonts w:ascii="Times New Roman" w:hAnsi="Times New Roman" w:cs="Times New Roman"/>
          <w:sz w:val="24"/>
          <w:szCs w:val="24"/>
          <w:lang w:val="fr-FR"/>
        </w:rPr>
        <w:t xml:space="preserve">, J. (2018). </w:t>
      </w:r>
      <w:r w:rsidRPr="00B54811">
        <w:rPr>
          <w:rFonts w:ascii="Times New Roman" w:hAnsi="Times New Roman" w:cs="Times New Roman"/>
          <w:sz w:val="24"/>
          <w:szCs w:val="24"/>
        </w:rPr>
        <w:t xml:space="preserve">Earnings management using classification shifting of revenues. </w:t>
      </w:r>
      <w:r w:rsidRPr="00197B3E">
        <w:rPr>
          <w:rFonts w:ascii="Times New Roman" w:hAnsi="Times New Roman" w:cs="Times New Roman"/>
          <w:i/>
          <w:iCs/>
          <w:sz w:val="24"/>
          <w:szCs w:val="24"/>
        </w:rPr>
        <w:t>The British Accounting Review</w:t>
      </w:r>
      <w:r w:rsidRPr="00B54811">
        <w:rPr>
          <w:rFonts w:ascii="Times New Roman" w:hAnsi="Times New Roman" w:cs="Times New Roman"/>
          <w:sz w:val="24"/>
          <w:szCs w:val="24"/>
        </w:rPr>
        <w:t>, 50(3), 291-305.</w:t>
      </w:r>
    </w:p>
    <w:p w14:paraId="6A04A03F" w14:textId="1CFEAE2C" w:rsidR="001F2800" w:rsidRPr="00B54811" w:rsidRDefault="001F2800"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 xml:space="preserve">Mandelker, G. N., &amp; Rhee, S. G. (1984). The impact of the degrees of operating and financial leverage on systematic risk of common stock. </w:t>
      </w:r>
      <w:r w:rsidRPr="00197B3E">
        <w:rPr>
          <w:rFonts w:ascii="Times New Roman" w:hAnsi="Times New Roman" w:cs="Times New Roman"/>
          <w:i/>
          <w:iCs/>
          <w:sz w:val="24"/>
          <w:szCs w:val="24"/>
        </w:rPr>
        <w:t>Journal of Financial and Quantitative Analysis</w:t>
      </w:r>
      <w:r w:rsidRPr="00B54811">
        <w:rPr>
          <w:rFonts w:ascii="Times New Roman" w:hAnsi="Times New Roman" w:cs="Times New Roman"/>
          <w:sz w:val="24"/>
          <w:szCs w:val="24"/>
        </w:rPr>
        <w:t>, 19(1), 45-57.</w:t>
      </w:r>
    </w:p>
    <w:p w14:paraId="1A90DB8B" w14:textId="6FCE5458" w:rsidR="00474FEF" w:rsidRPr="00B54811" w:rsidRDefault="007D5069" w:rsidP="0024510B">
      <w:pPr>
        <w:spacing w:after="120" w:line="240" w:lineRule="auto"/>
        <w:ind w:left="720" w:hanging="720"/>
        <w:jc w:val="both"/>
        <w:rPr>
          <w:rFonts w:ascii="Times New Roman" w:hAnsi="Times New Roman" w:cs="Times New Roman"/>
          <w:sz w:val="24"/>
          <w:szCs w:val="24"/>
        </w:rPr>
      </w:pPr>
      <w:proofErr w:type="spellStart"/>
      <w:r w:rsidRPr="00B54811">
        <w:rPr>
          <w:rFonts w:ascii="Times New Roman" w:hAnsi="Times New Roman" w:cs="Times New Roman"/>
          <w:sz w:val="24"/>
          <w:szCs w:val="24"/>
        </w:rPr>
        <w:t>McVay</w:t>
      </w:r>
      <w:proofErr w:type="spellEnd"/>
      <w:r w:rsidRPr="00B54811">
        <w:rPr>
          <w:rFonts w:ascii="Times New Roman" w:hAnsi="Times New Roman" w:cs="Times New Roman"/>
          <w:sz w:val="24"/>
          <w:szCs w:val="24"/>
        </w:rPr>
        <w:t xml:space="preserve">, S. E. (2006). Earnings management using classification shifting: An examination of core earnings and special items. </w:t>
      </w:r>
      <w:r w:rsidRPr="00197B3E">
        <w:rPr>
          <w:rFonts w:ascii="Times New Roman" w:hAnsi="Times New Roman" w:cs="Times New Roman"/>
          <w:i/>
          <w:iCs/>
          <w:sz w:val="24"/>
          <w:szCs w:val="24"/>
        </w:rPr>
        <w:t>The Accounting Review</w:t>
      </w:r>
      <w:r w:rsidRPr="00B54811">
        <w:rPr>
          <w:rFonts w:ascii="Times New Roman" w:hAnsi="Times New Roman" w:cs="Times New Roman"/>
          <w:sz w:val="24"/>
          <w:szCs w:val="24"/>
        </w:rPr>
        <w:t>, 81(3), 501–531.</w:t>
      </w:r>
    </w:p>
    <w:p w14:paraId="16A0CB18" w14:textId="271FAF21" w:rsidR="009205BA" w:rsidRPr="00B54811" w:rsidRDefault="009205BA"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 xml:space="preserve">Moyer, R., </w:t>
      </w:r>
      <w:r w:rsidR="00B54811" w:rsidRPr="00B54811">
        <w:rPr>
          <w:rFonts w:ascii="Times New Roman" w:hAnsi="Times New Roman" w:cs="Times New Roman"/>
          <w:sz w:val="24"/>
          <w:szCs w:val="24"/>
        </w:rPr>
        <w:t>&amp;</w:t>
      </w:r>
      <w:r w:rsidRPr="00B54811">
        <w:rPr>
          <w:rFonts w:ascii="Times New Roman" w:hAnsi="Times New Roman" w:cs="Times New Roman"/>
          <w:sz w:val="24"/>
          <w:szCs w:val="24"/>
        </w:rPr>
        <w:t xml:space="preserve"> Chatfield, R.</w:t>
      </w:r>
      <w:r w:rsidR="00BB7F09" w:rsidRPr="00B54811">
        <w:rPr>
          <w:rFonts w:ascii="Times New Roman" w:hAnsi="Times New Roman" w:cs="Times New Roman"/>
          <w:sz w:val="24"/>
          <w:szCs w:val="24"/>
        </w:rPr>
        <w:t xml:space="preserve"> (</w:t>
      </w:r>
      <w:r w:rsidRPr="00B54811">
        <w:rPr>
          <w:rFonts w:ascii="Times New Roman" w:hAnsi="Times New Roman" w:cs="Times New Roman"/>
          <w:sz w:val="24"/>
          <w:szCs w:val="24"/>
        </w:rPr>
        <w:t>1983</w:t>
      </w:r>
      <w:r w:rsidR="00BB7F09" w:rsidRPr="00B54811">
        <w:rPr>
          <w:rFonts w:ascii="Times New Roman" w:hAnsi="Times New Roman" w:cs="Times New Roman"/>
          <w:sz w:val="24"/>
          <w:szCs w:val="24"/>
        </w:rPr>
        <w:t>)</w:t>
      </w:r>
      <w:r w:rsidRPr="00B54811">
        <w:rPr>
          <w:rFonts w:ascii="Times New Roman" w:hAnsi="Times New Roman" w:cs="Times New Roman"/>
          <w:sz w:val="24"/>
          <w:szCs w:val="24"/>
        </w:rPr>
        <w:t xml:space="preserve">. Market power and systematic risk. </w:t>
      </w:r>
      <w:r w:rsidRPr="00197B3E">
        <w:rPr>
          <w:rFonts w:ascii="Times New Roman" w:hAnsi="Times New Roman" w:cs="Times New Roman"/>
          <w:i/>
          <w:iCs/>
          <w:sz w:val="24"/>
          <w:szCs w:val="24"/>
        </w:rPr>
        <w:t>Journal of Economics and Business</w:t>
      </w:r>
      <w:r w:rsidR="00DD56DF">
        <w:rPr>
          <w:rFonts w:ascii="Times New Roman" w:hAnsi="Times New Roman" w:cs="Times New Roman"/>
          <w:sz w:val="24"/>
          <w:szCs w:val="24"/>
        </w:rPr>
        <w:t>,</w:t>
      </w:r>
      <w:r w:rsidRPr="00B54811">
        <w:rPr>
          <w:rFonts w:ascii="Times New Roman" w:hAnsi="Times New Roman" w:cs="Times New Roman"/>
          <w:sz w:val="24"/>
          <w:szCs w:val="24"/>
        </w:rPr>
        <w:t xml:space="preserve"> 35, 123–130.</w:t>
      </w:r>
    </w:p>
    <w:p w14:paraId="0B8B16D0" w14:textId="058E55C4" w:rsidR="005B3FBF" w:rsidRPr="00B54811" w:rsidRDefault="00A133EA" w:rsidP="0024510B">
      <w:pPr>
        <w:spacing w:after="120" w:line="240" w:lineRule="auto"/>
        <w:ind w:left="720" w:hanging="720"/>
        <w:jc w:val="both"/>
        <w:rPr>
          <w:rFonts w:ascii="Times New Roman" w:hAnsi="Times New Roman" w:cs="Times New Roman"/>
          <w:sz w:val="24"/>
          <w:szCs w:val="24"/>
        </w:rPr>
      </w:pPr>
      <w:proofErr w:type="spellStart"/>
      <w:r w:rsidRPr="00B54811">
        <w:rPr>
          <w:rFonts w:ascii="Times New Roman" w:hAnsi="Times New Roman" w:cs="Times New Roman"/>
          <w:sz w:val="24"/>
          <w:szCs w:val="24"/>
        </w:rPr>
        <w:t>Raith</w:t>
      </w:r>
      <w:proofErr w:type="spellEnd"/>
      <w:r w:rsidRPr="00B54811">
        <w:rPr>
          <w:rFonts w:ascii="Times New Roman" w:hAnsi="Times New Roman" w:cs="Times New Roman"/>
          <w:sz w:val="24"/>
          <w:szCs w:val="24"/>
        </w:rPr>
        <w:t xml:space="preserve">, M. (2003). Competition, risk, and managerial incentives. </w:t>
      </w:r>
      <w:r w:rsidRPr="00197B3E">
        <w:rPr>
          <w:rFonts w:ascii="Times New Roman" w:hAnsi="Times New Roman" w:cs="Times New Roman"/>
          <w:i/>
          <w:iCs/>
          <w:sz w:val="24"/>
          <w:szCs w:val="24"/>
        </w:rPr>
        <w:t>American Economic Review</w:t>
      </w:r>
      <w:r w:rsidR="00DD56DF">
        <w:rPr>
          <w:rFonts w:ascii="Times New Roman" w:hAnsi="Times New Roman" w:cs="Times New Roman"/>
          <w:sz w:val="24"/>
          <w:szCs w:val="24"/>
        </w:rPr>
        <w:t>,</w:t>
      </w:r>
      <w:r w:rsidRPr="00B54811">
        <w:rPr>
          <w:rFonts w:ascii="Times New Roman" w:hAnsi="Times New Roman" w:cs="Times New Roman"/>
          <w:sz w:val="24"/>
          <w:szCs w:val="24"/>
        </w:rPr>
        <w:t xml:space="preserve"> 93(4), 1425-1436.</w:t>
      </w:r>
    </w:p>
    <w:p w14:paraId="42431267" w14:textId="41E55E7D" w:rsidR="007D5069" w:rsidRDefault="00434E85" w:rsidP="0024510B">
      <w:pPr>
        <w:spacing w:after="120" w:line="240" w:lineRule="auto"/>
        <w:ind w:left="720" w:hanging="720"/>
        <w:jc w:val="both"/>
        <w:rPr>
          <w:rFonts w:ascii="Times New Roman" w:hAnsi="Times New Roman" w:cs="Times New Roman"/>
          <w:sz w:val="24"/>
          <w:szCs w:val="24"/>
        </w:rPr>
      </w:pPr>
      <w:proofErr w:type="spellStart"/>
      <w:r w:rsidRPr="00B54811">
        <w:rPr>
          <w:rFonts w:ascii="Times New Roman" w:hAnsi="Times New Roman" w:cs="Times New Roman"/>
          <w:sz w:val="24"/>
          <w:szCs w:val="24"/>
        </w:rPr>
        <w:t>Roychowdhury</w:t>
      </w:r>
      <w:proofErr w:type="spellEnd"/>
      <w:r w:rsidRPr="00B54811">
        <w:rPr>
          <w:rFonts w:ascii="Times New Roman" w:hAnsi="Times New Roman" w:cs="Times New Roman"/>
          <w:sz w:val="24"/>
          <w:szCs w:val="24"/>
        </w:rPr>
        <w:t xml:space="preserve">, S. (2006). Earnings management through real activities manipulation. </w:t>
      </w:r>
      <w:r w:rsidRPr="00197B3E">
        <w:rPr>
          <w:rFonts w:ascii="Times New Roman" w:hAnsi="Times New Roman" w:cs="Times New Roman"/>
          <w:i/>
          <w:iCs/>
          <w:sz w:val="24"/>
          <w:szCs w:val="24"/>
        </w:rPr>
        <w:t>Journal of Accounting and Economics</w:t>
      </w:r>
      <w:r w:rsidR="00DD56DF">
        <w:rPr>
          <w:rFonts w:ascii="Times New Roman" w:hAnsi="Times New Roman" w:cs="Times New Roman"/>
          <w:sz w:val="24"/>
          <w:szCs w:val="24"/>
        </w:rPr>
        <w:t>,</w:t>
      </w:r>
      <w:r w:rsidRPr="00B54811">
        <w:rPr>
          <w:rFonts w:ascii="Times New Roman" w:hAnsi="Times New Roman" w:cs="Times New Roman"/>
          <w:sz w:val="24"/>
          <w:szCs w:val="24"/>
        </w:rPr>
        <w:t xml:space="preserve"> 42, 335–370.</w:t>
      </w:r>
    </w:p>
    <w:p w14:paraId="1766C538" w14:textId="17362BB2" w:rsidR="002C77AC" w:rsidRPr="00B54811" w:rsidRDefault="002C77AC" w:rsidP="0024510B">
      <w:pPr>
        <w:spacing w:after="120" w:line="240" w:lineRule="auto"/>
        <w:ind w:left="720" w:hanging="720"/>
        <w:jc w:val="both"/>
        <w:rPr>
          <w:rFonts w:ascii="Times New Roman" w:hAnsi="Times New Roman" w:cs="Times New Roman"/>
          <w:sz w:val="24"/>
          <w:szCs w:val="24"/>
        </w:rPr>
      </w:pPr>
      <w:r w:rsidRPr="00D26D75">
        <w:rPr>
          <w:rFonts w:ascii="Times New Roman" w:hAnsi="Times New Roman" w:cs="Times New Roman"/>
          <w:sz w:val="24"/>
          <w:szCs w:val="24"/>
        </w:rPr>
        <w:t>Shu, S.</w:t>
      </w:r>
      <w:r w:rsidR="0051477E" w:rsidRPr="00D26D75">
        <w:rPr>
          <w:rFonts w:ascii="Times New Roman" w:hAnsi="Times New Roman" w:cs="Times New Roman"/>
          <w:sz w:val="24"/>
          <w:szCs w:val="24"/>
        </w:rPr>
        <w:t>,</w:t>
      </w:r>
      <w:r w:rsidRPr="00D26D75">
        <w:rPr>
          <w:rFonts w:ascii="Times New Roman" w:hAnsi="Times New Roman" w:cs="Times New Roman"/>
          <w:sz w:val="24"/>
          <w:szCs w:val="24"/>
        </w:rPr>
        <w:t xml:space="preserve"> </w:t>
      </w:r>
      <w:r w:rsidR="0051477E" w:rsidRPr="00D26D75">
        <w:rPr>
          <w:rFonts w:ascii="Times New Roman" w:hAnsi="Times New Roman" w:cs="Times New Roman"/>
          <w:sz w:val="24"/>
          <w:szCs w:val="24"/>
        </w:rPr>
        <w:t xml:space="preserve">&amp; </w:t>
      </w:r>
      <w:r w:rsidRPr="00D26D75">
        <w:rPr>
          <w:rFonts w:ascii="Times New Roman" w:hAnsi="Times New Roman" w:cs="Times New Roman"/>
          <w:sz w:val="24"/>
          <w:szCs w:val="24"/>
        </w:rPr>
        <w:t xml:space="preserve">Thomas, W. </w:t>
      </w:r>
      <w:r w:rsidR="0051477E" w:rsidRPr="00D26D75">
        <w:rPr>
          <w:rFonts w:ascii="Times New Roman" w:hAnsi="Times New Roman" w:cs="Times New Roman"/>
          <w:sz w:val="24"/>
          <w:szCs w:val="24"/>
        </w:rPr>
        <w:t>(</w:t>
      </w:r>
      <w:r w:rsidRPr="00D26D75">
        <w:rPr>
          <w:rFonts w:ascii="Times New Roman" w:hAnsi="Times New Roman" w:cs="Times New Roman"/>
          <w:sz w:val="24"/>
          <w:szCs w:val="24"/>
        </w:rPr>
        <w:t>2019</w:t>
      </w:r>
      <w:r w:rsidR="0051477E" w:rsidRPr="00D26D75">
        <w:rPr>
          <w:rFonts w:ascii="Times New Roman" w:hAnsi="Times New Roman" w:cs="Times New Roman"/>
          <w:sz w:val="24"/>
          <w:szCs w:val="24"/>
        </w:rPr>
        <w:t>)</w:t>
      </w:r>
      <w:r w:rsidRPr="00D26D75">
        <w:rPr>
          <w:rFonts w:ascii="Times New Roman" w:hAnsi="Times New Roman" w:cs="Times New Roman"/>
          <w:sz w:val="24"/>
          <w:szCs w:val="24"/>
        </w:rPr>
        <w:t xml:space="preserve">. Managerial </w:t>
      </w:r>
      <w:r w:rsidR="0051477E" w:rsidRPr="00D26D75">
        <w:rPr>
          <w:rFonts w:ascii="Times New Roman" w:hAnsi="Times New Roman" w:cs="Times New Roman"/>
          <w:sz w:val="24"/>
          <w:szCs w:val="24"/>
        </w:rPr>
        <w:t xml:space="preserve">equity holdings </w:t>
      </w:r>
      <w:r w:rsidRPr="00D26D75">
        <w:rPr>
          <w:rFonts w:ascii="Times New Roman" w:hAnsi="Times New Roman" w:cs="Times New Roman"/>
          <w:sz w:val="24"/>
          <w:szCs w:val="24"/>
        </w:rPr>
        <w:t xml:space="preserve">and </w:t>
      </w:r>
      <w:r w:rsidR="0051477E" w:rsidRPr="00D26D75">
        <w:rPr>
          <w:rFonts w:ascii="Times New Roman" w:hAnsi="Times New Roman" w:cs="Times New Roman"/>
          <w:sz w:val="24"/>
          <w:szCs w:val="24"/>
        </w:rPr>
        <w:t>income smoothing incentives</w:t>
      </w:r>
      <w:r w:rsidRPr="00D26D75">
        <w:rPr>
          <w:rFonts w:ascii="Times New Roman" w:hAnsi="Times New Roman" w:cs="Times New Roman"/>
          <w:sz w:val="24"/>
          <w:szCs w:val="24"/>
        </w:rPr>
        <w:t xml:space="preserve">, </w:t>
      </w:r>
      <w:r w:rsidRPr="00D26D75">
        <w:rPr>
          <w:rFonts w:ascii="Times New Roman" w:hAnsi="Times New Roman" w:cs="Times New Roman"/>
          <w:i/>
          <w:iCs/>
          <w:sz w:val="24"/>
          <w:szCs w:val="24"/>
        </w:rPr>
        <w:t>Journal of Management Accounting Research</w:t>
      </w:r>
      <w:r w:rsidRPr="00D26D75">
        <w:rPr>
          <w:rFonts w:ascii="Times New Roman" w:hAnsi="Times New Roman" w:cs="Times New Roman"/>
          <w:sz w:val="24"/>
          <w:szCs w:val="24"/>
        </w:rPr>
        <w:t>, 31</w:t>
      </w:r>
      <w:r w:rsidR="0051477E" w:rsidRPr="00D26D75">
        <w:rPr>
          <w:rFonts w:ascii="Times New Roman" w:hAnsi="Times New Roman" w:cs="Times New Roman"/>
          <w:sz w:val="24"/>
          <w:szCs w:val="24"/>
        </w:rPr>
        <w:t>(</w:t>
      </w:r>
      <w:r w:rsidRPr="00D26D75">
        <w:rPr>
          <w:rFonts w:ascii="Times New Roman" w:hAnsi="Times New Roman" w:cs="Times New Roman"/>
          <w:sz w:val="24"/>
          <w:szCs w:val="24"/>
        </w:rPr>
        <w:t>1</w:t>
      </w:r>
      <w:r w:rsidR="0051477E" w:rsidRPr="00D26D75">
        <w:rPr>
          <w:rFonts w:ascii="Times New Roman" w:hAnsi="Times New Roman" w:cs="Times New Roman"/>
          <w:sz w:val="24"/>
          <w:szCs w:val="24"/>
        </w:rPr>
        <w:t>)</w:t>
      </w:r>
      <w:r w:rsidRPr="00D26D75">
        <w:rPr>
          <w:rFonts w:ascii="Times New Roman" w:hAnsi="Times New Roman" w:cs="Times New Roman"/>
          <w:sz w:val="24"/>
          <w:szCs w:val="24"/>
        </w:rPr>
        <w:t>, 95–218.</w:t>
      </w:r>
    </w:p>
    <w:p w14:paraId="2225C805" w14:textId="04CCE516" w:rsidR="00E460F7" w:rsidRPr="00B54811" w:rsidRDefault="00474FEF"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 xml:space="preserve">Singh, S. R., &amp; Song, P. H. (2013). </w:t>
      </w:r>
      <w:r w:rsidR="00AB2468" w:rsidRPr="00B54811">
        <w:rPr>
          <w:rFonts w:ascii="Times New Roman" w:hAnsi="Times New Roman" w:cs="Times New Roman"/>
          <w:sz w:val="24"/>
          <w:szCs w:val="24"/>
        </w:rPr>
        <w:t>Non-operating</w:t>
      </w:r>
      <w:r w:rsidRPr="00B54811">
        <w:rPr>
          <w:rFonts w:ascii="Times New Roman" w:hAnsi="Times New Roman" w:cs="Times New Roman"/>
          <w:sz w:val="24"/>
          <w:szCs w:val="24"/>
        </w:rPr>
        <w:t xml:space="preserve"> revenue and hospital financial performance: Do hospitals rely on income from non</w:t>
      </w:r>
      <w:r w:rsidR="00A23571">
        <w:rPr>
          <w:rFonts w:ascii="Times New Roman" w:hAnsi="Times New Roman" w:cs="Times New Roman"/>
          <w:sz w:val="24"/>
          <w:szCs w:val="24"/>
        </w:rPr>
        <w:t>-</w:t>
      </w:r>
      <w:r w:rsidRPr="00B54811">
        <w:rPr>
          <w:rFonts w:ascii="Times New Roman" w:hAnsi="Times New Roman" w:cs="Times New Roman"/>
          <w:sz w:val="24"/>
          <w:szCs w:val="24"/>
        </w:rPr>
        <w:t>patient care activities to</w:t>
      </w:r>
      <w:r w:rsidR="002916C3" w:rsidRPr="00B54811">
        <w:rPr>
          <w:rFonts w:ascii="Times New Roman" w:hAnsi="Times New Roman" w:cs="Times New Roman"/>
          <w:sz w:val="24"/>
          <w:szCs w:val="24"/>
        </w:rPr>
        <w:t xml:space="preserve"> offset losses on patient care?</w:t>
      </w:r>
      <w:r w:rsidRPr="00B54811">
        <w:rPr>
          <w:rFonts w:ascii="Times New Roman" w:hAnsi="Times New Roman" w:cs="Times New Roman"/>
          <w:sz w:val="24"/>
          <w:szCs w:val="24"/>
        </w:rPr>
        <w:t xml:space="preserve"> </w:t>
      </w:r>
      <w:r w:rsidRPr="00197B3E">
        <w:rPr>
          <w:rFonts w:ascii="Times New Roman" w:hAnsi="Times New Roman" w:cs="Times New Roman"/>
          <w:i/>
          <w:iCs/>
          <w:sz w:val="24"/>
          <w:szCs w:val="24"/>
        </w:rPr>
        <w:t xml:space="preserve">Health </w:t>
      </w:r>
      <w:r w:rsidR="00887320">
        <w:rPr>
          <w:rFonts w:ascii="Times New Roman" w:hAnsi="Times New Roman" w:cs="Times New Roman"/>
          <w:i/>
          <w:iCs/>
          <w:sz w:val="24"/>
          <w:szCs w:val="24"/>
        </w:rPr>
        <w:t>C</w:t>
      </w:r>
      <w:r w:rsidR="00887320" w:rsidRPr="00197B3E">
        <w:rPr>
          <w:rFonts w:ascii="Times New Roman" w:hAnsi="Times New Roman" w:cs="Times New Roman"/>
          <w:i/>
          <w:iCs/>
          <w:sz w:val="24"/>
          <w:szCs w:val="24"/>
        </w:rPr>
        <w:t xml:space="preserve">are </w:t>
      </w:r>
      <w:r w:rsidR="00887320">
        <w:rPr>
          <w:rFonts w:ascii="Times New Roman" w:hAnsi="Times New Roman" w:cs="Times New Roman"/>
          <w:i/>
          <w:iCs/>
          <w:sz w:val="24"/>
          <w:szCs w:val="24"/>
        </w:rPr>
        <w:t>M</w:t>
      </w:r>
      <w:r w:rsidR="00887320" w:rsidRPr="00197B3E">
        <w:rPr>
          <w:rFonts w:ascii="Times New Roman" w:hAnsi="Times New Roman" w:cs="Times New Roman"/>
          <w:i/>
          <w:iCs/>
          <w:sz w:val="24"/>
          <w:szCs w:val="24"/>
        </w:rPr>
        <w:t xml:space="preserve">anagement </w:t>
      </w:r>
      <w:r w:rsidR="00887320">
        <w:rPr>
          <w:rFonts w:ascii="Times New Roman" w:hAnsi="Times New Roman" w:cs="Times New Roman"/>
          <w:i/>
          <w:iCs/>
          <w:sz w:val="24"/>
          <w:szCs w:val="24"/>
        </w:rPr>
        <w:t>R</w:t>
      </w:r>
      <w:r w:rsidR="00887320" w:rsidRPr="00197B3E">
        <w:rPr>
          <w:rFonts w:ascii="Times New Roman" w:hAnsi="Times New Roman" w:cs="Times New Roman"/>
          <w:i/>
          <w:iCs/>
          <w:sz w:val="24"/>
          <w:szCs w:val="24"/>
        </w:rPr>
        <w:t>eview</w:t>
      </w:r>
      <w:r w:rsidRPr="00B54811">
        <w:rPr>
          <w:rFonts w:ascii="Times New Roman" w:hAnsi="Times New Roman" w:cs="Times New Roman"/>
          <w:sz w:val="24"/>
          <w:szCs w:val="24"/>
        </w:rPr>
        <w:t>, 38(3), 201-210.</w:t>
      </w:r>
    </w:p>
    <w:p w14:paraId="49EA11D4" w14:textId="297B142F" w:rsidR="00274088" w:rsidRPr="00B54811" w:rsidRDefault="00274088"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 xml:space="preserve">Sloan, R. G. (1996). Do </w:t>
      </w:r>
      <w:r w:rsidR="00A17A74">
        <w:rPr>
          <w:rFonts w:ascii="Times New Roman" w:hAnsi="Times New Roman" w:cs="Times New Roman"/>
          <w:sz w:val="24"/>
          <w:szCs w:val="24"/>
        </w:rPr>
        <w:t>s</w:t>
      </w:r>
      <w:r w:rsidRPr="00B54811">
        <w:rPr>
          <w:rFonts w:ascii="Times New Roman" w:hAnsi="Times New Roman" w:cs="Times New Roman"/>
          <w:sz w:val="24"/>
          <w:szCs w:val="24"/>
        </w:rPr>
        <w:t xml:space="preserve">tock </w:t>
      </w:r>
      <w:r w:rsidR="00A17A74">
        <w:rPr>
          <w:rFonts w:ascii="Times New Roman" w:hAnsi="Times New Roman" w:cs="Times New Roman"/>
          <w:sz w:val="24"/>
          <w:szCs w:val="24"/>
        </w:rPr>
        <w:t>p</w:t>
      </w:r>
      <w:r w:rsidRPr="00B54811">
        <w:rPr>
          <w:rFonts w:ascii="Times New Roman" w:hAnsi="Times New Roman" w:cs="Times New Roman"/>
          <w:sz w:val="24"/>
          <w:szCs w:val="24"/>
        </w:rPr>
        <w:t xml:space="preserve">rices </w:t>
      </w:r>
      <w:r w:rsidR="00A17A74">
        <w:rPr>
          <w:rFonts w:ascii="Times New Roman" w:hAnsi="Times New Roman" w:cs="Times New Roman"/>
          <w:sz w:val="24"/>
          <w:szCs w:val="24"/>
        </w:rPr>
        <w:t>f</w:t>
      </w:r>
      <w:r w:rsidRPr="00B54811">
        <w:rPr>
          <w:rFonts w:ascii="Times New Roman" w:hAnsi="Times New Roman" w:cs="Times New Roman"/>
          <w:sz w:val="24"/>
          <w:szCs w:val="24"/>
        </w:rPr>
        <w:t xml:space="preserve">ully </w:t>
      </w:r>
      <w:r w:rsidR="00A17A74">
        <w:rPr>
          <w:rFonts w:ascii="Times New Roman" w:hAnsi="Times New Roman" w:cs="Times New Roman"/>
          <w:sz w:val="24"/>
          <w:szCs w:val="24"/>
        </w:rPr>
        <w:t>r</w:t>
      </w:r>
      <w:r w:rsidRPr="00B54811">
        <w:rPr>
          <w:rFonts w:ascii="Times New Roman" w:hAnsi="Times New Roman" w:cs="Times New Roman"/>
          <w:sz w:val="24"/>
          <w:szCs w:val="24"/>
        </w:rPr>
        <w:t xml:space="preserve">eflect </w:t>
      </w:r>
      <w:r w:rsidR="00A17A74">
        <w:rPr>
          <w:rFonts w:ascii="Times New Roman" w:hAnsi="Times New Roman" w:cs="Times New Roman"/>
          <w:sz w:val="24"/>
          <w:szCs w:val="24"/>
        </w:rPr>
        <w:t>i</w:t>
      </w:r>
      <w:r w:rsidRPr="00B54811">
        <w:rPr>
          <w:rFonts w:ascii="Times New Roman" w:hAnsi="Times New Roman" w:cs="Times New Roman"/>
          <w:sz w:val="24"/>
          <w:szCs w:val="24"/>
        </w:rPr>
        <w:t xml:space="preserve">nformation in </w:t>
      </w:r>
      <w:r w:rsidR="00A17A74">
        <w:rPr>
          <w:rFonts w:ascii="Times New Roman" w:hAnsi="Times New Roman" w:cs="Times New Roman"/>
          <w:sz w:val="24"/>
          <w:szCs w:val="24"/>
        </w:rPr>
        <w:t>a</w:t>
      </w:r>
      <w:r w:rsidRPr="00B54811">
        <w:rPr>
          <w:rFonts w:ascii="Times New Roman" w:hAnsi="Times New Roman" w:cs="Times New Roman"/>
          <w:sz w:val="24"/>
          <w:szCs w:val="24"/>
        </w:rPr>
        <w:t xml:space="preserve">ccruals and </w:t>
      </w:r>
      <w:r w:rsidR="00A17A74">
        <w:rPr>
          <w:rFonts w:ascii="Times New Roman" w:hAnsi="Times New Roman" w:cs="Times New Roman"/>
          <w:sz w:val="24"/>
          <w:szCs w:val="24"/>
        </w:rPr>
        <w:t>c</w:t>
      </w:r>
      <w:r w:rsidRPr="00B54811">
        <w:rPr>
          <w:rFonts w:ascii="Times New Roman" w:hAnsi="Times New Roman" w:cs="Times New Roman"/>
          <w:sz w:val="24"/>
          <w:szCs w:val="24"/>
        </w:rPr>
        <w:t xml:space="preserve">ash </w:t>
      </w:r>
      <w:r w:rsidR="00A17A74">
        <w:rPr>
          <w:rFonts w:ascii="Times New Roman" w:hAnsi="Times New Roman" w:cs="Times New Roman"/>
          <w:sz w:val="24"/>
          <w:szCs w:val="24"/>
        </w:rPr>
        <w:t>f</w:t>
      </w:r>
      <w:r w:rsidRPr="00B54811">
        <w:rPr>
          <w:rFonts w:ascii="Times New Roman" w:hAnsi="Times New Roman" w:cs="Times New Roman"/>
          <w:sz w:val="24"/>
          <w:szCs w:val="24"/>
        </w:rPr>
        <w:t xml:space="preserve">lows about </w:t>
      </w:r>
      <w:r w:rsidR="00A17A74">
        <w:rPr>
          <w:rFonts w:ascii="Times New Roman" w:hAnsi="Times New Roman" w:cs="Times New Roman"/>
          <w:sz w:val="24"/>
          <w:szCs w:val="24"/>
        </w:rPr>
        <w:t>f</w:t>
      </w:r>
      <w:r w:rsidRPr="00B54811">
        <w:rPr>
          <w:rFonts w:ascii="Times New Roman" w:hAnsi="Times New Roman" w:cs="Times New Roman"/>
          <w:sz w:val="24"/>
          <w:szCs w:val="24"/>
        </w:rPr>
        <w:t xml:space="preserve">uture </w:t>
      </w:r>
      <w:r w:rsidR="00A17A74">
        <w:rPr>
          <w:rFonts w:ascii="Times New Roman" w:hAnsi="Times New Roman" w:cs="Times New Roman"/>
          <w:sz w:val="24"/>
          <w:szCs w:val="24"/>
        </w:rPr>
        <w:t>e</w:t>
      </w:r>
      <w:r w:rsidRPr="00B54811">
        <w:rPr>
          <w:rFonts w:ascii="Times New Roman" w:hAnsi="Times New Roman" w:cs="Times New Roman"/>
          <w:sz w:val="24"/>
          <w:szCs w:val="24"/>
        </w:rPr>
        <w:t xml:space="preserve">arnings? </w:t>
      </w:r>
      <w:r w:rsidRPr="00197B3E">
        <w:rPr>
          <w:rFonts w:ascii="Times New Roman" w:hAnsi="Times New Roman" w:cs="Times New Roman"/>
          <w:i/>
          <w:iCs/>
          <w:sz w:val="24"/>
          <w:szCs w:val="24"/>
        </w:rPr>
        <w:t>The Accounting Review</w:t>
      </w:r>
      <w:r w:rsidRPr="00B54811">
        <w:rPr>
          <w:rFonts w:ascii="Times New Roman" w:hAnsi="Times New Roman" w:cs="Times New Roman"/>
          <w:sz w:val="24"/>
          <w:szCs w:val="24"/>
        </w:rPr>
        <w:t>, 71(3), 289–315.</w:t>
      </w:r>
    </w:p>
    <w:p w14:paraId="267C8DF1" w14:textId="0D7B29EC" w:rsidR="005B3FBF" w:rsidRPr="00B54811" w:rsidRDefault="0023772D"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Smith, R</w:t>
      </w:r>
      <w:r w:rsidR="008473A8">
        <w:rPr>
          <w:rFonts w:ascii="Times New Roman" w:hAnsi="Times New Roman" w:cs="Times New Roman"/>
          <w:sz w:val="24"/>
          <w:szCs w:val="24"/>
        </w:rPr>
        <w:t>.,</w:t>
      </w:r>
      <w:r w:rsidRPr="00B54811">
        <w:rPr>
          <w:rFonts w:ascii="Times New Roman" w:hAnsi="Times New Roman" w:cs="Times New Roman"/>
          <w:sz w:val="24"/>
          <w:szCs w:val="24"/>
        </w:rPr>
        <w:t xml:space="preserve"> </w:t>
      </w:r>
      <w:proofErr w:type="spellStart"/>
      <w:r w:rsidRPr="00B54811">
        <w:rPr>
          <w:rFonts w:ascii="Times New Roman" w:hAnsi="Times New Roman" w:cs="Times New Roman"/>
          <w:sz w:val="24"/>
          <w:szCs w:val="24"/>
        </w:rPr>
        <w:t>Staikouras</w:t>
      </w:r>
      <w:proofErr w:type="spellEnd"/>
      <w:r w:rsidRPr="00B54811">
        <w:rPr>
          <w:rFonts w:ascii="Times New Roman" w:hAnsi="Times New Roman" w:cs="Times New Roman"/>
          <w:sz w:val="24"/>
          <w:szCs w:val="24"/>
        </w:rPr>
        <w:t>, C</w:t>
      </w:r>
      <w:r w:rsidR="008473A8">
        <w:rPr>
          <w:rFonts w:ascii="Times New Roman" w:hAnsi="Times New Roman" w:cs="Times New Roman"/>
          <w:sz w:val="24"/>
          <w:szCs w:val="24"/>
        </w:rPr>
        <w:t>.,</w:t>
      </w:r>
      <w:r w:rsidRPr="00B54811">
        <w:rPr>
          <w:rFonts w:ascii="Times New Roman" w:hAnsi="Times New Roman" w:cs="Times New Roman"/>
          <w:sz w:val="24"/>
          <w:szCs w:val="24"/>
        </w:rPr>
        <w:t xml:space="preserve"> </w:t>
      </w:r>
      <w:r w:rsidR="008473A8" w:rsidRPr="00B54811">
        <w:rPr>
          <w:rFonts w:ascii="Times New Roman" w:hAnsi="Times New Roman" w:cs="Times New Roman"/>
          <w:sz w:val="24"/>
          <w:szCs w:val="24"/>
        </w:rPr>
        <w:t>&amp;</w:t>
      </w:r>
      <w:r w:rsidRPr="00B54811">
        <w:rPr>
          <w:rFonts w:ascii="Times New Roman" w:hAnsi="Times New Roman" w:cs="Times New Roman"/>
          <w:sz w:val="24"/>
          <w:szCs w:val="24"/>
        </w:rPr>
        <w:t xml:space="preserve"> Wood, G</w:t>
      </w:r>
      <w:r w:rsidR="008473A8">
        <w:rPr>
          <w:rFonts w:ascii="Times New Roman" w:hAnsi="Times New Roman" w:cs="Times New Roman"/>
          <w:sz w:val="24"/>
          <w:szCs w:val="24"/>
        </w:rPr>
        <w:t>.</w:t>
      </w:r>
      <w:r w:rsidRPr="00B54811">
        <w:rPr>
          <w:rFonts w:ascii="Times New Roman" w:hAnsi="Times New Roman" w:cs="Times New Roman"/>
          <w:sz w:val="24"/>
          <w:szCs w:val="24"/>
        </w:rPr>
        <w:t>E.</w:t>
      </w:r>
      <w:r w:rsidR="008473A8">
        <w:rPr>
          <w:rFonts w:ascii="Times New Roman" w:hAnsi="Times New Roman" w:cs="Times New Roman"/>
          <w:sz w:val="24"/>
          <w:szCs w:val="24"/>
        </w:rPr>
        <w:t xml:space="preserve"> (2003)</w:t>
      </w:r>
      <w:r w:rsidR="00DD56DF">
        <w:rPr>
          <w:rFonts w:ascii="Times New Roman" w:hAnsi="Times New Roman" w:cs="Times New Roman"/>
          <w:sz w:val="24"/>
          <w:szCs w:val="24"/>
        </w:rPr>
        <w:t>.</w:t>
      </w:r>
      <w:r w:rsidR="002A31A0">
        <w:rPr>
          <w:rFonts w:ascii="Times New Roman" w:hAnsi="Times New Roman" w:cs="Times New Roman"/>
          <w:sz w:val="24"/>
          <w:szCs w:val="24"/>
        </w:rPr>
        <w:t xml:space="preserve"> Non-interest i</w:t>
      </w:r>
      <w:r w:rsidRPr="00B54811">
        <w:rPr>
          <w:rFonts w:ascii="Times New Roman" w:hAnsi="Times New Roman" w:cs="Times New Roman"/>
          <w:sz w:val="24"/>
          <w:szCs w:val="24"/>
        </w:rPr>
        <w:t xml:space="preserve">ncome and </w:t>
      </w:r>
      <w:r w:rsidR="002A31A0">
        <w:rPr>
          <w:rFonts w:ascii="Times New Roman" w:hAnsi="Times New Roman" w:cs="Times New Roman"/>
          <w:sz w:val="24"/>
          <w:szCs w:val="24"/>
        </w:rPr>
        <w:t>t</w:t>
      </w:r>
      <w:r w:rsidRPr="00B54811">
        <w:rPr>
          <w:rFonts w:ascii="Times New Roman" w:hAnsi="Times New Roman" w:cs="Times New Roman"/>
          <w:sz w:val="24"/>
          <w:szCs w:val="24"/>
        </w:rPr>
        <w:t xml:space="preserve">otal </w:t>
      </w:r>
      <w:r w:rsidR="002A31A0">
        <w:rPr>
          <w:rFonts w:ascii="Times New Roman" w:hAnsi="Times New Roman" w:cs="Times New Roman"/>
          <w:sz w:val="24"/>
          <w:szCs w:val="24"/>
        </w:rPr>
        <w:t>i</w:t>
      </w:r>
      <w:r w:rsidRPr="00B54811">
        <w:rPr>
          <w:rFonts w:ascii="Times New Roman" w:hAnsi="Times New Roman" w:cs="Times New Roman"/>
          <w:sz w:val="24"/>
          <w:szCs w:val="24"/>
        </w:rPr>
        <w:t xml:space="preserve">ncome </w:t>
      </w:r>
      <w:r w:rsidR="002A31A0">
        <w:rPr>
          <w:rFonts w:ascii="Times New Roman" w:hAnsi="Times New Roman" w:cs="Times New Roman"/>
          <w:sz w:val="24"/>
          <w:szCs w:val="24"/>
        </w:rPr>
        <w:t>s</w:t>
      </w:r>
      <w:r w:rsidRPr="00B54811">
        <w:rPr>
          <w:rFonts w:ascii="Times New Roman" w:hAnsi="Times New Roman" w:cs="Times New Roman"/>
          <w:sz w:val="24"/>
          <w:szCs w:val="24"/>
        </w:rPr>
        <w:t>tability. Working Paper</w:t>
      </w:r>
      <w:r w:rsidR="008473A8">
        <w:rPr>
          <w:rFonts w:ascii="Times New Roman" w:hAnsi="Times New Roman" w:cs="Times New Roman"/>
          <w:sz w:val="24"/>
          <w:szCs w:val="24"/>
        </w:rPr>
        <w:t xml:space="preserve">, </w:t>
      </w:r>
      <w:r w:rsidR="008473A8" w:rsidRPr="00B54811">
        <w:rPr>
          <w:rFonts w:ascii="Times New Roman" w:hAnsi="Times New Roman" w:cs="Times New Roman"/>
          <w:sz w:val="24"/>
          <w:szCs w:val="24"/>
        </w:rPr>
        <w:t>Bank of England</w:t>
      </w:r>
      <w:r w:rsidR="00EA0E16">
        <w:rPr>
          <w:rFonts w:ascii="Times New Roman" w:hAnsi="Times New Roman" w:cs="Times New Roman"/>
          <w:sz w:val="24"/>
          <w:szCs w:val="24"/>
        </w:rPr>
        <w:t>.</w:t>
      </w:r>
    </w:p>
    <w:p w14:paraId="5D7B1A18" w14:textId="1383788F" w:rsidR="00E460F7" w:rsidRPr="00B54811" w:rsidRDefault="00B12780"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t xml:space="preserve">Venkatesh, P.C. </w:t>
      </w:r>
      <w:r w:rsidR="00BB7F09" w:rsidRPr="00B54811">
        <w:rPr>
          <w:rFonts w:ascii="Times New Roman" w:hAnsi="Times New Roman" w:cs="Times New Roman"/>
          <w:sz w:val="24"/>
          <w:szCs w:val="24"/>
        </w:rPr>
        <w:t>(</w:t>
      </w:r>
      <w:r w:rsidRPr="00B54811">
        <w:rPr>
          <w:rFonts w:ascii="Times New Roman" w:hAnsi="Times New Roman" w:cs="Times New Roman"/>
          <w:sz w:val="24"/>
          <w:szCs w:val="24"/>
        </w:rPr>
        <w:t>1989</w:t>
      </w:r>
      <w:r w:rsidR="00BB7F09" w:rsidRPr="00B54811">
        <w:rPr>
          <w:rFonts w:ascii="Times New Roman" w:hAnsi="Times New Roman" w:cs="Times New Roman"/>
          <w:sz w:val="24"/>
          <w:szCs w:val="24"/>
        </w:rPr>
        <w:t>)</w:t>
      </w:r>
      <w:r w:rsidRPr="00B54811">
        <w:rPr>
          <w:rFonts w:ascii="Times New Roman" w:hAnsi="Times New Roman" w:cs="Times New Roman"/>
          <w:sz w:val="24"/>
          <w:szCs w:val="24"/>
        </w:rPr>
        <w:t xml:space="preserve">. The impact of dividend initiation on the information content of earnings announcements and returns volatility. </w:t>
      </w:r>
      <w:r w:rsidRPr="00197B3E">
        <w:rPr>
          <w:rFonts w:ascii="Times New Roman" w:hAnsi="Times New Roman" w:cs="Times New Roman"/>
          <w:i/>
          <w:iCs/>
          <w:sz w:val="24"/>
          <w:szCs w:val="24"/>
        </w:rPr>
        <w:t>Journal of Business</w:t>
      </w:r>
      <w:r w:rsidR="00DD56DF">
        <w:rPr>
          <w:rFonts w:ascii="Times New Roman" w:hAnsi="Times New Roman" w:cs="Times New Roman"/>
          <w:sz w:val="24"/>
          <w:szCs w:val="24"/>
        </w:rPr>
        <w:t>,</w:t>
      </w:r>
      <w:r w:rsidRPr="00B54811">
        <w:rPr>
          <w:rFonts w:ascii="Times New Roman" w:hAnsi="Times New Roman" w:cs="Times New Roman"/>
          <w:sz w:val="24"/>
          <w:szCs w:val="24"/>
        </w:rPr>
        <w:t xml:space="preserve"> 62 (2), 175–197.</w:t>
      </w:r>
    </w:p>
    <w:p w14:paraId="7BE32202" w14:textId="16CF88A7" w:rsidR="00466CF4" w:rsidRPr="00B54811" w:rsidRDefault="00466CF4" w:rsidP="0024510B">
      <w:pPr>
        <w:spacing w:after="120" w:line="240" w:lineRule="auto"/>
        <w:ind w:left="720" w:hanging="720"/>
        <w:jc w:val="both"/>
        <w:rPr>
          <w:rFonts w:ascii="Times New Roman" w:hAnsi="Times New Roman" w:cs="Times New Roman"/>
          <w:sz w:val="24"/>
          <w:szCs w:val="24"/>
        </w:rPr>
      </w:pPr>
      <w:r w:rsidRPr="00B54811">
        <w:rPr>
          <w:rFonts w:ascii="Times New Roman" w:hAnsi="Times New Roman" w:cs="Times New Roman"/>
          <w:sz w:val="24"/>
          <w:szCs w:val="24"/>
        </w:rPr>
        <w:lastRenderedPageBreak/>
        <w:t>Weiss, I. S. (2001). Managerial responses to a transitory earnings shock: Strategic manipulation between the core and non-core components of earnings</w:t>
      </w:r>
      <w:r w:rsidR="008473A8">
        <w:rPr>
          <w:rFonts w:ascii="Times New Roman" w:hAnsi="Times New Roman" w:cs="Times New Roman"/>
          <w:sz w:val="24"/>
          <w:szCs w:val="24"/>
        </w:rPr>
        <w:t xml:space="preserve">. Working Paper, </w:t>
      </w:r>
      <w:r w:rsidRPr="00B54811">
        <w:rPr>
          <w:rFonts w:ascii="Times New Roman" w:hAnsi="Times New Roman" w:cs="Times New Roman"/>
          <w:sz w:val="24"/>
          <w:szCs w:val="24"/>
        </w:rPr>
        <w:t>University of Chicago.</w:t>
      </w:r>
    </w:p>
    <w:p w14:paraId="0156778B" w14:textId="6EDA7FA2" w:rsidR="00FF6283" w:rsidRPr="00B54811" w:rsidRDefault="008473A8" w:rsidP="0024510B">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Yung, K., &amp; </w:t>
      </w:r>
      <w:r w:rsidR="00FF6283" w:rsidRPr="00B54811">
        <w:rPr>
          <w:rFonts w:ascii="Times New Roman" w:hAnsi="Times New Roman" w:cs="Times New Roman"/>
          <w:sz w:val="24"/>
          <w:szCs w:val="24"/>
        </w:rPr>
        <w:t>Chen, C. (201</w:t>
      </w:r>
      <w:r>
        <w:rPr>
          <w:rFonts w:ascii="Times New Roman" w:hAnsi="Times New Roman" w:cs="Times New Roman"/>
          <w:sz w:val="24"/>
          <w:szCs w:val="24"/>
        </w:rPr>
        <w:t>8</w:t>
      </w:r>
      <w:r w:rsidR="00FF6283" w:rsidRPr="00B54811">
        <w:rPr>
          <w:rFonts w:ascii="Times New Roman" w:hAnsi="Times New Roman" w:cs="Times New Roman"/>
          <w:sz w:val="24"/>
          <w:szCs w:val="24"/>
        </w:rPr>
        <w:t xml:space="preserve">). Managerial ability and firm risk‑taking behavior. </w:t>
      </w:r>
      <w:r w:rsidR="00FF6283" w:rsidRPr="00197B3E">
        <w:rPr>
          <w:rFonts w:ascii="Times New Roman" w:hAnsi="Times New Roman" w:cs="Times New Roman"/>
          <w:i/>
          <w:iCs/>
          <w:sz w:val="24"/>
          <w:szCs w:val="24"/>
        </w:rPr>
        <w:t>Review of Quantitative Finance and Accounting</w:t>
      </w:r>
      <w:r>
        <w:rPr>
          <w:rFonts w:ascii="Times New Roman" w:hAnsi="Times New Roman" w:cs="Times New Roman"/>
          <w:sz w:val="24"/>
          <w:szCs w:val="24"/>
        </w:rPr>
        <w:t>, 51, 1005-1032</w:t>
      </w:r>
      <w:r w:rsidR="00FF6283" w:rsidRPr="00B54811">
        <w:rPr>
          <w:rFonts w:ascii="Times New Roman" w:hAnsi="Times New Roman" w:cs="Times New Roman"/>
          <w:sz w:val="24"/>
          <w:szCs w:val="24"/>
        </w:rPr>
        <w:t>.</w:t>
      </w:r>
    </w:p>
    <w:p w14:paraId="33F5961D" w14:textId="196915E8" w:rsidR="0033268B" w:rsidRPr="00B54811" w:rsidRDefault="0033268B" w:rsidP="0024510B">
      <w:pPr>
        <w:spacing w:after="120" w:line="240" w:lineRule="auto"/>
        <w:ind w:left="720" w:hanging="720"/>
        <w:jc w:val="both"/>
        <w:rPr>
          <w:rFonts w:ascii="Times New Roman" w:hAnsi="Times New Roman" w:cs="Times New Roman"/>
          <w:sz w:val="24"/>
          <w:szCs w:val="24"/>
        </w:rPr>
      </w:pPr>
      <w:proofErr w:type="spellStart"/>
      <w:r w:rsidRPr="00B54811">
        <w:rPr>
          <w:rFonts w:ascii="Times New Roman" w:hAnsi="Times New Roman" w:cs="Times New Roman"/>
          <w:sz w:val="24"/>
          <w:szCs w:val="24"/>
        </w:rPr>
        <w:t>Zalata</w:t>
      </w:r>
      <w:proofErr w:type="spellEnd"/>
      <w:r w:rsidRPr="00B54811">
        <w:rPr>
          <w:rFonts w:ascii="Times New Roman" w:hAnsi="Times New Roman" w:cs="Times New Roman"/>
          <w:sz w:val="24"/>
          <w:szCs w:val="24"/>
        </w:rPr>
        <w:t xml:space="preserve">, A., &amp; Roberts, C. (2017). Managing earnings using classification shifting: UK evidence. </w:t>
      </w:r>
      <w:r w:rsidRPr="00197B3E">
        <w:rPr>
          <w:rFonts w:ascii="Times New Roman" w:hAnsi="Times New Roman" w:cs="Times New Roman"/>
          <w:i/>
          <w:iCs/>
          <w:sz w:val="24"/>
          <w:szCs w:val="24"/>
        </w:rPr>
        <w:t>Journal of International Accounting, Auditing and Taxation</w:t>
      </w:r>
      <w:r w:rsidRPr="00B54811">
        <w:rPr>
          <w:rFonts w:ascii="Times New Roman" w:hAnsi="Times New Roman" w:cs="Times New Roman"/>
          <w:sz w:val="24"/>
          <w:szCs w:val="24"/>
        </w:rPr>
        <w:t>, 39, 52–65.</w:t>
      </w:r>
    </w:p>
    <w:p w14:paraId="1BDF3CA4" w14:textId="58E875E6" w:rsidR="0083161B" w:rsidRDefault="003B0567" w:rsidP="0024510B">
      <w:pPr>
        <w:spacing w:after="120" w:line="240" w:lineRule="auto"/>
        <w:ind w:left="720" w:hanging="720"/>
        <w:jc w:val="both"/>
        <w:rPr>
          <w:rFonts w:ascii="Times New Roman" w:hAnsi="Times New Roman" w:cs="Times New Roman"/>
          <w:sz w:val="24"/>
          <w:szCs w:val="24"/>
        </w:rPr>
        <w:sectPr w:rsidR="0083161B" w:rsidSect="00741390">
          <w:footerReference w:type="default" r:id="rId13"/>
          <w:pgSz w:w="12240" w:h="15840"/>
          <w:pgMar w:top="1440" w:right="1440" w:bottom="1440" w:left="1440" w:header="720" w:footer="720" w:gutter="0"/>
          <w:pgNumType w:start="1"/>
          <w:cols w:space="720"/>
          <w:docGrid w:linePitch="360"/>
        </w:sectPr>
      </w:pPr>
      <w:r w:rsidRPr="00B54811">
        <w:rPr>
          <w:rFonts w:ascii="Times New Roman" w:hAnsi="Times New Roman" w:cs="Times New Roman"/>
          <w:sz w:val="24"/>
          <w:szCs w:val="24"/>
        </w:rPr>
        <w:t xml:space="preserve">Zhu, W. (2016). Accruals and price crashes. </w:t>
      </w:r>
      <w:r w:rsidRPr="00197B3E">
        <w:rPr>
          <w:rFonts w:ascii="Times New Roman" w:hAnsi="Times New Roman" w:cs="Times New Roman"/>
          <w:i/>
          <w:iCs/>
          <w:sz w:val="24"/>
          <w:szCs w:val="24"/>
        </w:rPr>
        <w:t>Review of Accounting Studies</w:t>
      </w:r>
      <w:r w:rsidR="00DD56DF">
        <w:rPr>
          <w:rFonts w:ascii="Times New Roman" w:hAnsi="Times New Roman" w:cs="Times New Roman"/>
          <w:sz w:val="24"/>
          <w:szCs w:val="24"/>
        </w:rPr>
        <w:t>,</w:t>
      </w:r>
      <w:r w:rsidRPr="00B54811">
        <w:rPr>
          <w:rFonts w:ascii="Times New Roman" w:hAnsi="Times New Roman" w:cs="Times New Roman"/>
          <w:sz w:val="24"/>
          <w:szCs w:val="24"/>
        </w:rPr>
        <w:t xml:space="preserve"> 21(2), 349–399.</w:t>
      </w:r>
    </w:p>
    <w:p w14:paraId="39B46300" w14:textId="77777777" w:rsidR="0083161B" w:rsidRPr="00893E6D" w:rsidRDefault="0083161B" w:rsidP="002F4067">
      <w:pPr>
        <w:spacing w:line="480" w:lineRule="auto"/>
        <w:jc w:val="center"/>
        <w:rPr>
          <w:rFonts w:ascii="Times New Roman" w:hAnsi="Times New Roman" w:cs="Times New Roman"/>
          <w:sz w:val="24"/>
          <w:szCs w:val="24"/>
        </w:rPr>
      </w:pPr>
      <w:r w:rsidRPr="00893E6D">
        <w:rPr>
          <w:rFonts w:ascii="Times New Roman" w:hAnsi="Times New Roman" w:cs="Times New Roman"/>
          <w:b/>
          <w:sz w:val="24"/>
          <w:szCs w:val="24"/>
        </w:rPr>
        <w:lastRenderedPageBreak/>
        <w:t>Appendix</w:t>
      </w:r>
    </w:p>
    <w:tbl>
      <w:tblPr>
        <w:tblW w:w="5000" w:type="pct"/>
        <w:tblLayout w:type="fixed"/>
        <w:tblLook w:val="04A0" w:firstRow="1" w:lastRow="0" w:firstColumn="1" w:lastColumn="0" w:noHBand="0" w:noVBand="1"/>
      </w:tblPr>
      <w:tblGrid>
        <w:gridCol w:w="8699"/>
        <w:gridCol w:w="2587"/>
        <w:gridCol w:w="1674"/>
      </w:tblGrid>
      <w:tr w:rsidR="0083161B" w:rsidRPr="00D23517" w14:paraId="43043BAC" w14:textId="77777777" w:rsidTr="008F6E16">
        <w:trPr>
          <w:trHeight w:val="144"/>
        </w:trPr>
        <w:tc>
          <w:tcPr>
            <w:tcW w:w="5000" w:type="pct"/>
            <w:gridSpan w:val="3"/>
            <w:tcBorders>
              <w:top w:val="nil"/>
              <w:left w:val="nil"/>
              <w:bottom w:val="nil"/>
              <w:right w:val="nil"/>
            </w:tcBorders>
            <w:shd w:val="clear" w:color="auto" w:fill="auto"/>
            <w:noWrap/>
            <w:vAlign w:val="bottom"/>
            <w:hideMark/>
          </w:tcPr>
          <w:p w14:paraId="7815290C" w14:textId="63F53829" w:rsidR="00D930C1" w:rsidRPr="00D23517" w:rsidRDefault="0083161B" w:rsidP="004F0457">
            <w:pPr>
              <w:pBdr>
                <w:bottom w:val="single" w:sz="4" w:space="1" w:color="auto"/>
              </w:pBdr>
              <w:spacing w:after="0" w:line="240" w:lineRule="auto"/>
              <w:contextualSpacing/>
              <w:rPr>
                <w:rFonts w:ascii="Times New Roman" w:eastAsia="Times New Roman" w:hAnsi="Times New Roman" w:cs="Times New Roman"/>
                <w:b/>
                <w:bCs/>
                <w:sz w:val="24"/>
                <w:szCs w:val="24"/>
              </w:rPr>
            </w:pPr>
            <w:r w:rsidRPr="00D23517">
              <w:rPr>
                <w:rFonts w:ascii="Times New Roman" w:eastAsia="Times New Roman" w:hAnsi="Times New Roman" w:cs="Times New Roman"/>
                <w:b/>
                <w:bCs/>
                <w:sz w:val="24"/>
                <w:szCs w:val="24"/>
              </w:rPr>
              <w:t>Table A1</w:t>
            </w:r>
            <w:r w:rsidR="004F0457" w:rsidRPr="00D23517">
              <w:rPr>
                <w:rFonts w:ascii="Times New Roman" w:eastAsia="Times New Roman" w:hAnsi="Times New Roman" w:cs="Times New Roman"/>
                <w:b/>
                <w:bCs/>
                <w:sz w:val="24"/>
                <w:szCs w:val="24"/>
              </w:rPr>
              <w:t xml:space="preserve">: </w:t>
            </w:r>
            <w:r w:rsidRPr="00D23517">
              <w:rPr>
                <w:rFonts w:ascii="Times New Roman" w:eastAsia="Times New Roman" w:hAnsi="Times New Roman" w:cs="Times New Roman"/>
                <w:b/>
                <w:bCs/>
                <w:sz w:val="24"/>
                <w:szCs w:val="24"/>
              </w:rPr>
              <w:t xml:space="preserve">Regressions to </w:t>
            </w:r>
            <w:r w:rsidR="002F46AA" w:rsidRPr="00D23517">
              <w:rPr>
                <w:rFonts w:ascii="Times New Roman" w:eastAsia="Times New Roman" w:hAnsi="Times New Roman" w:cs="Times New Roman"/>
                <w:b/>
                <w:bCs/>
                <w:sz w:val="24"/>
                <w:szCs w:val="24"/>
              </w:rPr>
              <w:t xml:space="preserve">obtain expected operating earnings </w:t>
            </w:r>
            <w:r w:rsidRPr="00D23517">
              <w:rPr>
                <w:rFonts w:ascii="Times New Roman" w:eastAsia="Times New Roman" w:hAnsi="Times New Roman" w:cs="Times New Roman"/>
                <w:b/>
                <w:bCs/>
                <w:sz w:val="24"/>
                <w:szCs w:val="24"/>
              </w:rPr>
              <w:t xml:space="preserve">and </w:t>
            </w:r>
            <w:r w:rsidR="002F46AA" w:rsidRPr="00D23517">
              <w:rPr>
                <w:rFonts w:ascii="Times New Roman" w:eastAsia="Times New Roman" w:hAnsi="Times New Roman" w:cs="Times New Roman"/>
                <w:b/>
                <w:bCs/>
                <w:sz w:val="24"/>
                <w:szCs w:val="24"/>
              </w:rPr>
              <w:t>expected non</w:t>
            </w:r>
            <w:r w:rsidRPr="00D23517">
              <w:rPr>
                <w:rFonts w:ascii="Times New Roman" w:eastAsia="Times New Roman" w:hAnsi="Times New Roman" w:cs="Times New Roman"/>
                <w:b/>
                <w:bCs/>
                <w:sz w:val="24"/>
                <w:szCs w:val="24"/>
              </w:rPr>
              <w:t>-</w:t>
            </w:r>
            <w:r w:rsidR="002F46AA" w:rsidRPr="00D23517">
              <w:rPr>
                <w:rFonts w:ascii="Times New Roman" w:eastAsia="Times New Roman" w:hAnsi="Times New Roman" w:cs="Times New Roman"/>
                <w:b/>
                <w:bCs/>
                <w:sz w:val="24"/>
                <w:szCs w:val="24"/>
              </w:rPr>
              <w:t>operating earnings</w:t>
            </w:r>
          </w:p>
          <w:p w14:paraId="251D889D" w14:textId="4373147C" w:rsidR="0083161B" w:rsidRPr="00D23517" w:rsidRDefault="0083161B" w:rsidP="00A1062B">
            <w:pPr>
              <w:pBdr>
                <w:top w:val="single" w:sz="4" w:space="1" w:color="auto"/>
              </w:pBdr>
              <w:spacing w:after="0" w:line="240" w:lineRule="auto"/>
              <w:contextualSpacing/>
              <w:jc w:val="both"/>
              <w:rPr>
                <w:rFonts w:ascii="Times New Roman" w:eastAsia="Times New Roman" w:hAnsi="Times New Roman" w:cs="Times New Roman"/>
                <w:bCs/>
                <w:sz w:val="20"/>
                <w:szCs w:val="20"/>
              </w:rPr>
            </w:pPr>
            <w:r w:rsidRPr="00D23517">
              <w:rPr>
                <w:rFonts w:ascii="Times New Roman" w:hAnsi="Times New Roman" w:cs="Times New Roman"/>
                <w:b/>
                <w:sz w:val="20"/>
                <w:szCs w:val="20"/>
              </w:rPr>
              <w:t>Panel A:</w:t>
            </w:r>
            <w:r w:rsidRPr="00D23517">
              <w:rPr>
                <w:rFonts w:ascii="Times New Roman" w:hAnsi="Times New Roman" w:cs="Times New Roman"/>
                <w:sz w:val="20"/>
                <w:szCs w:val="20"/>
              </w:rPr>
              <w:t xml:space="preserve"> </w:t>
            </w:r>
            <w:r w:rsidRPr="00D23517">
              <w:rPr>
                <w:rFonts w:ascii="Times New Roman" w:eastAsia="Times New Roman" w:hAnsi="Times New Roman" w:cs="Times New Roman"/>
                <w:b/>
                <w:bCs/>
                <w:sz w:val="20"/>
                <w:szCs w:val="20"/>
              </w:rPr>
              <w:t xml:space="preserve">Regression to </w:t>
            </w:r>
            <w:r w:rsidR="002F46AA" w:rsidRPr="00D23517">
              <w:rPr>
                <w:rFonts w:ascii="Times New Roman" w:eastAsia="Times New Roman" w:hAnsi="Times New Roman" w:cs="Times New Roman"/>
                <w:b/>
                <w:bCs/>
                <w:sz w:val="20"/>
                <w:szCs w:val="20"/>
              </w:rPr>
              <w:t>obtain expected operating earnings</w:t>
            </w:r>
          </w:p>
          <w:p w14:paraId="790EACB3" w14:textId="77777777" w:rsidR="0083161B" w:rsidRPr="00D23517" w:rsidRDefault="0083161B" w:rsidP="00A1062B">
            <w:pPr>
              <w:spacing w:after="0" w:line="240" w:lineRule="auto"/>
              <w:contextualSpacing/>
              <w:jc w:val="both"/>
              <w:rPr>
                <w:rFonts w:ascii="Times New Roman" w:eastAsia="Times New Roman" w:hAnsi="Times New Roman" w:cs="Times New Roman"/>
                <w:b/>
                <w:bCs/>
                <w:sz w:val="20"/>
                <w:szCs w:val="20"/>
              </w:rPr>
            </w:pPr>
          </w:p>
        </w:tc>
      </w:tr>
      <w:tr w:rsidR="0083161B" w:rsidRPr="00D23517" w14:paraId="6436C809" w14:textId="77777777" w:rsidTr="008F6E16">
        <w:trPr>
          <w:trHeight w:val="144"/>
        </w:trPr>
        <w:tc>
          <w:tcPr>
            <w:tcW w:w="3356" w:type="pct"/>
            <w:tcBorders>
              <w:top w:val="single" w:sz="4" w:space="0" w:color="auto"/>
              <w:left w:val="nil"/>
              <w:bottom w:val="single" w:sz="4" w:space="0" w:color="auto"/>
              <w:right w:val="nil"/>
            </w:tcBorders>
            <w:shd w:val="clear" w:color="auto" w:fill="auto"/>
            <w:noWrap/>
            <w:vAlign w:val="bottom"/>
            <w:hideMark/>
          </w:tcPr>
          <w:p w14:paraId="14721E03" w14:textId="77777777" w:rsidR="0083161B" w:rsidRPr="00D23517" w:rsidRDefault="0083161B" w:rsidP="00A1062B">
            <w:pPr>
              <w:spacing w:after="0" w:line="240" w:lineRule="auto"/>
              <w:contextualSpacing/>
              <w:jc w:val="both"/>
              <w:rPr>
                <w:rFonts w:ascii="Times New Roman" w:eastAsia="Times New Roman" w:hAnsi="Times New Roman" w:cs="Times New Roman"/>
                <w:b/>
                <w:bCs/>
                <w:i/>
                <w:iCs/>
                <w:sz w:val="20"/>
                <w:szCs w:val="20"/>
              </w:rPr>
            </w:pPr>
            <w:r w:rsidRPr="00D23517">
              <w:rPr>
                <w:rFonts w:ascii="Times New Roman" w:eastAsia="Times New Roman" w:hAnsi="Times New Roman" w:cs="Times New Roman"/>
                <w:b/>
                <w:bCs/>
                <w:i/>
                <w:iCs/>
                <w:sz w:val="20"/>
                <w:szCs w:val="20"/>
              </w:rPr>
              <w:t>Variable</w:t>
            </w:r>
          </w:p>
        </w:tc>
        <w:tc>
          <w:tcPr>
            <w:tcW w:w="998" w:type="pct"/>
            <w:tcBorders>
              <w:top w:val="single" w:sz="4" w:space="0" w:color="auto"/>
              <w:left w:val="nil"/>
              <w:bottom w:val="single" w:sz="4" w:space="0" w:color="auto"/>
              <w:right w:val="nil"/>
            </w:tcBorders>
            <w:shd w:val="clear" w:color="auto" w:fill="auto"/>
            <w:noWrap/>
            <w:vAlign w:val="bottom"/>
            <w:hideMark/>
          </w:tcPr>
          <w:p w14:paraId="78F61B79" w14:textId="77777777" w:rsidR="0083161B" w:rsidRPr="00D23517" w:rsidRDefault="0083161B" w:rsidP="00A1062B">
            <w:pPr>
              <w:spacing w:after="0" w:line="240" w:lineRule="auto"/>
              <w:contextualSpacing/>
              <w:jc w:val="both"/>
              <w:rPr>
                <w:rFonts w:ascii="Times New Roman" w:eastAsia="Times New Roman" w:hAnsi="Times New Roman" w:cs="Times New Roman"/>
                <w:b/>
                <w:bCs/>
                <w:i/>
                <w:iCs/>
                <w:sz w:val="20"/>
                <w:szCs w:val="20"/>
              </w:rPr>
            </w:pPr>
            <w:r w:rsidRPr="00D23517">
              <w:rPr>
                <w:rFonts w:ascii="Times New Roman" w:eastAsia="Times New Roman" w:hAnsi="Times New Roman" w:cs="Times New Roman"/>
                <w:b/>
                <w:bCs/>
                <w:i/>
                <w:iCs/>
                <w:sz w:val="20"/>
                <w:szCs w:val="20"/>
              </w:rPr>
              <w:t>Coefficients</w:t>
            </w:r>
          </w:p>
        </w:tc>
        <w:tc>
          <w:tcPr>
            <w:tcW w:w="646" w:type="pct"/>
            <w:tcBorders>
              <w:top w:val="single" w:sz="4" w:space="0" w:color="auto"/>
              <w:left w:val="nil"/>
              <w:bottom w:val="single" w:sz="4" w:space="0" w:color="auto"/>
              <w:right w:val="nil"/>
            </w:tcBorders>
            <w:shd w:val="clear" w:color="auto" w:fill="auto"/>
            <w:noWrap/>
            <w:vAlign w:val="bottom"/>
            <w:hideMark/>
          </w:tcPr>
          <w:p w14:paraId="1488EE9D" w14:textId="77777777" w:rsidR="0083161B" w:rsidRPr="00D23517" w:rsidRDefault="0083161B" w:rsidP="00A1062B">
            <w:pPr>
              <w:spacing w:after="0" w:line="240" w:lineRule="auto"/>
              <w:contextualSpacing/>
              <w:jc w:val="both"/>
              <w:rPr>
                <w:rFonts w:ascii="Times New Roman" w:eastAsia="Times New Roman" w:hAnsi="Times New Roman" w:cs="Times New Roman"/>
                <w:b/>
                <w:bCs/>
                <w:i/>
                <w:iCs/>
                <w:sz w:val="20"/>
                <w:szCs w:val="20"/>
              </w:rPr>
            </w:pPr>
            <w:r w:rsidRPr="00D23517">
              <w:rPr>
                <w:rFonts w:ascii="Times New Roman" w:eastAsia="Times New Roman" w:hAnsi="Times New Roman" w:cs="Times New Roman"/>
                <w:b/>
                <w:bCs/>
                <w:i/>
                <w:iCs/>
                <w:sz w:val="20"/>
                <w:szCs w:val="20"/>
              </w:rPr>
              <w:t>t-stats</w:t>
            </w:r>
          </w:p>
        </w:tc>
      </w:tr>
      <w:tr w:rsidR="0083161B" w:rsidRPr="00D23517" w14:paraId="2D274883" w14:textId="77777777" w:rsidTr="008F6E16">
        <w:trPr>
          <w:trHeight w:val="144"/>
        </w:trPr>
        <w:tc>
          <w:tcPr>
            <w:tcW w:w="3356" w:type="pct"/>
            <w:tcBorders>
              <w:top w:val="nil"/>
              <w:left w:val="nil"/>
              <w:bottom w:val="nil"/>
              <w:right w:val="nil"/>
            </w:tcBorders>
            <w:shd w:val="clear" w:color="auto" w:fill="auto"/>
            <w:noWrap/>
            <w:vAlign w:val="bottom"/>
            <w:hideMark/>
          </w:tcPr>
          <w:p w14:paraId="24A4FAA8"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Intercept</w:t>
            </w:r>
          </w:p>
        </w:tc>
        <w:tc>
          <w:tcPr>
            <w:tcW w:w="998" w:type="pct"/>
            <w:tcBorders>
              <w:top w:val="nil"/>
              <w:left w:val="nil"/>
              <w:bottom w:val="nil"/>
              <w:right w:val="nil"/>
            </w:tcBorders>
            <w:shd w:val="clear" w:color="auto" w:fill="auto"/>
            <w:noWrap/>
            <w:vAlign w:val="bottom"/>
            <w:hideMark/>
          </w:tcPr>
          <w:p w14:paraId="6830BC65"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-0.019</w:t>
            </w:r>
          </w:p>
        </w:tc>
        <w:tc>
          <w:tcPr>
            <w:tcW w:w="646" w:type="pct"/>
            <w:tcBorders>
              <w:top w:val="nil"/>
              <w:left w:val="nil"/>
              <w:bottom w:val="nil"/>
              <w:right w:val="nil"/>
            </w:tcBorders>
            <w:shd w:val="clear" w:color="auto" w:fill="auto"/>
            <w:noWrap/>
            <w:vAlign w:val="bottom"/>
            <w:hideMark/>
          </w:tcPr>
          <w:p w14:paraId="30B865D4"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-2.16**</w:t>
            </w:r>
          </w:p>
        </w:tc>
      </w:tr>
      <w:tr w:rsidR="0083161B" w:rsidRPr="00D23517" w14:paraId="35DB2B7B" w14:textId="77777777" w:rsidTr="008F6E16">
        <w:trPr>
          <w:trHeight w:val="144"/>
        </w:trPr>
        <w:tc>
          <w:tcPr>
            <w:tcW w:w="3356" w:type="pct"/>
            <w:tcBorders>
              <w:top w:val="nil"/>
              <w:left w:val="nil"/>
              <w:bottom w:val="nil"/>
              <w:right w:val="nil"/>
            </w:tcBorders>
            <w:shd w:val="clear" w:color="auto" w:fill="auto"/>
            <w:noWrap/>
            <w:vAlign w:val="bottom"/>
            <w:hideMark/>
          </w:tcPr>
          <w:p w14:paraId="5715A2E7" w14:textId="77777777" w:rsidR="0083161B" w:rsidRPr="00D23517" w:rsidRDefault="0083161B" w:rsidP="00A1062B">
            <w:pPr>
              <w:spacing w:after="0" w:line="240" w:lineRule="auto"/>
              <w:contextualSpacing/>
              <w:jc w:val="both"/>
              <w:rPr>
                <w:rFonts w:ascii="Times New Roman" w:eastAsia="Times New Roman" w:hAnsi="Times New Roman" w:cs="Times New Roman"/>
                <w:i/>
                <w:iCs/>
                <w:sz w:val="20"/>
                <w:szCs w:val="20"/>
              </w:rPr>
            </w:pPr>
            <w:r w:rsidRPr="00D23517">
              <w:rPr>
                <w:rFonts w:ascii="Times New Roman" w:eastAsia="Times New Roman" w:hAnsi="Times New Roman" w:cs="Times New Roman"/>
                <w:i/>
                <w:iCs/>
                <w:sz w:val="20"/>
                <w:szCs w:val="20"/>
              </w:rPr>
              <w:t>L.OPERINC</w:t>
            </w:r>
          </w:p>
        </w:tc>
        <w:tc>
          <w:tcPr>
            <w:tcW w:w="998" w:type="pct"/>
            <w:tcBorders>
              <w:top w:val="nil"/>
              <w:left w:val="nil"/>
              <w:bottom w:val="nil"/>
              <w:right w:val="nil"/>
            </w:tcBorders>
            <w:shd w:val="clear" w:color="auto" w:fill="auto"/>
            <w:noWrap/>
            <w:vAlign w:val="bottom"/>
            <w:hideMark/>
          </w:tcPr>
          <w:p w14:paraId="74176589"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0.798</w:t>
            </w:r>
          </w:p>
        </w:tc>
        <w:tc>
          <w:tcPr>
            <w:tcW w:w="646" w:type="pct"/>
            <w:tcBorders>
              <w:top w:val="nil"/>
              <w:left w:val="nil"/>
              <w:bottom w:val="nil"/>
              <w:right w:val="nil"/>
            </w:tcBorders>
            <w:shd w:val="clear" w:color="auto" w:fill="auto"/>
            <w:noWrap/>
            <w:vAlign w:val="bottom"/>
            <w:hideMark/>
          </w:tcPr>
          <w:p w14:paraId="409F2F02"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15.87***</w:t>
            </w:r>
          </w:p>
        </w:tc>
      </w:tr>
      <w:tr w:rsidR="0083161B" w:rsidRPr="00D23517" w14:paraId="00F97BB6" w14:textId="77777777" w:rsidTr="008F6E16">
        <w:trPr>
          <w:trHeight w:val="144"/>
        </w:trPr>
        <w:tc>
          <w:tcPr>
            <w:tcW w:w="3356" w:type="pct"/>
            <w:tcBorders>
              <w:top w:val="nil"/>
              <w:left w:val="nil"/>
              <w:bottom w:val="nil"/>
              <w:right w:val="nil"/>
            </w:tcBorders>
            <w:shd w:val="clear" w:color="auto" w:fill="auto"/>
            <w:noWrap/>
            <w:vAlign w:val="bottom"/>
            <w:hideMark/>
          </w:tcPr>
          <w:p w14:paraId="341FD9A9" w14:textId="77777777" w:rsidR="0083161B" w:rsidRPr="00D23517" w:rsidRDefault="0083161B" w:rsidP="00A1062B">
            <w:pPr>
              <w:spacing w:after="0" w:line="240" w:lineRule="auto"/>
              <w:contextualSpacing/>
              <w:jc w:val="both"/>
              <w:rPr>
                <w:rFonts w:ascii="Times New Roman" w:eastAsia="Times New Roman" w:hAnsi="Times New Roman" w:cs="Times New Roman"/>
                <w:i/>
                <w:iCs/>
                <w:sz w:val="20"/>
                <w:szCs w:val="20"/>
              </w:rPr>
            </w:pPr>
            <w:r w:rsidRPr="00D23517">
              <w:rPr>
                <w:rFonts w:ascii="Times New Roman" w:eastAsia="Times New Roman" w:hAnsi="Times New Roman" w:cs="Times New Roman"/>
                <w:i/>
                <w:iCs/>
                <w:sz w:val="20"/>
                <w:szCs w:val="20"/>
              </w:rPr>
              <w:t>ATO</w:t>
            </w:r>
          </w:p>
        </w:tc>
        <w:tc>
          <w:tcPr>
            <w:tcW w:w="998" w:type="pct"/>
            <w:tcBorders>
              <w:top w:val="nil"/>
              <w:left w:val="nil"/>
              <w:bottom w:val="nil"/>
              <w:right w:val="nil"/>
            </w:tcBorders>
            <w:shd w:val="clear" w:color="auto" w:fill="auto"/>
            <w:noWrap/>
            <w:vAlign w:val="bottom"/>
            <w:hideMark/>
          </w:tcPr>
          <w:p w14:paraId="44EE0947"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0.029</w:t>
            </w:r>
          </w:p>
        </w:tc>
        <w:tc>
          <w:tcPr>
            <w:tcW w:w="646" w:type="pct"/>
            <w:tcBorders>
              <w:top w:val="nil"/>
              <w:left w:val="nil"/>
              <w:bottom w:val="nil"/>
              <w:right w:val="nil"/>
            </w:tcBorders>
            <w:shd w:val="clear" w:color="auto" w:fill="auto"/>
            <w:noWrap/>
            <w:vAlign w:val="bottom"/>
            <w:hideMark/>
          </w:tcPr>
          <w:p w14:paraId="7AE6BD4F"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1.74*</w:t>
            </w:r>
          </w:p>
        </w:tc>
      </w:tr>
      <w:tr w:rsidR="0083161B" w:rsidRPr="00D23517" w14:paraId="78B38AE8" w14:textId="77777777" w:rsidTr="008F6E16">
        <w:trPr>
          <w:trHeight w:val="144"/>
        </w:trPr>
        <w:tc>
          <w:tcPr>
            <w:tcW w:w="3356" w:type="pct"/>
            <w:tcBorders>
              <w:top w:val="nil"/>
              <w:left w:val="nil"/>
              <w:bottom w:val="nil"/>
              <w:right w:val="nil"/>
            </w:tcBorders>
            <w:shd w:val="clear" w:color="auto" w:fill="auto"/>
            <w:noWrap/>
            <w:vAlign w:val="bottom"/>
            <w:hideMark/>
          </w:tcPr>
          <w:p w14:paraId="7E0B99E7" w14:textId="77777777" w:rsidR="0083161B" w:rsidRPr="00D23517" w:rsidRDefault="0083161B" w:rsidP="00A1062B">
            <w:pPr>
              <w:spacing w:after="0" w:line="240" w:lineRule="auto"/>
              <w:contextualSpacing/>
              <w:jc w:val="both"/>
              <w:rPr>
                <w:rFonts w:ascii="Times New Roman" w:eastAsia="Times New Roman" w:hAnsi="Times New Roman" w:cs="Times New Roman"/>
                <w:i/>
                <w:iCs/>
                <w:sz w:val="20"/>
                <w:szCs w:val="20"/>
              </w:rPr>
            </w:pPr>
            <w:r w:rsidRPr="00D23517">
              <w:rPr>
                <w:rFonts w:ascii="Times New Roman" w:eastAsia="Times New Roman" w:hAnsi="Times New Roman" w:cs="Times New Roman"/>
                <w:i/>
                <w:iCs/>
                <w:sz w:val="20"/>
                <w:szCs w:val="20"/>
              </w:rPr>
              <w:t>ACCRUALS</w:t>
            </w:r>
          </w:p>
        </w:tc>
        <w:tc>
          <w:tcPr>
            <w:tcW w:w="998" w:type="pct"/>
            <w:tcBorders>
              <w:top w:val="nil"/>
              <w:left w:val="nil"/>
              <w:bottom w:val="nil"/>
              <w:right w:val="nil"/>
            </w:tcBorders>
            <w:shd w:val="clear" w:color="auto" w:fill="auto"/>
            <w:noWrap/>
            <w:vAlign w:val="bottom"/>
            <w:hideMark/>
          </w:tcPr>
          <w:p w14:paraId="1E1C3A3E"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0.227</w:t>
            </w:r>
          </w:p>
        </w:tc>
        <w:tc>
          <w:tcPr>
            <w:tcW w:w="646" w:type="pct"/>
            <w:tcBorders>
              <w:top w:val="nil"/>
              <w:left w:val="nil"/>
              <w:bottom w:val="nil"/>
              <w:right w:val="nil"/>
            </w:tcBorders>
            <w:shd w:val="clear" w:color="auto" w:fill="auto"/>
            <w:noWrap/>
            <w:vAlign w:val="bottom"/>
            <w:hideMark/>
          </w:tcPr>
          <w:p w14:paraId="3BF31D30"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3.36***</w:t>
            </w:r>
          </w:p>
        </w:tc>
      </w:tr>
      <w:tr w:rsidR="0083161B" w:rsidRPr="00D23517" w14:paraId="71B62E6D" w14:textId="77777777" w:rsidTr="008F6E16">
        <w:trPr>
          <w:trHeight w:val="144"/>
        </w:trPr>
        <w:tc>
          <w:tcPr>
            <w:tcW w:w="3356" w:type="pct"/>
            <w:tcBorders>
              <w:top w:val="nil"/>
              <w:left w:val="nil"/>
              <w:bottom w:val="nil"/>
              <w:right w:val="nil"/>
            </w:tcBorders>
            <w:shd w:val="clear" w:color="auto" w:fill="auto"/>
            <w:noWrap/>
            <w:vAlign w:val="bottom"/>
            <w:hideMark/>
          </w:tcPr>
          <w:p w14:paraId="1AE4E9A2" w14:textId="77777777" w:rsidR="0083161B" w:rsidRPr="00D23517" w:rsidRDefault="0083161B" w:rsidP="00A1062B">
            <w:pPr>
              <w:spacing w:after="0" w:line="240" w:lineRule="auto"/>
              <w:contextualSpacing/>
              <w:jc w:val="both"/>
              <w:rPr>
                <w:rFonts w:ascii="Times New Roman" w:eastAsia="Times New Roman" w:hAnsi="Times New Roman" w:cs="Times New Roman"/>
                <w:i/>
                <w:iCs/>
                <w:sz w:val="20"/>
                <w:szCs w:val="20"/>
              </w:rPr>
            </w:pPr>
            <w:r w:rsidRPr="00D23517">
              <w:rPr>
                <w:rFonts w:ascii="Times New Roman" w:eastAsia="Times New Roman" w:hAnsi="Times New Roman" w:cs="Times New Roman"/>
                <w:i/>
                <w:iCs/>
                <w:sz w:val="20"/>
                <w:szCs w:val="20"/>
              </w:rPr>
              <w:t>L. ACCRUALS</w:t>
            </w:r>
          </w:p>
        </w:tc>
        <w:tc>
          <w:tcPr>
            <w:tcW w:w="998" w:type="pct"/>
            <w:tcBorders>
              <w:top w:val="nil"/>
              <w:left w:val="nil"/>
              <w:bottom w:val="nil"/>
              <w:right w:val="nil"/>
            </w:tcBorders>
            <w:shd w:val="clear" w:color="auto" w:fill="auto"/>
            <w:noWrap/>
            <w:vAlign w:val="bottom"/>
            <w:hideMark/>
          </w:tcPr>
          <w:p w14:paraId="5AE3AF5C"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0.001</w:t>
            </w:r>
          </w:p>
        </w:tc>
        <w:tc>
          <w:tcPr>
            <w:tcW w:w="646" w:type="pct"/>
            <w:tcBorders>
              <w:top w:val="nil"/>
              <w:left w:val="nil"/>
              <w:bottom w:val="nil"/>
              <w:right w:val="nil"/>
            </w:tcBorders>
            <w:shd w:val="clear" w:color="auto" w:fill="auto"/>
            <w:noWrap/>
            <w:vAlign w:val="bottom"/>
            <w:hideMark/>
          </w:tcPr>
          <w:p w14:paraId="6BCB4F82"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0.01</w:t>
            </w:r>
          </w:p>
        </w:tc>
      </w:tr>
      <w:tr w:rsidR="0083161B" w:rsidRPr="00D23517" w14:paraId="09141278" w14:textId="77777777" w:rsidTr="008F6E16">
        <w:trPr>
          <w:trHeight w:val="144"/>
        </w:trPr>
        <w:tc>
          <w:tcPr>
            <w:tcW w:w="3356" w:type="pct"/>
            <w:tcBorders>
              <w:top w:val="nil"/>
              <w:left w:val="nil"/>
              <w:bottom w:val="nil"/>
              <w:right w:val="nil"/>
            </w:tcBorders>
            <w:shd w:val="clear" w:color="auto" w:fill="auto"/>
            <w:noWrap/>
            <w:vAlign w:val="bottom"/>
            <w:hideMark/>
          </w:tcPr>
          <w:p w14:paraId="752003B4" w14:textId="77777777" w:rsidR="0083161B" w:rsidRPr="00D23517" w:rsidRDefault="0083161B" w:rsidP="00A1062B">
            <w:pPr>
              <w:spacing w:after="0" w:line="240" w:lineRule="auto"/>
              <w:contextualSpacing/>
              <w:jc w:val="both"/>
              <w:rPr>
                <w:rFonts w:ascii="Times New Roman" w:eastAsia="Times New Roman" w:hAnsi="Times New Roman" w:cs="Times New Roman"/>
                <w:i/>
                <w:iCs/>
                <w:sz w:val="20"/>
                <w:szCs w:val="20"/>
              </w:rPr>
            </w:pPr>
            <w:r w:rsidRPr="00D23517">
              <w:rPr>
                <w:rFonts w:ascii="Times New Roman" w:eastAsia="Times New Roman" w:hAnsi="Times New Roman" w:cs="Times New Roman"/>
                <w:i/>
                <w:iCs/>
                <w:sz w:val="20"/>
                <w:szCs w:val="20"/>
              </w:rPr>
              <w:t>SALECHG</w:t>
            </w:r>
          </w:p>
        </w:tc>
        <w:tc>
          <w:tcPr>
            <w:tcW w:w="998" w:type="pct"/>
            <w:tcBorders>
              <w:top w:val="nil"/>
              <w:left w:val="nil"/>
              <w:bottom w:val="nil"/>
              <w:right w:val="nil"/>
            </w:tcBorders>
            <w:shd w:val="clear" w:color="auto" w:fill="auto"/>
            <w:noWrap/>
            <w:vAlign w:val="bottom"/>
            <w:hideMark/>
          </w:tcPr>
          <w:p w14:paraId="683B172F"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0.033</w:t>
            </w:r>
          </w:p>
        </w:tc>
        <w:tc>
          <w:tcPr>
            <w:tcW w:w="646" w:type="pct"/>
            <w:tcBorders>
              <w:top w:val="nil"/>
              <w:left w:val="nil"/>
              <w:bottom w:val="nil"/>
              <w:right w:val="nil"/>
            </w:tcBorders>
            <w:shd w:val="clear" w:color="auto" w:fill="auto"/>
            <w:noWrap/>
            <w:vAlign w:val="bottom"/>
            <w:hideMark/>
          </w:tcPr>
          <w:p w14:paraId="3DF55D96"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2.25**</w:t>
            </w:r>
          </w:p>
        </w:tc>
      </w:tr>
      <w:tr w:rsidR="0083161B" w:rsidRPr="00D23517" w14:paraId="2D937797" w14:textId="77777777" w:rsidTr="008F6E16">
        <w:trPr>
          <w:trHeight w:val="144"/>
        </w:trPr>
        <w:tc>
          <w:tcPr>
            <w:tcW w:w="3356" w:type="pct"/>
            <w:tcBorders>
              <w:top w:val="nil"/>
              <w:left w:val="nil"/>
              <w:bottom w:val="nil"/>
              <w:right w:val="nil"/>
            </w:tcBorders>
            <w:shd w:val="clear" w:color="auto" w:fill="auto"/>
            <w:noWrap/>
            <w:vAlign w:val="bottom"/>
            <w:hideMark/>
          </w:tcPr>
          <w:p w14:paraId="62154A4D" w14:textId="77777777" w:rsidR="0083161B" w:rsidRPr="00D23517" w:rsidRDefault="0083161B" w:rsidP="00A1062B">
            <w:pPr>
              <w:spacing w:after="0" w:line="240" w:lineRule="auto"/>
              <w:contextualSpacing/>
              <w:jc w:val="both"/>
              <w:rPr>
                <w:rFonts w:ascii="Times New Roman" w:eastAsia="Times New Roman" w:hAnsi="Times New Roman" w:cs="Times New Roman"/>
                <w:i/>
                <w:sz w:val="20"/>
                <w:szCs w:val="20"/>
              </w:rPr>
            </w:pPr>
            <w:r w:rsidRPr="00D23517">
              <w:rPr>
                <w:rFonts w:ascii="Times New Roman" w:eastAsia="Times New Roman" w:hAnsi="Times New Roman" w:cs="Times New Roman"/>
                <w:i/>
                <w:sz w:val="20"/>
                <w:szCs w:val="20"/>
              </w:rPr>
              <w:t>NEGSALECHG</w:t>
            </w:r>
          </w:p>
        </w:tc>
        <w:tc>
          <w:tcPr>
            <w:tcW w:w="998" w:type="pct"/>
            <w:tcBorders>
              <w:top w:val="nil"/>
              <w:left w:val="nil"/>
              <w:bottom w:val="nil"/>
              <w:right w:val="nil"/>
            </w:tcBorders>
            <w:shd w:val="clear" w:color="auto" w:fill="auto"/>
            <w:noWrap/>
            <w:vAlign w:val="bottom"/>
            <w:hideMark/>
          </w:tcPr>
          <w:p w14:paraId="65D05B77"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-0.019</w:t>
            </w:r>
          </w:p>
        </w:tc>
        <w:tc>
          <w:tcPr>
            <w:tcW w:w="646" w:type="pct"/>
            <w:tcBorders>
              <w:top w:val="nil"/>
              <w:left w:val="nil"/>
              <w:bottom w:val="nil"/>
              <w:right w:val="nil"/>
            </w:tcBorders>
            <w:shd w:val="clear" w:color="auto" w:fill="auto"/>
            <w:noWrap/>
            <w:vAlign w:val="bottom"/>
            <w:hideMark/>
          </w:tcPr>
          <w:p w14:paraId="0551C8DD"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-2.52**</w:t>
            </w:r>
          </w:p>
        </w:tc>
      </w:tr>
      <w:tr w:rsidR="0083161B" w:rsidRPr="00D23517" w14:paraId="4D5FC632" w14:textId="77777777" w:rsidTr="008F6E16">
        <w:trPr>
          <w:trHeight w:val="144"/>
        </w:trPr>
        <w:tc>
          <w:tcPr>
            <w:tcW w:w="3356" w:type="pct"/>
            <w:tcBorders>
              <w:top w:val="nil"/>
              <w:left w:val="nil"/>
              <w:bottom w:val="nil"/>
              <w:right w:val="nil"/>
            </w:tcBorders>
            <w:shd w:val="clear" w:color="auto" w:fill="auto"/>
            <w:noWrap/>
            <w:vAlign w:val="bottom"/>
            <w:hideMark/>
          </w:tcPr>
          <w:p w14:paraId="0D5FA344" w14:textId="77777777" w:rsidR="0083161B" w:rsidRPr="00D23517" w:rsidRDefault="0083161B" w:rsidP="00A1062B">
            <w:pPr>
              <w:spacing w:after="0" w:line="240" w:lineRule="auto"/>
              <w:contextualSpacing/>
              <w:jc w:val="both"/>
              <w:rPr>
                <w:rFonts w:ascii="Times New Roman" w:eastAsia="Times New Roman" w:hAnsi="Times New Roman" w:cs="Times New Roman"/>
                <w:i/>
                <w:sz w:val="20"/>
                <w:szCs w:val="20"/>
              </w:rPr>
            </w:pPr>
            <w:r w:rsidRPr="00D23517">
              <w:rPr>
                <w:rFonts w:ascii="Times New Roman" w:eastAsia="Times New Roman" w:hAnsi="Times New Roman" w:cs="Times New Roman"/>
                <w:i/>
                <w:sz w:val="20"/>
                <w:szCs w:val="20"/>
              </w:rPr>
              <w:t>L.MKTADJRET</w:t>
            </w:r>
          </w:p>
        </w:tc>
        <w:tc>
          <w:tcPr>
            <w:tcW w:w="998" w:type="pct"/>
            <w:tcBorders>
              <w:top w:val="nil"/>
              <w:left w:val="nil"/>
              <w:bottom w:val="nil"/>
              <w:right w:val="nil"/>
            </w:tcBorders>
            <w:shd w:val="clear" w:color="auto" w:fill="auto"/>
            <w:noWrap/>
            <w:vAlign w:val="bottom"/>
            <w:hideMark/>
          </w:tcPr>
          <w:p w14:paraId="29071F27"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0.006</w:t>
            </w:r>
          </w:p>
        </w:tc>
        <w:tc>
          <w:tcPr>
            <w:tcW w:w="646" w:type="pct"/>
            <w:tcBorders>
              <w:top w:val="nil"/>
              <w:left w:val="nil"/>
              <w:bottom w:val="nil"/>
              <w:right w:val="nil"/>
            </w:tcBorders>
            <w:shd w:val="clear" w:color="auto" w:fill="auto"/>
            <w:noWrap/>
            <w:vAlign w:val="bottom"/>
            <w:hideMark/>
          </w:tcPr>
          <w:p w14:paraId="1142DE88"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0.69</w:t>
            </w:r>
          </w:p>
        </w:tc>
      </w:tr>
      <w:tr w:rsidR="0083161B" w:rsidRPr="00D23517" w14:paraId="35CBD7ED" w14:textId="77777777" w:rsidTr="008F6E16">
        <w:trPr>
          <w:trHeight w:val="144"/>
        </w:trPr>
        <w:tc>
          <w:tcPr>
            <w:tcW w:w="3356" w:type="pct"/>
            <w:tcBorders>
              <w:top w:val="nil"/>
              <w:left w:val="nil"/>
              <w:bottom w:val="nil"/>
              <w:right w:val="nil"/>
            </w:tcBorders>
            <w:shd w:val="clear" w:color="auto" w:fill="auto"/>
            <w:noWrap/>
            <w:vAlign w:val="bottom"/>
            <w:hideMark/>
          </w:tcPr>
          <w:p w14:paraId="6E434E3E" w14:textId="77777777" w:rsidR="0083161B" w:rsidRPr="00D23517" w:rsidRDefault="0083161B" w:rsidP="00A1062B">
            <w:pPr>
              <w:spacing w:after="0" w:line="240" w:lineRule="auto"/>
              <w:contextualSpacing/>
              <w:jc w:val="both"/>
              <w:rPr>
                <w:rFonts w:ascii="Times New Roman" w:eastAsia="Times New Roman" w:hAnsi="Times New Roman" w:cs="Times New Roman"/>
                <w:i/>
                <w:sz w:val="20"/>
                <w:szCs w:val="20"/>
              </w:rPr>
            </w:pPr>
            <w:r w:rsidRPr="00D23517">
              <w:rPr>
                <w:rFonts w:ascii="Times New Roman" w:eastAsia="Times New Roman" w:hAnsi="Times New Roman" w:cs="Times New Roman"/>
                <w:i/>
                <w:sz w:val="20"/>
                <w:szCs w:val="20"/>
              </w:rPr>
              <w:t>MKTADJRET</w:t>
            </w:r>
          </w:p>
        </w:tc>
        <w:tc>
          <w:tcPr>
            <w:tcW w:w="998" w:type="pct"/>
            <w:tcBorders>
              <w:top w:val="nil"/>
              <w:left w:val="nil"/>
              <w:bottom w:val="nil"/>
              <w:right w:val="nil"/>
            </w:tcBorders>
            <w:shd w:val="clear" w:color="auto" w:fill="auto"/>
            <w:noWrap/>
            <w:vAlign w:val="bottom"/>
            <w:hideMark/>
          </w:tcPr>
          <w:p w14:paraId="271D97D0"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0.026</w:t>
            </w:r>
          </w:p>
        </w:tc>
        <w:tc>
          <w:tcPr>
            <w:tcW w:w="646" w:type="pct"/>
            <w:tcBorders>
              <w:top w:val="nil"/>
              <w:left w:val="nil"/>
              <w:bottom w:val="nil"/>
              <w:right w:val="nil"/>
            </w:tcBorders>
            <w:shd w:val="clear" w:color="auto" w:fill="auto"/>
            <w:noWrap/>
            <w:vAlign w:val="bottom"/>
            <w:hideMark/>
          </w:tcPr>
          <w:p w14:paraId="3555C0A2"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5.62***</w:t>
            </w:r>
          </w:p>
        </w:tc>
      </w:tr>
      <w:tr w:rsidR="0083161B" w:rsidRPr="00D23517" w14:paraId="124B8808" w14:textId="77777777" w:rsidTr="008F6E16">
        <w:trPr>
          <w:trHeight w:val="144"/>
        </w:trPr>
        <w:tc>
          <w:tcPr>
            <w:tcW w:w="3356" w:type="pct"/>
            <w:tcBorders>
              <w:top w:val="nil"/>
              <w:left w:val="nil"/>
              <w:bottom w:val="nil"/>
              <w:right w:val="nil"/>
            </w:tcBorders>
            <w:shd w:val="clear" w:color="auto" w:fill="auto"/>
            <w:noWrap/>
            <w:vAlign w:val="bottom"/>
          </w:tcPr>
          <w:p w14:paraId="6827671A"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p>
        </w:tc>
        <w:tc>
          <w:tcPr>
            <w:tcW w:w="998" w:type="pct"/>
            <w:tcBorders>
              <w:top w:val="nil"/>
              <w:left w:val="nil"/>
              <w:bottom w:val="nil"/>
              <w:right w:val="nil"/>
            </w:tcBorders>
            <w:shd w:val="clear" w:color="auto" w:fill="auto"/>
            <w:noWrap/>
            <w:vAlign w:val="bottom"/>
          </w:tcPr>
          <w:p w14:paraId="4AAB3FA3"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p>
        </w:tc>
        <w:tc>
          <w:tcPr>
            <w:tcW w:w="646" w:type="pct"/>
            <w:tcBorders>
              <w:top w:val="nil"/>
              <w:left w:val="nil"/>
              <w:bottom w:val="nil"/>
              <w:right w:val="nil"/>
            </w:tcBorders>
            <w:shd w:val="clear" w:color="auto" w:fill="auto"/>
            <w:noWrap/>
            <w:vAlign w:val="bottom"/>
          </w:tcPr>
          <w:p w14:paraId="26B53F56"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p>
        </w:tc>
      </w:tr>
      <w:tr w:rsidR="0083161B" w:rsidRPr="00D23517" w14:paraId="32EC6565" w14:textId="77777777" w:rsidTr="008F6E16">
        <w:trPr>
          <w:trHeight w:val="144"/>
        </w:trPr>
        <w:tc>
          <w:tcPr>
            <w:tcW w:w="3356" w:type="pct"/>
            <w:tcBorders>
              <w:top w:val="nil"/>
              <w:left w:val="nil"/>
              <w:bottom w:val="nil"/>
              <w:right w:val="nil"/>
            </w:tcBorders>
            <w:shd w:val="clear" w:color="auto" w:fill="auto"/>
            <w:noWrap/>
            <w:vAlign w:val="bottom"/>
            <w:hideMark/>
          </w:tcPr>
          <w:p w14:paraId="76AE60D0"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Aver. Adj. R-squared</w:t>
            </w:r>
          </w:p>
        </w:tc>
        <w:tc>
          <w:tcPr>
            <w:tcW w:w="998" w:type="pct"/>
            <w:tcBorders>
              <w:top w:val="nil"/>
              <w:left w:val="nil"/>
              <w:bottom w:val="nil"/>
              <w:right w:val="nil"/>
            </w:tcBorders>
            <w:shd w:val="clear" w:color="auto" w:fill="auto"/>
            <w:noWrap/>
            <w:vAlign w:val="bottom"/>
            <w:hideMark/>
          </w:tcPr>
          <w:p w14:paraId="1AC4F776"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0.837</w:t>
            </w:r>
          </w:p>
        </w:tc>
        <w:tc>
          <w:tcPr>
            <w:tcW w:w="646" w:type="pct"/>
            <w:tcBorders>
              <w:top w:val="nil"/>
              <w:left w:val="nil"/>
              <w:bottom w:val="nil"/>
              <w:right w:val="nil"/>
            </w:tcBorders>
            <w:shd w:val="clear" w:color="auto" w:fill="auto"/>
            <w:noWrap/>
            <w:vAlign w:val="bottom"/>
            <w:hideMark/>
          </w:tcPr>
          <w:p w14:paraId="115632ED"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213.73***</w:t>
            </w:r>
          </w:p>
        </w:tc>
      </w:tr>
      <w:tr w:rsidR="0083161B" w:rsidRPr="00D23517" w14:paraId="647D049A" w14:textId="77777777" w:rsidTr="008F6E16">
        <w:trPr>
          <w:trHeight w:val="144"/>
        </w:trPr>
        <w:tc>
          <w:tcPr>
            <w:tcW w:w="3356" w:type="pct"/>
            <w:tcBorders>
              <w:top w:val="nil"/>
              <w:left w:val="nil"/>
              <w:right w:val="nil"/>
            </w:tcBorders>
            <w:shd w:val="clear" w:color="auto" w:fill="auto"/>
            <w:noWrap/>
            <w:vAlign w:val="bottom"/>
            <w:hideMark/>
          </w:tcPr>
          <w:p w14:paraId="31FAAF7B"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Number of industry-year combinations</w:t>
            </w:r>
          </w:p>
        </w:tc>
        <w:tc>
          <w:tcPr>
            <w:tcW w:w="998" w:type="pct"/>
            <w:tcBorders>
              <w:top w:val="nil"/>
              <w:left w:val="nil"/>
              <w:right w:val="nil"/>
            </w:tcBorders>
            <w:shd w:val="clear" w:color="auto" w:fill="auto"/>
            <w:noWrap/>
            <w:vAlign w:val="bottom"/>
            <w:hideMark/>
          </w:tcPr>
          <w:p w14:paraId="792AC8B6"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1115</w:t>
            </w:r>
          </w:p>
        </w:tc>
        <w:tc>
          <w:tcPr>
            <w:tcW w:w="646" w:type="pct"/>
            <w:tcBorders>
              <w:top w:val="nil"/>
              <w:left w:val="nil"/>
              <w:right w:val="nil"/>
            </w:tcBorders>
            <w:shd w:val="clear" w:color="auto" w:fill="auto"/>
            <w:noWrap/>
            <w:vAlign w:val="bottom"/>
            <w:hideMark/>
          </w:tcPr>
          <w:p w14:paraId="7962F5CF"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p>
        </w:tc>
      </w:tr>
      <w:tr w:rsidR="0083161B" w:rsidRPr="00D23517" w14:paraId="04921937" w14:textId="77777777" w:rsidTr="008F6E16">
        <w:trPr>
          <w:trHeight w:val="144"/>
        </w:trPr>
        <w:tc>
          <w:tcPr>
            <w:tcW w:w="3356" w:type="pct"/>
            <w:tcBorders>
              <w:top w:val="nil"/>
              <w:left w:val="nil"/>
              <w:bottom w:val="single" w:sz="4" w:space="0" w:color="auto"/>
              <w:right w:val="nil"/>
            </w:tcBorders>
            <w:shd w:val="clear" w:color="auto" w:fill="auto"/>
            <w:noWrap/>
            <w:vAlign w:val="bottom"/>
            <w:hideMark/>
          </w:tcPr>
          <w:p w14:paraId="2B267245"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Average number of observations per regressions</w:t>
            </w:r>
          </w:p>
        </w:tc>
        <w:tc>
          <w:tcPr>
            <w:tcW w:w="998" w:type="pct"/>
            <w:tcBorders>
              <w:top w:val="nil"/>
              <w:left w:val="nil"/>
              <w:bottom w:val="single" w:sz="4" w:space="0" w:color="auto"/>
              <w:right w:val="nil"/>
            </w:tcBorders>
            <w:shd w:val="clear" w:color="auto" w:fill="auto"/>
            <w:noWrap/>
            <w:vAlign w:val="bottom"/>
            <w:hideMark/>
          </w:tcPr>
          <w:p w14:paraId="7CFA913C"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44.54</w:t>
            </w:r>
          </w:p>
        </w:tc>
        <w:tc>
          <w:tcPr>
            <w:tcW w:w="646" w:type="pct"/>
            <w:tcBorders>
              <w:top w:val="nil"/>
              <w:left w:val="nil"/>
              <w:bottom w:val="single" w:sz="4" w:space="0" w:color="auto"/>
              <w:right w:val="nil"/>
            </w:tcBorders>
            <w:shd w:val="clear" w:color="auto" w:fill="auto"/>
            <w:noWrap/>
            <w:vAlign w:val="bottom"/>
            <w:hideMark/>
          </w:tcPr>
          <w:p w14:paraId="33A2B8A3"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p>
        </w:tc>
      </w:tr>
    </w:tbl>
    <w:p w14:paraId="73DDF7D8" w14:textId="77777777" w:rsidR="0083161B" w:rsidRPr="00893E6D" w:rsidRDefault="0083161B" w:rsidP="00A1062B">
      <w:pPr>
        <w:jc w:val="both"/>
      </w:pPr>
      <w:r w:rsidRPr="00893E6D">
        <w:br w:type="page"/>
      </w:r>
    </w:p>
    <w:tbl>
      <w:tblPr>
        <w:tblW w:w="5000" w:type="pct"/>
        <w:tblLayout w:type="fixed"/>
        <w:tblLook w:val="04A0" w:firstRow="1" w:lastRow="0" w:firstColumn="1" w:lastColumn="0" w:noHBand="0" w:noVBand="1"/>
      </w:tblPr>
      <w:tblGrid>
        <w:gridCol w:w="8699"/>
        <w:gridCol w:w="2587"/>
        <w:gridCol w:w="1674"/>
      </w:tblGrid>
      <w:tr w:rsidR="0083161B" w:rsidRPr="00D23517" w14:paraId="59DF8C37" w14:textId="77777777" w:rsidTr="008F6E16">
        <w:trPr>
          <w:trHeight w:val="144"/>
        </w:trPr>
        <w:tc>
          <w:tcPr>
            <w:tcW w:w="5000" w:type="pct"/>
            <w:gridSpan w:val="3"/>
            <w:tcBorders>
              <w:top w:val="nil"/>
              <w:left w:val="nil"/>
              <w:bottom w:val="nil"/>
              <w:right w:val="nil"/>
            </w:tcBorders>
            <w:shd w:val="clear" w:color="auto" w:fill="auto"/>
            <w:noWrap/>
            <w:vAlign w:val="bottom"/>
            <w:hideMark/>
          </w:tcPr>
          <w:p w14:paraId="54945722" w14:textId="37888410" w:rsidR="0083161B" w:rsidRPr="00F15FF6" w:rsidRDefault="0083161B" w:rsidP="00D23517">
            <w:pPr>
              <w:spacing w:after="0" w:line="240" w:lineRule="auto"/>
              <w:contextualSpacing/>
              <w:jc w:val="both"/>
              <w:rPr>
                <w:rFonts w:ascii="Times New Roman" w:eastAsia="Times New Roman" w:hAnsi="Times New Roman" w:cs="Times New Roman"/>
                <w:b/>
                <w:bCs/>
                <w:sz w:val="20"/>
                <w:szCs w:val="20"/>
              </w:rPr>
            </w:pPr>
            <w:r w:rsidRPr="00F15FF6">
              <w:rPr>
                <w:rFonts w:ascii="Times New Roman" w:eastAsia="Times New Roman" w:hAnsi="Times New Roman" w:cs="Times New Roman"/>
                <w:b/>
                <w:bCs/>
                <w:sz w:val="20"/>
                <w:szCs w:val="20"/>
              </w:rPr>
              <w:lastRenderedPageBreak/>
              <w:t xml:space="preserve">Panel B: Regression to </w:t>
            </w:r>
            <w:r w:rsidR="002F46AA" w:rsidRPr="00F15FF6">
              <w:rPr>
                <w:rFonts w:ascii="Times New Roman" w:eastAsia="Times New Roman" w:hAnsi="Times New Roman" w:cs="Times New Roman"/>
                <w:b/>
                <w:bCs/>
                <w:sz w:val="20"/>
                <w:szCs w:val="20"/>
              </w:rPr>
              <w:t xml:space="preserve">obtain </w:t>
            </w:r>
            <w:r w:rsidRPr="00F15FF6">
              <w:rPr>
                <w:rFonts w:ascii="Times New Roman" w:eastAsia="Times New Roman" w:hAnsi="Times New Roman" w:cs="Times New Roman"/>
                <w:b/>
                <w:bCs/>
                <w:sz w:val="20"/>
                <w:szCs w:val="20"/>
              </w:rPr>
              <w:t xml:space="preserve">expected </w:t>
            </w:r>
            <w:r w:rsidR="002F46AA" w:rsidRPr="00F15FF6">
              <w:rPr>
                <w:rFonts w:ascii="Times New Roman" w:eastAsia="Times New Roman" w:hAnsi="Times New Roman" w:cs="Times New Roman"/>
                <w:b/>
                <w:bCs/>
                <w:sz w:val="20"/>
                <w:szCs w:val="20"/>
              </w:rPr>
              <w:t>non</w:t>
            </w:r>
            <w:r w:rsidRPr="00F15FF6">
              <w:rPr>
                <w:rFonts w:ascii="Times New Roman" w:eastAsia="Times New Roman" w:hAnsi="Times New Roman" w:cs="Times New Roman"/>
                <w:b/>
                <w:bCs/>
                <w:sz w:val="20"/>
                <w:szCs w:val="20"/>
              </w:rPr>
              <w:t>-</w:t>
            </w:r>
            <w:r w:rsidR="002F46AA" w:rsidRPr="00F15FF6">
              <w:rPr>
                <w:rFonts w:ascii="Times New Roman" w:eastAsia="Times New Roman" w:hAnsi="Times New Roman" w:cs="Times New Roman"/>
                <w:b/>
                <w:bCs/>
                <w:sz w:val="20"/>
                <w:szCs w:val="20"/>
              </w:rPr>
              <w:t>operating earnings</w:t>
            </w:r>
          </w:p>
        </w:tc>
      </w:tr>
      <w:tr w:rsidR="0083161B" w:rsidRPr="00D23517" w14:paraId="721A5AE7" w14:textId="77777777" w:rsidTr="008F6E16">
        <w:trPr>
          <w:trHeight w:val="144"/>
        </w:trPr>
        <w:tc>
          <w:tcPr>
            <w:tcW w:w="3356" w:type="pct"/>
            <w:tcBorders>
              <w:top w:val="single" w:sz="4" w:space="0" w:color="auto"/>
              <w:left w:val="nil"/>
              <w:bottom w:val="single" w:sz="4" w:space="0" w:color="auto"/>
              <w:right w:val="nil"/>
            </w:tcBorders>
            <w:shd w:val="clear" w:color="auto" w:fill="auto"/>
            <w:noWrap/>
            <w:vAlign w:val="bottom"/>
            <w:hideMark/>
          </w:tcPr>
          <w:p w14:paraId="70130427" w14:textId="77777777" w:rsidR="0083161B" w:rsidRPr="00D23517" w:rsidRDefault="0083161B" w:rsidP="00A1062B">
            <w:pPr>
              <w:spacing w:after="0" w:line="240" w:lineRule="auto"/>
              <w:contextualSpacing/>
              <w:jc w:val="both"/>
              <w:rPr>
                <w:rFonts w:ascii="Times New Roman" w:eastAsia="Times New Roman" w:hAnsi="Times New Roman" w:cs="Times New Roman"/>
                <w:b/>
                <w:bCs/>
                <w:i/>
                <w:iCs/>
                <w:sz w:val="20"/>
                <w:szCs w:val="20"/>
              </w:rPr>
            </w:pPr>
            <w:r w:rsidRPr="00D23517">
              <w:rPr>
                <w:rFonts w:ascii="Times New Roman" w:eastAsia="Times New Roman" w:hAnsi="Times New Roman" w:cs="Times New Roman"/>
                <w:b/>
                <w:bCs/>
                <w:i/>
                <w:iCs/>
                <w:sz w:val="20"/>
                <w:szCs w:val="20"/>
              </w:rPr>
              <w:t>Variable</w:t>
            </w:r>
          </w:p>
        </w:tc>
        <w:tc>
          <w:tcPr>
            <w:tcW w:w="998" w:type="pct"/>
            <w:tcBorders>
              <w:top w:val="single" w:sz="4" w:space="0" w:color="auto"/>
              <w:left w:val="nil"/>
              <w:bottom w:val="single" w:sz="4" w:space="0" w:color="auto"/>
              <w:right w:val="nil"/>
            </w:tcBorders>
            <w:shd w:val="clear" w:color="auto" w:fill="auto"/>
            <w:noWrap/>
            <w:vAlign w:val="bottom"/>
            <w:hideMark/>
          </w:tcPr>
          <w:p w14:paraId="249334C5" w14:textId="77777777" w:rsidR="0083161B" w:rsidRPr="00D23517" w:rsidRDefault="0083161B" w:rsidP="00A1062B">
            <w:pPr>
              <w:spacing w:after="0" w:line="240" w:lineRule="auto"/>
              <w:contextualSpacing/>
              <w:jc w:val="both"/>
              <w:rPr>
                <w:rFonts w:ascii="Times New Roman" w:eastAsia="Times New Roman" w:hAnsi="Times New Roman" w:cs="Times New Roman"/>
                <w:b/>
                <w:bCs/>
                <w:i/>
                <w:iCs/>
                <w:sz w:val="20"/>
                <w:szCs w:val="20"/>
              </w:rPr>
            </w:pPr>
            <w:r w:rsidRPr="00D23517">
              <w:rPr>
                <w:rFonts w:ascii="Times New Roman" w:eastAsia="Times New Roman" w:hAnsi="Times New Roman" w:cs="Times New Roman"/>
                <w:b/>
                <w:bCs/>
                <w:i/>
                <w:iCs/>
                <w:sz w:val="20"/>
                <w:szCs w:val="20"/>
              </w:rPr>
              <w:t>Coefficients</w:t>
            </w:r>
          </w:p>
        </w:tc>
        <w:tc>
          <w:tcPr>
            <w:tcW w:w="646" w:type="pct"/>
            <w:tcBorders>
              <w:top w:val="single" w:sz="4" w:space="0" w:color="auto"/>
              <w:left w:val="nil"/>
              <w:bottom w:val="single" w:sz="4" w:space="0" w:color="auto"/>
              <w:right w:val="nil"/>
            </w:tcBorders>
            <w:shd w:val="clear" w:color="auto" w:fill="auto"/>
            <w:noWrap/>
            <w:vAlign w:val="bottom"/>
            <w:hideMark/>
          </w:tcPr>
          <w:p w14:paraId="3E5C32EC" w14:textId="77777777" w:rsidR="0083161B" w:rsidRPr="00D23517" w:rsidRDefault="0083161B" w:rsidP="00A1062B">
            <w:pPr>
              <w:spacing w:after="0" w:line="240" w:lineRule="auto"/>
              <w:contextualSpacing/>
              <w:jc w:val="both"/>
              <w:rPr>
                <w:rFonts w:ascii="Times New Roman" w:eastAsia="Times New Roman" w:hAnsi="Times New Roman" w:cs="Times New Roman"/>
                <w:b/>
                <w:bCs/>
                <w:i/>
                <w:iCs/>
                <w:sz w:val="20"/>
                <w:szCs w:val="20"/>
              </w:rPr>
            </w:pPr>
            <w:r w:rsidRPr="00D23517">
              <w:rPr>
                <w:rFonts w:ascii="Times New Roman" w:eastAsia="Times New Roman" w:hAnsi="Times New Roman" w:cs="Times New Roman"/>
                <w:b/>
                <w:bCs/>
                <w:i/>
                <w:iCs/>
                <w:sz w:val="20"/>
                <w:szCs w:val="20"/>
              </w:rPr>
              <w:t>t-stats</w:t>
            </w:r>
          </w:p>
        </w:tc>
      </w:tr>
      <w:tr w:rsidR="0083161B" w:rsidRPr="00D23517" w14:paraId="495E86A1" w14:textId="77777777" w:rsidTr="008F6E16">
        <w:trPr>
          <w:trHeight w:val="144"/>
        </w:trPr>
        <w:tc>
          <w:tcPr>
            <w:tcW w:w="3356" w:type="pct"/>
            <w:tcBorders>
              <w:top w:val="nil"/>
              <w:left w:val="nil"/>
              <w:bottom w:val="nil"/>
              <w:right w:val="nil"/>
            </w:tcBorders>
            <w:shd w:val="clear" w:color="auto" w:fill="auto"/>
            <w:noWrap/>
            <w:vAlign w:val="bottom"/>
            <w:hideMark/>
          </w:tcPr>
          <w:p w14:paraId="781E4195"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Intercept</w:t>
            </w:r>
          </w:p>
        </w:tc>
        <w:tc>
          <w:tcPr>
            <w:tcW w:w="998" w:type="pct"/>
            <w:tcBorders>
              <w:top w:val="nil"/>
              <w:left w:val="nil"/>
              <w:bottom w:val="nil"/>
              <w:right w:val="nil"/>
            </w:tcBorders>
            <w:shd w:val="clear" w:color="auto" w:fill="auto"/>
            <w:noWrap/>
            <w:vAlign w:val="bottom"/>
            <w:hideMark/>
          </w:tcPr>
          <w:p w14:paraId="3BC6E019"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sz w:val="20"/>
                <w:szCs w:val="20"/>
              </w:rPr>
              <w:t>0.012</w:t>
            </w:r>
          </w:p>
        </w:tc>
        <w:tc>
          <w:tcPr>
            <w:tcW w:w="646" w:type="pct"/>
            <w:tcBorders>
              <w:top w:val="nil"/>
              <w:left w:val="nil"/>
              <w:bottom w:val="nil"/>
              <w:right w:val="nil"/>
            </w:tcBorders>
            <w:shd w:val="clear" w:color="auto" w:fill="auto"/>
            <w:noWrap/>
            <w:vAlign w:val="bottom"/>
            <w:hideMark/>
          </w:tcPr>
          <w:p w14:paraId="578FF95F"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sz w:val="20"/>
                <w:szCs w:val="20"/>
              </w:rPr>
              <w:t>4.48***</w:t>
            </w:r>
          </w:p>
        </w:tc>
      </w:tr>
      <w:tr w:rsidR="0083161B" w:rsidRPr="00D23517" w14:paraId="774048ED" w14:textId="77777777" w:rsidTr="008F6E16">
        <w:trPr>
          <w:trHeight w:val="144"/>
        </w:trPr>
        <w:tc>
          <w:tcPr>
            <w:tcW w:w="3356" w:type="pct"/>
            <w:tcBorders>
              <w:top w:val="nil"/>
              <w:left w:val="nil"/>
              <w:bottom w:val="nil"/>
              <w:right w:val="nil"/>
            </w:tcBorders>
            <w:shd w:val="clear" w:color="auto" w:fill="auto"/>
            <w:noWrap/>
            <w:vAlign w:val="bottom"/>
            <w:hideMark/>
          </w:tcPr>
          <w:p w14:paraId="4A5FB584" w14:textId="77777777" w:rsidR="0083161B" w:rsidRPr="00D23517" w:rsidRDefault="0083161B" w:rsidP="00A1062B">
            <w:pPr>
              <w:spacing w:after="0" w:line="240" w:lineRule="auto"/>
              <w:contextualSpacing/>
              <w:jc w:val="both"/>
              <w:rPr>
                <w:rFonts w:ascii="Times New Roman" w:eastAsia="Times New Roman" w:hAnsi="Times New Roman" w:cs="Times New Roman"/>
                <w:i/>
                <w:iCs/>
                <w:sz w:val="20"/>
                <w:szCs w:val="20"/>
              </w:rPr>
            </w:pPr>
            <w:r w:rsidRPr="00D23517">
              <w:rPr>
                <w:rFonts w:ascii="Times New Roman" w:eastAsia="Times New Roman" w:hAnsi="Times New Roman" w:cs="Times New Roman"/>
                <w:i/>
                <w:iCs/>
                <w:sz w:val="20"/>
                <w:szCs w:val="20"/>
              </w:rPr>
              <w:t>L.NONOPERINC</w:t>
            </w:r>
          </w:p>
        </w:tc>
        <w:tc>
          <w:tcPr>
            <w:tcW w:w="998" w:type="pct"/>
            <w:tcBorders>
              <w:top w:val="nil"/>
              <w:left w:val="nil"/>
              <w:bottom w:val="nil"/>
              <w:right w:val="nil"/>
            </w:tcBorders>
            <w:shd w:val="clear" w:color="auto" w:fill="auto"/>
            <w:noWrap/>
            <w:vAlign w:val="bottom"/>
            <w:hideMark/>
          </w:tcPr>
          <w:p w14:paraId="54C3596D"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sz w:val="20"/>
                <w:szCs w:val="20"/>
              </w:rPr>
              <w:t>-0.018</w:t>
            </w:r>
          </w:p>
        </w:tc>
        <w:tc>
          <w:tcPr>
            <w:tcW w:w="646" w:type="pct"/>
            <w:tcBorders>
              <w:top w:val="nil"/>
              <w:left w:val="nil"/>
              <w:bottom w:val="nil"/>
              <w:right w:val="nil"/>
            </w:tcBorders>
            <w:shd w:val="clear" w:color="auto" w:fill="auto"/>
            <w:noWrap/>
            <w:vAlign w:val="bottom"/>
            <w:hideMark/>
          </w:tcPr>
          <w:p w14:paraId="654A8795"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sz w:val="20"/>
                <w:szCs w:val="20"/>
              </w:rPr>
              <w:t>-1.65*</w:t>
            </w:r>
          </w:p>
        </w:tc>
      </w:tr>
      <w:tr w:rsidR="0083161B" w:rsidRPr="00D23517" w14:paraId="1FCB149A" w14:textId="77777777" w:rsidTr="008F6E16">
        <w:trPr>
          <w:trHeight w:val="144"/>
        </w:trPr>
        <w:tc>
          <w:tcPr>
            <w:tcW w:w="3356" w:type="pct"/>
            <w:tcBorders>
              <w:top w:val="nil"/>
              <w:left w:val="nil"/>
              <w:bottom w:val="nil"/>
              <w:right w:val="nil"/>
            </w:tcBorders>
            <w:shd w:val="clear" w:color="auto" w:fill="auto"/>
            <w:noWrap/>
            <w:vAlign w:val="bottom"/>
            <w:hideMark/>
          </w:tcPr>
          <w:p w14:paraId="783A9837" w14:textId="77777777" w:rsidR="0083161B" w:rsidRPr="00D23517" w:rsidRDefault="0083161B" w:rsidP="00A1062B">
            <w:pPr>
              <w:spacing w:after="0" w:line="240" w:lineRule="auto"/>
              <w:contextualSpacing/>
              <w:jc w:val="both"/>
              <w:rPr>
                <w:rFonts w:ascii="Times New Roman" w:eastAsia="Times New Roman" w:hAnsi="Times New Roman" w:cs="Times New Roman"/>
                <w:i/>
                <w:iCs/>
                <w:sz w:val="20"/>
                <w:szCs w:val="20"/>
              </w:rPr>
            </w:pPr>
            <w:r w:rsidRPr="00D23517">
              <w:rPr>
                <w:rFonts w:ascii="Times New Roman" w:eastAsia="Times New Roman" w:hAnsi="Times New Roman" w:cs="Times New Roman"/>
                <w:i/>
                <w:iCs/>
                <w:sz w:val="20"/>
                <w:szCs w:val="20"/>
              </w:rPr>
              <w:t>ATO</w:t>
            </w:r>
          </w:p>
        </w:tc>
        <w:tc>
          <w:tcPr>
            <w:tcW w:w="998" w:type="pct"/>
            <w:tcBorders>
              <w:top w:val="nil"/>
              <w:left w:val="nil"/>
              <w:bottom w:val="nil"/>
              <w:right w:val="nil"/>
            </w:tcBorders>
            <w:shd w:val="clear" w:color="auto" w:fill="auto"/>
            <w:noWrap/>
            <w:vAlign w:val="bottom"/>
            <w:hideMark/>
          </w:tcPr>
          <w:p w14:paraId="7AEE7A60"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sz w:val="20"/>
                <w:szCs w:val="20"/>
              </w:rPr>
              <w:t>-0.013</w:t>
            </w:r>
          </w:p>
        </w:tc>
        <w:tc>
          <w:tcPr>
            <w:tcW w:w="646" w:type="pct"/>
            <w:tcBorders>
              <w:top w:val="nil"/>
              <w:left w:val="nil"/>
              <w:bottom w:val="nil"/>
              <w:right w:val="nil"/>
            </w:tcBorders>
            <w:shd w:val="clear" w:color="auto" w:fill="auto"/>
            <w:noWrap/>
            <w:vAlign w:val="bottom"/>
            <w:hideMark/>
          </w:tcPr>
          <w:p w14:paraId="29D9B395"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sz w:val="20"/>
                <w:szCs w:val="20"/>
              </w:rPr>
              <w:t>-1.55</w:t>
            </w:r>
          </w:p>
        </w:tc>
      </w:tr>
      <w:tr w:rsidR="0083161B" w:rsidRPr="00D23517" w14:paraId="031EE5C4" w14:textId="77777777" w:rsidTr="008F6E16">
        <w:trPr>
          <w:trHeight w:val="144"/>
        </w:trPr>
        <w:tc>
          <w:tcPr>
            <w:tcW w:w="3356" w:type="pct"/>
            <w:tcBorders>
              <w:top w:val="nil"/>
              <w:left w:val="nil"/>
              <w:bottom w:val="nil"/>
              <w:right w:val="nil"/>
            </w:tcBorders>
            <w:shd w:val="clear" w:color="auto" w:fill="auto"/>
            <w:noWrap/>
            <w:vAlign w:val="bottom"/>
            <w:hideMark/>
          </w:tcPr>
          <w:p w14:paraId="4CE217A2" w14:textId="77777777" w:rsidR="0083161B" w:rsidRPr="00D23517" w:rsidRDefault="0083161B" w:rsidP="00A1062B">
            <w:pPr>
              <w:spacing w:after="0" w:line="240" w:lineRule="auto"/>
              <w:contextualSpacing/>
              <w:jc w:val="both"/>
              <w:rPr>
                <w:rFonts w:ascii="Times New Roman" w:eastAsia="Times New Roman" w:hAnsi="Times New Roman" w:cs="Times New Roman"/>
                <w:i/>
                <w:iCs/>
                <w:sz w:val="20"/>
                <w:szCs w:val="20"/>
              </w:rPr>
            </w:pPr>
            <w:r w:rsidRPr="00D23517">
              <w:rPr>
                <w:rFonts w:ascii="Times New Roman" w:eastAsia="Times New Roman" w:hAnsi="Times New Roman" w:cs="Times New Roman"/>
                <w:i/>
                <w:iCs/>
                <w:sz w:val="20"/>
                <w:szCs w:val="20"/>
              </w:rPr>
              <w:t>ACCRUALS</w:t>
            </w:r>
          </w:p>
        </w:tc>
        <w:tc>
          <w:tcPr>
            <w:tcW w:w="998" w:type="pct"/>
            <w:tcBorders>
              <w:top w:val="nil"/>
              <w:left w:val="nil"/>
              <w:bottom w:val="nil"/>
              <w:right w:val="nil"/>
            </w:tcBorders>
            <w:shd w:val="clear" w:color="auto" w:fill="auto"/>
            <w:noWrap/>
            <w:vAlign w:val="bottom"/>
            <w:hideMark/>
          </w:tcPr>
          <w:p w14:paraId="18B18AD4"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sz w:val="20"/>
                <w:szCs w:val="20"/>
              </w:rPr>
              <w:t>0.027</w:t>
            </w:r>
          </w:p>
        </w:tc>
        <w:tc>
          <w:tcPr>
            <w:tcW w:w="646" w:type="pct"/>
            <w:tcBorders>
              <w:top w:val="nil"/>
              <w:left w:val="nil"/>
              <w:bottom w:val="nil"/>
              <w:right w:val="nil"/>
            </w:tcBorders>
            <w:shd w:val="clear" w:color="auto" w:fill="auto"/>
            <w:noWrap/>
            <w:vAlign w:val="bottom"/>
            <w:hideMark/>
          </w:tcPr>
          <w:p w14:paraId="6E27ACD9"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sz w:val="20"/>
                <w:szCs w:val="20"/>
              </w:rPr>
              <w:t>1.29</w:t>
            </w:r>
          </w:p>
        </w:tc>
      </w:tr>
      <w:tr w:rsidR="0083161B" w:rsidRPr="00D23517" w14:paraId="3DBB543B" w14:textId="77777777" w:rsidTr="008F6E16">
        <w:trPr>
          <w:trHeight w:val="144"/>
        </w:trPr>
        <w:tc>
          <w:tcPr>
            <w:tcW w:w="3356" w:type="pct"/>
            <w:tcBorders>
              <w:top w:val="nil"/>
              <w:left w:val="nil"/>
              <w:bottom w:val="nil"/>
              <w:right w:val="nil"/>
            </w:tcBorders>
            <w:shd w:val="clear" w:color="auto" w:fill="auto"/>
            <w:noWrap/>
            <w:vAlign w:val="bottom"/>
            <w:hideMark/>
          </w:tcPr>
          <w:p w14:paraId="53613717" w14:textId="77777777" w:rsidR="0083161B" w:rsidRPr="00D23517" w:rsidRDefault="0083161B" w:rsidP="00A1062B">
            <w:pPr>
              <w:spacing w:after="0" w:line="240" w:lineRule="auto"/>
              <w:contextualSpacing/>
              <w:jc w:val="both"/>
              <w:rPr>
                <w:rFonts w:ascii="Times New Roman" w:eastAsia="Times New Roman" w:hAnsi="Times New Roman" w:cs="Times New Roman"/>
                <w:i/>
                <w:iCs/>
                <w:sz w:val="20"/>
                <w:szCs w:val="20"/>
              </w:rPr>
            </w:pPr>
            <w:r w:rsidRPr="00D23517">
              <w:rPr>
                <w:rFonts w:ascii="Times New Roman" w:eastAsia="Times New Roman" w:hAnsi="Times New Roman" w:cs="Times New Roman"/>
                <w:i/>
                <w:iCs/>
                <w:sz w:val="20"/>
                <w:szCs w:val="20"/>
              </w:rPr>
              <w:t>L. ACCRUALS</w:t>
            </w:r>
          </w:p>
        </w:tc>
        <w:tc>
          <w:tcPr>
            <w:tcW w:w="998" w:type="pct"/>
            <w:tcBorders>
              <w:top w:val="nil"/>
              <w:left w:val="nil"/>
              <w:bottom w:val="nil"/>
              <w:right w:val="nil"/>
            </w:tcBorders>
            <w:shd w:val="clear" w:color="auto" w:fill="auto"/>
            <w:noWrap/>
            <w:vAlign w:val="bottom"/>
            <w:hideMark/>
          </w:tcPr>
          <w:p w14:paraId="538B519C"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sz w:val="20"/>
                <w:szCs w:val="20"/>
              </w:rPr>
              <w:t>0.007</w:t>
            </w:r>
          </w:p>
        </w:tc>
        <w:tc>
          <w:tcPr>
            <w:tcW w:w="646" w:type="pct"/>
            <w:tcBorders>
              <w:top w:val="nil"/>
              <w:left w:val="nil"/>
              <w:bottom w:val="nil"/>
              <w:right w:val="nil"/>
            </w:tcBorders>
            <w:shd w:val="clear" w:color="auto" w:fill="auto"/>
            <w:noWrap/>
            <w:vAlign w:val="bottom"/>
            <w:hideMark/>
          </w:tcPr>
          <w:p w14:paraId="22C6BFDD"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sz w:val="20"/>
                <w:szCs w:val="20"/>
              </w:rPr>
              <w:t>0.37</w:t>
            </w:r>
          </w:p>
        </w:tc>
      </w:tr>
      <w:tr w:rsidR="0083161B" w:rsidRPr="00D23517" w14:paraId="7A262DDF" w14:textId="77777777" w:rsidTr="008F6E16">
        <w:trPr>
          <w:trHeight w:val="144"/>
        </w:trPr>
        <w:tc>
          <w:tcPr>
            <w:tcW w:w="3356" w:type="pct"/>
            <w:tcBorders>
              <w:top w:val="nil"/>
              <w:left w:val="nil"/>
              <w:bottom w:val="nil"/>
              <w:right w:val="nil"/>
            </w:tcBorders>
            <w:shd w:val="clear" w:color="auto" w:fill="auto"/>
            <w:noWrap/>
            <w:vAlign w:val="bottom"/>
            <w:hideMark/>
          </w:tcPr>
          <w:p w14:paraId="569B3832" w14:textId="77777777" w:rsidR="0083161B" w:rsidRPr="00D23517" w:rsidRDefault="0083161B" w:rsidP="00A1062B">
            <w:pPr>
              <w:spacing w:after="0" w:line="240" w:lineRule="auto"/>
              <w:contextualSpacing/>
              <w:jc w:val="both"/>
              <w:rPr>
                <w:rFonts w:ascii="Times New Roman" w:eastAsia="Times New Roman" w:hAnsi="Times New Roman" w:cs="Times New Roman"/>
                <w:i/>
                <w:iCs/>
                <w:sz w:val="20"/>
                <w:szCs w:val="20"/>
              </w:rPr>
            </w:pPr>
            <w:r w:rsidRPr="00D23517">
              <w:rPr>
                <w:rFonts w:ascii="Times New Roman" w:eastAsia="Times New Roman" w:hAnsi="Times New Roman" w:cs="Times New Roman"/>
                <w:i/>
                <w:iCs/>
                <w:sz w:val="20"/>
                <w:szCs w:val="20"/>
              </w:rPr>
              <w:t>SALECHG</w:t>
            </w:r>
          </w:p>
        </w:tc>
        <w:tc>
          <w:tcPr>
            <w:tcW w:w="998" w:type="pct"/>
            <w:tcBorders>
              <w:top w:val="nil"/>
              <w:left w:val="nil"/>
              <w:bottom w:val="nil"/>
              <w:right w:val="nil"/>
            </w:tcBorders>
            <w:shd w:val="clear" w:color="auto" w:fill="auto"/>
            <w:noWrap/>
            <w:vAlign w:val="bottom"/>
            <w:hideMark/>
          </w:tcPr>
          <w:p w14:paraId="1BC7AB0F"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sz w:val="20"/>
                <w:szCs w:val="20"/>
              </w:rPr>
              <w:t>-0.005</w:t>
            </w:r>
          </w:p>
        </w:tc>
        <w:tc>
          <w:tcPr>
            <w:tcW w:w="646" w:type="pct"/>
            <w:tcBorders>
              <w:top w:val="nil"/>
              <w:left w:val="nil"/>
              <w:bottom w:val="nil"/>
              <w:right w:val="nil"/>
            </w:tcBorders>
            <w:shd w:val="clear" w:color="auto" w:fill="auto"/>
            <w:noWrap/>
            <w:vAlign w:val="bottom"/>
            <w:hideMark/>
          </w:tcPr>
          <w:p w14:paraId="55FA3092"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sz w:val="20"/>
                <w:szCs w:val="20"/>
              </w:rPr>
              <w:t>-1.3</w:t>
            </w:r>
          </w:p>
        </w:tc>
      </w:tr>
      <w:tr w:rsidR="0083161B" w:rsidRPr="00D23517" w14:paraId="7F0C51ED" w14:textId="77777777" w:rsidTr="008F6E16">
        <w:trPr>
          <w:trHeight w:val="144"/>
        </w:trPr>
        <w:tc>
          <w:tcPr>
            <w:tcW w:w="3356" w:type="pct"/>
            <w:tcBorders>
              <w:top w:val="nil"/>
              <w:left w:val="nil"/>
              <w:bottom w:val="nil"/>
              <w:right w:val="nil"/>
            </w:tcBorders>
            <w:shd w:val="clear" w:color="auto" w:fill="auto"/>
            <w:noWrap/>
            <w:vAlign w:val="bottom"/>
            <w:hideMark/>
          </w:tcPr>
          <w:p w14:paraId="25BAC63D" w14:textId="77777777" w:rsidR="0083161B" w:rsidRPr="00D23517" w:rsidRDefault="0083161B" w:rsidP="00A1062B">
            <w:pPr>
              <w:spacing w:after="0" w:line="240" w:lineRule="auto"/>
              <w:contextualSpacing/>
              <w:jc w:val="both"/>
              <w:rPr>
                <w:rFonts w:ascii="Times New Roman" w:eastAsia="Times New Roman" w:hAnsi="Times New Roman" w:cs="Times New Roman"/>
                <w:i/>
                <w:sz w:val="20"/>
                <w:szCs w:val="20"/>
              </w:rPr>
            </w:pPr>
            <w:r w:rsidRPr="00D23517">
              <w:rPr>
                <w:rFonts w:ascii="Times New Roman" w:eastAsia="Times New Roman" w:hAnsi="Times New Roman" w:cs="Times New Roman"/>
                <w:i/>
                <w:sz w:val="20"/>
                <w:szCs w:val="20"/>
              </w:rPr>
              <w:t>NEGSALECHG</w:t>
            </w:r>
          </w:p>
        </w:tc>
        <w:tc>
          <w:tcPr>
            <w:tcW w:w="998" w:type="pct"/>
            <w:tcBorders>
              <w:top w:val="nil"/>
              <w:left w:val="nil"/>
              <w:bottom w:val="nil"/>
              <w:right w:val="nil"/>
            </w:tcBorders>
            <w:shd w:val="clear" w:color="auto" w:fill="auto"/>
            <w:noWrap/>
            <w:vAlign w:val="bottom"/>
            <w:hideMark/>
          </w:tcPr>
          <w:p w14:paraId="0953E050"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sz w:val="20"/>
                <w:szCs w:val="20"/>
              </w:rPr>
              <w:t>0.001</w:t>
            </w:r>
          </w:p>
        </w:tc>
        <w:tc>
          <w:tcPr>
            <w:tcW w:w="646" w:type="pct"/>
            <w:tcBorders>
              <w:top w:val="nil"/>
              <w:left w:val="nil"/>
              <w:bottom w:val="nil"/>
              <w:right w:val="nil"/>
            </w:tcBorders>
            <w:shd w:val="clear" w:color="auto" w:fill="auto"/>
            <w:noWrap/>
            <w:vAlign w:val="bottom"/>
            <w:hideMark/>
          </w:tcPr>
          <w:p w14:paraId="71D121D8"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sz w:val="20"/>
                <w:szCs w:val="20"/>
              </w:rPr>
              <w:t>0.71</w:t>
            </w:r>
          </w:p>
        </w:tc>
      </w:tr>
      <w:tr w:rsidR="0083161B" w:rsidRPr="00D23517" w14:paraId="51B2B63E" w14:textId="77777777" w:rsidTr="008F6E16">
        <w:trPr>
          <w:trHeight w:val="144"/>
        </w:trPr>
        <w:tc>
          <w:tcPr>
            <w:tcW w:w="3356" w:type="pct"/>
            <w:tcBorders>
              <w:top w:val="nil"/>
              <w:left w:val="nil"/>
              <w:bottom w:val="nil"/>
              <w:right w:val="nil"/>
            </w:tcBorders>
            <w:shd w:val="clear" w:color="auto" w:fill="auto"/>
            <w:noWrap/>
            <w:vAlign w:val="bottom"/>
            <w:hideMark/>
          </w:tcPr>
          <w:p w14:paraId="16AFF80C" w14:textId="77777777" w:rsidR="0083161B" w:rsidRPr="00D23517" w:rsidRDefault="0083161B" w:rsidP="00A1062B">
            <w:pPr>
              <w:spacing w:after="0" w:line="240" w:lineRule="auto"/>
              <w:contextualSpacing/>
              <w:jc w:val="both"/>
              <w:rPr>
                <w:rFonts w:ascii="Times New Roman" w:eastAsia="Times New Roman" w:hAnsi="Times New Roman" w:cs="Times New Roman"/>
                <w:i/>
                <w:sz w:val="20"/>
                <w:szCs w:val="20"/>
              </w:rPr>
            </w:pPr>
            <w:r w:rsidRPr="00D23517">
              <w:rPr>
                <w:rFonts w:ascii="Times New Roman" w:eastAsia="Times New Roman" w:hAnsi="Times New Roman" w:cs="Times New Roman"/>
                <w:i/>
                <w:sz w:val="20"/>
                <w:szCs w:val="20"/>
              </w:rPr>
              <w:t>L.MKTADJRET</w:t>
            </w:r>
          </w:p>
        </w:tc>
        <w:tc>
          <w:tcPr>
            <w:tcW w:w="998" w:type="pct"/>
            <w:tcBorders>
              <w:top w:val="nil"/>
              <w:left w:val="nil"/>
              <w:bottom w:val="nil"/>
              <w:right w:val="nil"/>
            </w:tcBorders>
            <w:shd w:val="clear" w:color="auto" w:fill="auto"/>
            <w:noWrap/>
            <w:vAlign w:val="bottom"/>
            <w:hideMark/>
          </w:tcPr>
          <w:p w14:paraId="77CB9D14"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sz w:val="20"/>
                <w:szCs w:val="20"/>
              </w:rPr>
              <w:t>0.000</w:t>
            </w:r>
          </w:p>
        </w:tc>
        <w:tc>
          <w:tcPr>
            <w:tcW w:w="646" w:type="pct"/>
            <w:tcBorders>
              <w:top w:val="nil"/>
              <w:left w:val="nil"/>
              <w:bottom w:val="nil"/>
              <w:right w:val="nil"/>
            </w:tcBorders>
            <w:shd w:val="clear" w:color="auto" w:fill="auto"/>
            <w:noWrap/>
            <w:vAlign w:val="bottom"/>
            <w:hideMark/>
          </w:tcPr>
          <w:p w14:paraId="5955F55C"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sz w:val="20"/>
                <w:szCs w:val="20"/>
              </w:rPr>
              <w:t>-0.03</w:t>
            </w:r>
          </w:p>
        </w:tc>
      </w:tr>
      <w:tr w:rsidR="0083161B" w:rsidRPr="00D23517" w14:paraId="5BED46F4" w14:textId="77777777" w:rsidTr="008F6E16">
        <w:trPr>
          <w:trHeight w:val="144"/>
        </w:trPr>
        <w:tc>
          <w:tcPr>
            <w:tcW w:w="3356" w:type="pct"/>
            <w:tcBorders>
              <w:top w:val="nil"/>
              <w:left w:val="nil"/>
              <w:bottom w:val="nil"/>
              <w:right w:val="nil"/>
            </w:tcBorders>
            <w:shd w:val="clear" w:color="auto" w:fill="auto"/>
            <w:noWrap/>
            <w:vAlign w:val="bottom"/>
            <w:hideMark/>
          </w:tcPr>
          <w:p w14:paraId="500650F9" w14:textId="77777777" w:rsidR="0083161B" w:rsidRPr="00D23517" w:rsidRDefault="0083161B" w:rsidP="00A1062B">
            <w:pPr>
              <w:spacing w:after="0" w:line="240" w:lineRule="auto"/>
              <w:contextualSpacing/>
              <w:jc w:val="both"/>
              <w:rPr>
                <w:rFonts w:ascii="Times New Roman" w:eastAsia="Times New Roman" w:hAnsi="Times New Roman" w:cs="Times New Roman"/>
                <w:i/>
                <w:sz w:val="20"/>
                <w:szCs w:val="20"/>
              </w:rPr>
            </w:pPr>
            <w:r w:rsidRPr="00D23517">
              <w:rPr>
                <w:rFonts w:ascii="Times New Roman" w:eastAsia="Times New Roman" w:hAnsi="Times New Roman" w:cs="Times New Roman"/>
                <w:i/>
                <w:sz w:val="20"/>
                <w:szCs w:val="20"/>
              </w:rPr>
              <w:t>MKTADJRET</w:t>
            </w:r>
          </w:p>
        </w:tc>
        <w:tc>
          <w:tcPr>
            <w:tcW w:w="998" w:type="pct"/>
            <w:tcBorders>
              <w:top w:val="nil"/>
              <w:left w:val="nil"/>
              <w:bottom w:val="nil"/>
              <w:right w:val="nil"/>
            </w:tcBorders>
            <w:shd w:val="clear" w:color="auto" w:fill="auto"/>
            <w:noWrap/>
            <w:vAlign w:val="bottom"/>
            <w:hideMark/>
          </w:tcPr>
          <w:p w14:paraId="1D5D423E"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sz w:val="20"/>
                <w:szCs w:val="20"/>
              </w:rPr>
              <w:t>0.002</w:t>
            </w:r>
          </w:p>
        </w:tc>
        <w:tc>
          <w:tcPr>
            <w:tcW w:w="646" w:type="pct"/>
            <w:tcBorders>
              <w:top w:val="nil"/>
              <w:left w:val="nil"/>
              <w:bottom w:val="nil"/>
              <w:right w:val="nil"/>
            </w:tcBorders>
            <w:shd w:val="clear" w:color="auto" w:fill="auto"/>
            <w:noWrap/>
            <w:vAlign w:val="bottom"/>
            <w:hideMark/>
          </w:tcPr>
          <w:p w14:paraId="1DC2F993"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sz w:val="20"/>
                <w:szCs w:val="20"/>
              </w:rPr>
              <w:t>0.98</w:t>
            </w:r>
          </w:p>
        </w:tc>
      </w:tr>
      <w:tr w:rsidR="0083161B" w:rsidRPr="00D23517" w14:paraId="195F0A0B" w14:textId="77777777" w:rsidTr="008F6E16">
        <w:trPr>
          <w:trHeight w:val="144"/>
        </w:trPr>
        <w:tc>
          <w:tcPr>
            <w:tcW w:w="3356" w:type="pct"/>
            <w:tcBorders>
              <w:top w:val="nil"/>
              <w:left w:val="nil"/>
              <w:bottom w:val="nil"/>
              <w:right w:val="nil"/>
            </w:tcBorders>
            <w:shd w:val="clear" w:color="auto" w:fill="auto"/>
            <w:noWrap/>
            <w:vAlign w:val="bottom"/>
          </w:tcPr>
          <w:p w14:paraId="38C7F494"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p>
        </w:tc>
        <w:tc>
          <w:tcPr>
            <w:tcW w:w="998" w:type="pct"/>
            <w:tcBorders>
              <w:top w:val="nil"/>
              <w:left w:val="nil"/>
              <w:bottom w:val="nil"/>
              <w:right w:val="nil"/>
            </w:tcBorders>
            <w:shd w:val="clear" w:color="auto" w:fill="auto"/>
            <w:noWrap/>
            <w:vAlign w:val="bottom"/>
          </w:tcPr>
          <w:p w14:paraId="69FEA7DB"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p>
        </w:tc>
        <w:tc>
          <w:tcPr>
            <w:tcW w:w="646" w:type="pct"/>
            <w:tcBorders>
              <w:top w:val="nil"/>
              <w:left w:val="nil"/>
              <w:bottom w:val="nil"/>
              <w:right w:val="nil"/>
            </w:tcBorders>
            <w:shd w:val="clear" w:color="auto" w:fill="auto"/>
            <w:noWrap/>
            <w:vAlign w:val="bottom"/>
          </w:tcPr>
          <w:p w14:paraId="697A7172"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p>
        </w:tc>
      </w:tr>
      <w:tr w:rsidR="0083161B" w:rsidRPr="00D23517" w14:paraId="129C1288" w14:textId="77777777" w:rsidTr="008F6E16">
        <w:trPr>
          <w:trHeight w:val="144"/>
        </w:trPr>
        <w:tc>
          <w:tcPr>
            <w:tcW w:w="3356" w:type="pct"/>
            <w:tcBorders>
              <w:top w:val="nil"/>
              <w:left w:val="nil"/>
              <w:bottom w:val="nil"/>
              <w:right w:val="nil"/>
            </w:tcBorders>
            <w:shd w:val="clear" w:color="auto" w:fill="auto"/>
            <w:noWrap/>
            <w:vAlign w:val="bottom"/>
            <w:hideMark/>
          </w:tcPr>
          <w:p w14:paraId="6E11037D"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Aver. Adj. R-squared</w:t>
            </w:r>
          </w:p>
        </w:tc>
        <w:tc>
          <w:tcPr>
            <w:tcW w:w="998" w:type="pct"/>
            <w:tcBorders>
              <w:top w:val="nil"/>
              <w:left w:val="nil"/>
              <w:bottom w:val="nil"/>
              <w:right w:val="nil"/>
            </w:tcBorders>
            <w:shd w:val="clear" w:color="auto" w:fill="auto"/>
            <w:noWrap/>
            <w:vAlign w:val="bottom"/>
          </w:tcPr>
          <w:p w14:paraId="1DBFB4CB"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sz w:val="20"/>
                <w:szCs w:val="20"/>
              </w:rPr>
              <w:t>0.447</w:t>
            </w:r>
          </w:p>
        </w:tc>
        <w:tc>
          <w:tcPr>
            <w:tcW w:w="646" w:type="pct"/>
            <w:tcBorders>
              <w:top w:val="nil"/>
              <w:left w:val="nil"/>
              <w:bottom w:val="nil"/>
              <w:right w:val="nil"/>
            </w:tcBorders>
            <w:shd w:val="clear" w:color="auto" w:fill="auto"/>
            <w:noWrap/>
            <w:vAlign w:val="bottom"/>
          </w:tcPr>
          <w:p w14:paraId="5E879641"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sz w:val="20"/>
                <w:szCs w:val="20"/>
              </w:rPr>
              <w:t>45.27***</w:t>
            </w:r>
          </w:p>
        </w:tc>
      </w:tr>
      <w:tr w:rsidR="0083161B" w:rsidRPr="00D23517" w14:paraId="6462AF02" w14:textId="77777777" w:rsidTr="008F6E16">
        <w:trPr>
          <w:trHeight w:val="144"/>
        </w:trPr>
        <w:tc>
          <w:tcPr>
            <w:tcW w:w="3356" w:type="pct"/>
            <w:tcBorders>
              <w:top w:val="nil"/>
              <w:left w:val="nil"/>
              <w:right w:val="nil"/>
            </w:tcBorders>
            <w:shd w:val="clear" w:color="auto" w:fill="auto"/>
            <w:noWrap/>
            <w:vAlign w:val="bottom"/>
            <w:hideMark/>
          </w:tcPr>
          <w:p w14:paraId="087FB9DC"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Number of industry-year combinations</w:t>
            </w:r>
          </w:p>
        </w:tc>
        <w:tc>
          <w:tcPr>
            <w:tcW w:w="998" w:type="pct"/>
            <w:tcBorders>
              <w:top w:val="nil"/>
              <w:left w:val="nil"/>
              <w:bottom w:val="nil"/>
              <w:right w:val="nil"/>
            </w:tcBorders>
            <w:shd w:val="clear" w:color="auto" w:fill="auto"/>
            <w:noWrap/>
            <w:vAlign w:val="bottom"/>
          </w:tcPr>
          <w:p w14:paraId="2709E738"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sz w:val="20"/>
                <w:szCs w:val="20"/>
              </w:rPr>
              <w:t>1115</w:t>
            </w:r>
          </w:p>
        </w:tc>
        <w:tc>
          <w:tcPr>
            <w:tcW w:w="646" w:type="pct"/>
            <w:tcBorders>
              <w:top w:val="nil"/>
              <w:left w:val="nil"/>
              <w:bottom w:val="nil"/>
              <w:right w:val="nil"/>
            </w:tcBorders>
            <w:shd w:val="clear" w:color="auto" w:fill="auto"/>
            <w:noWrap/>
            <w:vAlign w:val="bottom"/>
          </w:tcPr>
          <w:p w14:paraId="41F80EF5"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p>
        </w:tc>
      </w:tr>
      <w:tr w:rsidR="0083161B" w:rsidRPr="00D23517" w14:paraId="1F7B2044" w14:textId="77777777" w:rsidTr="008F6E16">
        <w:trPr>
          <w:trHeight w:val="144"/>
        </w:trPr>
        <w:tc>
          <w:tcPr>
            <w:tcW w:w="3356" w:type="pct"/>
            <w:tcBorders>
              <w:top w:val="nil"/>
              <w:left w:val="nil"/>
              <w:bottom w:val="single" w:sz="4" w:space="0" w:color="auto"/>
              <w:right w:val="nil"/>
            </w:tcBorders>
            <w:shd w:val="clear" w:color="auto" w:fill="auto"/>
            <w:noWrap/>
            <w:vAlign w:val="bottom"/>
            <w:hideMark/>
          </w:tcPr>
          <w:p w14:paraId="38E0D00B"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Average number of observations per regressions</w:t>
            </w:r>
          </w:p>
        </w:tc>
        <w:tc>
          <w:tcPr>
            <w:tcW w:w="998" w:type="pct"/>
            <w:tcBorders>
              <w:top w:val="nil"/>
              <w:left w:val="nil"/>
              <w:bottom w:val="single" w:sz="4" w:space="0" w:color="auto"/>
              <w:right w:val="nil"/>
            </w:tcBorders>
            <w:shd w:val="clear" w:color="auto" w:fill="auto"/>
            <w:noWrap/>
            <w:vAlign w:val="bottom"/>
            <w:hideMark/>
          </w:tcPr>
          <w:p w14:paraId="239A1A8D"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sz w:val="20"/>
                <w:szCs w:val="20"/>
              </w:rPr>
              <w:t>44.54</w:t>
            </w:r>
          </w:p>
        </w:tc>
        <w:tc>
          <w:tcPr>
            <w:tcW w:w="646" w:type="pct"/>
            <w:tcBorders>
              <w:top w:val="nil"/>
              <w:left w:val="nil"/>
              <w:bottom w:val="single" w:sz="4" w:space="0" w:color="auto"/>
              <w:right w:val="nil"/>
            </w:tcBorders>
            <w:shd w:val="clear" w:color="auto" w:fill="auto"/>
            <w:noWrap/>
            <w:vAlign w:val="bottom"/>
            <w:hideMark/>
          </w:tcPr>
          <w:p w14:paraId="69F963EB" w14:textId="77777777" w:rsidR="0083161B" w:rsidRPr="00D23517" w:rsidRDefault="0083161B" w:rsidP="00A1062B">
            <w:pPr>
              <w:spacing w:after="0" w:line="240" w:lineRule="auto"/>
              <w:contextualSpacing/>
              <w:jc w:val="both"/>
              <w:rPr>
                <w:rFonts w:ascii="Times New Roman" w:eastAsia="Times New Roman" w:hAnsi="Times New Roman" w:cs="Times New Roman"/>
                <w:sz w:val="20"/>
                <w:szCs w:val="20"/>
              </w:rPr>
            </w:pPr>
          </w:p>
        </w:tc>
      </w:tr>
    </w:tbl>
    <w:p w14:paraId="4560337A" w14:textId="437D2C92" w:rsidR="004F0457" w:rsidRPr="005F4D86" w:rsidRDefault="004F0457" w:rsidP="00A1062B">
      <w:pPr>
        <w:jc w:val="both"/>
        <w:rPr>
          <w:rFonts w:ascii="Times New Roman" w:hAnsi="Times New Roman" w:cs="Times New Roman"/>
          <w:sz w:val="20"/>
          <w:szCs w:val="20"/>
        </w:rPr>
      </w:pPr>
      <w:r w:rsidRPr="005F4D86">
        <w:rPr>
          <w:rFonts w:ascii="Times New Roman" w:eastAsia="Times New Roman" w:hAnsi="Times New Roman" w:cs="Times New Roman"/>
          <w:bCs/>
          <w:sz w:val="20"/>
          <w:szCs w:val="20"/>
        </w:rPr>
        <w:t>Note:</w:t>
      </w:r>
      <w:r w:rsidR="00503293">
        <w:rPr>
          <w:rFonts w:ascii="Times New Roman" w:eastAsia="Times New Roman" w:hAnsi="Times New Roman" w:cs="Times New Roman"/>
          <w:bCs/>
          <w:sz w:val="20"/>
          <w:szCs w:val="20"/>
        </w:rPr>
        <w:t xml:space="preserve"> This table presents the regression results </w:t>
      </w:r>
      <w:r w:rsidR="00503293" w:rsidRPr="006A07BC">
        <w:rPr>
          <w:rFonts w:ascii="Times New Roman" w:eastAsia="Times New Roman" w:hAnsi="Times New Roman" w:cs="Times New Roman"/>
          <w:bCs/>
          <w:sz w:val="20"/>
          <w:szCs w:val="20"/>
        </w:rPr>
        <w:t>of obtaining expected operating earnings and expected non-operating earnings</w:t>
      </w:r>
      <w:r w:rsidR="00503293">
        <w:rPr>
          <w:rFonts w:ascii="Times New Roman" w:eastAsia="Times New Roman" w:hAnsi="Times New Roman" w:cs="Times New Roman"/>
          <w:bCs/>
          <w:sz w:val="20"/>
          <w:szCs w:val="20"/>
        </w:rPr>
        <w:t>.</w:t>
      </w:r>
      <w:r w:rsidR="00503293" w:rsidRPr="005F4D86">
        <w:rPr>
          <w:rFonts w:ascii="Times New Roman" w:eastAsia="Times New Roman" w:hAnsi="Times New Roman" w:cs="Times New Roman"/>
          <w:bCs/>
          <w:sz w:val="20"/>
          <w:szCs w:val="20"/>
        </w:rPr>
        <w:t xml:space="preserve"> </w:t>
      </w:r>
      <w:r w:rsidRPr="005F4D86">
        <w:rPr>
          <w:rFonts w:ascii="Times New Roman" w:eastAsia="Times New Roman" w:hAnsi="Times New Roman" w:cs="Times New Roman"/>
          <w:bCs/>
          <w:sz w:val="20"/>
          <w:szCs w:val="20"/>
        </w:rPr>
        <w:t xml:space="preserve">In Panel A, the dependent variable is </w:t>
      </w:r>
      <w:r w:rsidRPr="005F4D86">
        <w:rPr>
          <w:rFonts w:ascii="Times New Roman" w:eastAsia="Times New Roman" w:hAnsi="Times New Roman" w:cs="Times New Roman"/>
          <w:bCs/>
          <w:i/>
          <w:sz w:val="20"/>
          <w:szCs w:val="20"/>
        </w:rPr>
        <w:t>OPERINC</w:t>
      </w:r>
      <w:r w:rsidR="00F76D51">
        <w:rPr>
          <w:rFonts w:ascii="Times New Roman" w:eastAsia="Times New Roman" w:hAnsi="Times New Roman" w:cs="Times New Roman"/>
          <w:bCs/>
          <w:i/>
          <w:sz w:val="20"/>
          <w:szCs w:val="20"/>
        </w:rPr>
        <w:t>,</w:t>
      </w:r>
      <w:r w:rsidRPr="005F4D86">
        <w:rPr>
          <w:rFonts w:ascii="Times New Roman" w:eastAsia="Times New Roman" w:hAnsi="Times New Roman" w:cs="Times New Roman"/>
          <w:bCs/>
          <w:i/>
          <w:sz w:val="20"/>
          <w:szCs w:val="20"/>
        </w:rPr>
        <w:t xml:space="preserve"> </w:t>
      </w:r>
      <w:r w:rsidRPr="005F4D86">
        <w:rPr>
          <w:rFonts w:ascii="Times New Roman" w:eastAsia="Times New Roman" w:hAnsi="Times New Roman" w:cs="Times New Roman"/>
          <w:bCs/>
          <w:sz w:val="20"/>
          <w:szCs w:val="20"/>
        </w:rPr>
        <w:t xml:space="preserve">measured as sales minus cost of goods sold minus selling, general, and administrative expenses </w:t>
      </w:r>
      <w:r w:rsidR="002B59CA">
        <w:rPr>
          <w:rFonts w:ascii="Times New Roman" w:eastAsia="Times New Roman" w:hAnsi="Times New Roman" w:cs="Times New Roman"/>
          <w:bCs/>
          <w:sz w:val="20"/>
          <w:szCs w:val="20"/>
        </w:rPr>
        <w:t xml:space="preserve">then </w:t>
      </w:r>
      <w:r w:rsidRPr="005F4D86">
        <w:rPr>
          <w:rFonts w:ascii="Times New Roman" w:eastAsia="Times New Roman" w:hAnsi="Times New Roman" w:cs="Times New Roman"/>
          <w:bCs/>
          <w:sz w:val="20"/>
          <w:szCs w:val="20"/>
        </w:rPr>
        <w:t xml:space="preserve">scaled by total assets. In Panel B, the dependent variable is </w:t>
      </w:r>
      <w:r w:rsidRPr="00197B3E">
        <w:rPr>
          <w:rFonts w:ascii="Times New Roman" w:eastAsia="Times New Roman" w:hAnsi="Times New Roman" w:cs="Times New Roman"/>
          <w:bCs/>
          <w:i/>
          <w:iCs/>
          <w:sz w:val="20"/>
          <w:szCs w:val="20"/>
        </w:rPr>
        <w:t>NONOPERINC</w:t>
      </w:r>
      <w:r w:rsidR="002B59CA">
        <w:rPr>
          <w:rFonts w:ascii="Times New Roman" w:eastAsia="Times New Roman" w:hAnsi="Times New Roman" w:cs="Times New Roman"/>
          <w:bCs/>
          <w:sz w:val="20"/>
          <w:szCs w:val="20"/>
        </w:rPr>
        <w:t>,</w:t>
      </w:r>
      <w:r w:rsidRPr="005F4D86">
        <w:rPr>
          <w:rFonts w:ascii="Times New Roman" w:eastAsia="Times New Roman" w:hAnsi="Times New Roman" w:cs="Times New Roman"/>
          <w:bCs/>
          <w:sz w:val="20"/>
          <w:szCs w:val="20"/>
        </w:rPr>
        <w:t xml:space="preserve"> measured as non-operating income</w:t>
      </w:r>
      <w:r w:rsidR="003713E8">
        <w:rPr>
          <w:rFonts w:ascii="Times New Roman" w:eastAsia="Times New Roman" w:hAnsi="Times New Roman" w:cs="Times New Roman"/>
          <w:bCs/>
          <w:sz w:val="20"/>
          <w:szCs w:val="20"/>
        </w:rPr>
        <w:t>-</w:t>
      </w:r>
      <w:r w:rsidRPr="005F4D86">
        <w:rPr>
          <w:rFonts w:ascii="Times New Roman" w:eastAsia="Times New Roman" w:hAnsi="Times New Roman" w:cs="Times New Roman"/>
          <w:bCs/>
          <w:sz w:val="20"/>
          <w:szCs w:val="20"/>
        </w:rPr>
        <w:t>to</w:t>
      </w:r>
      <w:r w:rsidR="003713E8">
        <w:rPr>
          <w:rFonts w:ascii="Times New Roman" w:eastAsia="Times New Roman" w:hAnsi="Times New Roman" w:cs="Times New Roman"/>
          <w:bCs/>
          <w:sz w:val="20"/>
          <w:szCs w:val="20"/>
        </w:rPr>
        <w:t>-</w:t>
      </w:r>
      <w:r w:rsidRPr="005F4D86">
        <w:rPr>
          <w:rFonts w:ascii="Times New Roman" w:eastAsia="Times New Roman" w:hAnsi="Times New Roman" w:cs="Times New Roman"/>
          <w:bCs/>
          <w:sz w:val="20"/>
          <w:szCs w:val="20"/>
        </w:rPr>
        <w:t xml:space="preserve">asset ratio. </w:t>
      </w:r>
      <w:r w:rsidRPr="005F4D86">
        <w:rPr>
          <w:rFonts w:ascii="Times New Roman" w:eastAsia="Times New Roman" w:hAnsi="Times New Roman" w:cs="Times New Roman"/>
          <w:bCs/>
          <w:i/>
          <w:sz w:val="20"/>
          <w:szCs w:val="20"/>
        </w:rPr>
        <w:t>ATO</w:t>
      </w:r>
      <w:r w:rsidRPr="005F4D86">
        <w:rPr>
          <w:rFonts w:ascii="Times New Roman" w:eastAsia="Times New Roman" w:hAnsi="Times New Roman" w:cs="Times New Roman"/>
          <w:bCs/>
          <w:sz w:val="20"/>
          <w:szCs w:val="20"/>
        </w:rPr>
        <w:t xml:space="preserve"> is asset turnover ratio, </w:t>
      </w:r>
      <w:r w:rsidR="002B59CA">
        <w:rPr>
          <w:rFonts w:ascii="Times New Roman" w:eastAsia="Times New Roman" w:hAnsi="Times New Roman" w:cs="Times New Roman"/>
          <w:bCs/>
          <w:sz w:val="20"/>
          <w:szCs w:val="20"/>
        </w:rPr>
        <w:t>constructed</w:t>
      </w:r>
      <w:r w:rsidR="002B59CA" w:rsidRPr="005F4D86">
        <w:rPr>
          <w:rFonts w:ascii="Times New Roman" w:eastAsia="Times New Roman" w:hAnsi="Times New Roman" w:cs="Times New Roman"/>
          <w:bCs/>
          <w:sz w:val="20"/>
          <w:szCs w:val="20"/>
        </w:rPr>
        <w:t xml:space="preserve"> </w:t>
      </w:r>
      <w:r w:rsidRPr="005F4D86">
        <w:rPr>
          <w:rFonts w:ascii="Times New Roman" w:eastAsia="Times New Roman" w:hAnsi="Times New Roman" w:cs="Times New Roman"/>
          <w:bCs/>
          <w:sz w:val="20"/>
          <w:szCs w:val="20"/>
        </w:rPr>
        <w:t xml:space="preserve">as </w:t>
      </w:r>
      <w:proofErr w:type="spellStart"/>
      <w:r w:rsidRPr="005F4D86">
        <w:rPr>
          <w:rFonts w:ascii="Times New Roman" w:eastAsia="Times New Roman" w:hAnsi="Times New Roman" w:cs="Times New Roman"/>
          <w:bCs/>
          <w:i/>
          <w:sz w:val="20"/>
          <w:szCs w:val="20"/>
        </w:rPr>
        <w:t>SALES</w:t>
      </w:r>
      <w:r w:rsidRPr="005F4D86">
        <w:rPr>
          <w:rFonts w:ascii="Times New Roman" w:eastAsia="Times New Roman" w:hAnsi="Times New Roman" w:cs="Times New Roman"/>
          <w:bCs/>
          <w:i/>
          <w:sz w:val="20"/>
          <w:szCs w:val="20"/>
          <w:vertAlign w:val="subscript"/>
        </w:rPr>
        <w:t>t</w:t>
      </w:r>
      <w:proofErr w:type="spellEnd"/>
      <w:proofErr w:type="gramStart"/>
      <w:r w:rsidRPr="005F4D86">
        <w:rPr>
          <w:rFonts w:ascii="Times New Roman" w:eastAsia="Times New Roman" w:hAnsi="Times New Roman" w:cs="Times New Roman"/>
          <w:bCs/>
          <w:i/>
          <w:sz w:val="20"/>
          <w:szCs w:val="20"/>
        </w:rPr>
        <w:t>/(</w:t>
      </w:r>
      <w:proofErr w:type="gramEnd"/>
      <w:r w:rsidRPr="005F4D86">
        <w:rPr>
          <w:rFonts w:ascii="Times New Roman" w:eastAsia="Times New Roman" w:hAnsi="Times New Roman" w:cs="Times New Roman"/>
          <w:bCs/>
          <w:i/>
          <w:sz w:val="20"/>
          <w:szCs w:val="20"/>
        </w:rPr>
        <w:t>(</w:t>
      </w:r>
      <w:proofErr w:type="spellStart"/>
      <w:r w:rsidRPr="005F4D86">
        <w:rPr>
          <w:rFonts w:ascii="Times New Roman" w:eastAsia="Times New Roman" w:hAnsi="Times New Roman" w:cs="Times New Roman"/>
          <w:bCs/>
          <w:i/>
          <w:sz w:val="20"/>
          <w:szCs w:val="20"/>
        </w:rPr>
        <w:t>NOA</w:t>
      </w:r>
      <w:r w:rsidRPr="005F4D86">
        <w:rPr>
          <w:rFonts w:ascii="Times New Roman" w:eastAsia="Times New Roman" w:hAnsi="Times New Roman" w:cs="Times New Roman"/>
          <w:bCs/>
          <w:i/>
          <w:sz w:val="20"/>
          <w:szCs w:val="20"/>
          <w:vertAlign w:val="subscript"/>
        </w:rPr>
        <w:t>t</w:t>
      </w:r>
      <w:proofErr w:type="spellEnd"/>
      <w:r w:rsidRPr="005F4D86">
        <w:rPr>
          <w:rFonts w:ascii="Times New Roman" w:eastAsia="Times New Roman" w:hAnsi="Times New Roman" w:cs="Times New Roman"/>
          <w:bCs/>
          <w:i/>
          <w:sz w:val="20"/>
          <w:szCs w:val="20"/>
          <w:vertAlign w:val="subscript"/>
        </w:rPr>
        <w:t xml:space="preserve"> </w:t>
      </w:r>
      <w:r w:rsidRPr="005F4D86">
        <w:rPr>
          <w:rFonts w:ascii="Times New Roman" w:eastAsia="Times New Roman" w:hAnsi="Times New Roman" w:cs="Times New Roman"/>
          <w:bCs/>
          <w:i/>
          <w:sz w:val="20"/>
          <w:szCs w:val="20"/>
        </w:rPr>
        <w:t>+ NOA</w:t>
      </w:r>
      <w:r w:rsidRPr="005F4D86">
        <w:rPr>
          <w:rFonts w:ascii="Times New Roman" w:eastAsia="Times New Roman" w:hAnsi="Times New Roman" w:cs="Times New Roman"/>
          <w:bCs/>
          <w:i/>
          <w:sz w:val="20"/>
          <w:szCs w:val="20"/>
          <w:vertAlign w:val="subscript"/>
        </w:rPr>
        <w:t>t+1</w:t>
      </w:r>
      <w:r w:rsidRPr="005F4D86">
        <w:rPr>
          <w:rFonts w:ascii="Times New Roman" w:eastAsia="Times New Roman" w:hAnsi="Times New Roman" w:cs="Times New Roman"/>
          <w:bCs/>
          <w:i/>
          <w:sz w:val="20"/>
          <w:szCs w:val="20"/>
        </w:rPr>
        <w:t>)/2))</w:t>
      </w:r>
      <w:r w:rsidRPr="005F4D86">
        <w:rPr>
          <w:rFonts w:ascii="Times New Roman" w:eastAsia="Times New Roman" w:hAnsi="Times New Roman" w:cs="Times New Roman"/>
          <w:bCs/>
          <w:sz w:val="20"/>
          <w:szCs w:val="20"/>
        </w:rPr>
        <w:t xml:space="preserve">, where </w:t>
      </w:r>
      <w:r w:rsidRPr="005F4D86">
        <w:rPr>
          <w:rFonts w:ascii="Times New Roman" w:eastAsia="Times New Roman" w:hAnsi="Times New Roman" w:cs="Times New Roman"/>
          <w:bCs/>
          <w:i/>
          <w:sz w:val="20"/>
          <w:szCs w:val="20"/>
        </w:rPr>
        <w:t>NOA</w:t>
      </w:r>
      <w:r w:rsidRPr="005F4D86">
        <w:rPr>
          <w:rFonts w:ascii="Times New Roman" w:eastAsia="Times New Roman" w:hAnsi="Times New Roman" w:cs="Times New Roman"/>
          <w:bCs/>
          <w:sz w:val="20"/>
          <w:szCs w:val="20"/>
        </w:rPr>
        <w:t xml:space="preserve"> is operating assets minus operating liabilities. Operating assets are total assets minus cash and short-term investments. Operating liabilities are total assets minus total debt minus book value of common and preferred equity minus minority interest. </w:t>
      </w:r>
      <w:r w:rsidRPr="005F4D86">
        <w:rPr>
          <w:rFonts w:ascii="Times New Roman" w:eastAsia="Times New Roman" w:hAnsi="Times New Roman" w:cs="Times New Roman"/>
          <w:bCs/>
          <w:i/>
          <w:sz w:val="20"/>
          <w:szCs w:val="20"/>
        </w:rPr>
        <w:t>ACCRUALS</w:t>
      </w:r>
      <w:r w:rsidRPr="005F4D86">
        <w:rPr>
          <w:rFonts w:ascii="Times New Roman" w:eastAsia="Times New Roman" w:hAnsi="Times New Roman" w:cs="Times New Roman"/>
          <w:bCs/>
          <w:sz w:val="20"/>
          <w:szCs w:val="20"/>
        </w:rPr>
        <w:t xml:space="preserve"> is the income before extraordinary items minus cash from operations. </w:t>
      </w:r>
      <w:r w:rsidRPr="005F4D86">
        <w:rPr>
          <w:rFonts w:ascii="Times New Roman" w:eastAsia="Times New Roman" w:hAnsi="Times New Roman" w:cs="Times New Roman"/>
          <w:bCs/>
          <w:i/>
          <w:sz w:val="20"/>
          <w:szCs w:val="20"/>
        </w:rPr>
        <w:t>SALECHG</w:t>
      </w:r>
      <w:r w:rsidRPr="005F4D86">
        <w:rPr>
          <w:rFonts w:ascii="Times New Roman" w:eastAsia="Times New Roman" w:hAnsi="Times New Roman" w:cs="Times New Roman"/>
          <w:bCs/>
          <w:sz w:val="20"/>
          <w:szCs w:val="20"/>
        </w:rPr>
        <w:t xml:space="preserve"> is the percentage change in sales. </w:t>
      </w:r>
      <w:r w:rsidRPr="005F4D86">
        <w:rPr>
          <w:rFonts w:ascii="Times New Roman" w:eastAsia="Times New Roman" w:hAnsi="Times New Roman" w:cs="Times New Roman"/>
          <w:bCs/>
          <w:i/>
          <w:sz w:val="20"/>
          <w:szCs w:val="20"/>
        </w:rPr>
        <w:t>NEGSALECHG</w:t>
      </w:r>
      <w:r w:rsidRPr="005F4D86">
        <w:rPr>
          <w:rFonts w:ascii="Times New Roman" w:eastAsia="Times New Roman" w:hAnsi="Times New Roman" w:cs="Times New Roman"/>
          <w:bCs/>
          <w:sz w:val="20"/>
          <w:szCs w:val="20"/>
        </w:rPr>
        <w:t xml:space="preserve"> is equal to 1 if the sales decrease</w:t>
      </w:r>
      <w:r w:rsidR="006E7F78">
        <w:rPr>
          <w:rFonts w:ascii="Times New Roman" w:eastAsia="Times New Roman" w:hAnsi="Times New Roman" w:cs="Times New Roman"/>
          <w:bCs/>
          <w:sz w:val="20"/>
          <w:szCs w:val="20"/>
        </w:rPr>
        <w:t>,</w:t>
      </w:r>
      <w:r w:rsidRPr="005F4D86">
        <w:rPr>
          <w:rFonts w:ascii="Times New Roman" w:eastAsia="Times New Roman" w:hAnsi="Times New Roman" w:cs="Times New Roman"/>
          <w:bCs/>
          <w:sz w:val="20"/>
          <w:szCs w:val="20"/>
        </w:rPr>
        <w:t xml:space="preserve"> and 0 otherwise. </w:t>
      </w:r>
      <w:r w:rsidRPr="005F4D86">
        <w:rPr>
          <w:rFonts w:ascii="Times New Roman" w:eastAsia="Times New Roman" w:hAnsi="Times New Roman" w:cs="Times New Roman"/>
          <w:bCs/>
          <w:i/>
          <w:sz w:val="20"/>
          <w:szCs w:val="20"/>
        </w:rPr>
        <w:t>MKTADJREAT</w:t>
      </w:r>
      <w:r w:rsidRPr="005F4D86">
        <w:rPr>
          <w:rFonts w:ascii="Times New Roman" w:eastAsia="Times New Roman" w:hAnsi="Times New Roman" w:cs="Times New Roman"/>
          <w:bCs/>
          <w:sz w:val="20"/>
          <w:szCs w:val="20"/>
        </w:rPr>
        <w:t xml:space="preserve"> is calculated as the buy-and-hold returns of the firm in year t minus the buy-and-hold returns of the CRSP value-weighted index in year t. We obtain </w:t>
      </w:r>
      <w:r w:rsidR="00E8458C">
        <w:rPr>
          <w:rFonts w:ascii="Times New Roman" w:eastAsia="Times New Roman" w:hAnsi="Times New Roman" w:cs="Times New Roman"/>
          <w:bCs/>
          <w:sz w:val="20"/>
          <w:szCs w:val="20"/>
        </w:rPr>
        <w:t xml:space="preserve">the </w:t>
      </w:r>
      <w:r w:rsidRPr="005F4D86">
        <w:rPr>
          <w:rFonts w:ascii="Times New Roman" w:eastAsia="Times New Roman" w:hAnsi="Times New Roman" w:cs="Times New Roman"/>
          <w:bCs/>
          <w:sz w:val="20"/>
          <w:szCs w:val="20"/>
        </w:rPr>
        <w:t xml:space="preserve">coefficients using all the observations in a particular industry-year </w:t>
      </w:r>
      <w:r w:rsidR="00D26D75">
        <w:rPr>
          <w:rFonts w:ascii="Times New Roman" w:eastAsia="Times New Roman" w:hAnsi="Times New Roman" w:cs="Times New Roman"/>
          <w:bCs/>
          <w:sz w:val="20"/>
          <w:szCs w:val="20"/>
        </w:rPr>
        <w:t>except</w:t>
      </w:r>
      <w:r w:rsidR="00041A68" w:rsidRPr="005F4D86">
        <w:rPr>
          <w:rFonts w:ascii="Times New Roman" w:eastAsia="Times New Roman" w:hAnsi="Times New Roman" w:cs="Times New Roman"/>
          <w:bCs/>
          <w:sz w:val="20"/>
          <w:szCs w:val="20"/>
        </w:rPr>
        <w:t xml:space="preserve"> </w:t>
      </w:r>
      <w:r w:rsidRPr="005F4D86">
        <w:rPr>
          <w:rFonts w:ascii="Times New Roman" w:eastAsia="Times New Roman" w:hAnsi="Times New Roman" w:cs="Times New Roman"/>
          <w:bCs/>
          <w:sz w:val="20"/>
          <w:szCs w:val="20"/>
        </w:rPr>
        <w:t xml:space="preserve">firm </w:t>
      </w:r>
      <w:r w:rsidRPr="005F4D86">
        <w:rPr>
          <w:rFonts w:ascii="Times New Roman" w:eastAsia="Times New Roman" w:hAnsi="Times New Roman" w:cs="Times New Roman"/>
          <w:bCs/>
          <w:i/>
          <w:sz w:val="20"/>
          <w:szCs w:val="20"/>
        </w:rPr>
        <w:t>i</w:t>
      </w:r>
      <w:r w:rsidRPr="005F4D86">
        <w:rPr>
          <w:rFonts w:ascii="Times New Roman" w:eastAsia="Times New Roman" w:hAnsi="Times New Roman" w:cs="Times New Roman"/>
          <w:bCs/>
          <w:sz w:val="20"/>
          <w:szCs w:val="20"/>
        </w:rPr>
        <w:t xml:space="preserve">. </w:t>
      </w:r>
      <w:r w:rsidRPr="005F4D86">
        <w:rPr>
          <w:rFonts w:ascii="Times New Roman" w:hAnsi="Times New Roman" w:cs="Times New Roman"/>
          <w:sz w:val="20"/>
          <w:szCs w:val="20"/>
        </w:rPr>
        <w:t>*, ** and *** indicate the significance levels of 10%, 5% and 1%, respectively</w:t>
      </w:r>
      <w:r w:rsidR="002F46AA">
        <w:rPr>
          <w:rFonts w:ascii="Times New Roman" w:hAnsi="Times New Roman" w:cs="Times New Roman"/>
          <w:sz w:val="20"/>
          <w:szCs w:val="20"/>
        </w:rPr>
        <w:t>.</w:t>
      </w:r>
    </w:p>
    <w:p w14:paraId="296F9FEB" w14:textId="77777777" w:rsidR="004F0457" w:rsidRPr="005F4D86" w:rsidRDefault="004F0457">
      <w:pPr>
        <w:rPr>
          <w:rFonts w:ascii="Times New Roman" w:hAnsi="Times New Roman" w:cs="Times New Roman"/>
          <w:sz w:val="20"/>
          <w:szCs w:val="20"/>
        </w:rPr>
      </w:pPr>
      <w:r w:rsidRPr="005F4D86">
        <w:rPr>
          <w:rFonts w:ascii="Times New Roman" w:hAnsi="Times New Roman" w:cs="Times New Roman"/>
          <w:sz w:val="20"/>
          <w:szCs w:val="20"/>
        </w:rPr>
        <w:br w:type="page"/>
      </w:r>
    </w:p>
    <w:p w14:paraId="4EF90CDE" w14:textId="77777777" w:rsidR="004F0457" w:rsidRDefault="004F0457" w:rsidP="00A1062B">
      <w:pPr>
        <w:jc w:val="both"/>
        <w:rPr>
          <w:rFonts w:ascii="Times New Roman" w:hAnsi="Times New Roman" w:cs="Times New Roman"/>
        </w:rPr>
      </w:pPr>
    </w:p>
    <w:tbl>
      <w:tblPr>
        <w:tblW w:w="5000" w:type="pct"/>
        <w:tblLook w:val="04A0" w:firstRow="1" w:lastRow="0" w:firstColumn="1" w:lastColumn="0" w:noHBand="0" w:noVBand="1"/>
      </w:tblPr>
      <w:tblGrid>
        <w:gridCol w:w="2249"/>
        <w:gridCol w:w="1431"/>
        <w:gridCol w:w="1566"/>
        <w:gridCol w:w="1475"/>
        <w:gridCol w:w="1534"/>
        <w:gridCol w:w="1755"/>
        <w:gridCol w:w="1480"/>
        <w:gridCol w:w="1470"/>
      </w:tblGrid>
      <w:tr w:rsidR="0083161B" w:rsidRPr="00D23517" w14:paraId="6F381BF7" w14:textId="77777777" w:rsidTr="004F0457">
        <w:trPr>
          <w:trHeight w:val="144"/>
        </w:trPr>
        <w:tc>
          <w:tcPr>
            <w:tcW w:w="5000" w:type="pct"/>
            <w:gridSpan w:val="8"/>
            <w:tcBorders>
              <w:top w:val="nil"/>
              <w:left w:val="nil"/>
              <w:bottom w:val="single" w:sz="4" w:space="0" w:color="auto"/>
              <w:right w:val="nil"/>
            </w:tcBorders>
            <w:shd w:val="clear" w:color="auto" w:fill="auto"/>
            <w:noWrap/>
            <w:vAlign w:val="bottom"/>
          </w:tcPr>
          <w:p w14:paraId="5581CA3B" w14:textId="0B3F2C03" w:rsidR="004F0457" w:rsidRPr="00D23517" w:rsidRDefault="004F0457" w:rsidP="00D23517">
            <w:pPr>
              <w:spacing w:after="0" w:line="240" w:lineRule="auto"/>
              <w:jc w:val="both"/>
              <w:rPr>
                <w:rFonts w:ascii="Times New Roman" w:eastAsia="Times New Roman" w:hAnsi="Times New Roman" w:cs="Times New Roman"/>
                <w:b/>
                <w:color w:val="000000"/>
                <w:sz w:val="20"/>
                <w:szCs w:val="20"/>
              </w:rPr>
            </w:pPr>
            <w:r w:rsidRPr="00D23517">
              <w:rPr>
                <w:rFonts w:ascii="Times New Roman" w:eastAsia="Times New Roman" w:hAnsi="Times New Roman" w:cs="Times New Roman"/>
                <w:b/>
                <w:color w:val="000000"/>
                <w:sz w:val="24"/>
                <w:szCs w:val="24"/>
              </w:rPr>
              <w:t xml:space="preserve">Table A2: Regression </w:t>
            </w:r>
            <w:r w:rsidR="002F46AA" w:rsidRPr="00D23517">
              <w:rPr>
                <w:rFonts w:ascii="Times New Roman" w:eastAsia="Times New Roman" w:hAnsi="Times New Roman" w:cs="Times New Roman"/>
                <w:b/>
                <w:color w:val="000000"/>
                <w:sz w:val="24"/>
                <w:szCs w:val="24"/>
              </w:rPr>
              <w:t xml:space="preserve">results </w:t>
            </w:r>
            <w:r w:rsidRPr="00D23517">
              <w:rPr>
                <w:rFonts w:ascii="Times New Roman" w:eastAsia="Times New Roman" w:hAnsi="Times New Roman" w:cs="Times New Roman"/>
                <w:b/>
                <w:color w:val="000000"/>
                <w:sz w:val="24"/>
                <w:szCs w:val="24"/>
              </w:rPr>
              <w:t xml:space="preserve">by </w:t>
            </w:r>
            <w:r w:rsidR="002F46AA" w:rsidRPr="00D23517">
              <w:rPr>
                <w:rFonts w:ascii="Times New Roman" w:eastAsia="Times New Roman" w:hAnsi="Times New Roman" w:cs="Times New Roman"/>
                <w:b/>
                <w:color w:val="000000"/>
                <w:sz w:val="24"/>
                <w:szCs w:val="24"/>
              </w:rPr>
              <w:t xml:space="preserve">subsamples </w:t>
            </w:r>
            <w:r w:rsidRPr="00D23517">
              <w:rPr>
                <w:rFonts w:ascii="Times New Roman" w:eastAsia="Times New Roman" w:hAnsi="Times New Roman" w:cs="Times New Roman"/>
                <w:b/>
                <w:color w:val="000000"/>
                <w:sz w:val="24"/>
                <w:szCs w:val="24"/>
              </w:rPr>
              <w:t xml:space="preserve">of </w:t>
            </w:r>
            <w:r w:rsidR="002F46AA" w:rsidRPr="00D23517">
              <w:rPr>
                <w:rFonts w:ascii="Times New Roman" w:eastAsia="Times New Roman" w:hAnsi="Times New Roman" w:cs="Times New Roman"/>
                <w:b/>
                <w:color w:val="000000"/>
                <w:sz w:val="24"/>
                <w:szCs w:val="24"/>
              </w:rPr>
              <w:t>operating profitability</w:t>
            </w:r>
          </w:p>
        </w:tc>
      </w:tr>
      <w:tr w:rsidR="0083161B" w:rsidRPr="00D23517" w14:paraId="7B63E026" w14:textId="77777777" w:rsidTr="004F0457">
        <w:trPr>
          <w:trHeight w:val="144"/>
        </w:trPr>
        <w:tc>
          <w:tcPr>
            <w:tcW w:w="868" w:type="pct"/>
            <w:tcBorders>
              <w:top w:val="single" w:sz="4" w:space="0" w:color="auto"/>
              <w:left w:val="nil"/>
              <w:bottom w:val="single" w:sz="4" w:space="0" w:color="auto"/>
              <w:right w:val="nil"/>
            </w:tcBorders>
            <w:shd w:val="clear" w:color="auto" w:fill="auto"/>
            <w:noWrap/>
            <w:vAlign w:val="bottom"/>
            <w:hideMark/>
          </w:tcPr>
          <w:p w14:paraId="5695B290"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Variables</w:t>
            </w:r>
          </w:p>
        </w:tc>
        <w:tc>
          <w:tcPr>
            <w:tcW w:w="1156" w:type="pct"/>
            <w:gridSpan w:val="2"/>
            <w:tcBorders>
              <w:top w:val="single" w:sz="4" w:space="0" w:color="auto"/>
              <w:left w:val="nil"/>
              <w:bottom w:val="single" w:sz="4" w:space="0" w:color="auto"/>
              <w:right w:val="nil"/>
            </w:tcBorders>
            <w:shd w:val="clear" w:color="auto" w:fill="auto"/>
            <w:noWrap/>
            <w:vAlign w:val="bottom"/>
            <w:hideMark/>
          </w:tcPr>
          <w:p w14:paraId="47F02471"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NONOPERINC</w:t>
            </w:r>
          </w:p>
        </w:tc>
        <w:tc>
          <w:tcPr>
            <w:tcW w:w="1161" w:type="pct"/>
            <w:gridSpan w:val="2"/>
            <w:tcBorders>
              <w:top w:val="single" w:sz="4" w:space="0" w:color="auto"/>
              <w:left w:val="nil"/>
              <w:bottom w:val="single" w:sz="4" w:space="0" w:color="auto"/>
              <w:right w:val="nil"/>
            </w:tcBorders>
            <w:shd w:val="clear" w:color="auto" w:fill="auto"/>
            <w:noWrap/>
            <w:vAlign w:val="bottom"/>
            <w:hideMark/>
          </w:tcPr>
          <w:p w14:paraId="62B2CCA1"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OPERINC</w:t>
            </w:r>
          </w:p>
        </w:tc>
        <w:tc>
          <w:tcPr>
            <w:tcW w:w="677" w:type="pct"/>
            <w:tcBorders>
              <w:top w:val="single" w:sz="4" w:space="0" w:color="auto"/>
              <w:left w:val="nil"/>
              <w:bottom w:val="single" w:sz="4" w:space="0" w:color="auto"/>
              <w:right w:val="nil"/>
            </w:tcBorders>
            <w:shd w:val="clear" w:color="auto" w:fill="auto"/>
            <w:noWrap/>
            <w:vAlign w:val="bottom"/>
            <w:hideMark/>
          </w:tcPr>
          <w:p w14:paraId="00612491"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Adj. R-squared</w:t>
            </w:r>
          </w:p>
        </w:tc>
        <w:tc>
          <w:tcPr>
            <w:tcW w:w="571" w:type="pct"/>
            <w:tcBorders>
              <w:top w:val="single" w:sz="4" w:space="0" w:color="auto"/>
              <w:left w:val="nil"/>
              <w:bottom w:val="single" w:sz="4" w:space="0" w:color="auto"/>
              <w:right w:val="nil"/>
            </w:tcBorders>
            <w:shd w:val="clear" w:color="auto" w:fill="auto"/>
            <w:noWrap/>
            <w:vAlign w:val="bottom"/>
            <w:hideMark/>
          </w:tcPr>
          <w:p w14:paraId="29C48D9E"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N</w:t>
            </w:r>
          </w:p>
        </w:tc>
        <w:tc>
          <w:tcPr>
            <w:tcW w:w="567" w:type="pct"/>
            <w:tcBorders>
              <w:top w:val="single" w:sz="4" w:space="0" w:color="auto"/>
              <w:left w:val="nil"/>
              <w:bottom w:val="single" w:sz="4" w:space="0" w:color="auto"/>
              <w:right w:val="nil"/>
            </w:tcBorders>
          </w:tcPr>
          <w:p w14:paraId="7479B00D"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Control variables</w:t>
            </w:r>
          </w:p>
        </w:tc>
      </w:tr>
      <w:tr w:rsidR="0083161B" w:rsidRPr="00D23517" w14:paraId="5048EE61" w14:textId="77777777" w:rsidTr="004F0457">
        <w:trPr>
          <w:trHeight w:val="144"/>
        </w:trPr>
        <w:tc>
          <w:tcPr>
            <w:tcW w:w="4433" w:type="pct"/>
            <w:gridSpan w:val="7"/>
            <w:tcBorders>
              <w:top w:val="single" w:sz="4" w:space="0" w:color="auto"/>
              <w:left w:val="nil"/>
              <w:bottom w:val="nil"/>
              <w:right w:val="nil"/>
            </w:tcBorders>
            <w:shd w:val="clear" w:color="auto" w:fill="auto"/>
            <w:noWrap/>
            <w:vAlign w:val="bottom"/>
            <w:hideMark/>
          </w:tcPr>
          <w:p w14:paraId="419B14B4"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r w:rsidRPr="00D23517">
              <w:rPr>
                <w:rFonts w:ascii="Times New Roman" w:eastAsia="Times New Roman" w:hAnsi="Times New Roman" w:cs="Times New Roman"/>
                <w:b/>
                <w:i/>
                <w:color w:val="000000"/>
                <w:sz w:val="20"/>
                <w:szCs w:val="20"/>
                <w:u w:val="single"/>
              </w:rPr>
              <w:t>Panel A - ROAVOL</w:t>
            </w:r>
          </w:p>
        </w:tc>
        <w:tc>
          <w:tcPr>
            <w:tcW w:w="567" w:type="pct"/>
            <w:tcBorders>
              <w:top w:val="single" w:sz="4" w:space="0" w:color="auto"/>
              <w:left w:val="nil"/>
              <w:bottom w:val="nil"/>
              <w:right w:val="nil"/>
            </w:tcBorders>
          </w:tcPr>
          <w:p w14:paraId="757623D1"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p>
        </w:tc>
      </w:tr>
      <w:tr w:rsidR="0083161B" w:rsidRPr="00D23517" w14:paraId="3B40B476" w14:textId="77777777" w:rsidTr="004F0457">
        <w:trPr>
          <w:trHeight w:val="144"/>
        </w:trPr>
        <w:tc>
          <w:tcPr>
            <w:tcW w:w="868" w:type="pct"/>
            <w:tcBorders>
              <w:top w:val="nil"/>
              <w:left w:val="nil"/>
              <w:bottom w:val="nil"/>
              <w:right w:val="nil"/>
            </w:tcBorders>
            <w:shd w:val="clear" w:color="auto" w:fill="auto"/>
            <w:noWrap/>
            <w:vAlign w:val="bottom"/>
            <w:hideMark/>
          </w:tcPr>
          <w:p w14:paraId="18EDD6F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 xml:space="preserve">Negative </w:t>
            </w:r>
            <w:r w:rsidRPr="00D23517">
              <w:rPr>
                <w:rFonts w:ascii="Times New Roman" w:eastAsia="Times New Roman" w:hAnsi="Times New Roman" w:cs="Times New Roman"/>
                <w:i/>
                <w:color w:val="000000"/>
                <w:sz w:val="20"/>
                <w:szCs w:val="20"/>
              </w:rPr>
              <w:t>OPERINC</w:t>
            </w:r>
          </w:p>
        </w:tc>
        <w:tc>
          <w:tcPr>
            <w:tcW w:w="552" w:type="pct"/>
            <w:tcBorders>
              <w:top w:val="nil"/>
              <w:left w:val="nil"/>
              <w:bottom w:val="nil"/>
              <w:right w:val="nil"/>
            </w:tcBorders>
            <w:shd w:val="clear" w:color="auto" w:fill="auto"/>
            <w:noWrap/>
            <w:vAlign w:val="bottom"/>
            <w:hideMark/>
          </w:tcPr>
          <w:p w14:paraId="775D298E"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-0.019</w:t>
            </w:r>
          </w:p>
        </w:tc>
        <w:tc>
          <w:tcPr>
            <w:tcW w:w="604" w:type="pct"/>
            <w:tcBorders>
              <w:top w:val="nil"/>
              <w:left w:val="nil"/>
              <w:bottom w:val="nil"/>
              <w:right w:val="nil"/>
            </w:tcBorders>
            <w:shd w:val="clear" w:color="auto" w:fill="auto"/>
            <w:noWrap/>
            <w:vAlign w:val="bottom"/>
            <w:hideMark/>
          </w:tcPr>
          <w:p w14:paraId="4C102CA3"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-2.255**</w:t>
            </w:r>
          </w:p>
        </w:tc>
        <w:tc>
          <w:tcPr>
            <w:tcW w:w="569" w:type="pct"/>
            <w:tcBorders>
              <w:top w:val="nil"/>
              <w:left w:val="nil"/>
              <w:bottom w:val="nil"/>
              <w:right w:val="nil"/>
            </w:tcBorders>
            <w:shd w:val="clear" w:color="auto" w:fill="auto"/>
            <w:noWrap/>
            <w:vAlign w:val="bottom"/>
            <w:hideMark/>
          </w:tcPr>
          <w:p w14:paraId="238D5364"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-0.236</w:t>
            </w:r>
          </w:p>
        </w:tc>
        <w:tc>
          <w:tcPr>
            <w:tcW w:w="592" w:type="pct"/>
            <w:tcBorders>
              <w:top w:val="nil"/>
              <w:left w:val="nil"/>
              <w:bottom w:val="nil"/>
              <w:right w:val="nil"/>
            </w:tcBorders>
            <w:shd w:val="clear" w:color="auto" w:fill="auto"/>
            <w:noWrap/>
            <w:vAlign w:val="bottom"/>
            <w:hideMark/>
          </w:tcPr>
          <w:p w14:paraId="7FC4E590"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-14.458***</w:t>
            </w:r>
          </w:p>
        </w:tc>
        <w:tc>
          <w:tcPr>
            <w:tcW w:w="677" w:type="pct"/>
            <w:tcBorders>
              <w:top w:val="nil"/>
              <w:left w:val="nil"/>
              <w:bottom w:val="nil"/>
              <w:right w:val="nil"/>
            </w:tcBorders>
            <w:shd w:val="clear" w:color="auto" w:fill="auto"/>
            <w:noWrap/>
            <w:vAlign w:val="bottom"/>
            <w:hideMark/>
          </w:tcPr>
          <w:p w14:paraId="3FA7B508"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0.268</w:t>
            </w:r>
          </w:p>
        </w:tc>
        <w:tc>
          <w:tcPr>
            <w:tcW w:w="571" w:type="pct"/>
            <w:tcBorders>
              <w:top w:val="nil"/>
              <w:left w:val="nil"/>
              <w:bottom w:val="nil"/>
              <w:right w:val="nil"/>
            </w:tcBorders>
            <w:shd w:val="clear" w:color="auto" w:fill="auto"/>
            <w:noWrap/>
            <w:vAlign w:val="bottom"/>
            <w:hideMark/>
          </w:tcPr>
          <w:p w14:paraId="1FD8C72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16,119</w:t>
            </w:r>
          </w:p>
        </w:tc>
        <w:tc>
          <w:tcPr>
            <w:tcW w:w="567" w:type="pct"/>
            <w:tcBorders>
              <w:top w:val="nil"/>
              <w:left w:val="nil"/>
              <w:bottom w:val="nil"/>
              <w:right w:val="nil"/>
            </w:tcBorders>
          </w:tcPr>
          <w:p w14:paraId="5A5CF570" w14:textId="77777777" w:rsidR="0083161B" w:rsidRPr="00D23517" w:rsidRDefault="0083161B" w:rsidP="003C4AAB">
            <w:pPr>
              <w:spacing w:after="0" w:line="240" w:lineRule="auto"/>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Yes</w:t>
            </w:r>
          </w:p>
        </w:tc>
      </w:tr>
      <w:tr w:rsidR="0083161B" w:rsidRPr="00D23517" w14:paraId="60DDD909" w14:textId="77777777" w:rsidTr="004F0457">
        <w:trPr>
          <w:trHeight w:val="144"/>
        </w:trPr>
        <w:tc>
          <w:tcPr>
            <w:tcW w:w="868" w:type="pct"/>
            <w:tcBorders>
              <w:top w:val="nil"/>
              <w:left w:val="nil"/>
              <w:bottom w:val="nil"/>
              <w:right w:val="nil"/>
            </w:tcBorders>
            <w:shd w:val="clear" w:color="auto" w:fill="auto"/>
            <w:noWrap/>
            <w:vAlign w:val="bottom"/>
            <w:hideMark/>
          </w:tcPr>
          <w:p w14:paraId="3C57E67D"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 xml:space="preserve">Positive </w:t>
            </w:r>
            <w:r w:rsidRPr="00D23517">
              <w:rPr>
                <w:rFonts w:ascii="Times New Roman" w:eastAsia="Times New Roman" w:hAnsi="Times New Roman" w:cs="Times New Roman"/>
                <w:i/>
                <w:color w:val="000000"/>
                <w:sz w:val="20"/>
                <w:szCs w:val="20"/>
              </w:rPr>
              <w:t>OPERINC</w:t>
            </w:r>
          </w:p>
        </w:tc>
        <w:tc>
          <w:tcPr>
            <w:tcW w:w="552" w:type="pct"/>
            <w:tcBorders>
              <w:top w:val="nil"/>
              <w:left w:val="nil"/>
              <w:bottom w:val="nil"/>
              <w:right w:val="nil"/>
            </w:tcBorders>
            <w:shd w:val="clear" w:color="auto" w:fill="auto"/>
            <w:noWrap/>
            <w:vAlign w:val="bottom"/>
            <w:hideMark/>
          </w:tcPr>
          <w:p w14:paraId="1332182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-0.013</w:t>
            </w:r>
          </w:p>
        </w:tc>
        <w:tc>
          <w:tcPr>
            <w:tcW w:w="604" w:type="pct"/>
            <w:tcBorders>
              <w:top w:val="nil"/>
              <w:left w:val="nil"/>
              <w:bottom w:val="nil"/>
              <w:right w:val="nil"/>
            </w:tcBorders>
            <w:shd w:val="clear" w:color="auto" w:fill="auto"/>
            <w:noWrap/>
            <w:vAlign w:val="bottom"/>
            <w:hideMark/>
          </w:tcPr>
          <w:p w14:paraId="03D5B31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-1.098</w:t>
            </w:r>
          </w:p>
        </w:tc>
        <w:tc>
          <w:tcPr>
            <w:tcW w:w="569" w:type="pct"/>
            <w:tcBorders>
              <w:top w:val="nil"/>
              <w:left w:val="nil"/>
              <w:bottom w:val="nil"/>
              <w:right w:val="nil"/>
            </w:tcBorders>
            <w:shd w:val="clear" w:color="auto" w:fill="auto"/>
            <w:noWrap/>
            <w:vAlign w:val="bottom"/>
            <w:hideMark/>
          </w:tcPr>
          <w:p w14:paraId="3843424E"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-0.015</w:t>
            </w:r>
          </w:p>
        </w:tc>
        <w:tc>
          <w:tcPr>
            <w:tcW w:w="592" w:type="pct"/>
            <w:tcBorders>
              <w:top w:val="nil"/>
              <w:left w:val="nil"/>
              <w:bottom w:val="nil"/>
              <w:right w:val="nil"/>
            </w:tcBorders>
            <w:shd w:val="clear" w:color="auto" w:fill="auto"/>
            <w:noWrap/>
            <w:vAlign w:val="bottom"/>
            <w:hideMark/>
          </w:tcPr>
          <w:p w14:paraId="07538DD8"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-2.658***</w:t>
            </w:r>
          </w:p>
        </w:tc>
        <w:tc>
          <w:tcPr>
            <w:tcW w:w="677" w:type="pct"/>
            <w:tcBorders>
              <w:top w:val="nil"/>
              <w:left w:val="nil"/>
              <w:bottom w:val="nil"/>
              <w:right w:val="nil"/>
            </w:tcBorders>
            <w:shd w:val="clear" w:color="auto" w:fill="auto"/>
            <w:noWrap/>
            <w:vAlign w:val="bottom"/>
            <w:hideMark/>
          </w:tcPr>
          <w:p w14:paraId="2B75535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0.089</w:t>
            </w:r>
          </w:p>
        </w:tc>
        <w:tc>
          <w:tcPr>
            <w:tcW w:w="571" w:type="pct"/>
            <w:tcBorders>
              <w:top w:val="nil"/>
              <w:left w:val="nil"/>
              <w:bottom w:val="nil"/>
              <w:right w:val="nil"/>
            </w:tcBorders>
            <w:shd w:val="clear" w:color="auto" w:fill="auto"/>
            <w:noWrap/>
            <w:vAlign w:val="bottom"/>
            <w:hideMark/>
          </w:tcPr>
          <w:p w14:paraId="4F0AE91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55,785</w:t>
            </w:r>
          </w:p>
        </w:tc>
        <w:tc>
          <w:tcPr>
            <w:tcW w:w="567" w:type="pct"/>
            <w:tcBorders>
              <w:top w:val="nil"/>
              <w:left w:val="nil"/>
              <w:bottom w:val="nil"/>
              <w:right w:val="nil"/>
            </w:tcBorders>
          </w:tcPr>
          <w:p w14:paraId="709D62A2" w14:textId="77777777" w:rsidR="0083161B" w:rsidRPr="00D23517" w:rsidRDefault="0083161B" w:rsidP="003C4AAB">
            <w:pPr>
              <w:spacing w:after="0" w:line="240" w:lineRule="auto"/>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Yes</w:t>
            </w:r>
          </w:p>
        </w:tc>
      </w:tr>
      <w:tr w:rsidR="0083161B" w:rsidRPr="00D23517" w14:paraId="4F5111A4" w14:textId="77777777" w:rsidTr="004F0457">
        <w:trPr>
          <w:trHeight w:val="144"/>
        </w:trPr>
        <w:tc>
          <w:tcPr>
            <w:tcW w:w="868" w:type="pct"/>
            <w:tcBorders>
              <w:top w:val="nil"/>
              <w:left w:val="nil"/>
              <w:bottom w:val="nil"/>
              <w:right w:val="nil"/>
            </w:tcBorders>
            <w:shd w:val="clear" w:color="auto" w:fill="auto"/>
            <w:noWrap/>
            <w:vAlign w:val="bottom"/>
            <w:hideMark/>
          </w:tcPr>
          <w:p w14:paraId="39DC1599"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p>
        </w:tc>
        <w:tc>
          <w:tcPr>
            <w:tcW w:w="552" w:type="pct"/>
            <w:tcBorders>
              <w:top w:val="nil"/>
              <w:left w:val="nil"/>
              <w:bottom w:val="nil"/>
              <w:right w:val="nil"/>
            </w:tcBorders>
            <w:shd w:val="clear" w:color="auto" w:fill="auto"/>
            <w:noWrap/>
            <w:vAlign w:val="bottom"/>
            <w:hideMark/>
          </w:tcPr>
          <w:p w14:paraId="4B355491"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04" w:type="pct"/>
            <w:tcBorders>
              <w:top w:val="nil"/>
              <w:left w:val="nil"/>
              <w:bottom w:val="nil"/>
              <w:right w:val="nil"/>
            </w:tcBorders>
            <w:shd w:val="clear" w:color="auto" w:fill="auto"/>
            <w:noWrap/>
            <w:vAlign w:val="bottom"/>
            <w:hideMark/>
          </w:tcPr>
          <w:p w14:paraId="57FA0B2D"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69" w:type="pct"/>
            <w:tcBorders>
              <w:top w:val="nil"/>
              <w:left w:val="nil"/>
              <w:bottom w:val="nil"/>
              <w:right w:val="nil"/>
            </w:tcBorders>
            <w:shd w:val="clear" w:color="auto" w:fill="auto"/>
            <w:noWrap/>
            <w:vAlign w:val="bottom"/>
            <w:hideMark/>
          </w:tcPr>
          <w:p w14:paraId="2E8BA8A5"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92" w:type="pct"/>
            <w:tcBorders>
              <w:top w:val="nil"/>
              <w:left w:val="nil"/>
              <w:bottom w:val="nil"/>
              <w:right w:val="nil"/>
            </w:tcBorders>
            <w:shd w:val="clear" w:color="auto" w:fill="auto"/>
            <w:noWrap/>
            <w:vAlign w:val="bottom"/>
            <w:hideMark/>
          </w:tcPr>
          <w:p w14:paraId="3ED19FFA"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77" w:type="pct"/>
            <w:tcBorders>
              <w:top w:val="nil"/>
              <w:left w:val="nil"/>
              <w:bottom w:val="nil"/>
              <w:right w:val="nil"/>
            </w:tcBorders>
            <w:shd w:val="clear" w:color="auto" w:fill="auto"/>
            <w:noWrap/>
            <w:vAlign w:val="bottom"/>
            <w:hideMark/>
          </w:tcPr>
          <w:p w14:paraId="0AF31217"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71" w:type="pct"/>
            <w:tcBorders>
              <w:top w:val="nil"/>
              <w:left w:val="nil"/>
              <w:bottom w:val="nil"/>
              <w:right w:val="nil"/>
            </w:tcBorders>
            <w:shd w:val="clear" w:color="auto" w:fill="auto"/>
            <w:noWrap/>
            <w:vAlign w:val="bottom"/>
            <w:hideMark/>
          </w:tcPr>
          <w:p w14:paraId="2A09AEC9"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67" w:type="pct"/>
            <w:tcBorders>
              <w:top w:val="nil"/>
              <w:left w:val="nil"/>
              <w:bottom w:val="nil"/>
              <w:right w:val="nil"/>
            </w:tcBorders>
          </w:tcPr>
          <w:p w14:paraId="508311DC" w14:textId="77777777" w:rsidR="0083161B" w:rsidRPr="00D23517" w:rsidRDefault="0083161B" w:rsidP="003C4AAB">
            <w:pPr>
              <w:spacing w:after="0" w:line="240" w:lineRule="auto"/>
              <w:rPr>
                <w:rFonts w:ascii="Times New Roman" w:eastAsia="Times New Roman" w:hAnsi="Times New Roman" w:cs="Times New Roman"/>
                <w:sz w:val="20"/>
                <w:szCs w:val="20"/>
              </w:rPr>
            </w:pPr>
          </w:p>
        </w:tc>
      </w:tr>
      <w:tr w:rsidR="0083161B" w:rsidRPr="00D23517" w14:paraId="07A28096" w14:textId="77777777" w:rsidTr="004F0457">
        <w:trPr>
          <w:trHeight w:val="144"/>
        </w:trPr>
        <w:tc>
          <w:tcPr>
            <w:tcW w:w="4433" w:type="pct"/>
            <w:gridSpan w:val="7"/>
            <w:tcBorders>
              <w:top w:val="nil"/>
              <w:left w:val="nil"/>
              <w:bottom w:val="nil"/>
              <w:right w:val="nil"/>
            </w:tcBorders>
            <w:shd w:val="clear" w:color="auto" w:fill="auto"/>
            <w:noWrap/>
            <w:vAlign w:val="bottom"/>
            <w:hideMark/>
          </w:tcPr>
          <w:p w14:paraId="741EAFEB"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r w:rsidRPr="00D23517">
              <w:rPr>
                <w:rFonts w:ascii="Times New Roman" w:eastAsia="Times New Roman" w:hAnsi="Times New Roman" w:cs="Times New Roman"/>
                <w:b/>
                <w:i/>
                <w:color w:val="000000"/>
                <w:sz w:val="20"/>
                <w:szCs w:val="20"/>
                <w:u w:val="single"/>
              </w:rPr>
              <w:t>Panel B – TOTRISK</w:t>
            </w:r>
          </w:p>
        </w:tc>
        <w:tc>
          <w:tcPr>
            <w:tcW w:w="567" w:type="pct"/>
            <w:tcBorders>
              <w:top w:val="nil"/>
              <w:left w:val="nil"/>
              <w:bottom w:val="nil"/>
              <w:right w:val="nil"/>
            </w:tcBorders>
          </w:tcPr>
          <w:p w14:paraId="584FC76D" w14:textId="77777777" w:rsidR="0083161B" w:rsidRPr="00D23517" w:rsidRDefault="0083161B" w:rsidP="003C4AAB">
            <w:pPr>
              <w:spacing w:after="0" w:line="240" w:lineRule="auto"/>
              <w:rPr>
                <w:rFonts w:ascii="Times New Roman" w:eastAsia="Times New Roman" w:hAnsi="Times New Roman" w:cs="Times New Roman"/>
                <w:b/>
                <w:i/>
                <w:color w:val="000000"/>
                <w:sz w:val="20"/>
                <w:szCs w:val="20"/>
                <w:u w:val="single"/>
              </w:rPr>
            </w:pPr>
          </w:p>
        </w:tc>
      </w:tr>
      <w:tr w:rsidR="0083161B" w:rsidRPr="00D23517" w14:paraId="31160A20" w14:textId="77777777" w:rsidTr="004F0457">
        <w:trPr>
          <w:trHeight w:val="144"/>
        </w:trPr>
        <w:tc>
          <w:tcPr>
            <w:tcW w:w="868" w:type="pct"/>
            <w:tcBorders>
              <w:top w:val="nil"/>
              <w:left w:val="nil"/>
              <w:bottom w:val="nil"/>
              <w:right w:val="nil"/>
            </w:tcBorders>
            <w:shd w:val="clear" w:color="auto" w:fill="auto"/>
            <w:noWrap/>
            <w:vAlign w:val="bottom"/>
            <w:hideMark/>
          </w:tcPr>
          <w:p w14:paraId="002BA1C2"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 xml:space="preserve">Negative </w:t>
            </w:r>
            <w:r w:rsidRPr="00D23517">
              <w:rPr>
                <w:rFonts w:ascii="Times New Roman" w:eastAsia="Times New Roman" w:hAnsi="Times New Roman" w:cs="Times New Roman"/>
                <w:i/>
                <w:color w:val="000000"/>
                <w:sz w:val="20"/>
                <w:szCs w:val="20"/>
              </w:rPr>
              <w:t>OPERINC</w:t>
            </w:r>
          </w:p>
        </w:tc>
        <w:tc>
          <w:tcPr>
            <w:tcW w:w="552" w:type="pct"/>
            <w:tcBorders>
              <w:top w:val="nil"/>
              <w:left w:val="nil"/>
              <w:bottom w:val="nil"/>
              <w:right w:val="nil"/>
            </w:tcBorders>
            <w:shd w:val="clear" w:color="auto" w:fill="auto"/>
            <w:noWrap/>
            <w:vAlign w:val="bottom"/>
          </w:tcPr>
          <w:p w14:paraId="24E949D9"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-0.011</w:t>
            </w:r>
          </w:p>
        </w:tc>
        <w:tc>
          <w:tcPr>
            <w:tcW w:w="604" w:type="pct"/>
            <w:tcBorders>
              <w:top w:val="nil"/>
              <w:left w:val="nil"/>
              <w:bottom w:val="nil"/>
              <w:right w:val="nil"/>
            </w:tcBorders>
            <w:shd w:val="clear" w:color="auto" w:fill="auto"/>
            <w:noWrap/>
            <w:vAlign w:val="bottom"/>
          </w:tcPr>
          <w:p w14:paraId="24C2D06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-2.411**</w:t>
            </w:r>
          </w:p>
        </w:tc>
        <w:tc>
          <w:tcPr>
            <w:tcW w:w="569" w:type="pct"/>
            <w:tcBorders>
              <w:top w:val="nil"/>
              <w:left w:val="nil"/>
              <w:bottom w:val="nil"/>
              <w:right w:val="nil"/>
            </w:tcBorders>
            <w:shd w:val="clear" w:color="auto" w:fill="auto"/>
            <w:noWrap/>
            <w:vAlign w:val="bottom"/>
          </w:tcPr>
          <w:p w14:paraId="60C25EC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-0.142</w:t>
            </w:r>
          </w:p>
        </w:tc>
        <w:tc>
          <w:tcPr>
            <w:tcW w:w="592" w:type="pct"/>
            <w:tcBorders>
              <w:top w:val="nil"/>
              <w:left w:val="nil"/>
              <w:bottom w:val="nil"/>
              <w:right w:val="nil"/>
            </w:tcBorders>
            <w:shd w:val="clear" w:color="auto" w:fill="auto"/>
            <w:noWrap/>
            <w:vAlign w:val="bottom"/>
          </w:tcPr>
          <w:p w14:paraId="1BBAE43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-13.156***</w:t>
            </w:r>
          </w:p>
        </w:tc>
        <w:tc>
          <w:tcPr>
            <w:tcW w:w="677" w:type="pct"/>
            <w:tcBorders>
              <w:top w:val="nil"/>
              <w:left w:val="nil"/>
              <w:bottom w:val="nil"/>
              <w:right w:val="nil"/>
            </w:tcBorders>
            <w:shd w:val="clear" w:color="auto" w:fill="auto"/>
            <w:noWrap/>
            <w:vAlign w:val="bottom"/>
          </w:tcPr>
          <w:p w14:paraId="6BD0F4D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0.418</w:t>
            </w:r>
          </w:p>
        </w:tc>
        <w:tc>
          <w:tcPr>
            <w:tcW w:w="571" w:type="pct"/>
            <w:tcBorders>
              <w:top w:val="nil"/>
              <w:left w:val="nil"/>
              <w:bottom w:val="nil"/>
              <w:right w:val="nil"/>
            </w:tcBorders>
            <w:shd w:val="clear" w:color="auto" w:fill="auto"/>
            <w:noWrap/>
            <w:vAlign w:val="bottom"/>
          </w:tcPr>
          <w:p w14:paraId="4A4E5338"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16,162</w:t>
            </w:r>
          </w:p>
        </w:tc>
        <w:tc>
          <w:tcPr>
            <w:tcW w:w="567" w:type="pct"/>
            <w:tcBorders>
              <w:top w:val="nil"/>
              <w:left w:val="nil"/>
              <w:bottom w:val="nil"/>
              <w:right w:val="nil"/>
            </w:tcBorders>
          </w:tcPr>
          <w:p w14:paraId="39DB6748" w14:textId="77777777" w:rsidR="0083161B" w:rsidRPr="00D23517" w:rsidRDefault="0083161B" w:rsidP="003C4AAB">
            <w:pPr>
              <w:spacing w:after="0" w:line="240" w:lineRule="auto"/>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Yes</w:t>
            </w:r>
          </w:p>
        </w:tc>
      </w:tr>
      <w:tr w:rsidR="0083161B" w:rsidRPr="00D23517" w14:paraId="09733B74" w14:textId="77777777" w:rsidTr="004F0457">
        <w:trPr>
          <w:trHeight w:val="144"/>
        </w:trPr>
        <w:tc>
          <w:tcPr>
            <w:tcW w:w="868" w:type="pct"/>
            <w:tcBorders>
              <w:top w:val="nil"/>
              <w:left w:val="nil"/>
              <w:bottom w:val="nil"/>
              <w:right w:val="nil"/>
            </w:tcBorders>
            <w:shd w:val="clear" w:color="auto" w:fill="auto"/>
            <w:noWrap/>
            <w:vAlign w:val="bottom"/>
            <w:hideMark/>
          </w:tcPr>
          <w:p w14:paraId="358F46B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 xml:space="preserve">Positive </w:t>
            </w:r>
            <w:r w:rsidRPr="00D23517">
              <w:rPr>
                <w:rFonts w:ascii="Times New Roman" w:eastAsia="Times New Roman" w:hAnsi="Times New Roman" w:cs="Times New Roman"/>
                <w:i/>
                <w:color w:val="000000"/>
                <w:sz w:val="20"/>
                <w:szCs w:val="20"/>
              </w:rPr>
              <w:t>OPERINC</w:t>
            </w:r>
          </w:p>
        </w:tc>
        <w:tc>
          <w:tcPr>
            <w:tcW w:w="552" w:type="pct"/>
            <w:tcBorders>
              <w:top w:val="nil"/>
              <w:left w:val="nil"/>
              <w:bottom w:val="nil"/>
              <w:right w:val="nil"/>
            </w:tcBorders>
            <w:shd w:val="clear" w:color="auto" w:fill="auto"/>
            <w:noWrap/>
            <w:vAlign w:val="bottom"/>
          </w:tcPr>
          <w:p w14:paraId="5498B332"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-0.006</w:t>
            </w:r>
          </w:p>
        </w:tc>
        <w:tc>
          <w:tcPr>
            <w:tcW w:w="604" w:type="pct"/>
            <w:tcBorders>
              <w:top w:val="nil"/>
              <w:left w:val="nil"/>
              <w:bottom w:val="nil"/>
              <w:right w:val="nil"/>
            </w:tcBorders>
            <w:shd w:val="clear" w:color="auto" w:fill="auto"/>
            <w:noWrap/>
            <w:vAlign w:val="bottom"/>
          </w:tcPr>
          <w:p w14:paraId="011F6168"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-2.346**</w:t>
            </w:r>
          </w:p>
        </w:tc>
        <w:tc>
          <w:tcPr>
            <w:tcW w:w="569" w:type="pct"/>
            <w:tcBorders>
              <w:top w:val="nil"/>
              <w:left w:val="nil"/>
              <w:bottom w:val="nil"/>
              <w:right w:val="nil"/>
            </w:tcBorders>
            <w:shd w:val="clear" w:color="auto" w:fill="auto"/>
            <w:noWrap/>
            <w:vAlign w:val="bottom"/>
          </w:tcPr>
          <w:p w14:paraId="2BE876E6"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-0.086</w:t>
            </w:r>
          </w:p>
        </w:tc>
        <w:tc>
          <w:tcPr>
            <w:tcW w:w="592" w:type="pct"/>
            <w:tcBorders>
              <w:top w:val="nil"/>
              <w:left w:val="nil"/>
              <w:bottom w:val="nil"/>
              <w:right w:val="nil"/>
            </w:tcBorders>
            <w:shd w:val="clear" w:color="auto" w:fill="auto"/>
            <w:noWrap/>
            <w:vAlign w:val="bottom"/>
          </w:tcPr>
          <w:p w14:paraId="10261E2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-14.692***</w:t>
            </w:r>
          </w:p>
        </w:tc>
        <w:tc>
          <w:tcPr>
            <w:tcW w:w="677" w:type="pct"/>
            <w:tcBorders>
              <w:top w:val="nil"/>
              <w:left w:val="nil"/>
              <w:bottom w:val="nil"/>
              <w:right w:val="nil"/>
            </w:tcBorders>
            <w:shd w:val="clear" w:color="auto" w:fill="auto"/>
            <w:noWrap/>
            <w:vAlign w:val="bottom"/>
          </w:tcPr>
          <w:p w14:paraId="215FF09D"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0.421</w:t>
            </w:r>
          </w:p>
        </w:tc>
        <w:tc>
          <w:tcPr>
            <w:tcW w:w="571" w:type="pct"/>
            <w:tcBorders>
              <w:top w:val="nil"/>
              <w:left w:val="nil"/>
              <w:bottom w:val="nil"/>
              <w:right w:val="nil"/>
            </w:tcBorders>
            <w:shd w:val="clear" w:color="auto" w:fill="auto"/>
            <w:noWrap/>
            <w:vAlign w:val="bottom"/>
          </w:tcPr>
          <w:p w14:paraId="789E6D78"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55,860</w:t>
            </w:r>
          </w:p>
        </w:tc>
        <w:tc>
          <w:tcPr>
            <w:tcW w:w="567" w:type="pct"/>
            <w:tcBorders>
              <w:top w:val="nil"/>
              <w:left w:val="nil"/>
              <w:bottom w:val="nil"/>
              <w:right w:val="nil"/>
            </w:tcBorders>
          </w:tcPr>
          <w:p w14:paraId="70DA8027" w14:textId="77777777" w:rsidR="0083161B" w:rsidRPr="00D23517" w:rsidRDefault="0083161B" w:rsidP="003C4AAB">
            <w:pPr>
              <w:spacing w:after="0" w:line="240" w:lineRule="auto"/>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Yes</w:t>
            </w:r>
          </w:p>
        </w:tc>
      </w:tr>
      <w:tr w:rsidR="0083161B" w:rsidRPr="00D23517" w14:paraId="5196BC55" w14:textId="77777777" w:rsidTr="004F0457">
        <w:trPr>
          <w:trHeight w:val="144"/>
        </w:trPr>
        <w:tc>
          <w:tcPr>
            <w:tcW w:w="868" w:type="pct"/>
            <w:tcBorders>
              <w:top w:val="nil"/>
              <w:left w:val="nil"/>
              <w:bottom w:val="nil"/>
              <w:right w:val="nil"/>
            </w:tcBorders>
            <w:shd w:val="clear" w:color="auto" w:fill="auto"/>
            <w:noWrap/>
            <w:vAlign w:val="bottom"/>
            <w:hideMark/>
          </w:tcPr>
          <w:p w14:paraId="24BC782E"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p>
        </w:tc>
        <w:tc>
          <w:tcPr>
            <w:tcW w:w="552" w:type="pct"/>
            <w:tcBorders>
              <w:top w:val="nil"/>
              <w:left w:val="nil"/>
              <w:bottom w:val="nil"/>
              <w:right w:val="nil"/>
            </w:tcBorders>
            <w:shd w:val="clear" w:color="auto" w:fill="auto"/>
            <w:noWrap/>
            <w:vAlign w:val="bottom"/>
            <w:hideMark/>
          </w:tcPr>
          <w:p w14:paraId="6D5B4889"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04" w:type="pct"/>
            <w:tcBorders>
              <w:top w:val="nil"/>
              <w:left w:val="nil"/>
              <w:bottom w:val="nil"/>
              <w:right w:val="nil"/>
            </w:tcBorders>
            <w:shd w:val="clear" w:color="auto" w:fill="auto"/>
            <w:noWrap/>
            <w:vAlign w:val="bottom"/>
            <w:hideMark/>
          </w:tcPr>
          <w:p w14:paraId="61FAA914"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69" w:type="pct"/>
            <w:tcBorders>
              <w:top w:val="nil"/>
              <w:left w:val="nil"/>
              <w:bottom w:val="nil"/>
              <w:right w:val="nil"/>
            </w:tcBorders>
            <w:shd w:val="clear" w:color="auto" w:fill="auto"/>
            <w:noWrap/>
            <w:vAlign w:val="bottom"/>
            <w:hideMark/>
          </w:tcPr>
          <w:p w14:paraId="6835411A"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92" w:type="pct"/>
            <w:tcBorders>
              <w:top w:val="nil"/>
              <w:left w:val="nil"/>
              <w:bottom w:val="nil"/>
              <w:right w:val="nil"/>
            </w:tcBorders>
            <w:shd w:val="clear" w:color="auto" w:fill="auto"/>
            <w:noWrap/>
            <w:vAlign w:val="bottom"/>
            <w:hideMark/>
          </w:tcPr>
          <w:p w14:paraId="5E0F5E4E"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77" w:type="pct"/>
            <w:tcBorders>
              <w:top w:val="nil"/>
              <w:left w:val="nil"/>
              <w:bottom w:val="nil"/>
              <w:right w:val="nil"/>
            </w:tcBorders>
            <w:shd w:val="clear" w:color="auto" w:fill="auto"/>
            <w:noWrap/>
            <w:vAlign w:val="bottom"/>
            <w:hideMark/>
          </w:tcPr>
          <w:p w14:paraId="0EA1CAB4"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71" w:type="pct"/>
            <w:tcBorders>
              <w:top w:val="nil"/>
              <w:left w:val="nil"/>
              <w:bottom w:val="nil"/>
              <w:right w:val="nil"/>
            </w:tcBorders>
            <w:shd w:val="clear" w:color="auto" w:fill="auto"/>
            <w:noWrap/>
            <w:vAlign w:val="bottom"/>
            <w:hideMark/>
          </w:tcPr>
          <w:p w14:paraId="6FEA123C"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67" w:type="pct"/>
            <w:tcBorders>
              <w:top w:val="nil"/>
              <w:left w:val="nil"/>
              <w:bottom w:val="nil"/>
              <w:right w:val="nil"/>
            </w:tcBorders>
          </w:tcPr>
          <w:p w14:paraId="01CA8681" w14:textId="77777777" w:rsidR="0083161B" w:rsidRPr="00D23517" w:rsidRDefault="0083161B" w:rsidP="003C4AAB">
            <w:pPr>
              <w:spacing w:after="0" w:line="240" w:lineRule="auto"/>
              <w:rPr>
                <w:rFonts w:ascii="Times New Roman" w:eastAsia="Times New Roman" w:hAnsi="Times New Roman" w:cs="Times New Roman"/>
                <w:sz w:val="20"/>
                <w:szCs w:val="20"/>
              </w:rPr>
            </w:pPr>
          </w:p>
        </w:tc>
      </w:tr>
      <w:tr w:rsidR="0083161B" w:rsidRPr="00D23517" w14:paraId="15934BD2" w14:textId="77777777" w:rsidTr="004F0457">
        <w:trPr>
          <w:trHeight w:val="144"/>
        </w:trPr>
        <w:tc>
          <w:tcPr>
            <w:tcW w:w="4433" w:type="pct"/>
            <w:gridSpan w:val="7"/>
            <w:tcBorders>
              <w:top w:val="nil"/>
              <w:left w:val="nil"/>
              <w:bottom w:val="nil"/>
              <w:right w:val="nil"/>
            </w:tcBorders>
            <w:shd w:val="clear" w:color="auto" w:fill="auto"/>
            <w:noWrap/>
            <w:vAlign w:val="bottom"/>
            <w:hideMark/>
          </w:tcPr>
          <w:p w14:paraId="1EC3EEF0"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r w:rsidRPr="00D23517">
              <w:rPr>
                <w:rFonts w:ascii="Times New Roman" w:eastAsia="Times New Roman" w:hAnsi="Times New Roman" w:cs="Times New Roman"/>
                <w:b/>
                <w:i/>
                <w:color w:val="000000"/>
                <w:sz w:val="20"/>
                <w:szCs w:val="20"/>
                <w:u w:val="single"/>
              </w:rPr>
              <w:t>Panel C - IDIORISK</w:t>
            </w:r>
          </w:p>
        </w:tc>
        <w:tc>
          <w:tcPr>
            <w:tcW w:w="567" w:type="pct"/>
            <w:tcBorders>
              <w:top w:val="nil"/>
              <w:left w:val="nil"/>
              <w:bottom w:val="nil"/>
              <w:right w:val="nil"/>
            </w:tcBorders>
          </w:tcPr>
          <w:p w14:paraId="5DB22070" w14:textId="77777777" w:rsidR="0083161B" w:rsidRPr="00D23517" w:rsidRDefault="0083161B" w:rsidP="003C4AAB">
            <w:pPr>
              <w:spacing w:after="0" w:line="240" w:lineRule="auto"/>
              <w:rPr>
                <w:rFonts w:ascii="Times New Roman" w:eastAsia="Times New Roman" w:hAnsi="Times New Roman" w:cs="Times New Roman"/>
                <w:b/>
                <w:i/>
                <w:color w:val="000000"/>
                <w:sz w:val="20"/>
                <w:szCs w:val="20"/>
                <w:u w:val="single"/>
              </w:rPr>
            </w:pPr>
          </w:p>
        </w:tc>
      </w:tr>
      <w:tr w:rsidR="0083161B" w:rsidRPr="00D23517" w14:paraId="5BA2A3F3" w14:textId="77777777" w:rsidTr="004F0457">
        <w:trPr>
          <w:trHeight w:val="144"/>
        </w:trPr>
        <w:tc>
          <w:tcPr>
            <w:tcW w:w="868" w:type="pct"/>
            <w:tcBorders>
              <w:top w:val="nil"/>
              <w:left w:val="nil"/>
              <w:bottom w:val="nil"/>
              <w:right w:val="nil"/>
            </w:tcBorders>
            <w:shd w:val="clear" w:color="auto" w:fill="auto"/>
            <w:noWrap/>
            <w:vAlign w:val="bottom"/>
            <w:hideMark/>
          </w:tcPr>
          <w:p w14:paraId="4ED076AE"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 xml:space="preserve">Negative </w:t>
            </w:r>
            <w:r w:rsidRPr="00D23517">
              <w:rPr>
                <w:rFonts w:ascii="Times New Roman" w:eastAsia="Times New Roman" w:hAnsi="Times New Roman" w:cs="Times New Roman"/>
                <w:i/>
                <w:color w:val="000000"/>
                <w:sz w:val="20"/>
                <w:szCs w:val="20"/>
              </w:rPr>
              <w:t>OPERINC</w:t>
            </w:r>
          </w:p>
        </w:tc>
        <w:tc>
          <w:tcPr>
            <w:tcW w:w="552" w:type="pct"/>
            <w:tcBorders>
              <w:top w:val="nil"/>
              <w:left w:val="nil"/>
              <w:bottom w:val="nil"/>
              <w:right w:val="nil"/>
            </w:tcBorders>
            <w:shd w:val="clear" w:color="auto" w:fill="auto"/>
            <w:noWrap/>
            <w:vAlign w:val="bottom"/>
          </w:tcPr>
          <w:p w14:paraId="2E65BE50"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-0.014</w:t>
            </w:r>
          </w:p>
        </w:tc>
        <w:tc>
          <w:tcPr>
            <w:tcW w:w="604" w:type="pct"/>
            <w:tcBorders>
              <w:top w:val="nil"/>
              <w:left w:val="nil"/>
              <w:bottom w:val="nil"/>
              <w:right w:val="nil"/>
            </w:tcBorders>
            <w:shd w:val="clear" w:color="auto" w:fill="auto"/>
            <w:noWrap/>
            <w:vAlign w:val="bottom"/>
          </w:tcPr>
          <w:p w14:paraId="1042D962"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-2.039**</w:t>
            </w:r>
          </w:p>
        </w:tc>
        <w:tc>
          <w:tcPr>
            <w:tcW w:w="569" w:type="pct"/>
            <w:tcBorders>
              <w:top w:val="nil"/>
              <w:left w:val="nil"/>
              <w:bottom w:val="nil"/>
              <w:right w:val="nil"/>
            </w:tcBorders>
            <w:shd w:val="clear" w:color="auto" w:fill="auto"/>
            <w:noWrap/>
            <w:vAlign w:val="bottom"/>
          </w:tcPr>
          <w:p w14:paraId="6F9A41A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-0.144</w:t>
            </w:r>
          </w:p>
        </w:tc>
        <w:tc>
          <w:tcPr>
            <w:tcW w:w="592" w:type="pct"/>
            <w:tcBorders>
              <w:top w:val="nil"/>
              <w:left w:val="nil"/>
              <w:bottom w:val="nil"/>
              <w:right w:val="nil"/>
            </w:tcBorders>
            <w:shd w:val="clear" w:color="auto" w:fill="auto"/>
            <w:noWrap/>
            <w:vAlign w:val="bottom"/>
          </w:tcPr>
          <w:p w14:paraId="0BD61863"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-13.702***</w:t>
            </w:r>
          </w:p>
        </w:tc>
        <w:tc>
          <w:tcPr>
            <w:tcW w:w="677" w:type="pct"/>
            <w:tcBorders>
              <w:top w:val="nil"/>
              <w:left w:val="nil"/>
              <w:bottom w:val="nil"/>
              <w:right w:val="nil"/>
            </w:tcBorders>
            <w:shd w:val="clear" w:color="auto" w:fill="auto"/>
            <w:noWrap/>
            <w:vAlign w:val="bottom"/>
          </w:tcPr>
          <w:p w14:paraId="2F724ABC"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0.449</w:t>
            </w:r>
          </w:p>
        </w:tc>
        <w:tc>
          <w:tcPr>
            <w:tcW w:w="571" w:type="pct"/>
            <w:tcBorders>
              <w:top w:val="nil"/>
              <w:left w:val="nil"/>
              <w:bottom w:val="nil"/>
              <w:right w:val="nil"/>
            </w:tcBorders>
            <w:shd w:val="clear" w:color="auto" w:fill="auto"/>
            <w:noWrap/>
            <w:vAlign w:val="bottom"/>
          </w:tcPr>
          <w:p w14:paraId="4EA9CDB0"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16,162</w:t>
            </w:r>
          </w:p>
        </w:tc>
        <w:tc>
          <w:tcPr>
            <w:tcW w:w="567" w:type="pct"/>
            <w:tcBorders>
              <w:top w:val="nil"/>
              <w:left w:val="nil"/>
              <w:bottom w:val="nil"/>
              <w:right w:val="nil"/>
            </w:tcBorders>
          </w:tcPr>
          <w:p w14:paraId="6344A609" w14:textId="77777777" w:rsidR="0083161B" w:rsidRPr="00D23517" w:rsidRDefault="0083161B" w:rsidP="003C4AAB">
            <w:pPr>
              <w:spacing w:after="0" w:line="240" w:lineRule="auto"/>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Yes</w:t>
            </w:r>
          </w:p>
        </w:tc>
      </w:tr>
      <w:tr w:rsidR="0083161B" w:rsidRPr="00D23517" w14:paraId="70F8AB51" w14:textId="77777777" w:rsidTr="004F0457">
        <w:trPr>
          <w:trHeight w:val="144"/>
        </w:trPr>
        <w:tc>
          <w:tcPr>
            <w:tcW w:w="868" w:type="pct"/>
            <w:tcBorders>
              <w:top w:val="nil"/>
              <w:left w:val="nil"/>
              <w:bottom w:val="nil"/>
              <w:right w:val="nil"/>
            </w:tcBorders>
            <w:shd w:val="clear" w:color="auto" w:fill="auto"/>
            <w:noWrap/>
            <w:vAlign w:val="bottom"/>
            <w:hideMark/>
          </w:tcPr>
          <w:p w14:paraId="097884B6"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 xml:space="preserve">Positive </w:t>
            </w:r>
            <w:r w:rsidRPr="00D23517">
              <w:rPr>
                <w:rFonts w:ascii="Times New Roman" w:eastAsia="Times New Roman" w:hAnsi="Times New Roman" w:cs="Times New Roman"/>
                <w:i/>
                <w:color w:val="000000"/>
                <w:sz w:val="20"/>
                <w:szCs w:val="20"/>
              </w:rPr>
              <w:t>OPERINC</w:t>
            </w:r>
          </w:p>
        </w:tc>
        <w:tc>
          <w:tcPr>
            <w:tcW w:w="552" w:type="pct"/>
            <w:tcBorders>
              <w:top w:val="nil"/>
              <w:left w:val="nil"/>
              <w:bottom w:val="nil"/>
              <w:right w:val="nil"/>
            </w:tcBorders>
            <w:shd w:val="clear" w:color="auto" w:fill="auto"/>
            <w:noWrap/>
            <w:vAlign w:val="bottom"/>
          </w:tcPr>
          <w:p w14:paraId="6F87EF04"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-0.009</w:t>
            </w:r>
          </w:p>
        </w:tc>
        <w:tc>
          <w:tcPr>
            <w:tcW w:w="604" w:type="pct"/>
            <w:tcBorders>
              <w:top w:val="nil"/>
              <w:left w:val="nil"/>
              <w:bottom w:val="nil"/>
              <w:right w:val="nil"/>
            </w:tcBorders>
            <w:shd w:val="clear" w:color="auto" w:fill="auto"/>
            <w:noWrap/>
            <w:vAlign w:val="bottom"/>
          </w:tcPr>
          <w:p w14:paraId="4CE94F6F"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-1.968**</w:t>
            </w:r>
          </w:p>
        </w:tc>
        <w:tc>
          <w:tcPr>
            <w:tcW w:w="569" w:type="pct"/>
            <w:tcBorders>
              <w:top w:val="nil"/>
              <w:left w:val="nil"/>
              <w:bottom w:val="nil"/>
              <w:right w:val="nil"/>
            </w:tcBorders>
            <w:shd w:val="clear" w:color="auto" w:fill="auto"/>
            <w:noWrap/>
            <w:vAlign w:val="bottom"/>
          </w:tcPr>
          <w:p w14:paraId="2D992D3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-0.080</w:t>
            </w:r>
          </w:p>
        </w:tc>
        <w:tc>
          <w:tcPr>
            <w:tcW w:w="592" w:type="pct"/>
            <w:tcBorders>
              <w:top w:val="nil"/>
              <w:left w:val="nil"/>
              <w:bottom w:val="nil"/>
              <w:right w:val="nil"/>
            </w:tcBorders>
            <w:shd w:val="clear" w:color="auto" w:fill="auto"/>
            <w:noWrap/>
            <w:vAlign w:val="bottom"/>
          </w:tcPr>
          <w:p w14:paraId="6868734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-14.496***</w:t>
            </w:r>
          </w:p>
        </w:tc>
        <w:tc>
          <w:tcPr>
            <w:tcW w:w="677" w:type="pct"/>
            <w:tcBorders>
              <w:top w:val="nil"/>
              <w:left w:val="nil"/>
              <w:bottom w:val="nil"/>
              <w:right w:val="nil"/>
            </w:tcBorders>
            <w:shd w:val="clear" w:color="auto" w:fill="auto"/>
            <w:noWrap/>
            <w:vAlign w:val="bottom"/>
          </w:tcPr>
          <w:p w14:paraId="0A1BD5B2"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0.459</w:t>
            </w:r>
          </w:p>
        </w:tc>
        <w:tc>
          <w:tcPr>
            <w:tcW w:w="571" w:type="pct"/>
            <w:tcBorders>
              <w:top w:val="nil"/>
              <w:left w:val="nil"/>
              <w:bottom w:val="nil"/>
              <w:right w:val="nil"/>
            </w:tcBorders>
            <w:shd w:val="clear" w:color="auto" w:fill="auto"/>
            <w:noWrap/>
            <w:vAlign w:val="bottom"/>
          </w:tcPr>
          <w:p w14:paraId="68E1D225"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55,860</w:t>
            </w:r>
          </w:p>
        </w:tc>
        <w:tc>
          <w:tcPr>
            <w:tcW w:w="567" w:type="pct"/>
            <w:tcBorders>
              <w:top w:val="nil"/>
              <w:left w:val="nil"/>
              <w:bottom w:val="nil"/>
              <w:right w:val="nil"/>
            </w:tcBorders>
          </w:tcPr>
          <w:p w14:paraId="3A47D665" w14:textId="77777777" w:rsidR="0083161B" w:rsidRPr="00D23517" w:rsidRDefault="0083161B" w:rsidP="003C4AAB">
            <w:pPr>
              <w:spacing w:after="0" w:line="240" w:lineRule="auto"/>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Yes</w:t>
            </w:r>
          </w:p>
        </w:tc>
      </w:tr>
      <w:tr w:rsidR="0083161B" w:rsidRPr="00D23517" w14:paraId="13EEBD00" w14:textId="77777777" w:rsidTr="004F0457">
        <w:trPr>
          <w:trHeight w:val="144"/>
        </w:trPr>
        <w:tc>
          <w:tcPr>
            <w:tcW w:w="868" w:type="pct"/>
            <w:tcBorders>
              <w:top w:val="nil"/>
              <w:left w:val="nil"/>
              <w:bottom w:val="nil"/>
              <w:right w:val="nil"/>
            </w:tcBorders>
            <w:shd w:val="clear" w:color="auto" w:fill="auto"/>
            <w:noWrap/>
            <w:vAlign w:val="bottom"/>
            <w:hideMark/>
          </w:tcPr>
          <w:p w14:paraId="0ED13F56"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p>
        </w:tc>
        <w:tc>
          <w:tcPr>
            <w:tcW w:w="552" w:type="pct"/>
            <w:tcBorders>
              <w:top w:val="nil"/>
              <w:left w:val="nil"/>
              <w:bottom w:val="nil"/>
              <w:right w:val="nil"/>
            </w:tcBorders>
            <w:shd w:val="clear" w:color="auto" w:fill="auto"/>
            <w:noWrap/>
            <w:vAlign w:val="bottom"/>
            <w:hideMark/>
          </w:tcPr>
          <w:p w14:paraId="0C7771EE"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04" w:type="pct"/>
            <w:tcBorders>
              <w:top w:val="nil"/>
              <w:left w:val="nil"/>
              <w:bottom w:val="nil"/>
              <w:right w:val="nil"/>
            </w:tcBorders>
            <w:shd w:val="clear" w:color="auto" w:fill="auto"/>
            <w:noWrap/>
            <w:vAlign w:val="bottom"/>
            <w:hideMark/>
          </w:tcPr>
          <w:p w14:paraId="5D5A66F7"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69" w:type="pct"/>
            <w:tcBorders>
              <w:top w:val="nil"/>
              <w:left w:val="nil"/>
              <w:bottom w:val="nil"/>
              <w:right w:val="nil"/>
            </w:tcBorders>
            <w:shd w:val="clear" w:color="auto" w:fill="auto"/>
            <w:noWrap/>
            <w:vAlign w:val="bottom"/>
            <w:hideMark/>
          </w:tcPr>
          <w:p w14:paraId="702CF1B6"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92" w:type="pct"/>
            <w:tcBorders>
              <w:top w:val="nil"/>
              <w:left w:val="nil"/>
              <w:bottom w:val="nil"/>
              <w:right w:val="nil"/>
            </w:tcBorders>
            <w:shd w:val="clear" w:color="auto" w:fill="auto"/>
            <w:noWrap/>
            <w:vAlign w:val="bottom"/>
            <w:hideMark/>
          </w:tcPr>
          <w:p w14:paraId="0741C71C"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77" w:type="pct"/>
            <w:tcBorders>
              <w:top w:val="nil"/>
              <w:left w:val="nil"/>
              <w:bottom w:val="nil"/>
              <w:right w:val="nil"/>
            </w:tcBorders>
            <w:shd w:val="clear" w:color="auto" w:fill="auto"/>
            <w:noWrap/>
            <w:vAlign w:val="bottom"/>
            <w:hideMark/>
          </w:tcPr>
          <w:p w14:paraId="0180378C"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71" w:type="pct"/>
            <w:tcBorders>
              <w:top w:val="nil"/>
              <w:left w:val="nil"/>
              <w:bottom w:val="nil"/>
              <w:right w:val="nil"/>
            </w:tcBorders>
            <w:shd w:val="clear" w:color="auto" w:fill="auto"/>
            <w:noWrap/>
            <w:vAlign w:val="bottom"/>
            <w:hideMark/>
          </w:tcPr>
          <w:p w14:paraId="2EDF9614"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67" w:type="pct"/>
            <w:tcBorders>
              <w:top w:val="nil"/>
              <w:left w:val="nil"/>
              <w:bottom w:val="nil"/>
              <w:right w:val="nil"/>
            </w:tcBorders>
          </w:tcPr>
          <w:p w14:paraId="528D5B27" w14:textId="77777777" w:rsidR="0083161B" w:rsidRPr="00D23517" w:rsidRDefault="0083161B" w:rsidP="003C4AAB">
            <w:pPr>
              <w:spacing w:after="0" w:line="240" w:lineRule="auto"/>
              <w:rPr>
                <w:rFonts w:ascii="Times New Roman" w:eastAsia="Times New Roman" w:hAnsi="Times New Roman" w:cs="Times New Roman"/>
                <w:sz w:val="20"/>
                <w:szCs w:val="20"/>
              </w:rPr>
            </w:pPr>
          </w:p>
        </w:tc>
      </w:tr>
      <w:tr w:rsidR="0083161B" w:rsidRPr="00D23517" w14:paraId="45B098D9" w14:textId="77777777" w:rsidTr="004F0457">
        <w:trPr>
          <w:trHeight w:val="144"/>
        </w:trPr>
        <w:tc>
          <w:tcPr>
            <w:tcW w:w="4433" w:type="pct"/>
            <w:gridSpan w:val="7"/>
            <w:tcBorders>
              <w:top w:val="nil"/>
              <w:left w:val="nil"/>
              <w:bottom w:val="nil"/>
              <w:right w:val="nil"/>
            </w:tcBorders>
            <w:shd w:val="clear" w:color="auto" w:fill="auto"/>
            <w:noWrap/>
            <w:vAlign w:val="bottom"/>
            <w:hideMark/>
          </w:tcPr>
          <w:p w14:paraId="48D57248"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r w:rsidRPr="00D23517">
              <w:rPr>
                <w:rFonts w:ascii="Times New Roman" w:eastAsia="Times New Roman" w:hAnsi="Times New Roman" w:cs="Times New Roman"/>
                <w:b/>
                <w:i/>
                <w:color w:val="000000"/>
                <w:sz w:val="20"/>
                <w:szCs w:val="20"/>
                <w:u w:val="single"/>
              </w:rPr>
              <w:t>Panel D - NCSKEW</w:t>
            </w:r>
          </w:p>
        </w:tc>
        <w:tc>
          <w:tcPr>
            <w:tcW w:w="567" w:type="pct"/>
            <w:tcBorders>
              <w:top w:val="nil"/>
              <w:left w:val="nil"/>
              <w:bottom w:val="nil"/>
              <w:right w:val="nil"/>
            </w:tcBorders>
          </w:tcPr>
          <w:p w14:paraId="3F8E005C" w14:textId="77777777" w:rsidR="0083161B" w:rsidRPr="00D23517" w:rsidRDefault="0083161B" w:rsidP="003C4AAB">
            <w:pPr>
              <w:spacing w:after="0" w:line="240" w:lineRule="auto"/>
              <w:rPr>
                <w:rFonts w:ascii="Times New Roman" w:eastAsia="Times New Roman" w:hAnsi="Times New Roman" w:cs="Times New Roman"/>
                <w:b/>
                <w:i/>
                <w:color w:val="000000"/>
                <w:sz w:val="20"/>
                <w:szCs w:val="20"/>
                <w:u w:val="single"/>
              </w:rPr>
            </w:pPr>
          </w:p>
        </w:tc>
      </w:tr>
      <w:tr w:rsidR="0083161B" w:rsidRPr="00D23517" w14:paraId="7F16CE4E" w14:textId="77777777" w:rsidTr="004F0457">
        <w:trPr>
          <w:trHeight w:val="144"/>
        </w:trPr>
        <w:tc>
          <w:tcPr>
            <w:tcW w:w="868" w:type="pct"/>
            <w:tcBorders>
              <w:top w:val="nil"/>
              <w:left w:val="nil"/>
              <w:right w:val="nil"/>
            </w:tcBorders>
            <w:shd w:val="clear" w:color="auto" w:fill="auto"/>
            <w:noWrap/>
            <w:vAlign w:val="bottom"/>
            <w:hideMark/>
          </w:tcPr>
          <w:p w14:paraId="22E484FD"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 xml:space="preserve">Negative </w:t>
            </w:r>
            <w:r w:rsidRPr="00D23517">
              <w:rPr>
                <w:rFonts w:ascii="Times New Roman" w:eastAsia="Times New Roman" w:hAnsi="Times New Roman" w:cs="Times New Roman"/>
                <w:i/>
                <w:color w:val="000000"/>
                <w:sz w:val="20"/>
                <w:szCs w:val="20"/>
              </w:rPr>
              <w:t>OPERINC</w:t>
            </w:r>
          </w:p>
        </w:tc>
        <w:tc>
          <w:tcPr>
            <w:tcW w:w="552" w:type="pct"/>
            <w:tcBorders>
              <w:top w:val="nil"/>
              <w:left w:val="nil"/>
              <w:right w:val="nil"/>
            </w:tcBorders>
            <w:shd w:val="clear" w:color="auto" w:fill="auto"/>
            <w:noWrap/>
            <w:vAlign w:val="bottom"/>
          </w:tcPr>
          <w:p w14:paraId="33CEB4AE"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-0.019</w:t>
            </w:r>
          </w:p>
        </w:tc>
        <w:tc>
          <w:tcPr>
            <w:tcW w:w="604" w:type="pct"/>
            <w:tcBorders>
              <w:top w:val="nil"/>
              <w:left w:val="nil"/>
              <w:right w:val="nil"/>
            </w:tcBorders>
            <w:shd w:val="clear" w:color="auto" w:fill="auto"/>
            <w:noWrap/>
            <w:vAlign w:val="bottom"/>
          </w:tcPr>
          <w:p w14:paraId="1BF637B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-2.314**</w:t>
            </w:r>
          </w:p>
        </w:tc>
        <w:tc>
          <w:tcPr>
            <w:tcW w:w="569" w:type="pct"/>
            <w:tcBorders>
              <w:top w:val="nil"/>
              <w:left w:val="nil"/>
              <w:right w:val="nil"/>
            </w:tcBorders>
            <w:shd w:val="clear" w:color="auto" w:fill="auto"/>
            <w:noWrap/>
            <w:vAlign w:val="bottom"/>
          </w:tcPr>
          <w:p w14:paraId="4FC49D1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-0.043</w:t>
            </w:r>
          </w:p>
        </w:tc>
        <w:tc>
          <w:tcPr>
            <w:tcW w:w="592" w:type="pct"/>
            <w:tcBorders>
              <w:top w:val="nil"/>
              <w:left w:val="nil"/>
              <w:right w:val="nil"/>
            </w:tcBorders>
            <w:shd w:val="clear" w:color="auto" w:fill="auto"/>
            <w:noWrap/>
            <w:vAlign w:val="bottom"/>
          </w:tcPr>
          <w:p w14:paraId="44CBFA09"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-2.373**</w:t>
            </w:r>
          </w:p>
        </w:tc>
        <w:tc>
          <w:tcPr>
            <w:tcW w:w="677" w:type="pct"/>
            <w:tcBorders>
              <w:top w:val="nil"/>
              <w:left w:val="nil"/>
              <w:right w:val="nil"/>
            </w:tcBorders>
            <w:shd w:val="clear" w:color="auto" w:fill="auto"/>
            <w:noWrap/>
            <w:vAlign w:val="bottom"/>
          </w:tcPr>
          <w:p w14:paraId="6044145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0.046</w:t>
            </w:r>
          </w:p>
        </w:tc>
        <w:tc>
          <w:tcPr>
            <w:tcW w:w="571" w:type="pct"/>
            <w:tcBorders>
              <w:top w:val="nil"/>
              <w:left w:val="nil"/>
              <w:right w:val="nil"/>
            </w:tcBorders>
            <w:shd w:val="clear" w:color="auto" w:fill="auto"/>
            <w:noWrap/>
            <w:vAlign w:val="bottom"/>
          </w:tcPr>
          <w:p w14:paraId="2ECC5A98"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12,501</w:t>
            </w:r>
          </w:p>
        </w:tc>
        <w:tc>
          <w:tcPr>
            <w:tcW w:w="567" w:type="pct"/>
            <w:tcBorders>
              <w:top w:val="nil"/>
              <w:left w:val="nil"/>
              <w:right w:val="nil"/>
            </w:tcBorders>
          </w:tcPr>
          <w:p w14:paraId="70BC33A9" w14:textId="77777777" w:rsidR="0083161B" w:rsidRPr="00D23517" w:rsidRDefault="0083161B" w:rsidP="003C4AAB">
            <w:pPr>
              <w:spacing w:after="0" w:line="240" w:lineRule="auto"/>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Yes</w:t>
            </w:r>
          </w:p>
        </w:tc>
      </w:tr>
      <w:tr w:rsidR="0083161B" w:rsidRPr="00D23517" w14:paraId="31CF03F3" w14:textId="77777777" w:rsidTr="004F0457">
        <w:trPr>
          <w:trHeight w:val="144"/>
        </w:trPr>
        <w:tc>
          <w:tcPr>
            <w:tcW w:w="868" w:type="pct"/>
            <w:tcBorders>
              <w:top w:val="nil"/>
              <w:left w:val="nil"/>
              <w:bottom w:val="single" w:sz="4" w:space="0" w:color="auto"/>
              <w:right w:val="nil"/>
            </w:tcBorders>
            <w:shd w:val="clear" w:color="auto" w:fill="auto"/>
            <w:noWrap/>
            <w:vAlign w:val="bottom"/>
            <w:hideMark/>
          </w:tcPr>
          <w:p w14:paraId="28F5868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 xml:space="preserve">Positive </w:t>
            </w:r>
            <w:r w:rsidRPr="00D23517">
              <w:rPr>
                <w:rFonts w:ascii="Times New Roman" w:eastAsia="Times New Roman" w:hAnsi="Times New Roman" w:cs="Times New Roman"/>
                <w:i/>
                <w:color w:val="000000"/>
                <w:sz w:val="20"/>
                <w:szCs w:val="20"/>
              </w:rPr>
              <w:t>OPERINC</w:t>
            </w:r>
          </w:p>
        </w:tc>
        <w:tc>
          <w:tcPr>
            <w:tcW w:w="552" w:type="pct"/>
            <w:tcBorders>
              <w:top w:val="nil"/>
              <w:left w:val="nil"/>
              <w:bottom w:val="single" w:sz="4" w:space="0" w:color="auto"/>
              <w:right w:val="nil"/>
            </w:tcBorders>
            <w:shd w:val="clear" w:color="auto" w:fill="auto"/>
            <w:noWrap/>
            <w:vAlign w:val="bottom"/>
          </w:tcPr>
          <w:p w14:paraId="6E372DE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-0.018</w:t>
            </w:r>
          </w:p>
        </w:tc>
        <w:tc>
          <w:tcPr>
            <w:tcW w:w="604" w:type="pct"/>
            <w:tcBorders>
              <w:top w:val="nil"/>
              <w:left w:val="nil"/>
              <w:bottom w:val="single" w:sz="4" w:space="0" w:color="auto"/>
              <w:right w:val="nil"/>
            </w:tcBorders>
            <w:shd w:val="clear" w:color="auto" w:fill="auto"/>
            <w:noWrap/>
            <w:vAlign w:val="bottom"/>
          </w:tcPr>
          <w:p w14:paraId="55E7F118"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-2.886***</w:t>
            </w:r>
          </w:p>
        </w:tc>
        <w:tc>
          <w:tcPr>
            <w:tcW w:w="569" w:type="pct"/>
            <w:tcBorders>
              <w:top w:val="nil"/>
              <w:left w:val="nil"/>
              <w:bottom w:val="single" w:sz="4" w:space="0" w:color="auto"/>
              <w:right w:val="nil"/>
            </w:tcBorders>
            <w:shd w:val="clear" w:color="auto" w:fill="auto"/>
            <w:noWrap/>
            <w:vAlign w:val="bottom"/>
          </w:tcPr>
          <w:p w14:paraId="3E191656"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-0.083</w:t>
            </w:r>
          </w:p>
        </w:tc>
        <w:tc>
          <w:tcPr>
            <w:tcW w:w="592" w:type="pct"/>
            <w:tcBorders>
              <w:top w:val="nil"/>
              <w:left w:val="nil"/>
              <w:bottom w:val="single" w:sz="4" w:space="0" w:color="auto"/>
              <w:right w:val="nil"/>
            </w:tcBorders>
            <w:shd w:val="clear" w:color="auto" w:fill="auto"/>
            <w:noWrap/>
            <w:vAlign w:val="bottom"/>
          </w:tcPr>
          <w:p w14:paraId="637ABB4E"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-11.035***</w:t>
            </w:r>
          </w:p>
        </w:tc>
        <w:tc>
          <w:tcPr>
            <w:tcW w:w="677" w:type="pct"/>
            <w:tcBorders>
              <w:top w:val="nil"/>
              <w:left w:val="nil"/>
              <w:bottom w:val="single" w:sz="4" w:space="0" w:color="auto"/>
              <w:right w:val="nil"/>
            </w:tcBorders>
            <w:shd w:val="clear" w:color="auto" w:fill="auto"/>
            <w:noWrap/>
            <w:vAlign w:val="bottom"/>
          </w:tcPr>
          <w:p w14:paraId="767085E9"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0.039</w:t>
            </w:r>
          </w:p>
        </w:tc>
        <w:tc>
          <w:tcPr>
            <w:tcW w:w="571" w:type="pct"/>
            <w:tcBorders>
              <w:top w:val="nil"/>
              <w:left w:val="nil"/>
              <w:bottom w:val="single" w:sz="4" w:space="0" w:color="auto"/>
              <w:right w:val="nil"/>
            </w:tcBorders>
            <w:shd w:val="clear" w:color="auto" w:fill="auto"/>
            <w:noWrap/>
            <w:vAlign w:val="bottom"/>
          </w:tcPr>
          <w:p w14:paraId="55CE2F08"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52,592</w:t>
            </w:r>
          </w:p>
        </w:tc>
        <w:tc>
          <w:tcPr>
            <w:tcW w:w="567" w:type="pct"/>
            <w:tcBorders>
              <w:top w:val="nil"/>
              <w:left w:val="nil"/>
              <w:bottom w:val="single" w:sz="4" w:space="0" w:color="auto"/>
              <w:right w:val="nil"/>
            </w:tcBorders>
          </w:tcPr>
          <w:p w14:paraId="61EF3B9E" w14:textId="77777777" w:rsidR="0083161B" w:rsidRPr="00D23517" w:rsidRDefault="0083161B" w:rsidP="003C4AAB">
            <w:pPr>
              <w:spacing w:after="0" w:line="240" w:lineRule="auto"/>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Yes</w:t>
            </w:r>
          </w:p>
        </w:tc>
      </w:tr>
    </w:tbl>
    <w:p w14:paraId="6DD75C2A" w14:textId="7C1C5003" w:rsidR="0083161B" w:rsidRPr="005F4D86" w:rsidRDefault="00317E24" w:rsidP="00A1062B">
      <w:pPr>
        <w:jc w:val="both"/>
        <w:rPr>
          <w:rFonts w:ascii="Times New Roman" w:hAnsi="Times New Roman" w:cs="Times New Roman"/>
          <w:sz w:val="20"/>
          <w:szCs w:val="20"/>
        </w:rPr>
      </w:pPr>
      <w:r w:rsidRPr="005F4D86">
        <w:rPr>
          <w:rFonts w:ascii="Times New Roman" w:hAnsi="Times New Roman" w:cs="Times New Roman"/>
          <w:sz w:val="20"/>
          <w:szCs w:val="20"/>
        </w:rPr>
        <w:t>Note</w:t>
      </w:r>
      <w:r w:rsidR="00982C8F" w:rsidRPr="005F4D86">
        <w:rPr>
          <w:rFonts w:ascii="Times New Roman" w:hAnsi="Times New Roman" w:cs="Times New Roman"/>
          <w:sz w:val="20"/>
          <w:szCs w:val="20"/>
        </w:rPr>
        <w:t xml:space="preserve">: </w:t>
      </w:r>
      <w:r w:rsidR="004F0457" w:rsidRPr="005F4D86">
        <w:rPr>
          <w:rFonts w:ascii="Times New Roman" w:hAnsi="Times New Roman" w:cs="Times New Roman"/>
          <w:sz w:val="20"/>
          <w:szCs w:val="20"/>
        </w:rPr>
        <w:t xml:space="preserve">This table reports the results from the panel data firm-fixed effect regressions for the subsample of firms with negative </w:t>
      </w:r>
      <w:r w:rsidR="004F0457" w:rsidRPr="005F4D86">
        <w:rPr>
          <w:rFonts w:ascii="Times New Roman" w:hAnsi="Times New Roman" w:cs="Times New Roman"/>
          <w:i/>
          <w:sz w:val="20"/>
          <w:szCs w:val="20"/>
        </w:rPr>
        <w:t>OPERINC</w:t>
      </w:r>
      <w:r w:rsidR="004F0457" w:rsidRPr="005F4D86">
        <w:rPr>
          <w:rFonts w:ascii="Times New Roman" w:hAnsi="Times New Roman" w:cs="Times New Roman"/>
          <w:sz w:val="20"/>
          <w:szCs w:val="20"/>
        </w:rPr>
        <w:t xml:space="preserve"> vs. the subsample of firms with positive </w:t>
      </w:r>
      <w:r w:rsidR="004F0457" w:rsidRPr="005F4D86">
        <w:rPr>
          <w:rFonts w:ascii="Times New Roman" w:hAnsi="Times New Roman" w:cs="Times New Roman"/>
          <w:i/>
          <w:sz w:val="20"/>
          <w:szCs w:val="20"/>
        </w:rPr>
        <w:t>OPERINC</w:t>
      </w:r>
      <w:r w:rsidR="004F0457" w:rsidRPr="005F4D86">
        <w:rPr>
          <w:rFonts w:ascii="Times New Roman" w:hAnsi="Times New Roman" w:cs="Times New Roman"/>
          <w:sz w:val="20"/>
          <w:szCs w:val="20"/>
        </w:rPr>
        <w:t>. The dependent variables are ROA volatility (</w:t>
      </w:r>
      <w:r w:rsidR="000B1D20" w:rsidRPr="00F15FF6">
        <w:rPr>
          <w:rFonts w:ascii="Times New Roman" w:hAnsi="Times New Roman" w:cs="Times New Roman"/>
          <w:i/>
          <w:sz w:val="20"/>
          <w:szCs w:val="20"/>
        </w:rPr>
        <w:t xml:space="preserve">ROAVOL </w:t>
      </w:r>
      <w:r w:rsidR="004F0457" w:rsidRPr="005F4D86">
        <w:rPr>
          <w:rFonts w:ascii="Times New Roman" w:hAnsi="Times New Roman" w:cs="Times New Roman"/>
          <w:sz w:val="20"/>
          <w:szCs w:val="20"/>
        </w:rPr>
        <w:t>in Panel A), the two measures of stock price volatility (</w:t>
      </w:r>
      <w:r w:rsidR="004F0457" w:rsidRPr="005F4D86">
        <w:rPr>
          <w:rFonts w:ascii="Times New Roman" w:hAnsi="Times New Roman" w:cs="Times New Roman"/>
          <w:i/>
          <w:sz w:val="20"/>
          <w:szCs w:val="20"/>
        </w:rPr>
        <w:t>TOTRISK</w:t>
      </w:r>
      <w:r w:rsidR="004F0457" w:rsidRPr="005F4D86">
        <w:rPr>
          <w:rFonts w:ascii="Times New Roman" w:hAnsi="Times New Roman" w:cs="Times New Roman"/>
          <w:sz w:val="20"/>
          <w:szCs w:val="20"/>
        </w:rPr>
        <w:t xml:space="preserve"> in Panel B and </w:t>
      </w:r>
      <w:r w:rsidR="004F0457" w:rsidRPr="005F4D86">
        <w:rPr>
          <w:rFonts w:ascii="Times New Roman" w:hAnsi="Times New Roman" w:cs="Times New Roman"/>
          <w:i/>
          <w:sz w:val="20"/>
          <w:szCs w:val="20"/>
        </w:rPr>
        <w:t>IDIORISK</w:t>
      </w:r>
      <w:r w:rsidR="004F0457" w:rsidRPr="005F4D86">
        <w:rPr>
          <w:rFonts w:ascii="Times New Roman" w:hAnsi="Times New Roman" w:cs="Times New Roman"/>
          <w:sz w:val="20"/>
          <w:szCs w:val="20"/>
        </w:rPr>
        <w:t xml:space="preserve"> in Panel C)</w:t>
      </w:r>
      <w:r w:rsidR="005306EB">
        <w:rPr>
          <w:rFonts w:ascii="Times New Roman" w:hAnsi="Times New Roman" w:cs="Times New Roman"/>
          <w:sz w:val="20"/>
          <w:szCs w:val="20"/>
        </w:rPr>
        <w:t>,</w:t>
      </w:r>
      <w:r w:rsidR="004F0457" w:rsidRPr="005F4D86">
        <w:rPr>
          <w:rFonts w:ascii="Times New Roman" w:hAnsi="Times New Roman" w:cs="Times New Roman"/>
          <w:sz w:val="20"/>
          <w:szCs w:val="20"/>
        </w:rPr>
        <w:t xml:space="preserve"> and one measure of stock price crash risk (</w:t>
      </w:r>
      <w:r w:rsidR="004F0457" w:rsidRPr="005F4D86">
        <w:rPr>
          <w:rFonts w:ascii="Times New Roman" w:hAnsi="Times New Roman" w:cs="Times New Roman"/>
          <w:i/>
          <w:sz w:val="20"/>
          <w:szCs w:val="20"/>
        </w:rPr>
        <w:t>NCSKEW</w:t>
      </w:r>
      <w:r w:rsidR="004F0457" w:rsidRPr="005F4D86">
        <w:rPr>
          <w:rFonts w:ascii="Times New Roman" w:hAnsi="Times New Roman" w:cs="Times New Roman"/>
          <w:sz w:val="20"/>
          <w:szCs w:val="20"/>
        </w:rPr>
        <w:t xml:space="preserve"> in Panel D). ROA volatility (</w:t>
      </w:r>
      <w:r w:rsidR="004F0457" w:rsidRPr="005F4D86">
        <w:rPr>
          <w:rFonts w:ascii="Times New Roman" w:hAnsi="Times New Roman" w:cs="Times New Roman"/>
          <w:i/>
          <w:sz w:val="20"/>
          <w:szCs w:val="20"/>
        </w:rPr>
        <w:t>ROAVOL</w:t>
      </w:r>
      <w:r w:rsidR="004F0457" w:rsidRPr="005F4D86">
        <w:rPr>
          <w:rFonts w:ascii="Times New Roman" w:hAnsi="Times New Roman" w:cs="Times New Roman"/>
          <w:sz w:val="20"/>
          <w:szCs w:val="20"/>
        </w:rPr>
        <w:t>) is the standard deviation of return on assets over the 5 years period (from year -4 to the current fiscal year).</w:t>
      </w:r>
      <w:r w:rsidR="004F0457" w:rsidRPr="005F4D86">
        <w:rPr>
          <w:rFonts w:ascii="Times New Roman" w:hAnsi="Times New Roman" w:cs="Times New Roman"/>
          <w:i/>
          <w:sz w:val="20"/>
          <w:szCs w:val="20"/>
        </w:rPr>
        <w:t xml:space="preserve"> </w:t>
      </w:r>
      <w:r w:rsidR="00816B88">
        <w:rPr>
          <w:rFonts w:ascii="Times New Roman" w:hAnsi="Times New Roman" w:cs="Times New Roman"/>
          <w:sz w:val="20"/>
          <w:szCs w:val="20"/>
        </w:rPr>
        <w:t>T</w:t>
      </w:r>
      <w:r w:rsidR="00816B88" w:rsidRPr="005F4D86">
        <w:rPr>
          <w:rFonts w:ascii="Times New Roman" w:hAnsi="Times New Roman" w:cs="Times New Roman"/>
          <w:sz w:val="20"/>
          <w:szCs w:val="20"/>
        </w:rPr>
        <w:t>otal risk</w:t>
      </w:r>
      <w:r w:rsidR="00816B88" w:rsidRPr="005F4D86">
        <w:rPr>
          <w:rFonts w:ascii="Times New Roman" w:hAnsi="Times New Roman" w:cs="Times New Roman"/>
          <w:i/>
          <w:sz w:val="20"/>
          <w:szCs w:val="20"/>
        </w:rPr>
        <w:t xml:space="preserve"> </w:t>
      </w:r>
      <w:r w:rsidR="00816B88">
        <w:rPr>
          <w:rFonts w:ascii="Times New Roman" w:hAnsi="Times New Roman" w:cs="Times New Roman"/>
          <w:i/>
          <w:sz w:val="20"/>
          <w:szCs w:val="20"/>
        </w:rPr>
        <w:t>(</w:t>
      </w:r>
      <w:r w:rsidR="00816B88" w:rsidRPr="005F4D86">
        <w:rPr>
          <w:rFonts w:ascii="Times New Roman" w:hAnsi="Times New Roman" w:cs="Times New Roman"/>
          <w:i/>
          <w:sz w:val="20"/>
          <w:szCs w:val="20"/>
        </w:rPr>
        <w:t>TOTRISK</w:t>
      </w:r>
      <w:r w:rsidR="00816B88">
        <w:rPr>
          <w:rFonts w:ascii="Times New Roman" w:hAnsi="Times New Roman" w:cs="Times New Roman"/>
          <w:i/>
          <w:sz w:val="20"/>
          <w:szCs w:val="20"/>
        </w:rPr>
        <w:t>)</w:t>
      </w:r>
      <w:r w:rsidR="004F0457" w:rsidRPr="005F4D86">
        <w:rPr>
          <w:rFonts w:ascii="Times New Roman" w:hAnsi="Times New Roman" w:cs="Times New Roman"/>
          <w:sz w:val="20"/>
          <w:szCs w:val="20"/>
        </w:rPr>
        <w:t xml:space="preserve"> is the annualized standard deviation of the daily stock returns in the year.</w:t>
      </w:r>
      <w:r w:rsidR="004F0457" w:rsidRPr="005F4D86">
        <w:rPr>
          <w:rFonts w:ascii="Times New Roman" w:hAnsi="Times New Roman" w:cs="Times New Roman"/>
          <w:i/>
          <w:sz w:val="20"/>
          <w:szCs w:val="20"/>
        </w:rPr>
        <w:t xml:space="preserve"> </w:t>
      </w:r>
      <w:r w:rsidR="004F0457" w:rsidRPr="005F4D86">
        <w:rPr>
          <w:rFonts w:ascii="Times New Roman" w:hAnsi="Times New Roman" w:cs="Times New Roman"/>
          <w:sz w:val="20"/>
          <w:szCs w:val="20"/>
        </w:rPr>
        <w:t xml:space="preserve"> </w:t>
      </w:r>
      <w:r w:rsidR="00FC6F5C" w:rsidRPr="00D05DBE">
        <w:rPr>
          <w:rFonts w:ascii="Times New Roman" w:hAnsi="Times New Roman" w:cs="Times New Roman"/>
          <w:sz w:val="20"/>
          <w:szCs w:val="20"/>
        </w:rPr>
        <w:t>Idiosyncratic</w:t>
      </w:r>
      <w:r w:rsidR="00FC6F5C" w:rsidRPr="005F4D86">
        <w:rPr>
          <w:rFonts w:ascii="Times New Roman" w:hAnsi="Times New Roman" w:cs="Times New Roman"/>
          <w:sz w:val="20"/>
          <w:szCs w:val="20"/>
        </w:rPr>
        <w:t xml:space="preserve"> risk</w:t>
      </w:r>
      <w:r w:rsidR="00FC6F5C">
        <w:rPr>
          <w:rFonts w:ascii="Times New Roman" w:hAnsi="Times New Roman" w:cs="Times New Roman"/>
          <w:sz w:val="20"/>
          <w:szCs w:val="20"/>
        </w:rPr>
        <w:t xml:space="preserve"> (</w:t>
      </w:r>
      <w:r w:rsidR="00FC6F5C" w:rsidRPr="005F4D86">
        <w:rPr>
          <w:rFonts w:ascii="Times New Roman" w:hAnsi="Times New Roman" w:cs="Times New Roman"/>
          <w:i/>
          <w:sz w:val="20"/>
          <w:szCs w:val="20"/>
        </w:rPr>
        <w:t>IDIORISK</w:t>
      </w:r>
      <w:r w:rsidR="00FC6F5C">
        <w:rPr>
          <w:rFonts w:ascii="Times New Roman" w:hAnsi="Times New Roman" w:cs="Times New Roman"/>
          <w:i/>
          <w:sz w:val="20"/>
          <w:szCs w:val="20"/>
        </w:rPr>
        <w:t>)</w:t>
      </w:r>
      <w:r w:rsidR="004F0457" w:rsidRPr="005F4D86">
        <w:rPr>
          <w:rFonts w:ascii="Times New Roman" w:hAnsi="Times New Roman" w:cs="Times New Roman"/>
          <w:sz w:val="20"/>
          <w:szCs w:val="20"/>
        </w:rPr>
        <w:t xml:space="preserve"> is the annualized standard deviation of the residuals from the </w:t>
      </w:r>
      <w:proofErr w:type="spellStart"/>
      <w:r w:rsidR="004F0457" w:rsidRPr="005F4D86">
        <w:rPr>
          <w:rFonts w:ascii="Times New Roman" w:hAnsi="Times New Roman" w:cs="Times New Roman"/>
          <w:sz w:val="20"/>
          <w:szCs w:val="20"/>
        </w:rPr>
        <w:t>Fama</w:t>
      </w:r>
      <w:proofErr w:type="spellEnd"/>
      <w:r w:rsidR="004F0457" w:rsidRPr="005F4D86">
        <w:rPr>
          <w:rFonts w:ascii="Times New Roman" w:hAnsi="Times New Roman" w:cs="Times New Roman"/>
          <w:sz w:val="20"/>
          <w:szCs w:val="20"/>
        </w:rPr>
        <w:t>-French 4-factor model using daily stock returns in the year.</w:t>
      </w:r>
      <w:r w:rsidR="004F0457" w:rsidRPr="005F4D86">
        <w:rPr>
          <w:rFonts w:ascii="Times New Roman" w:hAnsi="Times New Roman" w:cs="Times New Roman"/>
          <w:i/>
          <w:sz w:val="20"/>
          <w:szCs w:val="20"/>
        </w:rPr>
        <w:t xml:space="preserve"> NCSKEW</w:t>
      </w:r>
      <w:r w:rsidR="004F0457" w:rsidRPr="005F4D86">
        <w:rPr>
          <w:rFonts w:ascii="Times New Roman" w:hAnsi="Times New Roman" w:cs="Times New Roman"/>
          <w:sz w:val="20"/>
          <w:szCs w:val="20"/>
        </w:rPr>
        <w:t xml:space="preserve"> is the negative conditional skewness of firm-specific weekly return, calculated as the negative third central moment of firm-specific weekly returns divided by the cubed standard deviation of firm-specific weekly returns.</w:t>
      </w:r>
      <w:r w:rsidR="004F0457" w:rsidRPr="005F4D86">
        <w:rPr>
          <w:rFonts w:ascii="Times New Roman" w:eastAsiaTheme="minorEastAsia" w:hAnsi="Times New Roman" w:cs="Times New Roman"/>
          <w:sz w:val="20"/>
          <w:szCs w:val="20"/>
        </w:rPr>
        <w:t xml:space="preserve"> </w:t>
      </w:r>
      <w:r w:rsidR="004F0457" w:rsidRPr="005F4D86">
        <w:rPr>
          <w:rFonts w:ascii="Times New Roman" w:hAnsi="Times New Roman" w:cs="Times New Roman"/>
          <w:i/>
          <w:sz w:val="20"/>
          <w:szCs w:val="20"/>
        </w:rPr>
        <w:t>NONOPERINC</w:t>
      </w:r>
      <w:r w:rsidR="004F0457" w:rsidRPr="005F4D86">
        <w:rPr>
          <w:rFonts w:ascii="Times New Roman" w:hAnsi="Times New Roman" w:cs="Times New Roman"/>
          <w:sz w:val="20"/>
          <w:szCs w:val="20"/>
        </w:rPr>
        <w:t xml:space="preserve"> is the ratio of non-operating income</w:t>
      </w:r>
      <w:r w:rsidR="000B1D20">
        <w:rPr>
          <w:rFonts w:ascii="Times New Roman" w:hAnsi="Times New Roman" w:cs="Times New Roman"/>
          <w:sz w:val="20"/>
          <w:szCs w:val="20"/>
        </w:rPr>
        <w:t xml:space="preserve"> </w:t>
      </w:r>
      <w:r w:rsidR="004F0457" w:rsidRPr="005F4D86">
        <w:rPr>
          <w:rFonts w:ascii="Times New Roman" w:hAnsi="Times New Roman" w:cs="Times New Roman"/>
          <w:sz w:val="20"/>
          <w:szCs w:val="20"/>
        </w:rPr>
        <w:t>to</w:t>
      </w:r>
      <w:r w:rsidR="000B1D20">
        <w:rPr>
          <w:rFonts w:ascii="Times New Roman" w:hAnsi="Times New Roman" w:cs="Times New Roman"/>
          <w:sz w:val="20"/>
          <w:szCs w:val="20"/>
        </w:rPr>
        <w:t xml:space="preserve"> </w:t>
      </w:r>
      <w:r w:rsidR="004F0457" w:rsidRPr="005F4D86">
        <w:rPr>
          <w:rFonts w:ascii="Times New Roman" w:hAnsi="Times New Roman" w:cs="Times New Roman"/>
          <w:sz w:val="20"/>
          <w:szCs w:val="20"/>
        </w:rPr>
        <w:t xml:space="preserve">assets at the end of the fiscal year. </w:t>
      </w:r>
      <w:r w:rsidR="004F0457" w:rsidRPr="005F4D86">
        <w:rPr>
          <w:rFonts w:ascii="Times New Roman" w:hAnsi="Times New Roman" w:cs="Times New Roman"/>
          <w:i/>
          <w:sz w:val="20"/>
          <w:szCs w:val="20"/>
        </w:rPr>
        <w:t>OPERINC</w:t>
      </w:r>
      <w:r w:rsidR="004F0457" w:rsidRPr="005F4D86">
        <w:rPr>
          <w:rFonts w:ascii="Times New Roman" w:hAnsi="Times New Roman" w:cs="Times New Roman"/>
          <w:sz w:val="20"/>
          <w:szCs w:val="20"/>
        </w:rPr>
        <w:t xml:space="preserve"> is the ratio of operating income to assets at the end of the fiscal year. For brevity, only coefficients on </w:t>
      </w:r>
      <w:r w:rsidR="004F0457" w:rsidRPr="005F4D86">
        <w:rPr>
          <w:rFonts w:ascii="Times New Roman" w:hAnsi="Times New Roman" w:cs="Times New Roman"/>
          <w:i/>
          <w:sz w:val="20"/>
          <w:szCs w:val="20"/>
        </w:rPr>
        <w:t>NONOPERINC</w:t>
      </w:r>
      <w:r w:rsidR="004F0457" w:rsidRPr="005F4D86">
        <w:rPr>
          <w:rFonts w:ascii="Times New Roman" w:hAnsi="Times New Roman" w:cs="Times New Roman"/>
          <w:sz w:val="20"/>
          <w:szCs w:val="20"/>
        </w:rPr>
        <w:t xml:space="preserve"> and </w:t>
      </w:r>
      <w:r w:rsidR="004F0457" w:rsidRPr="005F4D86">
        <w:rPr>
          <w:rFonts w:ascii="Times New Roman" w:hAnsi="Times New Roman" w:cs="Times New Roman"/>
          <w:i/>
          <w:sz w:val="20"/>
          <w:szCs w:val="20"/>
        </w:rPr>
        <w:t>OPERINC</w:t>
      </w:r>
      <w:r w:rsidR="004F0457" w:rsidRPr="005F4D86">
        <w:rPr>
          <w:rFonts w:ascii="Times New Roman" w:hAnsi="Times New Roman" w:cs="Times New Roman"/>
          <w:sz w:val="20"/>
          <w:szCs w:val="20"/>
        </w:rPr>
        <w:t xml:space="preserve"> are reported. *, ** and *** indicate the significance levels of 10%, 5% and 1%, respectively.</w:t>
      </w:r>
    </w:p>
    <w:p w14:paraId="304718A4" w14:textId="77777777" w:rsidR="004F0457" w:rsidRPr="00893E6D" w:rsidRDefault="004F0457" w:rsidP="00A1062B">
      <w:pPr>
        <w:jc w:val="both"/>
        <w:rPr>
          <w:rFonts w:ascii="Times New Roman" w:hAnsi="Times New Roman" w:cs="Times New Roman"/>
        </w:rPr>
        <w:sectPr w:rsidR="004F0457" w:rsidRPr="00893E6D" w:rsidSect="00067C9F">
          <w:pgSz w:w="15840" w:h="12240" w:orient="landscape"/>
          <w:pgMar w:top="1440" w:right="1440" w:bottom="1440" w:left="1440" w:header="720" w:footer="720" w:gutter="0"/>
          <w:cols w:space="720"/>
          <w:docGrid w:linePitch="360"/>
        </w:sectPr>
      </w:pPr>
    </w:p>
    <w:tbl>
      <w:tblPr>
        <w:tblW w:w="5000" w:type="pct"/>
        <w:tblLayout w:type="fixed"/>
        <w:tblLook w:val="04A0" w:firstRow="1" w:lastRow="0" w:firstColumn="1" w:lastColumn="0" w:noHBand="0" w:noVBand="1"/>
      </w:tblPr>
      <w:tblGrid>
        <w:gridCol w:w="1994"/>
        <w:gridCol w:w="1444"/>
        <w:gridCol w:w="1537"/>
        <w:gridCol w:w="1428"/>
        <w:gridCol w:w="1560"/>
        <w:gridCol w:w="1817"/>
        <w:gridCol w:w="1112"/>
        <w:gridCol w:w="2068"/>
      </w:tblGrid>
      <w:tr w:rsidR="0083161B" w:rsidRPr="00D23517" w14:paraId="125D6B3B" w14:textId="77777777" w:rsidTr="008F6E16">
        <w:trPr>
          <w:trHeight w:val="144"/>
        </w:trPr>
        <w:tc>
          <w:tcPr>
            <w:tcW w:w="5000" w:type="pct"/>
            <w:gridSpan w:val="8"/>
            <w:tcBorders>
              <w:top w:val="nil"/>
              <w:left w:val="nil"/>
              <w:bottom w:val="single" w:sz="4" w:space="0" w:color="auto"/>
              <w:right w:val="nil"/>
            </w:tcBorders>
            <w:shd w:val="clear" w:color="auto" w:fill="auto"/>
            <w:noWrap/>
            <w:vAlign w:val="bottom"/>
            <w:hideMark/>
          </w:tcPr>
          <w:p w14:paraId="6A77D619" w14:textId="30213526" w:rsidR="004F0457" w:rsidRPr="00D23517" w:rsidRDefault="0083161B" w:rsidP="00D23517">
            <w:pPr>
              <w:pBdr>
                <w:bottom w:val="single" w:sz="4" w:space="1" w:color="auto"/>
              </w:pBdr>
              <w:spacing w:after="0" w:line="240" w:lineRule="auto"/>
              <w:rPr>
                <w:rFonts w:ascii="Times New Roman" w:eastAsia="Times New Roman" w:hAnsi="Times New Roman" w:cs="Times New Roman"/>
                <w:b/>
                <w:color w:val="000000"/>
                <w:sz w:val="20"/>
                <w:szCs w:val="20"/>
              </w:rPr>
            </w:pPr>
            <w:r w:rsidRPr="00D23517">
              <w:rPr>
                <w:rFonts w:ascii="Times New Roman" w:eastAsia="Times New Roman" w:hAnsi="Times New Roman" w:cs="Times New Roman"/>
                <w:b/>
                <w:color w:val="000000"/>
                <w:sz w:val="24"/>
                <w:szCs w:val="24"/>
              </w:rPr>
              <w:lastRenderedPageBreak/>
              <w:t>Table A3</w:t>
            </w:r>
            <w:r w:rsidR="004F0457" w:rsidRPr="00D23517">
              <w:rPr>
                <w:rFonts w:ascii="Times New Roman" w:eastAsia="Times New Roman" w:hAnsi="Times New Roman" w:cs="Times New Roman"/>
                <w:b/>
                <w:color w:val="000000"/>
                <w:sz w:val="24"/>
                <w:szCs w:val="24"/>
              </w:rPr>
              <w:t xml:space="preserve">: </w:t>
            </w:r>
            <w:r w:rsidRPr="00D23517">
              <w:rPr>
                <w:rFonts w:ascii="Times New Roman" w:eastAsia="Times New Roman" w:hAnsi="Times New Roman" w:cs="Times New Roman"/>
                <w:b/>
                <w:color w:val="000000"/>
                <w:sz w:val="24"/>
                <w:szCs w:val="24"/>
              </w:rPr>
              <w:t xml:space="preserve">Regression </w:t>
            </w:r>
            <w:r w:rsidR="002F46AA" w:rsidRPr="00D23517">
              <w:rPr>
                <w:rFonts w:ascii="Times New Roman" w:eastAsia="Times New Roman" w:hAnsi="Times New Roman" w:cs="Times New Roman"/>
                <w:b/>
                <w:color w:val="000000"/>
                <w:sz w:val="24"/>
                <w:szCs w:val="24"/>
              </w:rPr>
              <w:t xml:space="preserve">results </w:t>
            </w:r>
            <w:r w:rsidRPr="00D23517">
              <w:rPr>
                <w:rFonts w:ascii="Times New Roman" w:eastAsia="Times New Roman" w:hAnsi="Times New Roman" w:cs="Times New Roman"/>
                <w:b/>
                <w:color w:val="000000"/>
                <w:sz w:val="24"/>
                <w:szCs w:val="24"/>
              </w:rPr>
              <w:t xml:space="preserve">by </w:t>
            </w:r>
            <w:r w:rsidR="002F46AA" w:rsidRPr="00D23517">
              <w:rPr>
                <w:rFonts w:ascii="Times New Roman" w:eastAsia="Times New Roman" w:hAnsi="Times New Roman" w:cs="Times New Roman"/>
                <w:b/>
                <w:color w:val="000000"/>
                <w:sz w:val="24"/>
                <w:szCs w:val="24"/>
              </w:rPr>
              <w:t xml:space="preserve">subsamples </w:t>
            </w:r>
            <w:r w:rsidRPr="00D23517">
              <w:rPr>
                <w:rFonts w:ascii="Times New Roman" w:eastAsia="Times New Roman" w:hAnsi="Times New Roman" w:cs="Times New Roman"/>
                <w:b/>
                <w:color w:val="000000"/>
                <w:sz w:val="24"/>
                <w:szCs w:val="24"/>
              </w:rPr>
              <w:t xml:space="preserve">of </w:t>
            </w:r>
            <w:r w:rsidR="002F46AA" w:rsidRPr="00D23517">
              <w:rPr>
                <w:rFonts w:ascii="Times New Roman" w:eastAsia="Times New Roman" w:hAnsi="Times New Roman" w:cs="Times New Roman"/>
                <w:b/>
                <w:color w:val="000000"/>
                <w:sz w:val="24"/>
                <w:szCs w:val="24"/>
              </w:rPr>
              <w:t>financial leverage</w:t>
            </w:r>
          </w:p>
        </w:tc>
      </w:tr>
      <w:tr w:rsidR="0083161B" w:rsidRPr="00D23517" w14:paraId="610330ED" w14:textId="77777777" w:rsidTr="004F0457">
        <w:trPr>
          <w:trHeight w:val="144"/>
        </w:trPr>
        <w:tc>
          <w:tcPr>
            <w:tcW w:w="769" w:type="pct"/>
            <w:tcBorders>
              <w:top w:val="single" w:sz="4" w:space="0" w:color="auto"/>
              <w:left w:val="nil"/>
              <w:bottom w:val="single" w:sz="4" w:space="0" w:color="auto"/>
              <w:right w:val="nil"/>
            </w:tcBorders>
            <w:shd w:val="clear" w:color="auto" w:fill="auto"/>
            <w:noWrap/>
            <w:vAlign w:val="bottom"/>
            <w:hideMark/>
          </w:tcPr>
          <w:p w14:paraId="24E76A5C"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Variables</w:t>
            </w:r>
          </w:p>
        </w:tc>
        <w:tc>
          <w:tcPr>
            <w:tcW w:w="1150" w:type="pct"/>
            <w:gridSpan w:val="2"/>
            <w:tcBorders>
              <w:top w:val="single" w:sz="4" w:space="0" w:color="auto"/>
              <w:left w:val="nil"/>
              <w:bottom w:val="single" w:sz="4" w:space="0" w:color="auto"/>
              <w:right w:val="nil"/>
            </w:tcBorders>
            <w:shd w:val="clear" w:color="auto" w:fill="auto"/>
            <w:noWrap/>
            <w:vAlign w:val="bottom"/>
            <w:hideMark/>
          </w:tcPr>
          <w:p w14:paraId="5CE8208A"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NONOPERINC</w:t>
            </w:r>
          </w:p>
        </w:tc>
        <w:tc>
          <w:tcPr>
            <w:tcW w:w="1153" w:type="pct"/>
            <w:gridSpan w:val="2"/>
            <w:tcBorders>
              <w:top w:val="single" w:sz="4" w:space="0" w:color="auto"/>
              <w:left w:val="nil"/>
              <w:bottom w:val="single" w:sz="4" w:space="0" w:color="auto"/>
              <w:right w:val="nil"/>
            </w:tcBorders>
            <w:shd w:val="clear" w:color="auto" w:fill="auto"/>
            <w:noWrap/>
            <w:vAlign w:val="bottom"/>
            <w:hideMark/>
          </w:tcPr>
          <w:p w14:paraId="50353529"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OPERINC</w:t>
            </w:r>
          </w:p>
        </w:tc>
        <w:tc>
          <w:tcPr>
            <w:tcW w:w="701" w:type="pct"/>
            <w:tcBorders>
              <w:top w:val="single" w:sz="4" w:space="0" w:color="auto"/>
              <w:left w:val="nil"/>
              <w:bottom w:val="single" w:sz="4" w:space="0" w:color="auto"/>
              <w:right w:val="nil"/>
            </w:tcBorders>
            <w:shd w:val="clear" w:color="auto" w:fill="auto"/>
            <w:noWrap/>
            <w:vAlign w:val="bottom"/>
            <w:hideMark/>
          </w:tcPr>
          <w:p w14:paraId="2445365F"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Adj. R-squared</w:t>
            </w:r>
          </w:p>
        </w:tc>
        <w:tc>
          <w:tcPr>
            <w:tcW w:w="429" w:type="pct"/>
            <w:tcBorders>
              <w:top w:val="single" w:sz="4" w:space="0" w:color="auto"/>
              <w:left w:val="nil"/>
              <w:bottom w:val="single" w:sz="4" w:space="0" w:color="auto"/>
              <w:right w:val="nil"/>
            </w:tcBorders>
            <w:shd w:val="clear" w:color="auto" w:fill="auto"/>
            <w:noWrap/>
            <w:vAlign w:val="bottom"/>
            <w:hideMark/>
          </w:tcPr>
          <w:p w14:paraId="0E439123"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N</w:t>
            </w:r>
          </w:p>
        </w:tc>
        <w:tc>
          <w:tcPr>
            <w:tcW w:w="798" w:type="pct"/>
            <w:tcBorders>
              <w:top w:val="single" w:sz="4" w:space="0" w:color="auto"/>
              <w:left w:val="nil"/>
              <w:bottom w:val="single" w:sz="4" w:space="0" w:color="auto"/>
              <w:right w:val="nil"/>
            </w:tcBorders>
          </w:tcPr>
          <w:p w14:paraId="5123AF26"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Control variables</w:t>
            </w:r>
          </w:p>
        </w:tc>
      </w:tr>
      <w:tr w:rsidR="0083161B" w:rsidRPr="00D23517" w14:paraId="4DE92E4C" w14:textId="77777777" w:rsidTr="004F0457">
        <w:trPr>
          <w:trHeight w:val="144"/>
        </w:trPr>
        <w:tc>
          <w:tcPr>
            <w:tcW w:w="4202" w:type="pct"/>
            <w:gridSpan w:val="7"/>
            <w:tcBorders>
              <w:top w:val="single" w:sz="4" w:space="0" w:color="auto"/>
              <w:left w:val="nil"/>
              <w:right w:val="nil"/>
            </w:tcBorders>
            <w:shd w:val="clear" w:color="auto" w:fill="auto"/>
            <w:noWrap/>
            <w:vAlign w:val="bottom"/>
            <w:hideMark/>
          </w:tcPr>
          <w:p w14:paraId="5278D20F"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r w:rsidRPr="00D23517">
              <w:rPr>
                <w:rFonts w:ascii="Times New Roman" w:eastAsia="Times New Roman" w:hAnsi="Times New Roman" w:cs="Times New Roman"/>
                <w:b/>
                <w:i/>
                <w:color w:val="000000"/>
                <w:sz w:val="20"/>
                <w:szCs w:val="20"/>
                <w:u w:val="single"/>
              </w:rPr>
              <w:t>Panel A - ROAVOL</w:t>
            </w:r>
          </w:p>
        </w:tc>
        <w:tc>
          <w:tcPr>
            <w:tcW w:w="798" w:type="pct"/>
            <w:tcBorders>
              <w:top w:val="single" w:sz="4" w:space="0" w:color="auto"/>
              <w:left w:val="nil"/>
              <w:right w:val="nil"/>
            </w:tcBorders>
          </w:tcPr>
          <w:p w14:paraId="001F5AC0"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p>
        </w:tc>
      </w:tr>
      <w:tr w:rsidR="0083161B" w:rsidRPr="00D23517" w14:paraId="659650B9" w14:textId="77777777" w:rsidTr="004F0457">
        <w:trPr>
          <w:trHeight w:val="144"/>
        </w:trPr>
        <w:tc>
          <w:tcPr>
            <w:tcW w:w="769" w:type="pct"/>
            <w:tcBorders>
              <w:top w:val="nil"/>
              <w:left w:val="nil"/>
              <w:bottom w:val="nil"/>
              <w:right w:val="nil"/>
            </w:tcBorders>
            <w:shd w:val="clear" w:color="auto" w:fill="auto"/>
            <w:noWrap/>
            <w:vAlign w:val="bottom"/>
            <w:hideMark/>
          </w:tcPr>
          <w:p w14:paraId="05A1FC72"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 xml:space="preserve">Lower </w:t>
            </w:r>
            <w:r w:rsidRPr="00D23517">
              <w:rPr>
                <w:rFonts w:ascii="Times New Roman" w:eastAsia="Times New Roman" w:hAnsi="Times New Roman" w:cs="Times New Roman"/>
                <w:i/>
                <w:color w:val="000000"/>
                <w:sz w:val="20"/>
                <w:szCs w:val="20"/>
              </w:rPr>
              <w:t>DEBT</w:t>
            </w:r>
          </w:p>
        </w:tc>
        <w:tc>
          <w:tcPr>
            <w:tcW w:w="557" w:type="pct"/>
            <w:tcBorders>
              <w:top w:val="nil"/>
              <w:left w:val="nil"/>
              <w:bottom w:val="nil"/>
              <w:right w:val="nil"/>
            </w:tcBorders>
            <w:shd w:val="clear" w:color="auto" w:fill="auto"/>
            <w:noWrap/>
            <w:vAlign w:val="bottom"/>
          </w:tcPr>
          <w:p w14:paraId="325E535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-0.011</w:t>
            </w:r>
          </w:p>
        </w:tc>
        <w:tc>
          <w:tcPr>
            <w:tcW w:w="593" w:type="pct"/>
            <w:tcBorders>
              <w:top w:val="nil"/>
              <w:left w:val="nil"/>
              <w:bottom w:val="nil"/>
              <w:right w:val="nil"/>
            </w:tcBorders>
            <w:shd w:val="clear" w:color="auto" w:fill="auto"/>
            <w:noWrap/>
            <w:vAlign w:val="bottom"/>
          </w:tcPr>
          <w:p w14:paraId="67AF233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-2.606***</w:t>
            </w:r>
          </w:p>
        </w:tc>
        <w:tc>
          <w:tcPr>
            <w:tcW w:w="551" w:type="pct"/>
            <w:tcBorders>
              <w:top w:val="nil"/>
              <w:left w:val="nil"/>
              <w:bottom w:val="nil"/>
              <w:right w:val="nil"/>
            </w:tcBorders>
            <w:shd w:val="clear" w:color="auto" w:fill="auto"/>
            <w:noWrap/>
            <w:vAlign w:val="bottom"/>
          </w:tcPr>
          <w:p w14:paraId="44E6D830"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-0.150</w:t>
            </w:r>
          </w:p>
        </w:tc>
        <w:tc>
          <w:tcPr>
            <w:tcW w:w="602" w:type="pct"/>
            <w:tcBorders>
              <w:top w:val="nil"/>
              <w:left w:val="nil"/>
              <w:bottom w:val="nil"/>
              <w:right w:val="nil"/>
            </w:tcBorders>
            <w:shd w:val="clear" w:color="auto" w:fill="auto"/>
            <w:noWrap/>
            <w:vAlign w:val="bottom"/>
          </w:tcPr>
          <w:p w14:paraId="67006FC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-9.728***</w:t>
            </w:r>
          </w:p>
        </w:tc>
        <w:tc>
          <w:tcPr>
            <w:tcW w:w="701" w:type="pct"/>
            <w:tcBorders>
              <w:top w:val="nil"/>
              <w:left w:val="nil"/>
              <w:bottom w:val="nil"/>
              <w:right w:val="nil"/>
            </w:tcBorders>
            <w:shd w:val="clear" w:color="auto" w:fill="auto"/>
            <w:noWrap/>
            <w:vAlign w:val="bottom"/>
          </w:tcPr>
          <w:p w14:paraId="16CDAE18"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0.246</w:t>
            </w:r>
          </w:p>
        </w:tc>
        <w:tc>
          <w:tcPr>
            <w:tcW w:w="429" w:type="pct"/>
            <w:tcBorders>
              <w:top w:val="nil"/>
              <w:left w:val="nil"/>
              <w:bottom w:val="nil"/>
              <w:right w:val="nil"/>
            </w:tcBorders>
            <w:shd w:val="clear" w:color="auto" w:fill="auto"/>
            <w:noWrap/>
            <w:vAlign w:val="bottom"/>
          </w:tcPr>
          <w:p w14:paraId="6B9C7F0C"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36,605</w:t>
            </w:r>
          </w:p>
        </w:tc>
        <w:tc>
          <w:tcPr>
            <w:tcW w:w="798" w:type="pct"/>
            <w:tcBorders>
              <w:top w:val="nil"/>
              <w:left w:val="nil"/>
              <w:bottom w:val="nil"/>
              <w:right w:val="nil"/>
            </w:tcBorders>
          </w:tcPr>
          <w:p w14:paraId="6DC2CF44"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79CD8BF4" w14:textId="77777777" w:rsidTr="004F0457">
        <w:trPr>
          <w:trHeight w:val="144"/>
        </w:trPr>
        <w:tc>
          <w:tcPr>
            <w:tcW w:w="769" w:type="pct"/>
            <w:tcBorders>
              <w:top w:val="nil"/>
              <w:left w:val="nil"/>
              <w:bottom w:val="nil"/>
              <w:right w:val="nil"/>
            </w:tcBorders>
            <w:shd w:val="clear" w:color="auto" w:fill="auto"/>
            <w:noWrap/>
            <w:vAlign w:val="bottom"/>
            <w:hideMark/>
          </w:tcPr>
          <w:p w14:paraId="52A3AE22"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 xml:space="preserve">Higher </w:t>
            </w:r>
            <w:r w:rsidRPr="00D23517">
              <w:rPr>
                <w:rFonts w:ascii="Times New Roman" w:eastAsia="Times New Roman" w:hAnsi="Times New Roman" w:cs="Times New Roman"/>
                <w:i/>
                <w:color w:val="000000"/>
                <w:sz w:val="20"/>
                <w:szCs w:val="20"/>
              </w:rPr>
              <w:t>DEBT</w:t>
            </w:r>
          </w:p>
        </w:tc>
        <w:tc>
          <w:tcPr>
            <w:tcW w:w="557" w:type="pct"/>
            <w:tcBorders>
              <w:top w:val="nil"/>
              <w:left w:val="nil"/>
              <w:bottom w:val="nil"/>
              <w:right w:val="nil"/>
            </w:tcBorders>
            <w:shd w:val="clear" w:color="auto" w:fill="auto"/>
            <w:noWrap/>
            <w:vAlign w:val="bottom"/>
          </w:tcPr>
          <w:p w14:paraId="6C5C41E3"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-0.010</w:t>
            </w:r>
          </w:p>
        </w:tc>
        <w:tc>
          <w:tcPr>
            <w:tcW w:w="593" w:type="pct"/>
            <w:tcBorders>
              <w:top w:val="nil"/>
              <w:left w:val="nil"/>
              <w:bottom w:val="nil"/>
              <w:right w:val="nil"/>
            </w:tcBorders>
            <w:shd w:val="clear" w:color="auto" w:fill="auto"/>
            <w:noWrap/>
            <w:vAlign w:val="bottom"/>
          </w:tcPr>
          <w:p w14:paraId="2A58A51E"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-2.641***</w:t>
            </w:r>
          </w:p>
        </w:tc>
        <w:tc>
          <w:tcPr>
            <w:tcW w:w="551" w:type="pct"/>
            <w:tcBorders>
              <w:top w:val="nil"/>
              <w:left w:val="nil"/>
              <w:bottom w:val="nil"/>
              <w:right w:val="nil"/>
            </w:tcBorders>
            <w:shd w:val="clear" w:color="auto" w:fill="auto"/>
            <w:noWrap/>
            <w:vAlign w:val="bottom"/>
          </w:tcPr>
          <w:p w14:paraId="25C328EC"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-0.160</w:t>
            </w:r>
          </w:p>
        </w:tc>
        <w:tc>
          <w:tcPr>
            <w:tcW w:w="602" w:type="pct"/>
            <w:tcBorders>
              <w:top w:val="nil"/>
              <w:left w:val="nil"/>
              <w:bottom w:val="nil"/>
              <w:right w:val="nil"/>
            </w:tcBorders>
            <w:shd w:val="clear" w:color="auto" w:fill="auto"/>
            <w:noWrap/>
            <w:vAlign w:val="bottom"/>
          </w:tcPr>
          <w:p w14:paraId="4B05A1F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-10.438***</w:t>
            </w:r>
          </w:p>
        </w:tc>
        <w:tc>
          <w:tcPr>
            <w:tcW w:w="701" w:type="pct"/>
            <w:tcBorders>
              <w:top w:val="nil"/>
              <w:left w:val="nil"/>
              <w:bottom w:val="nil"/>
              <w:right w:val="nil"/>
            </w:tcBorders>
            <w:shd w:val="clear" w:color="auto" w:fill="auto"/>
            <w:noWrap/>
            <w:vAlign w:val="bottom"/>
          </w:tcPr>
          <w:p w14:paraId="3223CF29"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0.213</w:t>
            </w:r>
          </w:p>
        </w:tc>
        <w:tc>
          <w:tcPr>
            <w:tcW w:w="429" w:type="pct"/>
            <w:tcBorders>
              <w:top w:val="nil"/>
              <w:left w:val="nil"/>
              <w:bottom w:val="nil"/>
              <w:right w:val="nil"/>
            </w:tcBorders>
            <w:shd w:val="clear" w:color="auto" w:fill="auto"/>
            <w:noWrap/>
            <w:vAlign w:val="bottom"/>
          </w:tcPr>
          <w:p w14:paraId="22CF1B7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35,299</w:t>
            </w:r>
          </w:p>
        </w:tc>
        <w:tc>
          <w:tcPr>
            <w:tcW w:w="798" w:type="pct"/>
            <w:tcBorders>
              <w:top w:val="nil"/>
              <w:left w:val="nil"/>
              <w:bottom w:val="nil"/>
              <w:right w:val="nil"/>
            </w:tcBorders>
          </w:tcPr>
          <w:p w14:paraId="7E5E1160"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1088D308" w14:textId="77777777" w:rsidTr="004F0457">
        <w:trPr>
          <w:trHeight w:val="144"/>
        </w:trPr>
        <w:tc>
          <w:tcPr>
            <w:tcW w:w="769" w:type="pct"/>
            <w:tcBorders>
              <w:top w:val="nil"/>
              <w:left w:val="nil"/>
              <w:bottom w:val="nil"/>
              <w:right w:val="nil"/>
            </w:tcBorders>
            <w:shd w:val="clear" w:color="auto" w:fill="auto"/>
            <w:noWrap/>
            <w:vAlign w:val="bottom"/>
            <w:hideMark/>
          </w:tcPr>
          <w:p w14:paraId="5D7F080D"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p>
        </w:tc>
        <w:tc>
          <w:tcPr>
            <w:tcW w:w="557" w:type="pct"/>
            <w:tcBorders>
              <w:top w:val="nil"/>
              <w:left w:val="nil"/>
              <w:bottom w:val="nil"/>
              <w:right w:val="nil"/>
            </w:tcBorders>
            <w:shd w:val="clear" w:color="auto" w:fill="auto"/>
            <w:noWrap/>
            <w:vAlign w:val="bottom"/>
            <w:hideMark/>
          </w:tcPr>
          <w:p w14:paraId="6D64B0AA"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93" w:type="pct"/>
            <w:tcBorders>
              <w:top w:val="nil"/>
              <w:left w:val="nil"/>
              <w:bottom w:val="nil"/>
              <w:right w:val="nil"/>
            </w:tcBorders>
            <w:shd w:val="clear" w:color="auto" w:fill="auto"/>
            <w:noWrap/>
            <w:vAlign w:val="bottom"/>
            <w:hideMark/>
          </w:tcPr>
          <w:p w14:paraId="4ADA50B5"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51" w:type="pct"/>
            <w:tcBorders>
              <w:top w:val="nil"/>
              <w:left w:val="nil"/>
              <w:bottom w:val="nil"/>
              <w:right w:val="nil"/>
            </w:tcBorders>
            <w:shd w:val="clear" w:color="auto" w:fill="auto"/>
            <w:noWrap/>
            <w:vAlign w:val="bottom"/>
            <w:hideMark/>
          </w:tcPr>
          <w:p w14:paraId="34571FC6"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02" w:type="pct"/>
            <w:tcBorders>
              <w:top w:val="nil"/>
              <w:left w:val="nil"/>
              <w:bottom w:val="nil"/>
              <w:right w:val="nil"/>
            </w:tcBorders>
            <w:shd w:val="clear" w:color="auto" w:fill="auto"/>
            <w:noWrap/>
            <w:vAlign w:val="bottom"/>
            <w:hideMark/>
          </w:tcPr>
          <w:p w14:paraId="0D6AB79D"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701" w:type="pct"/>
            <w:tcBorders>
              <w:top w:val="nil"/>
              <w:left w:val="nil"/>
              <w:bottom w:val="nil"/>
              <w:right w:val="nil"/>
            </w:tcBorders>
            <w:shd w:val="clear" w:color="auto" w:fill="auto"/>
            <w:noWrap/>
            <w:vAlign w:val="bottom"/>
            <w:hideMark/>
          </w:tcPr>
          <w:p w14:paraId="5212BCDA"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429" w:type="pct"/>
            <w:tcBorders>
              <w:top w:val="nil"/>
              <w:left w:val="nil"/>
              <w:bottom w:val="nil"/>
              <w:right w:val="nil"/>
            </w:tcBorders>
            <w:shd w:val="clear" w:color="auto" w:fill="auto"/>
            <w:noWrap/>
            <w:vAlign w:val="bottom"/>
            <w:hideMark/>
          </w:tcPr>
          <w:p w14:paraId="33E3E797"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798" w:type="pct"/>
            <w:tcBorders>
              <w:top w:val="nil"/>
              <w:left w:val="nil"/>
              <w:bottom w:val="nil"/>
              <w:right w:val="nil"/>
            </w:tcBorders>
          </w:tcPr>
          <w:p w14:paraId="49385104"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r>
      <w:tr w:rsidR="0083161B" w:rsidRPr="00D23517" w14:paraId="3221C12D" w14:textId="77777777" w:rsidTr="004F0457">
        <w:trPr>
          <w:trHeight w:val="144"/>
        </w:trPr>
        <w:tc>
          <w:tcPr>
            <w:tcW w:w="4202" w:type="pct"/>
            <w:gridSpan w:val="7"/>
            <w:tcBorders>
              <w:top w:val="nil"/>
              <w:left w:val="nil"/>
              <w:bottom w:val="nil"/>
              <w:right w:val="nil"/>
            </w:tcBorders>
            <w:shd w:val="clear" w:color="auto" w:fill="auto"/>
            <w:noWrap/>
            <w:vAlign w:val="bottom"/>
            <w:hideMark/>
          </w:tcPr>
          <w:p w14:paraId="6C14A5CE"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r w:rsidRPr="00D23517">
              <w:rPr>
                <w:rFonts w:ascii="Times New Roman" w:eastAsia="Times New Roman" w:hAnsi="Times New Roman" w:cs="Times New Roman"/>
                <w:b/>
                <w:i/>
                <w:color w:val="000000"/>
                <w:sz w:val="20"/>
                <w:szCs w:val="20"/>
                <w:u w:val="single"/>
              </w:rPr>
              <w:t>Panel B - TOTRISK</w:t>
            </w:r>
          </w:p>
        </w:tc>
        <w:tc>
          <w:tcPr>
            <w:tcW w:w="798" w:type="pct"/>
            <w:tcBorders>
              <w:top w:val="nil"/>
              <w:left w:val="nil"/>
              <w:bottom w:val="nil"/>
              <w:right w:val="nil"/>
            </w:tcBorders>
          </w:tcPr>
          <w:p w14:paraId="6F29D01C"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p>
        </w:tc>
      </w:tr>
      <w:tr w:rsidR="0083161B" w:rsidRPr="00D23517" w14:paraId="10C35BBF" w14:textId="77777777" w:rsidTr="004F0457">
        <w:trPr>
          <w:trHeight w:val="144"/>
        </w:trPr>
        <w:tc>
          <w:tcPr>
            <w:tcW w:w="769" w:type="pct"/>
            <w:tcBorders>
              <w:top w:val="nil"/>
              <w:left w:val="nil"/>
              <w:bottom w:val="nil"/>
              <w:right w:val="nil"/>
            </w:tcBorders>
            <w:shd w:val="clear" w:color="auto" w:fill="auto"/>
            <w:noWrap/>
            <w:vAlign w:val="bottom"/>
            <w:hideMark/>
          </w:tcPr>
          <w:p w14:paraId="53FCB0B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 xml:space="preserve">Lower </w:t>
            </w:r>
            <w:r w:rsidRPr="00D23517">
              <w:rPr>
                <w:rFonts w:ascii="Times New Roman" w:eastAsia="Times New Roman" w:hAnsi="Times New Roman" w:cs="Times New Roman"/>
                <w:i/>
                <w:color w:val="000000"/>
                <w:sz w:val="20"/>
                <w:szCs w:val="20"/>
              </w:rPr>
              <w:t>DEBT</w:t>
            </w:r>
          </w:p>
        </w:tc>
        <w:tc>
          <w:tcPr>
            <w:tcW w:w="557" w:type="pct"/>
            <w:tcBorders>
              <w:top w:val="nil"/>
              <w:left w:val="nil"/>
              <w:bottom w:val="nil"/>
              <w:right w:val="nil"/>
            </w:tcBorders>
            <w:shd w:val="clear" w:color="auto" w:fill="auto"/>
            <w:noWrap/>
            <w:vAlign w:val="bottom"/>
          </w:tcPr>
          <w:p w14:paraId="20134BDF"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-0.014</w:t>
            </w:r>
          </w:p>
        </w:tc>
        <w:tc>
          <w:tcPr>
            <w:tcW w:w="593" w:type="pct"/>
            <w:tcBorders>
              <w:top w:val="nil"/>
              <w:left w:val="nil"/>
              <w:bottom w:val="nil"/>
              <w:right w:val="nil"/>
            </w:tcBorders>
            <w:shd w:val="clear" w:color="auto" w:fill="auto"/>
            <w:noWrap/>
            <w:vAlign w:val="bottom"/>
          </w:tcPr>
          <w:p w14:paraId="1F526E20"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-2.583***</w:t>
            </w:r>
          </w:p>
        </w:tc>
        <w:tc>
          <w:tcPr>
            <w:tcW w:w="551" w:type="pct"/>
            <w:tcBorders>
              <w:top w:val="nil"/>
              <w:left w:val="nil"/>
              <w:bottom w:val="nil"/>
              <w:right w:val="nil"/>
            </w:tcBorders>
            <w:shd w:val="clear" w:color="auto" w:fill="auto"/>
            <w:noWrap/>
            <w:vAlign w:val="bottom"/>
          </w:tcPr>
          <w:p w14:paraId="3857795F"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-0.228</w:t>
            </w:r>
          </w:p>
        </w:tc>
        <w:tc>
          <w:tcPr>
            <w:tcW w:w="602" w:type="pct"/>
            <w:tcBorders>
              <w:top w:val="nil"/>
              <w:left w:val="nil"/>
              <w:bottom w:val="nil"/>
              <w:right w:val="nil"/>
            </w:tcBorders>
            <w:shd w:val="clear" w:color="auto" w:fill="auto"/>
            <w:noWrap/>
            <w:vAlign w:val="bottom"/>
          </w:tcPr>
          <w:p w14:paraId="0ED810C0"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-25.060***</w:t>
            </w:r>
          </w:p>
        </w:tc>
        <w:tc>
          <w:tcPr>
            <w:tcW w:w="701" w:type="pct"/>
            <w:tcBorders>
              <w:top w:val="nil"/>
              <w:left w:val="nil"/>
              <w:bottom w:val="nil"/>
              <w:right w:val="nil"/>
            </w:tcBorders>
            <w:shd w:val="clear" w:color="auto" w:fill="auto"/>
            <w:noWrap/>
            <w:vAlign w:val="bottom"/>
          </w:tcPr>
          <w:p w14:paraId="1207440F"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0.507</w:t>
            </w:r>
          </w:p>
        </w:tc>
        <w:tc>
          <w:tcPr>
            <w:tcW w:w="429" w:type="pct"/>
            <w:tcBorders>
              <w:top w:val="nil"/>
              <w:left w:val="nil"/>
              <w:bottom w:val="nil"/>
              <w:right w:val="nil"/>
            </w:tcBorders>
            <w:shd w:val="clear" w:color="auto" w:fill="auto"/>
            <w:noWrap/>
            <w:vAlign w:val="bottom"/>
          </w:tcPr>
          <w:p w14:paraId="3BCAB0A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36,635</w:t>
            </w:r>
          </w:p>
        </w:tc>
        <w:tc>
          <w:tcPr>
            <w:tcW w:w="798" w:type="pct"/>
            <w:tcBorders>
              <w:top w:val="nil"/>
              <w:left w:val="nil"/>
              <w:bottom w:val="nil"/>
              <w:right w:val="nil"/>
            </w:tcBorders>
          </w:tcPr>
          <w:p w14:paraId="69E852F4"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31A85D38" w14:textId="77777777" w:rsidTr="004F0457">
        <w:trPr>
          <w:trHeight w:val="144"/>
        </w:trPr>
        <w:tc>
          <w:tcPr>
            <w:tcW w:w="769" w:type="pct"/>
            <w:tcBorders>
              <w:top w:val="nil"/>
              <w:left w:val="nil"/>
              <w:bottom w:val="nil"/>
              <w:right w:val="nil"/>
            </w:tcBorders>
            <w:shd w:val="clear" w:color="auto" w:fill="auto"/>
            <w:noWrap/>
            <w:vAlign w:val="bottom"/>
            <w:hideMark/>
          </w:tcPr>
          <w:p w14:paraId="31A3609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 xml:space="preserve">Higher </w:t>
            </w:r>
            <w:r w:rsidRPr="00D23517">
              <w:rPr>
                <w:rFonts w:ascii="Times New Roman" w:eastAsia="Times New Roman" w:hAnsi="Times New Roman" w:cs="Times New Roman"/>
                <w:i/>
                <w:color w:val="000000"/>
                <w:sz w:val="20"/>
                <w:szCs w:val="20"/>
              </w:rPr>
              <w:t>DEBT</w:t>
            </w:r>
          </w:p>
        </w:tc>
        <w:tc>
          <w:tcPr>
            <w:tcW w:w="557" w:type="pct"/>
            <w:tcBorders>
              <w:top w:val="nil"/>
              <w:left w:val="nil"/>
              <w:bottom w:val="nil"/>
              <w:right w:val="nil"/>
            </w:tcBorders>
            <w:shd w:val="clear" w:color="auto" w:fill="auto"/>
            <w:noWrap/>
            <w:vAlign w:val="bottom"/>
          </w:tcPr>
          <w:p w14:paraId="63BD4F2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-0.016</w:t>
            </w:r>
          </w:p>
        </w:tc>
        <w:tc>
          <w:tcPr>
            <w:tcW w:w="593" w:type="pct"/>
            <w:tcBorders>
              <w:top w:val="nil"/>
              <w:left w:val="nil"/>
              <w:bottom w:val="nil"/>
              <w:right w:val="nil"/>
            </w:tcBorders>
            <w:shd w:val="clear" w:color="auto" w:fill="auto"/>
            <w:noWrap/>
            <w:vAlign w:val="bottom"/>
          </w:tcPr>
          <w:p w14:paraId="70928440"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-2.885***</w:t>
            </w:r>
          </w:p>
        </w:tc>
        <w:tc>
          <w:tcPr>
            <w:tcW w:w="551" w:type="pct"/>
            <w:tcBorders>
              <w:top w:val="nil"/>
              <w:left w:val="nil"/>
              <w:bottom w:val="nil"/>
              <w:right w:val="nil"/>
            </w:tcBorders>
            <w:shd w:val="clear" w:color="auto" w:fill="auto"/>
            <w:noWrap/>
            <w:vAlign w:val="bottom"/>
          </w:tcPr>
          <w:p w14:paraId="3FE87978"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-0.196</w:t>
            </w:r>
          </w:p>
        </w:tc>
        <w:tc>
          <w:tcPr>
            <w:tcW w:w="602" w:type="pct"/>
            <w:tcBorders>
              <w:top w:val="nil"/>
              <w:left w:val="nil"/>
              <w:bottom w:val="nil"/>
              <w:right w:val="nil"/>
            </w:tcBorders>
            <w:shd w:val="clear" w:color="auto" w:fill="auto"/>
            <w:noWrap/>
            <w:vAlign w:val="bottom"/>
          </w:tcPr>
          <w:p w14:paraId="5488D1ED"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-19.665***</w:t>
            </w:r>
          </w:p>
        </w:tc>
        <w:tc>
          <w:tcPr>
            <w:tcW w:w="701" w:type="pct"/>
            <w:tcBorders>
              <w:top w:val="nil"/>
              <w:left w:val="nil"/>
              <w:bottom w:val="nil"/>
              <w:right w:val="nil"/>
            </w:tcBorders>
            <w:shd w:val="clear" w:color="auto" w:fill="auto"/>
            <w:noWrap/>
            <w:vAlign w:val="bottom"/>
          </w:tcPr>
          <w:p w14:paraId="1FEA491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0.473</w:t>
            </w:r>
          </w:p>
        </w:tc>
        <w:tc>
          <w:tcPr>
            <w:tcW w:w="429" w:type="pct"/>
            <w:tcBorders>
              <w:top w:val="nil"/>
              <w:left w:val="nil"/>
              <w:bottom w:val="nil"/>
              <w:right w:val="nil"/>
            </w:tcBorders>
            <w:shd w:val="clear" w:color="auto" w:fill="auto"/>
            <w:noWrap/>
            <w:vAlign w:val="bottom"/>
          </w:tcPr>
          <w:p w14:paraId="7A01CE1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35,387</w:t>
            </w:r>
          </w:p>
        </w:tc>
        <w:tc>
          <w:tcPr>
            <w:tcW w:w="798" w:type="pct"/>
            <w:tcBorders>
              <w:top w:val="nil"/>
              <w:left w:val="nil"/>
              <w:bottom w:val="nil"/>
              <w:right w:val="nil"/>
            </w:tcBorders>
          </w:tcPr>
          <w:p w14:paraId="324C3C0C"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107C245B" w14:textId="77777777" w:rsidTr="004F0457">
        <w:trPr>
          <w:trHeight w:val="144"/>
        </w:trPr>
        <w:tc>
          <w:tcPr>
            <w:tcW w:w="769" w:type="pct"/>
            <w:tcBorders>
              <w:top w:val="nil"/>
              <w:left w:val="nil"/>
              <w:bottom w:val="nil"/>
              <w:right w:val="nil"/>
            </w:tcBorders>
            <w:shd w:val="clear" w:color="auto" w:fill="auto"/>
            <w:noWrap/>
            <w:vAlign w:val="bottom"/>
            <w:hideMark/>
          </w:tcPr>
          <w:p w14:paraId="230D046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p>
        </w:tc>
        <w:tc>
          <w:tcPr>
            <w:tcW w:w="557" w:type="pct"/>
            <w:tcBorders>
              <w:top w:val="nil"/>
              <w:left w:val="nil"/>
              <w:bottom w:val="nil"/>
              <w:right w:val="nil"/>
            </w:tcBorders>
            <w:shd w:val="clear" w:color="auto" w:fill="auto"/>
            <w:noWrap/>
            <w:vAlign w:val="bottom"/>
            <w:hideMark/>
          </w:tcPr>
          <w:p w14:paraId="456F0C88"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93" w:type="pct"/>
            <w:tcBorders>
              <w:top w:val="nil"/>
              <w:left w:val="nil"/>
              <w:bottom w:val="nil"/>
              <w:right w:val="nil"/>
            </w:tcBorders>
            <w:shd w:val="clear" w:color="auto" w:fill="auto"/>
            <w:noWrap/>
            <w:vAlign w:val="bottom"/>
            <w:hideMark/>
          </w:tcPr>
          <w:p w14:paraId="504095D2"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51" w:type="pct"/>
            <w:tcBorders>
              <w:top w:val="nil"/>
              <w:left w:val="nil"/>
              <w:bottom w:val="nil"/>
              <w:right w:val="nil"/>
            </w:tcBorders>
            <w:shd w:val="clear" w:color="auto" w:fill="auto"/>
            <w:noWrap/>
            <w:vAlign w:val="bottom"/>
            <w:hideMark/>
          </w:tcPr>
          <w:p w14:paraId="58C08004"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02" w:type="pct"/>
            <w:tcBorders>
              <w:top w:val="nil"/>
              <w:left w:val="nil"/>
              <w:bottom w:val="nil"/>
              <w:right w:val="nil"/>
            </w:tcBorders>
            <w:shd w:val="clear" w:color="auto" w:fill="auto"/>
            <w:noWrap/>
            <w:vAlign w:val="bottom"/>
            <w:hideMark/>
          </w:tcPr>
          <w:p w14:paraId="6BFBF46A"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701" w:type="pct"/>
            <w:tcBorders>
              <w:top w:val="nil"/>
              <w:left w:val="nil"/>
              <w:bottom w:val="nil"/>
              <w:right w:val="nil"/>
            </w:tcBorders>
            <w:shd w:val="clear" w:color="auto" w:fill="auto"/>
            <w:noWrap/>
            <w:vAlign w:val="bottom"/>
            <w:hideMark/>
          </w:tcPr>
          <w:p w14:paraId="3BDC73FB"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429" w:type="pct"/>
            <w:tcBorders>
              <w:top w:val="nil"/>
              <w:left w:val="nil"/>
              <w:bottom w:val="nil"/>
              <w:right w:val="nil"/>
            </w:tcBorders>
            <w:shd w:val="clear" w:color="auto" w:fill="auto"/>
            <w:noWrap/>
            <w:vAlign w:val="bottom"/>
            <w:hideMark/>
          </w:tcPr>
          <w:p w14:paraId="135A2633"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798" w:type="pct"/>
            <w:tcBorders>
              <w:top w:val="nil"/>
              <w:left w:val="nil"/>
              <w:bottom w:val="nil"/>
              <w:right w:val="nil"/>
            </w:tcBorders>
          </w:tcPr>
          <w:p w14:paraId="047826FB"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r>
      <w:tr w:rsidR="0083161B" w:rsidRPr="00D23517" w14:paraId="4C80AC50" w14:textId="77777777" w:rsidTr="004F0457">
        <w:trPr>
          <w:trHeight w:val="144"/>
        </w:trPr>
        <w:tc>
          <w:tcPr>
            <w:tcW w:w="4202" w:type="pct"/>
            <w:gridSpan w:val="7"/>
            <w:tcBorders>
              <w:top w:val="nil"/>
              <w:left w:val="nil"/>
              <w:bottom w:val="nil"/>
              <w:right w:val="nil"/>
            </w:tcBorders>
            <w:shd w:val="clear" w:color="auto" w:fill="auto"/>
            <w:noWrap/>
            <w:vAlign w:val="bottom"/>
            <w:hideMark/>
          </w:tcPr>
          <w:p w14:paraId="058B813E"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r w:rsidRPr="00D23517">
              <w:rPr>
                <w:rFonts w:ascii="Times New Roman" w:eastAsia="Times New Roman" w:hAnsi="Times New Roman" w:cs="Times New Roman"/>
                <w:b/>
                <w:i/>
                <w:color w:val="000000"/>
                <w:sz w:val="20"/>
                <w:szCs w:val="20"/>
                <w:u w:val="single"/>
              </w:rPr>
              <w:t>Panel C - IDIORISK</w:t>
            </w:r>
          </w:p>
        </w:tc>
        <w:tc>
          <w:tcPr>
            <w:tcW w:w="798" w:type="pct"/>
            <w:tcBorders>
              <w:top w:val="nil"/>
              <w:left w:val="nil"/>
              <w:bottom w:val="nil"/>
              <w:right w:val="nil"/>
            </w:tcBorders>
          </w:tcPr>
          <w:p w14:paraId="53E9D441"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p>
        </w:tc>
      </w:tr>
      <w:tr w:rsidR="0083161B" w:rsidRPr="00D23517" w14:paraId="788B5397" w14:textId="77777777" w:rsidTr="004F0457">
        <w:trPr>
          <w:trHeight w:val="144"/>
        </w:trPr>
        <w:tc>
          <w:tcPr>
            <w:tcW w:w="769" w:type="pct"/>
            <w:tcBorders>
              <w:top w:val="nil"/>
              <w:left w:val="nil"/>
              <w:bottom w:val="nil"/>
              <w:right w:val="nil"/>
            </w:tcBorders>
            <w:shd w:val="clear" w:color="auto" w:fill="auto"/>
            <w:noWrap/>
            <w:vAlign w:val="bottom"/>
            <w:hideMark/>
          </w:tcPr>
          <w:p w14:paraId="7F5F45B6"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 xml:space="preserve">Lower </w:t>
            </w:r>
            <w:r w:rsidRPr="00D23517">
              <w:rPr>
                <w:rFonts w:ascii="Times New Roman" w:eastAsia="Times New Roman" w:hAnsi="Times New Roman" w:cs="Times New Roman"/>
                <w:i/>
                <w:color w:val="000000"/>
                <w:sz w:val="20"/>
                <w:szCs w:val="20"/>
              </w:rPr>
              <w:t>DEBT</w:t>
            </w:r>
          </w:p>
        </w:tc>
        <w:tc>
          <w:tcPr>
            <w:tcW w:w="557" w:type="pct"/>
            <w:tcBorders>
              <w:top w:val="nil"/>
              <w:left w:val="nil"/>
              <w:bottom w:val="nil"/>
              <w:right w:val="nil"/>
            </w:tcBorders>
            <w:shd w:val="clear" w:color="auto" w:fill="auto"/>
            <w:noWrap/>
            <w:vAlign w:val="bottom"/>
          </w:tcPr>
          <w:p w14:paraId="0502505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-0.015</w:t>
            </w:r>
          </w:p>
        </w:tc>
        <w:tc>
          <w:tcPr>
            <w:tcW w:w="593" w:type="pct"/>
            <w:tcBorders>
              <w:top w:val="nil"/>
              <w:left w:val="nil"/>
              <w:bottom w:val="nil"/>
              <w:right w:val="nil"/>
            </w:tcBorders>
            <w:shd w:val="clear" w:color="auto" w:fill="auto"/>
            <w:noWrap/>
            <w:vAlign w:val="bottom"/>
          </w:tcPr>
          <w:p w14:paraId="44D162A3"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-2.881***</w:t>
            </w:r>
          </w:p>
        </w:tc>
        <w:tc>
          <w:tcPr>
            <w:tcW w:w="551" w:type="pct"/>
            <w:tcBorders>
              <w:top w:val="nil"/>
              <w:left w:val="nil"/>
              <w:bottom w:val="nil"/>
              <w:right w:val="nil"/>
            </w:tcBorders>
            <w:shd w:val="clear" w:color="auto" w:fill="auto"/>
            <w:noWrap/>
            <w:vAlign w:val="bottom"/>
          </w:tcPr>
          <w:p w14:paraId="2FC1EE2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-0.222</w:t>
            </w:r>
          </w:p>
        </w:tc>
        <w:tc>
          <w:tcPr>
            <w:tcW w:w="602" w:type="pct"/>
            <w:tcBorders>
              <w:top w:val="nil"/>
              <w:left w:val="nil"/>
              <w:bottom w:val="nil"/>
              <w:right w:val="nil"/>
            </w:tcBorders>
            <w:shd w:val="clear" w:color="auto" w:fill="auto"/>
            <w:noWrap/>
            <w:vAlign w:val="bottom"/>
          </w:tcPr>
          <w:p w14:paraId="3DDAB120"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-24.851***</w:t>
            </w:r>
          </w:p>
        </w:tc>
        <w:tc>
          <w:tcPr>
            <w:tcW w:w="701" w:type="pct"/>
            <w:tcBorders>
              <w:top w:val="nil"/>
              <w:left w:val="nil"/>
              <w:bottom w:val="nil"/>
              <w:right w:val="nil"/>
            </w:tcBorders>
            <w:shd w:val="clear" w:color="auto" w:fill="auto"/>
            <w:noWrap/>
            <w:vAlign w:val="bottom"/>
          </w:tcPr>
          <w:p w14:paraId="09C9F9BC"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0.533</w:t>
            </w:r>
          </w:p>
        </w:tc>
        <w:tc>
          <w:tcPr>
            <w:tcW w:w="429" w:type="pct"/>
            <w:tcBorders>
              <w:top w:val="nil"/>
              <w:left w:val="nil"/>
              <w:bottom w:val="nil"/>
              <w:right w:val="nil"/>
            </w:tcBorders>
            <w:shd w:val="clear" w:color="auto" w:fill="auto"/>
            <w:noWrap/>
            <w:vAlign w:val="bottom"/>
          </w:tcPr>
          <w:p w14:paraId="247E645C"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36,635</w:t>
            </w:r>
          </w:p>
        </w:tc>
        <w:tc>
          <w:tcPr>
            <w:tcW w:w="798" w:type="pct"/>
            <w:tcBorders>
              <w:top w:val="nil"/>
              <w:left w:val="nil"/>
              <w:bottom w:val="nil"/>
              <w:right w:val="nil"/>
            </w:tcBorders>
          </w:tcPr>
          <w:p w14:paraId="1FDCE6B4"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0A6D780A" w14:textId="77777777" w:rsidTr="004F0457">
        <w:trPr>
          <w:trHeight w:val="144"/>
        </w:trPr>
        <w:tc>
          <w:tcPr>
            <w:tcW w:w="769" w:type="pct"/>
            <w:tcBorders>
              <w:top w:val="nil"/>
              <w:left w:val="nil"/>
              <w:bottom w:val="nil"/>
              <w:right w:val="nil"/>
            </w:tcBorders>
            <w:shd w:val="clear" w:color="auto" w:fill="auto"/>
            <w:noWrap/>
            <w:vAlign w:val="bottom"/>
            <w:hideMark/>
          </w:tcPr>
          <w:p w14:paraId="1412BDA5"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 xml:space="preserve">Higher </w:t>
            </w:r>
            <w:r w:rsidRPr="00D23517">
              <w:rPr>
                <w:rFonts w:ascii="Times New Roman" w:eastAsia="Times New Roman" w:hAnsi="Times New Roman" w:cs="Times New Roman"/>
                <w:i/>
                <w:color w:val="000000"/>
                <w:sz w:val="20"/>
                <w:szCs w:val="20"/>
              </w:rPr>
              <w:t>DEBT</w:t>
            </w:r>
          </w:p>
        </w:tc>
        <w:tc>
          <w:tcPr>
            <w:tcW w:w="557" w:type="pct"/>
            <w:tcBorders>
              <w:top w:val="nil"/>
              <w:left w:val="nil"/>
              <w:bottom w:val="nil"/>
              <w:right w:val="nil"/>
            </w:tcBorders>
            <w:shd w:val="clear" w:color="auto" w:fill="auto"/>
            <w:noWrap/>
            <w:vAlign w:val="bottom"/>
          </w:tcPr>
          <w:p w14:paraId="2E022B19"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-0.017</w:t>
            </w:r>
          </w:p>
        </w:tc>
        <w:tc>
          <w:tcPr>
            <w:tcW w:w="593" w:type="pct"/>
            <w:tcBorders>
              <w:top w:val="nil"/>
              <w:left w:val="nil"/>
              <w:bottom w:val="nil"/>
              <w:right w:val="nil"/>
            </w:tcBorders>
            <w:shd w:val="clear" w:color="auto" w:fill="auto"/>
            <w:noWrap/>
            <w:vAlign w:val="bottom"/>
          </w:tcPr>
          <w:p w14:paraId="243C34D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-3.164***</w:t>
            </w:r>
          </w:p>
        </w:tc>
        <w:tc>
          <w:tcPr>
            <w:tcW w:w="551" w:type="pct"/>
            <w:tcBorders>
              <w:top w:val="nil"/>
              <w:left w:val="nil"/>
              <w:bottom w:val="nil"/>
              <w:right w:val="nil"/>
            </w:tcBorders>
            <w:shd w:val="clear" w:color="auto" w:fill="auto"/>
            <w:noWrap/>
            <w:vAlign w:val="bottom"/>
          </w:tcPr>
          <w:p w14:paraId="34C44FB6"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-0.182</w:t>
            </w:r>
          </w:p>
        </w:tc>
        <w:tc>
          <w:tcPr>
            <w:tcW w:w="602" w:type="pct"/>
            <w:tcBorders>
              <w:top w:val="nil"/>
              <w:left w:val="nil"/>
              <w:bottom w:val="nil"/>
              <w:right w:val="nil"/>
            </w:tcBorders>
            <w:shd w:val="clear" w:color="auto" w:fill="auto"/>
            <w:noWrap/>
            <w:vAlign w:val="bottom"/>
          </w:tcPr>
          <w:p w14:paraId="6A32BBA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-18.495***</w:t>
            </w:r>
          </w:p>
        </w:tc>
        <w:tc>
          <w:tcPr>
            <w:tcW w:w="701" w:type="pct"/>
            <w:tcBorders>
              <w:top w:val="nil"/>
              <w:left w:val="nil"/>
              <w:bottom w:val="nil"/>
              <w:right w:val="nil"/>
            </w:tcBorders>
            <w:shd w:val="clear" w:color="auto" w:fill="auto"/>
            <w:noWrap/>
            <w:vAlign w:val="bottom"/>
          </w:tcPr>
          <w:p w14:paraId="3755DAE6"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0.500</w:t>
            </w:r>
          </w:p>
        </w:tc>
        <w:tc>
          <w:tcPr>
            <w:tcW w:w="429" w:type="pct"/>
            <w:tcBorders>
              <w:top w:val="nil"/>
              <w:left w:val="nil"/>
              <w:bottom w:val="nil"/>
              <w:right w:val="nil"/>
            </w:tcBorders>
            <w:shd w:val="clear" w:color="auto" w:fill="auto"/>
            <w:noWrap/>
            <w:vAlign w:val="bottom"/>
          </w:tcPr>
          <w:p w14:paraId="73BB6C3D"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35,387</w:t>
            </w:r>
          </w:p>
        </w:tc>
        <w:tc>
          <w:tcPr>
            <w:tcW w:w="798" w:type="pct"/>
            <w:tcBorders>
              <w:top w:val="nil"/>
              <w:left w:val="nil"/>
              <w:bottom w:val="nil"/>
              <w:right w:val="nil"/>
            </w:tcBorders>
          </w:tcPr>
          <w:p w14:paraId="78345352"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2B214B30" w14:textId="77777777" w:rsidTr="004F0457">
        <w:trPr>
          <w:trHeight w:val="144"/>
        </w:trPr>
        <w:tc>
          <w:tcPr>
            <w:tcW w:w="769" w:type="pct"/>
            <w:tcBorders>
              <w:top w:val="nil"/>
              <w:left w:val="nil"/>
              <w:bottom w:val="nil"/>
              <w:right w:val="nil"/>
            </w:tcBorders>
            <w:shd w:val="clear" w:color="auto" w:fill="auto"/>
            <w:noWrap/>
            <w:vAlign w:val="bottom"/>
            <w:hideMark/>
          </w:tcPr>
          <w:p w14:paraId="24A2C5DE"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p>
        </w:tc>
        <w:tc>
          <w:tcPr>
            <w:tcW w:w="557" w:type="pct"/>
            <w:tcBorders>
              <w:top w:val="nil"/>
              <w:left w:val="nil"/>
              <w:bottom w:val="nil"/>
              <w:right w:val="nil"/>
            </w:tcBorders>
            <w:shd w:val="clear" w:color="auto" w:fill="auto"/>
            <w:noWrap/>
            <w:vAlign w:val="bottom"/>
            <w:hideMark/>
          </w:tcPr>
          <w:p w14:paraId="138D8BE6"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93" w:type="pct"/>
            <w:tcBorders>
              <w:top w:val="nil"/>
              <w:left w:val="nil"/>
              <w:bottom w:val="nil"/>
              <w:right w:val="nil"/>
            </w:tcBorders>
            <w:shd w:val="clear" w:color="auto" w:fill="auto"/>
            <w:noWrap/>
            <w:vAlign w:val="bottom"/>
            <w:hideMark/>
          </w:tcPr>
          <w:p w14:paraId="383CBD83"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51" w:type="pct"/>
            <w:tcBorders>
              <w:top w:val="nil"/>
              <w:left w:val="nil"/>
              <w:bottom w:val="nil"/>
              <w:right w:val="nil"/>
            </w:tcBorders>
            <w:shd w:val="clear" w:color="auto" w:fill="auto"/>
            <w:noWrap/>
            <w:vAlign w:val="bottom"/>
            <w:hideMark/>
          </w:tcPr>
          <w:p w14:paraId="0D3F24F5"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02" w:type="pct"/>
            <w:tcBorders>
              <w:top w:val="nil"/>
              <w:left w:val="nil"/>
              <w:bottom w:val="nil"/>
              <w:right w:val="nil"/>
            </w:tcBorders>
            <w:shd w:val="clear" w:color="auto" w:fill="auto"/>
            <w:noWrap/>
            <w:vAlign w:val="bottom"/>
            <w:hideMark/>
          </w:tcPr>
          <w:p w14:paraId="4A7980BA"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701" w:type="pct"/>
            <w:tcBorders>
              <w:top w:val="nil"/>
              <w:left w:val="nil"/>
              <w:bottom w:val="nil"/>
              <w:right w:val="nil"/>
            </w:tcBorders>
            <w:shd w:val="clear" w:color="auto" w:fill="auto"/>
            <w:noWrap/>
            <w:vAlign w:val="bottom"/>
            <w:hideMark/>
          </w:tcPr>
          <w:p w14:paraId="324C427A"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429" w:type="pct"/>
            <w:tcBorders>
              <w:top w:val="nil"/>
              <w:left w:val="nil"/>
              <w:bottom w:val="nil"/>
              <w:right w:val="nil"/>
            </w:tcBorders>
            <w:shd w:val="clear" w:color="auto" w:fill="auto"/>
            <w:noWrap/>
            <w:vAlign w:val="bottom"/>
            <w:hideMark/>
          </w:tcPr>
          <w:p w14:paraId="329F132B"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798" w:type="pct"/>
            <w:tcBorders>
              <w:top w:val="nil"/>
              <w:left w:val="nil"/>
              <w:bottom w:val="nil"/>
              <w:right w:val="nil"/>
            </w:tcBorders>
          </w:tcPr>
          <w:p w14:paraId="1BAF3217"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r>
      <w:tr w:rsidR="0083161B" w:rsidRPr="00D23517" w14:paraId="3045C631" w14:textId="77777777" w:rsidTr="004F0457">
        <w:trPr>
          <w:trHeight w:val="144"/>
        </w:trPr>
        <w:tc>
          <w:tcPr>
            <w:tcW w:w="4202" w:type="pct"/>
            <w:gridSpan w:val="7"/>
            <w:tcBorders>
              <w:top w:val="nil"/>
              <w:left w:val="nil"/>
              <w:bottom w:val="nil"/>
              <w:right w:val="nil"/>
            </w:tcBorders>
            <w:shd w:val="clear" w:color="auto" w:fill="auto"/>
            <w:noWrap/>
            <w:vAlign w:val="bottom"/>
            <w:hideMark/>
          </w:tcPr>
          <w:p w14:paraId="374E3812"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r w:rsidRPr="00D23517">
              <w:rPr>
                <w:rFonts w:ascii="Times New Roman" w:eastAsia="Times New Roman" w:hAnsi="Times New Roman" w:cs="Times New Roman"/>
                <w:b/>
                <w:i/>
                <w:color w:val="000000"/>
                <w:sz w:val="20"/>
                <w:szCs w:val="20"/>
                <w:u w:val="single"/>
              </w:rPr>
              <w:t>Panel D - NCSKEW</w:t>
            </w:r>
          </w:p>
        </w:tc>
        <w:tc>
          <w:tcPr>
            <w:tcW w:w="798" w:type="pct"/>
            <w:tcBorders>
              <w:top w:val="nil"/>
              <w:left w:val="nil"/>
              <w:bottom w:val="nil"/>
              <w:right w:val="nil"/>
            </w:tcBorders>
          </w:tcPr>
          <w:p w14:paraId="4EC9D6E4"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p>
        </w:tc>
      </w:tr>
      <w:tr w:rsidR="0083161B" w:rsidRPr="00D23517" w14:paraId="31B77484" w14:textId="77777777" w:rsidTr="004F0457">
        <w:trPr>
          <w:trHeight w:val="144"/>
        </w:trPr>
        <w:tc>
          <w:tcPr>
            <w:tcW w:w="769" w:type="pct"/>
            <w:tcBorders>
              <w:top w:val="nil"/>
              <w:left w:val="nil"/>
              <w:right w:val="nil"/>
            </w:tcBorders>
            <w:shd w:val="clear" w:color="auto" w:fill="auto"/>
            <w:noWrap/>
            <w:vAlign w:val="bottom"/>
            <w:hideMark/>
          </w:tcPr>
          <w:p w14:paraId="7FD105B6"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 xml:space="preserve">Lower </w:t>
            </w:r>
            <w:r w:rsidRPr="00D23517">
              <w:rPr>
                <w:rFonts w:ascii="Times New Roman" w:eastAsia="Times New Roman" w:hAnsi="Times New Roman" w:cs="Times New Roman"/>
                <w:i/>
                <w:color w:val="000000"/>
                <w:sz w:val="20"/>
                <w:szCs w:val="20"/>
              </w:rPr>
              <w:t>DEBT</w:t>
            </w:r>
          </w:p>
        </w:tc>
        <w:tc>
          <w:tcPr>
            <w:tcW w:w="557" w:type="pct"/>
            <w:tcBorders>
              <w:top w:val="nil"/>
              <w:left w:val="nil"/>
              <w:right w:val="nil"/>
            </w:tcBorders>
            <w:shd w:val="clear" w:color="auto" w:fill="auto"/>
            <w:noWrap/>
            <w:vAlign w:val="bottom"/>
          </w:tcPr>
          <w:p w14:paraId="10D51500"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-0.005</w:t>
            </w:r>
          </w:p>
        </w:tc>
        <w:tc>
          <w:tcPr>
            <w:tcW w:w="593" w:type="pct"/>
            <w:tcBorders>
              <w:top w:val="nil"/>
              <w:left w:val="nil"/>
              <w:right w:val="nil"/>
            </w:tcBorders>
            <w:shd w:val="clear" w:color="auto" w:fill="auto"/>
            <w:noWrap/>
            <w:vAlign w:val="bottom"/>
          </w:tcPr>
          <w:p w14:paraId="59935A78"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 xml:space="preserve">-0.559 </w:t>
            </w:r>
          </w:p>
        </w:tc>
        <w:tc>
          <w:tcPr>
            <w:tcW w:w="551" w:type="pct"/>
            <w:tcBorders>
              <w:top w:val="nil"/>
              <w:left w:val="nil"/>
              <w:right w:val="nil"/>
            </w:tcBorders>
            <w:shd w:val="clear" w:color="auto" w:fill="auto"/>
            <w:noWrap/>
            <w:vAlign w:val="bottom"/>
          </w:tcPr>
          <w:p w14:paraId="050293A6"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-0.078</w:t>
            </w:r>
          </w:p>
        </w:tc>
        <w:tc>
          <w:tcPr>
            <w:tcW w:w="602" w:type="pct"/>
            <w:tcBorders>
              <w:top w:val="nil"/>
              <w:left w:val="nil"/>
              <w:right w:val="nil"/>
            </w:tcBorders>
            <w:shd w:val="clear" w:color="auto" w:fill="auto"/>
            <w:noWrap/>
            <w:vAlign w:val="bottom"/>
          </w:tcPr>
          <w:p w14:paraId="4EE709E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-6.384***</w:t>
            </w:r>
          </w:p>
        </w:tc>
        <w:tc>
          <w:tcPr>
            <w:tcW w:w="701" w:type="pct"/>
            <w:tcBorders>
              <w:top w:val="nil"/>
              <w:left w:val="nil"/>
              <w:right w:val="nil"/>
            </w:tcBorders>
            <w:shd w:val="clear" w:color="auto" w:fill="auto"/>
            <w:noWrap/>
            <w:vAlign w:val="bottom"/>
          </w:tcPr>
          <w:p w14:paraId="10744235"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0.0527</w:t>
            </w:r>
          </w:p>
        </w:tc>
        <w:tc>
          <w:tcPr>
            <w:tcW w:w="429" w:type="pct"/>
            <w:tcBorders>
              <w:top w:val="nil"/>
              <w:left w:val="nil"/>
              <w:right w:val="nil"/>
            </w:tcBorders>
            <w:shd w:val="clear" w:color="auto" w:fill="auto"/>
            <w:noWrap/>
            <w:vAlign w:val="bottom"/>
          </w:tcPr>
          <w:p w14:paraId="571CA9D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32,478</w:t>
            </w:r>
          </w:p>
        </w:tc>
        <w:tc>
          <w:tcPr>
            <w:tcW w:w="798" w:type="pct"/>
            <w:tcBorders>
              <w:top w:val="nil"/>
              <w:left w:val="nil"/>
              <w:right w:val="nil"/>
            </w:tcBorders>
          </w:tcPr>
          <w:p w14:paraId="01ABAA78"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5CF12B82" w14:textId="77777777" w:rsidTr="004F0457">
        <w:trPr>
          <w:trHeight w:val="144"/>
        </w:trPr>
        <w:tc>
          <w:tcPr>
            <w:tcW w:w="769" w:type="pct"/>
            <w:tcBorders>
              <w:top w:val="nil"/>
              <w:left w:val="nil"/>
              <w:bottom w:val="single" w:sz="4" w:space="0" w:color="auto"/>
              <w:right w:val="nil"/>
            </w:tcBorders>
            <w:shd w:val="clear" w:color="auto" w:fill="auto"/>
            <w:noWrap/>
            <w:vAlign w:val="bottom"/>
            <w:hideMark/>
          </w:tcPr>
          <w:p w14:paraId="65FDCB43"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 xml:space="preserve">Higher </w:t>
            </w:r>
            <w:r w:rsidRPr="00D23517">
              <w:rPr>
                <w:rFonts w:ascii="Times New Roman" w:eastAsia="Times New Roman" w:hAnsi="Times New Roman" w:cs="Times New Roman"/>
                <w:i/>
                <w:color w:val="000000"/>
                <w:sz w:val="20"/>
                <w:szCs w:val="20"/>
              </w:rPr>
              <w:t>DEBT</w:t>
            </w:r>
          </w:p>
        </w:tc>
        <w:tc>
          <w:tcPr>
            <w:tcW w:w="557" w:type="pct"/>
            <w:tcBorders>
              <w:top w:val="nil"/>
              <w:left w:val="nil"/>
              <w:bottom w:val="single" w:sz="4" w:space="0" w:color="auto"/>
              <w:right w:val="nil"/>
            </w:tcBorders>
            <w:shd w:val="clear" w:color="auto" w:fill="auto"/>
            <w:noWrap/>
            <w:vAlign w:val="bottom"/>
          </w:tcPr>
          <w:p w14:paraId="546BBBF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-0.025</w:t>
            </w:r>
          </w:p>
        </w:tc>
        <w:tc>
          <w:tcPr>
            <w:tcW w:w="593" w:type="pct"/>
            <w:tcBorders>
              <w:top w:val="nil"/>
              <w:left w:val="nil"/>
              <w:bottom w:val="single" w:sz="4" w:space="0" w:color="auto"/>
              <w:right w:val="nil"/>
            </w:tcBorders>
            <w:shd w:val="clear" w:color="auto" w:fill="auto"/>
            <w:noWrap/>
            <w:vAlign w:val="bottom"/>
          </w:tcPr>
          <w:p w14:paraId="44176293"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-3.132***</w:t>
            </w:r>
          </w:p>
        </w:tc>
        <w:tc>
          <w:tcPr>
            <w:tcW w:w="551" w:type="pct"/>
            <w:tcBorders>
              <w:top w:val="nil"/>
              <w:left w:val="nil"/>
              <w:bottom w:val="single" w:sz="4" w:space="0" w:color="auto"/>
              <w:right w:val="nil"/>
            </w:tcBorders>
            <w:shd w:val="clear" w:color="auto" w:fill="auto"/>
            <w:noWrap/>
            <w:vAlign w:val="bottom"/>
          </w:tcPr>
          <w:p w14:paraId="502D8BCD"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-0.076</w:t>
            </w:r>
          </w:p>
        </w:tc>
        <w:tc>
          <w:tcPr>
            <w:tcW w:w="602" w:type="pct"/>
            <w:tcBorders>
              <w:top w:val="nil"/>
              <w:left w:val="nil"/>
              <w:bottom w:val="single" w:sz="4" w:space="0" w:color="auto"/>
              <w:right w:val="nil"/>
            </w:tcBorders>
            <w:shd w:val="clear" w:color="auto" w:fill="auto"/>
            <w:noWrap/>
            <w:vAlign w:val="bottom"/>
          </w:tcPr>
          <w:p w14:paraId="7E590E9C"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-6.750***</w:t>
            </w:r>
          </w:p>
        </w:tc>
        <w:tc>
          <w:tcPr>
            <w:tcW w:w="701" w:type="pct"/>
            <w:tcBorders>
              <w:top w:val="nil"/>
              <w:left w:val="nil"/>
              <w:bottom w:val="single" w:sz="4" w:space="0" w:color="auto"/>
              <w:right w:val="nil"/>
            </w:tcBorders>
            <w:shd w:val="clear" w:color="auto" w:fill="auto"/>
            <w:noWrap/>
            <w:vAlign w:val="bottom"/>
          </w:tcPr>
          <w:p w14:paraId="39928064"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0.0332</w:t>
            </w:r>
          </w:p>
        </w:tc>
        <w:tc>
          <w:tcPr>
            <w:tcW w:w="429" w:type="pct"/>
            <w:tcBorders>
              <w:top w:val="nil"/>
              <w:left w:val="nil"/>
              <w:bottom w:val="single" w:sz="4" w:space="0" w:color="auto"/>
              <w:right w:val="nil"/>
            </w:tcBorders>
            <w:shd w:val="clear" w:color="auto" w:fill="auto"/>
            <w:noWrap/>
            <w:vAlign w:val="bottom"/>
          </w:tcPr>
          <w:p w14:paraId="445450C6"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32,615</w:t>
            </w:r>
          </w:p>
        </w:tc>
        <w:tc>
          <w:tcPr>
            <w:tcW w:w="798" w:type="pct"/>
            <w:tcBorders>
              <w:top w:val="nil"/>
              <w:left w:val="nil"/>
              <w:bottom w:val="single" w:sz="4" w:space="0" w:color="auto"/>
              <w:right w:val="nil"/>
            </w:tcBorders>
          </w:tcPr>
          <w:p w14:paraId="71AB8A9A"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bl>
    <w:p w14:paraId="2B1EF3EB" w14:textId="2B3607B9" w:rsidR="0083161B" w:rsidRPr="005F4D86" w:rsidRDefault="009B6F98" w:rsidP="00982C8F">
      <w:pPr>
        <w:spacing w:after="0" w:line="240" w:lineRule="auto"/>
        <w:jc w:val="both"/>
        <w:rPr>
          <w:rFonts w:ascii="Times New Roman" w:hAnsi="Times New Roman" w:cs="Times New Roman"/>
        </w:rPr>
        <w:sectPr w:rsidR="0083161B" w:rsidRPr="005F4D86" w:rsidSect="00067C9F">
          <w:pgSz w:w="15840" w:h="12240" w:orient="landscape"/>
          <w:pgMar w:top="1440" w:right="1440" w:bottom="1440" w:left="1440" w:header="720" w:footer="720" w:gutter="0"/>
          <w:cols w:space="720"/>
          <w:docGrid w:linePitch="360"/>
        </w:sectPr>
      </w:pPr>
      <w:r w:rsidRPr="005F4D86">
        <w:rPr>
          <w:rFonts w:ascii="Times New Roman" w:hAnsi="Times New Roman" w:cs="Times New Roman"/>
          <w:sz w:val="20"/>
          <w:szCs w:val="20"/>
        </w:rPr>
        <w:t>Note</w:t>
      </w:r>
      <w:r w:rsidR="00982C8F" w:rsidRPr="005F4D86">
        <w:rPr>
          <w:rFonts w:ascii="Times New Roman" w:hAnsi="Times New Roman" w:cs="Times New Roman"/>
          <w:sz w:val="20"/>
          <w:szCs w:val="20"/>
        </w:rPr>
        <w:t xml:space="preserve">: </w:t>
      </w:r>
      <w:r w:rsidR="004F0457" w:rsidRPr="005F4D86">
        <w:rPr>
          <w:rFonts w:ascii="Times New Roman" w:hAnsi="Times New Roman" w:cs="Times New Roman"/>
          <w:sz w:val="20"/>
          <w:szCs w:val="20"/>
        </w:rPr>
        <w:t xml:space="preserve">This table reports the results from the panel data firm-fixed effect regressions for the subsample of firms with lower than </w:t>
      </w:r>
      <w:r w:rsidR="002F1326">
        <w:rPr>
          <w:rFonts w:ascii="Times New Roman" w:hAnsi="Times New Roman" w:cs="Times New Roman"/>
          <w:sz w:val="20"/>
          <w:szCs w:val="20"/>
        </w:rPr>
        <w:t xml:space="preserve">the </w:t>
      </w:r>
      <w:r w:rsidR="004F0457" w:rsidRPr="005F4D86">
        <w:rPr>
          <w:rFonts w:ascii="Times New Roman" w:hAnsi="Times New Roman" w:cs="Times New Roman"/>
          <w:sz w:val="20"/>
          <w:szCs w:val="20"/>
        </w:rPr>
        <w:t xml:space="preserve">median </w:t>
      </w:r>
      <w:r w:rsidR="004F0457" w:rsidRPr="005F4D86">
        <w:rPr>
          <w:rFonts w:ascii="Times New Roman" w:hAnsi="Times New Roman" w:cs="Times New Roman"/>
          <w:i/>
          <w:sz w:val="20"/>
          <w:szCs w:val="20"/>
        </w:rPr>
        <w:t>DEBT</w:t>
      </w:r>
      <w:r w:rsidR="004F0457" w:rsidRPr="005F4D86">
        <w:rPr>
          <w:rFonts w:ascii="Times New Roman" w:hAnsi="Times New Roman" w:cs="Times New Roman"/>
          <w:sz w:val="20"/>
          <w:szCs w:val="20"/>
        </w:rPr>
        <w:t xml:space="preserve"> ratio vs. the subsample of firms with higher than </w:t>
      </w:r>
      <w:r w:rsidR="002F1326">
        <w:rPr>
          <w:rFonts w:ascii="Times New Roman" w:hAnsi="Times New Roman" w:cs="Times New Roman"/>
          <w:sz w:val="20"/>
          <w:szCs w:val="20"/>
        </w:rPr>
        <w:t xml:space="preserve">the </w:t>
      </w:r>
      <w:r w:rsidR="004F0457" w:rsidRPr="005F4D86">
        <w:rPr>
          <w:rFonts w:ascii="Times New Roman" w:hAnsi="Times New Roman" w:cs="Times New Roman"/>
          <w:sz w:val="20"/>
          <w:szCs w:val="20"/>
        </w:rPr>
        <w:t xml:space="preserve">median </w:t>
      </w:r>
      <w:r w:rsidR="004F0457" w:rsidRPr="005F4D86">
        <w:rPr>
          <w:rFonts w:ascii="Times New Roman" w:hAnsi="Times New Roman" w:cs="Times New Roman"/>
          <w:i/>
          <w:sz w:val="20"/>
          <w:szCs w:val="20"/>
        </w:rPr>
        <w:t>DEBT</w:t>
      </w:r>
      <w:r w:rsidR="004F0457" w:rsidRPr="005F4D86">
        <w:rPr>
          <w:rFonts w:ascii="Times New Roman" w:hAnsi="Times New Roman" w:cs="Times New Roman"/>
          <w:sz w:val="20"/>
          <w:szCs w:val="20"/>
        </w:rPr>
        <w:t xml:space="preserve"> ratio. The dependent variables are ROA volatility (</w:t>
      </w:r>
      <w:r w:rsidR="000B1D20" w:rsidRPr="005F4D86">
        <w:rPr>
          <w:rFonts w:ascii="Times New Roman" w:hAnsi="Times New Roman" w:cs="Times New Roman"/>
          <w:i/>
          <w:sz w:val="20"/>
          <w:szCs w:val="20"/>
        </w:rPr>
        <w:t>ROAVOL</w:t>
      </w:r>
      <w:r w:rsidR="000B1D20" w:rsidRPr="005F4D86">
        <w:rPr>
          <w:rFonts w:ascii="Times New Roman" w:hAnsi="Times New Roman" w:cs="Times New Roman"/>
          <w:sz w:val="20"/>
          <w:szCs w:val="20"/>
        </w:rPr>
        <w:t xml:space="preserve"> </w:t>
      </w:r>
      <w:r w:rsidR="004F0457" w:rsidRPr="005F4D86">
        <w:rPr>
          <w:rFonts w:ascii="Times New Roman" w:hAnsi="Times New Roman" w:cs="Times New Roman"/>
          <w:sz w:val="20"/>
          <w:szCs w:val="20"/>
        </w:rPr>
        <w:t xml:space="preserve">in Panel A), </w:t>
      </w:r>
      <w:r w:rsidR="00EB0AC6">
        <w:rPr>
          <w:rFonts w:ascii="Times New Roman" w:hAnsi="Times New Roman" w:cs="Times New Roman"/>
          <w:sz w:val="20"/>
          <w:szCs w:val="20"/>
        </w:rPr>
        <w:t>two</w:t>
      </w:r>
      <w:r w:rsidR="00EB0AC6" w:rsidRPr="005F4D86">
        <w:rPr>
          <w:rFonts w:ascii="Times New Roman" w:hAnsi="Times New Roman" w:cs="Times New Roman"/>
          <w:sz w:val="20"/>
          <w:szCs w:val="20"/>
        </w:rPr>
        <w:t xml:space="preserve"> </w:t>
      </w:r>
      <w:r w:rsidR="004F0457" w:rsidRPr="005F4D86">
        <w:rPr>
          <w:rFonts w:ascii="Times New Roman" w:hAnsi="Times New Roman" w:cs="Times New Roman"/>
          <w:sz w:val="20"/>
          <w:szCs w:val="20"/>
        </w:rPr>
        <w:t>measures of stock price volatility (</w:t>
      </w:r>
      <w:r w:rsidR="004F0457" w:rsidRPr="005F4D86">
        <w:rPr>
          <w:rFonts w:ascii="Times New Roman" w:hAnsi="Times New Roman" w:cs="Times New Roman"/>
          <w:i/>
          <w:sz w:val="20"/>
          <w:szCs w:val="20"/>
        </w:rPr>
        <w:t>TOTRISK</w:t>
      </w:r>
      <w:r w:rsidR="004F0457" w:rsidRPr="005F4D86">
        <w:rPr>
          <w:rFonts w:ascii="Times New Roman" w:hAnsi="Times New Roman" w:cs="Times New Roman"/>
          <w:sz w:val="20"/>
          <w:szCs w:val="20"/>
        </w:rPr>
        <w:t xml:space="preserve"> in Panel B and </w:t>
      </w:r>
      <w:r w:rsidR="004F0457" w:rsidRPr="005F4D86">
        <w:rPr>
          <w:rFonts w:ascii="Times New Roman" w:hAnsi="Times New Roman" w:cs="Times New Roman"/>
          <w:i/>
          <w:sz w:val="20"/>
          <w:szCs w:val="20"/>
        </w:rPr>
        <w:t>IDIORISK</w:t>
      </w:r>
      <w:r w:rsidR="004F0457" w:rsidRPr="005F4D86">
        <w:rPr>
          <w:rFonts w:ascii="Times New Roman" w:hAnsi="Times New Roman" w:cs="Times New Roman"/>
          <w:sz w:val="20"/>
          <w:szCs w:val="20"/>
        </w:rPr>
        <w:t xml:space="preserve"> in Panel C)</w:t>
      </w:r>
      <w:r w:rsidR="00EB0AC6">
        <w:rPr>
          <w:rFonts w:ascii="Times New Roman" w:hAnsi="Times New Roman" w:cs="Times New Roman"/>
          <w:sz w:val="20"/>
          <w:szCs w:val="20"/>
        </w:rPr>
        <w:t>,</w:t>
      </w:r>
      <w:r w:rsidR="004F0457" w:rsidRPr="005F4D86">
        <w:rPr>
          <w:rFonts w:ascii="Times New Roman" w:hAnsi="Times New Roman" w:cs="Times New Roman"/>
          <w:sz w:val="20"/>
          <w:szCs w:val="20"/>
        </w:rPr>
        <w:t xml:space="preserve"> and one measure of stock price crash risk (</w:t>
      </w:r>
      <w:r w:rsidR="004F0457" w:rsidRPr="005F4D86">
        <w:rPr>
          <w:rFonts w:ascii="Times New Roman" w:hAnsi="Times New Roman" w:cs="Times New Roman"/>
          <w:i/>
          <w:sz w:val="20"/>
          <w:szCs w:val="20"/>
        </w:rPr>
        <w:t>NCSKEW</w:t>
      </w:r>
      <w:r w:rsidR="004F0457" w:rsidRPr="005F4D86">
        <w:rPr>
          <w:rFonts w:ascii="Times New Roman" w:hAnsi="Times New Roman" w:cs="Times New Roman"/>
          <w:sz w:val="20"/>
          <w:szCs w:val="20"/>
        </w:rPr>
        <w:t xml:space="preserve"> in Panel D). ROA volatility (</w:t>
      </w:r>
      <w:r w:rsidR="004F0457" w:rsidRPr="005F4D86">
        <w:rPr>
          <w:rFonts w:ascii="Times New Roman" w:hAnsi="Times New Roman" w:cs="Times New Roman"/>
          <w:i/>
          <w:sz w:val="20"/>
          <w:szCs w:val="20"/>
        </w:rPr>
        <w:t>ROAVOL</w:t>
      </w:r>
      <w:r w:rsidR="004F0457" w:rsidRPr="005F4D86">
        <w:rPr>
          <w:rFonts w:ascii="Times New Roman" w:hAnsi="Times New Roman" w:cs="Times New Roman"/>
          <w:sz w:val="20"/>
          <w:szCs w:val="20"/>
        </w:rPr>
        <w:t>) is the standard deviation of return on assets over 5 years (from year -4 to the current fiscal year).</w:t>
      </w:r>
      <w:r w:rsidR="004F0457" w:rsidRPr="005F4D86">
        <w:rPr>
          <w:rFonts w:ascii="Times New Roman" w:hAnsi="Times New Roman" w:cs="Times New Roman"/>
          <w:i/>
          <w:sz w:val="20"/>
          <w:szCs w:val="20"/>
        </w:rPr>
        <w:t xml:space="preserve"> </w:t>
      </w:r>
      <w:r w:rsidR="00FC6F5C">
        <w:rPr>
          <w:rFonts w:ascii="Times New Roman" w:hAnsi="Times New Roman" w:cs="Times New Roman"/>
          <w:sz w:val="20"/>
          <w:szCs w:val="20"/>
        </w:rPr>
        <w:t>T</w:t>
      </w:r>
      <w:r w:rsidR="00FC6F5C" w:rsidRPr="005F4D86">
        <w:rPr>
          <w:rFonts w:ascii="Times New Roman" w:hAnsi="Times New Roman" w:cs="Times New Roman"/>
          <w:sz w:val="20"/>
          <w:szCs w:val="20"/>
        </w:rPr>
        <w:t>otal risk</w:t>
      </w:r>
      <w:r w:rsidR="00FC6F5C" w:rsidRPr="005F4D86">
        <w:rPr>
          <w:rFonts w:ascii="Times New Roman" w:hAnsi="Times New Roman" w:cs="Times New Roman"/>
          <w:i/>
          <w:sz w:val="20"/>
          <w:szCs w:val="20"/>
        </w:rPr>
        <w:t xml:space="preserve"> </w:t>
      </w:r>
      <w:r w:rsidR="00FC6F5C">
        <w:rPr>
          <w:rFonts w:ascii="Times New Roman" w:hAnsi="Times New Roman" w:cs="Times New Roman"/>
          <w:i/>
          <w:sz w:val="20"/>
          <w:szCs w:val="20"/>
        </w:rPr>
        <w:t>(</w:t>
      </w:r>
      <w:r w:rsidR="004F0457" w:rsidRPr="005F4D86">
        <w:rPr>
          <w:rFonts w:ascii="Times New Roman" w:hAnsi="Times New Roman" w:cs="Times New Roman"/>
          <w:i/>
          <w:sz w:val="20"/>
          <w:szCs w:val="20"/>
        </w:rPr>
        <w:t>TOTRISK</w:t>
      </w:r>
      <w:r w:rsidR="00FC6F5C">
        <w:rPr>
          <w:rFonts w:ascii="Times New Roman" w:hAnsi="Times New Roman" w:cs="Times New Roman"/>
          <w:i/>
          <w:sz w:val="20"/>
          <w:szCs w:val="20"/>
        </w:rPr>
        <w:t>)</w:t>
      </w:r>
      <w:r w:rsidR="004F0457" w:rsidRPr="005F4D86">
        <w:rPr>
          <w:rFonts w:ascii="Times New Roman" w:hAnsi="Times New Roman" w:cs="Times New Roman"/>
          <w:sz w:val="20"/>
          <w:szCs w:val="20"/>
        </w:rPr>
        <w:t xml:space="preserve"> is the annualized standard deviation of the daily stock returns in the year.</w:t>
      </w:r>
      <w:r w:rsidR="004F0457" w:rsidRPr="005F4D86">
        <w:rPr>
          <w:rFonts w:ascii="Times New Roman" w:hAnsi="Times New Roman" w:cs="Times New Roman"/>
          <w:i/>
          <w:sz w:val="20"/>
          <w:szCs w:val="20"/>
        </w:rPr>
        <w:t xml:space="preserve"> </w:t>
      </w:r>
      <w:r w:rsidR="00FC6F5C" w:rsidRPr="00F15FF6">
        <w:rPr>
          <w:rFonts w:ascii="Times New Roman" w:hAnsi="Times New Roman" w:cs="Times New Roman"/>
          <w:sz w:val="20"/>
          <w:szCs w:val="20"/>
        </w:rPr>
        <w:t>I</w:t>
      </w:r>
      <w:r w:rsidR="004F0457" w:rsidRPr="00FC6F5C">
        <w:rPr>
          <w:rFonts w:ascii="Times New Roman" w:hAnsi="Times New Roman" w:cs="Times New Roman"/>
          <w:sz w:val="20"/>
          <w:szCs w:val="20"/>
        </w:rPr>
        <w:t>diosyncratic</w:t>
      </w:r>
      <w:r w:rsidR="004F0457" w:rsidRPr="005F4D86">
        <w:rPr>
          <w:rFonts w:ascii="Times New Roman" w:hAnsi="Times New Roman" w:cs="Times New Roman"/>
          <w:sz w:val="20"/>
          <w:szCs w:val="20"/>
        </w:rPr>
        <w:t xml:space="preserve"> risk</w:t>
      </w:r>
      <w:r w:rsidR="00FC6F5C">
        <w:rPr>
          <w:rFonts w:ascii="Times New Roman" w:hAnsi="Times New Roman" w:cs="Times New Roman"/>
          <w:sz w:val="20"/>
          <w:szCs w:val="20"/>
        </w:rPr>
        <w:t xml:space="preserve"> (</w:t>
      </w:r>
      <w:r w:rsidR="00FC6F5C" w:rsidRPr="005F4D86">
        <w:rPr>
          <w:rFonts w:ascii="Times New Roman" w:hAnsi="Times New Roman" w:cs="Times New Roman"/>
          <w:i/>
          <w:sz w:val="20"/>
          <w:szCs w:val="20"/>
        </w:rPr>
        <w:t>IDIORISK</w:t>
      </w:r>
      <w:r w:rsidR="00FC6F5C">
        <w:rPr>
          <w:rFonts w:ascii="Times New Roman" w:hAnsi="Times New Roman" w:cs="Times New Roman"/>
          <w:i/>
          <w:sz w:val="20"/>
          <w:szCs w:val="20"/>
        </w:rPr>
        <w:t>)</w:t>
      </w:r>
      <w:r w:rsidR="004F0457" w:rsidRPr="005F4D86">
        <w:rPr>
          <w:rFonts w:ascii="Times New Roman" w:hAnsi="Times New Roman" w:cs="Times New Roman"/>
          <w:sz w:val="20"/>
          <w:szCs w:val="20"/>
        </w:rPr>
        <w:t xml:space="preserve"> is the annualized standard deviation of the residuals from the </w:t>
      </w:r>
      <w:proofErr w:type="spellStart"/>
      <w:r w:rsidR="004F0457" w:rsidRPr="005F4D86">
        <w:rPr>
          <w:rFonts w:ascii="Times New Roman" w:hAnsi="Times New Roman" w:cs="Times New Roman"/>
          <w:sz w:val="20"/>
          <w:szCs w:val="20"/>
        </w:rPr>
        <w:t>Fama</w:t>
      </w:r>
      <w:proofErr w:type="spellEnd"/>
      <w:r w:rsidR="004F0457" w:rsidRPr="005F4D86">
        <w:rPr>
          <w:rFonts w:ascii="Times New Roman" w:hAnsi="Times New Roman" w:cs="Times New Roman"/>
          <w:sz w:val="20"/>
          <w:szCs w:val="20"/>
        </w:rPr>
        <w:t>-French 4-factor model using daily stock returns in the year.</w:t>
      </w:r>
      <w:r w:rsidR="004F0457" w:rsidRPr="005F4D86">
        <w:rPr>
          <w:rFonts w:ascii="Times New Roman" w:hAnsi="Times New Roman" w:cs="Times New Roman"/>
          <w:i/>
          <w:sz w:val="20"/>
          <w:szCs w:val="20"/>
        </w:rPr>
        <w:t xml:space="preserve"> NCSKEW</w:t>
      </w:r>
      <w:r w:rsidR="004F0457" w:rsidRPr="005F4D86">
        <w:rPr>
          <w:rFonts w:ascii="Times New Roman" w:hAnsi="Times New Roman" w:cs="Times New Roman"/>
          <w:sz w:val="20"/>
          <w:szCs w:val="20"/>
        </w:rPr>
        <w:t xml:space="preserve"> is the negative conditional skewness of firm-specific weekly return, calculated as the negative third central moment of firm-specific weekly returns divided by the cubed standard deviation of firm-specific weekly returns.</w:t>
      </w:r>
      <w:r w:rsidR="004F0457" w:rsidRPr="005F4D86">
        <w:rPr>
          <w:rFonts w:ascii="Times New Roman" w:eastAsiaTheme="minorEastAsia" w:hAnsi="Times New Roman" w:cs="Times New Roman"/>
          <w:sz w:val="20"/>
          <w:szCs w:val="20"/>
        </w:rPr>
        <w:t xml:space="preserve"> </w:t>
      </w:r>
      <w:r w:rsidR="004F0457" w:rsidRPr="005F4D86">
        <w:rPr>
          <w:rFonts w:ascii="Times New Roman" w:hAnsi="Times New Roman" w:cs="Times New Roman"/>
          <w:i/>
          <w:sz w:val="20"/>
          <w:szCs w:val="20"/>
        </w:rPr>
        <w:t>NONOPERINC</w:t>
      </w:r>
      <w:r w:rsidR="004F0457" w:rsidRPr="005F4D86">
        <w:rPr>
          <w:rFonts w:ascii="Times New Roman" w:hAnsi="Times New Roman" w:cs="Times New Roman"/>
          <w:sz w:val="20"/>
          <w:szCs w:val="20"/>
        </w:rPr>
        <w:t xml:space="preserve"> is the ratio of non-operating income to assets at the end of the fiscal year. </w:t>
      </w:r>
      <w:r w:rsidR="004F0457" w:rsidRPr="005F4D86">
        <w:rPr>
          <w:rFonts w:ascii="Times New Roman" w:hAnsi="Times New Roman" w:cs="Times New Roman"/>
          <w:i/>
          <w:sz w:val="20"/>
          <w:szCs w:val="20"/>
        </w:rPr>
        <w:t>OPERINC</w:t>
      </w:r>
      <w:r w:rsidR="004F0457" w:rsidRPr="005F4D86">
        <w:rPr>
          <w:rFonts w:ascii="Times New Roman" w:hAnsi="Times New Roman" w:cs="Times New Roman"/>
          <w:sz w:val="20"/>
          <w:szCs w:val="20"/>
        </w:rPr>
        <w:t xml:space="preserve"> is the ratio of operating income to assets at the end of the fiscal year. For brevity, only coefficients on </w:t>
      </w:r>
      <w:r w:rsidR="004F0457" w:rsidRPr="005F4D86">
        <w:rPr>
          <w:rFonts w:ascii="Times New Roman" w:hAnsi="Times New Roman" w:cs="Times New Roman"/>
          <w:i/>
          <w:sz w:val="20"/>
          <w:szCs w:val="20"/>
        </w:rPr>
        <w:t>NONOPERINC</w:t>
      </w:r>
      <w:r w:rsidR="004F0457" w:rsidRPr="005F4D86">
        <w:rPr>
          <w:rFonts w:ascii="Times New Roman" w:hAnsi="Times New Roman" w:cs="Times New Roman"/>
          <w:sz w:val="20"/>
          <w:szCs w:val="20"/>
        </w:rPr>
        <w:t xml:space="preserve"> and </w:t>
      </w:r>
      <w:r w:rsidR="004F0457" w:rsidRPr="005F4D86">
        <w:rPr>
          <w:rFonts w:ascii="Times New Roman" w:hAnsi="Times New Roman" w:cs="Times New Roman"/>
          <w:i/>
          <w:sz w:val="20"/>
          <w:szCs w:val="20"/>
        </w:rPr>
        <w:t>OPERINC</w:t>
      </w:r>
      <w:r w:rsidR="004F0457" w:rsidRPr="005F4D86">
        <w:rPr>
          <w:rFonts w:ascii="Times New Roman" w:hAnsi="Times New Roman" w:cs="Times New Roman"/>
          <w:sz w:val="20"/>
          <w:szCs w:val="20"/>
        </w:rPr>
        <w:t xml:space="preserve"> are reported. *, ** and *** indicate the significance levels of 10%, 5% and 1%, respectively</w:t>
      </w:r>
      <w:r w:rsidR="004F0457" w:rsidRPr="005F4D86">
        <w:rPr>
          <w:rFonts w:ascii="Times New Roman" w:hAnsi="Times New Roman" w:cs="Times New Roman"/>
        </w:rPr>
        <w:t>.</w:t>
      </w:r>
    </w:p>
    <w:tbl>
      <w:tblPr>
        <w:tblW w:w="5000" w:type="pct"/>
        <w:tblLook w:val="04A0" w:firstRow="1" w:lastRow="0" w:firstColumn="1" w:lastColumn="0" w:noHBand="0" w:noVBand="1"/>
      </w:tblPr>
      <w:tblGrid>
        <w:gridCol w:w="1808"/>
        <w:gridCol w:w="1509"/>
        <w:gridCol w:w="1610"/>
        <w:gridCol w:w="1493"/>
        <w:gridCol w:w="1615"/>
        <w:gridCol w:w="1638"/>
        <w:gridCol w:w="1558"/>
        <w:gridCol w:w="1729"/>
      </w:tblGrid>
      <w:tr w:rsidR="0083161B" w:rsidRPr="00D23517" w14:paraId="2801DEEF" w14:textId="77777777" w:rsidTr="008F6E16">
        <w:trPr>
          <w:trHeight w:val="144"/>
        </w:trPr>
        <w:tc>
          <w:tcPr>
            <w:tcW w:w="5000" w:type="pct"/>
            <w:gridSpan w:val="8"/>
            <w:tcBorders>
              <w:top w:val="nil"/>
              <w:left w:val="nil"/>
              <w:bottom w:val="single" w:sz="4" w:space="0" w:color="auto"/>
              <w:right w:val="nil"/>
            </w:tcBorders>
            <w:shd w:val="clear" w:color="auto" w:fill="auto"/>
            <w:noWrap/>
            <w:vAlign w:val="bottom"/>
            <w:hideMark/>
          </w:tcPr>
          <w:p w14:paraId="5E2AB8D6" w14:textId="0500C12F" w:rsidR="004F0457" w:rsidRPr="00D23517" w:rsidRDefault="0083161B" w:rsidP="00D23517">
            <w:pPr>
              <w:pBdr>
                <w:bottom w:val="single" w:sz="4" w:space="1" w:color="auto"/>
              </w:pBdr>
              <w:spacing w:after="0" w:line="240" w:lineRule="auto"/>
              <w:rPr>
                <w:rFonts w:ascii="Times New Roman" w:eastAsia="Times New Roman" w:hAnsi="Times New Roman" w:cs="Times New Roman"/>
                <w:b/>
                <w:color w:val="000000"/>
                <w:sz w:val="20"/>
                <w:szCs w:val="20"/>
              </w:rPr>
            </w:pPr>
            <w:r w:rsidRPr="00D23517">
              <w:rPr>
                <w:rFonts w:ascii="Times New Roman" w:eastAsia="Times New Roman" w:hAnsi="Times New Roman" w:cs="Times New Roman"/>
                <w:b/>
                <w:color w:val="000000"/>
                <w:sz w:val="24"/>
                <w:szCs w:val="24"/>
              </w:rPr>
              <w:lastRenderedPageBreak/>
              <w:t>Table A4</w:t>
            </w:r>
            <w:r w:rsidR="004F0457" w:rsidRPr="00D23517">
              <w:rPr>
                <w:rFonts w:ascii="Times New Roman" w:eastAsia="Times New Roman" w:hAnsi="Times New Roman" w:cs="Times New Roman"/>
                <w:b/>
                <w:color w:val="000000"/>
                <w:sz w:val="24"/>
                <w:szCs w:val="24"/>
              </w:rPr>
              <w:t xml:space="preserve">: </w:t>
            </w:r>
            <w:r w:rsidRPr="00D23517">
              <w:rPr>
                <w:rFonts w:ascii="Times New Roman" w:eastAsia="Times New Roman" w:hAnsi="Times New Roman" w:cs="Times New Roman"/>
                <w:b/>
                <w:color w:val="000000"/>
                <w:sz w:val="24"/>
                <w:szCs w:val="24"/>
              </w:rPr>
              <w:t xml:space="preserve">Regression </w:t>
            </w:r>
            <w:r w:rsidR="002F46AA" w:rsidRPr="00D23517">
              <w:rPr>
                <w:rFonts w:ascii="Times New Roman" w:eastAsia="Times New Roman" w:hAnsi="Times New Roman" w:cs="Times New Roman"/>
                <w:b/>
                <w:color w:val="000000"/>
                <w:sz w:val="24"/>
                <w:szCs w:val="24"/>
              </w:rPr>
              <w:t xml:space="preserve">results </w:t>
            </w:r>
            <w:r w:rsidRPr="00D23517">
              <w:rPr>
                <w:rFonts w:ascii="Times New Roman" w:eastAsia="Times New Roman" w:hAnsi="Times New Roman" w:cs="Times New Roman"/>
                <w:b/>
                <w:color w:val="000000"/>
                <w:sz w:val="24"/>
                <w:szCs w:val="24"/>
              </w:rPr>
              <w:t xml:space="preserve">by </w:t>
            </w:r>
            <w:r w:rsidR="002F46AA" w:rsidRPr="00D23517">
              <w:rPr>
                <w:rFonts w:ascii="Times New Roman" w:eastAsia="Times New Roman" w:hAnsi="Times New Roman" w:cs="Times New Roman"/>
                <w:b/>
                <w:color w:val="000000"/>
                <w:sz w:val="24"/>
                <w:szCs w:val="24"/>
              </w:rPr>
              <w:t xml:space="preserve">subsamples </w:t>
            </w:r>
            <w:r w:rsidRPr="00D23517">
              <w:rPr>
                <w:rFonts w:ascii="Times New Roman" w:eastAsia="Times New Roman" w:hAnsi="Times New Roman" w:cs="Times New Roman"/>
                <w:b/>
                <w:color w:val="000000"/>
                <w:sz w:val="24"/>
                <w:szCs w:val="24"/>
              </w:rPr>
              <w:t xml:space="preserve">of </w:t>
            </w:r>
            <w:r w:rsidR="002F46AA" w:rsidRPr="00D23517">
              <w:rPr>
                <w:rFonts w:ascii="Times New Roman" w:eastAsia="Times New Roman" w:hAnsi="Times New Roman" w:cs="Times New Roman"/>
                <w:b/>
                <w:color w:val="000000"/>
                <w:sz w:val="24"/>
                <w:szCs w:val="24"/>
              </w:rPr>
              <w:t>growth uncertainty</w:t>
            </w:r>
          </w:p>
        </w:tc>
      </w:tr>
      <w:tr w:rsidR="0083161B" w:rsidRPr="00D23517" w14:paraId="678B6F4C" w14:textId="77777777" w:rsidTr="004F0457">
        <w:trPr>
          <w:trHeight w:val="144"/>
        </w:trPr>
        <w:tc>
          <w:tcPr>
            <w:tcW w:w="698" w:type="pct"/>
            <w:tcBorders>
              <w:top w:val="single" w:sz="4" w:space="0" w:color="auto"/>
              <w:left w:val="nil"/>
              <w:bottom w:val="single" w:sz="4" w:space="0" w:color="auto"/>
              <w:right w:val="nil"/>
            </w:tcBorders>
            <w:shd w:val="clear" w:color="auto" w:fill="auto"/>
            <w:noWrap/>
            <w:vAlign w:val="bottom"/>
            <w:hideMark/>
          </w:tcPr>
          <w:p w14:paraId="6AD22D98"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Variables</w:t>
            </w:r>
          </w:p>
        </w:tc>
        <w:tc>
          <w:tcPr>
            <w:tcW w:w="1203" w:type="pct"/>
            <w:gridSpan w:val="2"/>
            <w:tcBorders>
              <w:top w:val="single" w:sz="4" w:space="0" w:color="auto"/>
              <w:left w:val="nil"/>
              <w:bottom w:val="single" w:sz="4" w:space="0" w:color="auto"/>
              <w:right w:val="nil"/>
            </w:tcBorders>
            <w:shd w:val="clear" w:color="auto" w:fill="auto"/>
            <w:noWrap/>
            <w:vAlign w:val="bottom"/>
            <w:hideMark/>
          </w:tcPr>
          <w:p w14:paraId="1C2C17F5"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NONOPERINC</w:t>
            </w:r>
          </w:p>
        </w:tc>
        <w:tc>
          <w:tcPr>
            <w:tcW w:w="1199" w:type="pct"/>
            <w:gridSpan w:val="2"/>
            <w:tcBorders>
              <w:top w:val="single" w:sz="4" w:space="0" w:color="auto"/>
              <w:left w:val="nil"/>
              <w:bottom w:val="single" w:sz="4" w:space="0" w:color="auto"/>
              <w:right w:val="nil"/>
            </w:tcBorders>
            <w:shd w:val="clear" w:color="auto" w:fill="auto"/>
            <w:noWrap/>
            <w:vAlign w:val="bottom"/>
            <w:hideMark/>
          </w:tcPr>
          <w:p w14:paraId="629FCFAB"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OPERINC</w:t>
            </w:r>
          </w:p>
        </w:tc>
        <w:tc>
          <w:tcPr>
            <w:tcW w:w="632" w:type="pct"/>
            <w:tcBorders>
              <w:top w:val="single" w:sz="4" w:space="0" w:color="auto"/>
              <w:left w:val="nil"/>
              <w:bottom w:val="single" w:sz="4" w:space="0" w:color="auto"/>
              <w:right w:val="nil"/>
            </w:tcBorders>
            <w:shd w:val="clear" w:color="auto" w:fill="auto"/>
            <w:noWrap/>
            <w:vAlign w:val="bottom"/>
            <w:hideMark/>
          </w:tcPr>
          <w:p w14:paraId="27EEBFC5"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Adj. R-squared</w:t>
            </w:r>
          </w:p>
        </w:tc>
        <w:tc>
          <w:tcPr>
            <w:tcW w:w="601" w:type="pct"/>
            <w:tcBorders>
              <w:top w:val="single" w:sz="4" w:space="0" w:color="auto"/>
              <w:left w:val="nil"/>
              <w:bottom w:val="single" w:sz="4" w:space="0" w:color="auto"/>
              <w:right w:val="nil"/>
            </w:tcBorders>
            <w:shd w:val="clear" w:color="auto" w:fill="auto"/>
            <w:noWrap/>
            <w:vAlign w:val="bottom"/>
            <w:hideMark/>
          </w:tcPr>
          <w:p w14:paraId="0D3FAA95"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N</w:t>
            </w:r>
          </w:p>
        </w:tc>
        <w:tc>
          <w:tcPr>
            <w:tcW w:w="668" w:type="pct"/>
            <w:tcBorders>
              <w:top w:val="single" w:sz="4" w:space="0" w:color="auto"/>
              <w:left w:val="nil"/>
              <w:bottom w:val="single" w:sz="4" w:space="0" w:color="auto"/>
              <w:right w:val="nil"/>
            </w:tcBorders>
          </w:tcPr>
          <w:p w14:paraId="5E7FCA94"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Control Variables</w:t>
            </w:r>
          </w:p>
        </w:tc>
      </w:tr>
      <w:tr w:rsidR="0083161B" w:rsidRPr="00D23517" w14:paraId="0FD0331E" w14:textId="77777777" w:rsidTr="004F0457">
        <w:trPr>
          <w:trHeight w:val="144"/>
        </w:trPr>
        <w:tc>
          <w:tcPr>
            <w:tcW w:w="4332" w:type="pct"/>
            <w:gridSpan w:val="7"/>
            <w:tcBorders>
              <w:top w:val="single" w:sz="4" w:space="0" w:color="auto"/>
              <w:left w:val="nil"/>
              <w:bottom w:val="nil"/>
              <w:right w:val="nil"/>
            </w:tcBorders>
            <w:shd w:val="clear" w:color="auto" w:fill="auto"/>
            <w:noWrap/>
            <w:vAlign w:val="bottom"/>
            <w:hideMark/>
          </w:tcPr>
          <w:p w14:paraId="6B39A726"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r w:rsidRPr="00D23517">
              <w:rPr>
                <w:rFonts w:ascii="Times New Roman" w:eastAsia="Times New Roman" w:hAnsi="Times New Roman" w:cs="Times New Roman"/>
                <w:b/>
                <w:i/>
                <w:color w:val="000000"/>
                <w:sz w:val="20"/>
                <w:szCs w:val="20"/>
                <w:u w:val="single"/>
              </w:rPr>
              <w:t>Panel A - ROAVOL</w:t>
            </w:r>
          </w:p>
        </w:tc>
        <w:tc>
          <w:tcPr>
            <w:tcW w:w="668" w:type="pct"/>
            <w:tcBorders>
              <w:top w:val="single" w:sz="4" w:space="0" w:color="auto"/>
              <w:left w:val="nil"/>
              <w:bottom w:val="nil"/>
              <w:right w:val="nil"/>
            </w:tcBorders>
          </w:tcPr>
          <w:p w14:paraId="1DCE5644"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p>
        </w:tc>
      </w:tr>
      <w:tr w:rsidR="0083161B" w:rsidRPr="00D23517" w14:paraId="022FAFF4" w14:textId="77777777" w:rsidTr="004F0457">
        <w:trPr>
          <w:trHeight w:val="144"/>
        </w:trPr>
        <w:tc>
          <w:tcPr>
            <w:tcW w:w="698" w:type="pct"/>
            <w:tcBorders>
              <w:top w:val="nil"/>
              <w:left w:val="nil"/>
              <w:bottom w:val="nil"/>
              <w:right w:val="nil"/>
            </w:tcBorders>
            <w:shd w:val="clear" w:color="auto" w:fill="auto"/>
            <w:noWrap/>
            <w:vAlign w:val="bottom"/>
            <w:hideMark/>
          </w:tcPr>
          <w:p w14:paraId="4145B328"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 xml:space="preserve">XRD </w:t>
            </w:r>
            <w:r w:rsidRPr="00D23517">
              <w:rPr>
                <w:rFonts w:ascii="Times New Roman" w:eastAsia="Times New Roman" w:hAnsi="Times New Roman" w:cs="Times New Roman"/>
                <w:color w:val="000000"/>
                <w:sz w:val="20"/>
                <w:szCs w:val="20"/>
              </w:rPr>
              <w:t>= 0</w:t>
            </w:r>
          </w:p>
        </w:tc>
        <w:tc>
          <w:tcPr>
            <w:tcW w:w="582" w:type="pct"/>
            <w:tcBorders>
              <w:top w:val="nil"/>
              <w:left w:val="nil"/>
              <w:bottom w:val="nil"/>
              <w:right w:val="nil"/>
            </w:tcBorders>
            <w:shd w:val="clear" w:color="auto" w:fill="auto"/>
            <w:noWrap/>
            <w:vAlign w:val="bottom"/>
          </w:tcPr>
          <w:p w14:paraId="29F6D448"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0.003</w:t>
            </w:r>
          </w:p>
        </w:tc>
        <w:tc>
          <w:tcPr>
            <w:tcW w:w="620" w:type="pct"/>
            <w:tcBorders>
              <w:top w:val="nil"/>
              <w:left w:val="nil"/>
              <w:bottom w:val="nil"/>
              <w:right w:val="nil"/>
            </w:tcBorders>
            <w:shd w:val="clear" w:color="auto" w:fill="auto"/>
            <w:noWrap/>
            <w:vAlign w:val="bottom"/>
          </w:tcPr>
          <w:p w14:paraId="7D3AA452"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 xml:space="preserve">0.414 </w:t>
            </w:r>
          </w:p>
        </w:tc>
        <w:tc>
          <w:tcPr>
            <w:tcW w:w="576" w:type="pct"/>
            <w:tcBorders>
              <w:top w:val="nil"/>
              <w:left w:val="nil"/>
              <w:bottom w:val="nil"/>
              <w:right w:val="nil"/>
            </w:tcBorders>
            <w:shd w:val="clear" w:color="auto" w:fill="auto"/>
            <w:noWrap/>
            <w:vAlign w:val="bottom"/>
          </w:tcPr>
          <w:p w14:paraId="4DBED9A5"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-0.196</w:t>
            </w:r>
          </w:p>
        </w:tc>
        <w:tc>
          <w:tcPr>
            <w:tcW w:w="622" w:type="pct"/>
            <w:tcBorders>
              <w:top w:val="nil"/>
              <w:left w:val="nil"/>
              <w:bottom w:val="nil"/>
              <w:right w:val="nil"/>
            </w:tcBorders>
            <w:shd w:val="clear" w:color="auto" w:fill="auto"/>
            <w:noWrap/>
            <w:vAlign w:val="bottom"/>
          </w:tcPr>
          <w:p w14:paraId="2DB07286"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-14.357***</w:t>
            </w:r>
          </w:p>
        </w:tc>
        <w:tc>
          <w:tcPr>
            <w:tcW w:w="632" w:type="pct"/>
            <w:tcBorders>
              <w:top w:val="nil"/>
              <w:left w:val="nil"/>
              <w:bottom w:val="nil"/>
              <w:right w:val="nil"/>
            </w:tcBorders>
            <w:shd w:val="clear" w:color="auto" w:fill="auto"/>
            <w:noWrap/>
            <w:vAlign w:val="bottom"/>
          </w:tcPr>
          <w:p w14:paraId="65264184"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0.171</w:t>
            </w:r>
          </w:p>
        </w:tc>
        <w:tc>
          <w:tcPr>
            <w:tcW w:w="601" w:type="pct"/>
            <w:tcBorders>
              <w:top w:val="nil"/>
              <w:left w:val="nil"/>
              <w:bottom w:val="nil"/>
              <w:right w:val="nil"/>
            </w:tcBorders>
            <w:shd w:val="clear" w:color="auto" w:fill="auto"/>
            <w:noWrap/>
            <w:vAlign w:val="bottom"/>
          </w:tcPr>
          <w:p w14:paraId="07AC3FB2"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34,331</w:t>
            </w:r>
          </w:p>
        </w:tc>
        <w:tc>
          <w:tcPr>
            <w:tcW w:w="668" w:type="pct"/>
            <w:tcBorders>
              <w:top w:val="nil"/>
              <w:left w:val="nil"/>
              <w:bottom w:val="nil"/>
              <w:right w:val="nil"/>
            </w:tcBorders>
          </w:tcPr>
          <w:p w14:paraId="761441DD"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277D5B1F" w14:textId="77777777" w:rsidTr="004F0457">
        <w:trPr>
          <w:trHeight w:val="144"/>
        </w:trPr>
        <w:tc>
          <w:tcPr>
            <w:tcW w:w="698" w:type="pct"/>
            <w:tcBorders>
              <w:top w:val="nil"/>
              <w:left w:val="nil"/>
              <w:bottom w:val="nil"/>
              <w:right w:val="nil"/>
            </w:tcBorders>
            <w:shd w:val="clear" w:color="auto" w:fill="auto"/>
            <w:noWrap/>
            <w:vAlign w:val="bottom"/>
            <w:hideMark/>
          </w:tcPr>
          <w:p w14:paraId="7A7DD012"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 xml:space="preserve">XRD </w:t>
            </w:r>
            <w:r w:rsidRPr="00D23517">
              <w:rPr>
                <w:rFonts w:ascii="Times New Roman" w:eastAsia="Times New Roman" w:hAnsi="Times New Roman" w:cs="Times New Roman"/>
                <w:color w:val="000000"/>
                <w:sz w:val="20"/>
                <w:szCs w:val="20"/>
              </w:rPr>
              <w:t>&gt; 0</w:t>
            </w:r>
          </w:p>
        </w:tc>
        <w:tc>
          <w:tcPr>
            <w:tcW w:w="582" w:type="pct"/>
            <w:tcBorders>
              <w:top w:val="nil"/>
              <w:left w:val="nil"/>
              <w:bottom w:val="nil"/>
              <w:right w:val="nil"/>
            </w:tcBorders>
            <w:shd w:val="clear" w:color="auto" w:fill="auto"/>
            <w:noWrap/>
            <w:vAlign w:val="bottom"/>
          </w:tcPr>
          <w:p w14:paraId="47A437B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-0.017</w:t>
            </w:r>
          </w:p>
        </w:tc>
        <w:tc>
          <w:tcPr>
            <w:tcW w:w="620" w:type="pct"/>
            <w:tcBorders>
              <w:top w:val="nil"/>
              <w:left w:val="nil"/>
              <w:bottom w:val="nil"/>
              <w:right w:val="nil"/>
            </w:tcBorders>
            <w:shd w:val="clear" w:color="auto" w:fill="auto"/>
            <w:noWrap/>
            <w:vAlign w:val="bottom"/>
          </w:tcPr>
          <w:p w14:paraId="01FACEC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-2.455**</w:t>
            </w:r>
          </w:p>
        </w:tc>
        <w:tc>
          <w:tcPr>
            <w:tcW w:w="576" w:type="pct"/>
            <w:tcBorders>
              <w:top w:val="nil"/>
              <w:left w:val="nil"/>
              <w:bottom w:val="nil"/>
              <w:right w:val="nil"/>
            </w:tcBorders>
            <w:shd w:val="clear" w:color="auto" w:fill="auto"/>
            <w:noWrap/>
            <w:vAlign w:val="bottom"/>
          </w:tcPr>
          <w:p w14:paraId="0DDBC44C"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-0.143</w:t>
            </w:r>
          </w:p>
        </w:tc>
        <w:tc>
          <w:tcPr>
            <w:tcW w:w="622" w:type="pct"/>
            <w:tcBorders>
              <w:top w:val="nil"/>
              <w:left w:val="nil"/>
              <w:bottom w:val="nil"/>
              <w:right w:val="nil"/>
            </w:tcBorders>
            <w:shd w:val="clear" w:color="auto" w:fill="auto"/>
            <w:noWrap/>
            <w:vAlign w:val="bottom"/>
          </w:tcPr>
          <w:p w14:paraId="430651D5"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-9.223***</w:t>
            </w:r>
          </w:p>
        </w:tc>
        <w:tc>
          <w:tcPr>
            <w:tcW w:w="632" w:type="pct"/>
            <w:tcBorders>
              <w:top w:val="nil"/>
              <w:left w:val="nil"/>
              <w:bottom w:val="nil"/>
              <w:right w:val="nil"/>
            </w:tcBorders>
            <w:shd w:val="clear" w:color="auto" w:fill="auto"/>
            <w:noWrap/>
            <w:vAlign w:val="bottom"/>
          </w:tcPr>
          <w:p w14:paraId="647E280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0.279</w:t>
            </w:r>
          </w:p>
        </w:tc>
        <w:tc>
          <w:tcPr>
            <w:tcW w:w="601" w:type="pct"/>
            <w:tcBorders>
              <w:top w:val="nil"/>
              <w:left w:val="nil"/>
              <w:bottom w:val="nil"/>
              <w:right w:val="nil"/>
            </w:tcBorders>
            <w:shd w:val="clear" w:color="auto" w:fill="auto"/>
            <w:noWrap/>
            <w:vAlign w:val="bottom"/>
          </w:tcPr>
          <w:p w14:paraId="56D2719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37,573</w:t>
            </w:r>
          </w:p>
        </w:tc>
        <w:tc>
          <w:tcPr>
            <w:tcW w:w="668" w:type="pct"/>
            <w:tcBorders>
              <w:top w:val="nil"/>
              <w:left w:val="nil"/>
              <w:bottom w:val="nil"/>
              <w:right w:val="nil"/>
            </w:tcBorders>
          </w:tcPr>
          <w:p w14:paraId="625D11B6"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30F19911" w14:textId="77777777" w:rsidTr="004F0457">
        <w:trPr>
          <w:trHeight w:val="144"/>
        </w:trPr>
        <w:tc>
          <w:tcPr>
            <w:tcW w:w="698" w:type="pct"/>
            <w:tcBorders>
              <w:top w:val="nil"/>
              <w:left w:val="nil"/>
              <w:bottom w:val="nil"/>
              <w:right w:val="nil"/>
            </w:tcBorders>
            <w:shd w:val="clear" w:color="auto" w:fill="auto"/>
            <w:noWrap/>
            <w:vAlign w:val="bottom"/>
            <w:hideMark/>
          </w:tcPr>
          <w:p w14:paraId="0F1D6C3D"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p>
        </w:tc>
        <w:tc>
          <w:tcPr>
            <w:tcW w:w="582" w:type="pct"/>
            <w:tcBorders>
              <w:top w:val="nil"/>
              <w:left w:val="nil"/>
              <w:bottom w:val="nil"/>
              <w:right w:val="nil"/>
            </w:tcBorders>
            <w:shd w:val="clear" w:color="auto" w:fill="auto"/>
            <w:noWrap/>
            <w:vAlign w:val="bottom"/>
            <w:hideMark/>
          </w:tcPr>
          <w:p w14:paraId="76CE0792"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20" w:type="pct"/>
            <w:tcBorders>
              <w:top w:val="nil"/>
              <w:left w:val="nil"/>
              <w:bottom w:val="nil"/>
              <w:right w:val="nil"/>
            </w:tcBorders>
            <w:shd w:val="clear" w:color="auto" w:fill="auto"/>
            <w:noWrap/>
            <w:vAlign w:val="bottom"/>
            <w:hideMark/>
          </w:tcPr>
          <w:p w14:paraId="59055AB5"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76" w:type="pct"/>
            <w:tcBorders>
              <w:top w:val="nil"/>
              <w:left w:val="nil"/>
              <w:bottom w:val="nil"/>
              <w:right w:val="nil"/>
            </w:tcBorders>
            <w:shd w:val="clear" w:color="auto" w:fill="auto"/>
            <w:noWrap/>
            <w:vAlign w:val="bottom"/>
            <w:hideMark/>
          </w:tcPr>
          <w:p w14:paraId="3D75B688"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22" w:type="pct"/>
            <w:tcBorders>
              <w:top w:val="nil"/>
              <w:left w:val="nil"/>
              <w:bottom w:val="nil"/>
              <w:right w:val="nil"/>
            </w:tcBorders>
            <w:shd w:val="clear" w:color="auto" w:fill="auto"/>
            <w:noWrap/>
            <w:vAlign w:val="bottom"/>
            <w:hideMark/>
          </w:tcPr>
          <w:p w14:paraId="67E86502"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32" w:type="pct"/>
            <w:tcBorders>
              <w:top w:val="nil"/>
              <w:left w:val="nil"/>
              <w:bottom w:val="nil"/>
              <w:right w:val="nil"/>
            </w:tcBorders>
            <w:shd w:val="clear" w:color="auto" w:fill="auto"/>
            <w:noWrap/>
            <w:vAlign w:val="bottom"/>
            <w:hideMark/>
          </w:tcPr>
          <w:p w14:paraId="5977E341"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01" w:type="pct"/>
            <w:tcBorders>
              <w:top w:val="nil"/>
              <w:left w:val="nil"/>
              <w:bottom w:val="nil"/>
              <w:right w:val="nil"/>
            </w:tcBorders>
            <w:shd w:val="clear" w:color="auto" w:fill="auto"/>
            <w:noWrap/>
            <w:vAlign w:val="bottom"/>
            <w:hideMark/>
          </w:tcPr>
          <w:p w14:paraId="6756132C"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68" w:type="pct"/>
            <w:tcBorders>
              <w:top w:val="nil"/>
              <w:left w:val="nil"/>
              <w:bottom w:val="nil"/>
              <w:right w:val="nil"/>
            </w:tcBorders>
          </w:tcPr>
          <w:p w14:paraId="6C2A61AA"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r>
      <w:tr w:rsidR="0083161B" w:rsidRPr="00D23517" w14:paraId="52A6FD80" w14:textId="77777777" w:rsidTr="004F0457">
        <w:trPr>
          <w:trHeight w:val="144"/>
        </w:trPr>
        <w:tc>
          <w:tcPr>
            <w:tcW w:w="4332" w:type="pct"/>
            <w:gridSpan w:val="7"/>
            <w:tcBorders>
              <w:top w:val="nil"/>
              <w:left w:val="nil"/>
              <w:bottom w:val="nil"/>
              <w:right w:val="nil"/>
            </w:tcBorders>
            <w:shd w:val="clear" w:color="auto" w:fill="auto"/>
            <w:noWrap/>
            <w:vAlign w:val="bottom"/>
            <w:hideMark/>
          </w:tcPr>
          <w:p w14:paraId="3F89E0A4"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r w:rsidRPr="00D23517">
              <w:rPr>
                <w:rFonts w:ascii="Times New Roman" w:eastAsia="Times New Roman" w:hAnsi="Times New Roman" w:cs="Times New Roman"/>
                <w:b/>
                <w:i/>
                <w:color w:val="000000"/>
                <w:sz w:val="20"/>
                <w:szCs w:val="20"/>
                <w:u w:val="single"/>
              </w:rPr>
              <w:t>Panel B - TOTRISK</w:t>
            </w:r>
          </w:p>
        </w:tc>
        <w:tc>
          <w:tcPr>
            <w:tcW w:w="668" w:type="pct"/>
            <w:tcBorders>
              <w:top w:val="nil"/>
              <w:left w:val="nil"/>
              <w:bottom w:val="nil"/>
              <w:right w:val="nil"/>
            </w:tcBorders>
          </w:tcPr>
          <w:p w14:paraId="277BC7A6"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p>
        </w:tc>
      </w:tr>
      <w:tr w:rsidR="0083161B" w:rsidRPr="00D23517" w14:paraId="37921768" w14:textId="77777777" w:rsidTr="004F0457">
        <w:trPr>
          <w:trHeight w:val="144"/>
        </w:trPr>
        <w:tc>
          <w:tcPr>
            <w:tcW w:w="698" w:type="pct"/>
            <w:tcBorders>
              <w:top w:val="nil"/>
              <w:left w:val="nil"/>
              <w:bottom w:val="nil"/>
              <w:right w:val="nil"/>
            </w:tcBorders>
            <w:shd w:val="clear" w:color="auto" w:fill="auto"/>
            <w:noWrap/>
            <w:vAlign w:val="bottom"/>
            <w:hideMark/>
          </w:tcPr>
          <w:p w14:paraId="6B57FB4D"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 xml:space="preserve">XRD </w:t>
            </w:r>
            <w:r w:rsidRPr="00D23517">
              <w:rPr>
                <w:rFonts w:ascii="Times New Roman" w:eastAsia="Times New Roman" w:hAnsi="Times New Roman" w:cs="Times New Roman"/>
                <w:color w:val="000000"/>
                <w:sz w:val="20"/>
                <w:szCs w:val="20"/>
              </w:rPr>
              <w:t>= 0</w:t>
            </w:r>
          </w:p>
        </w:tc>
        <w:tc>
          <w:tcPr>
            <w:tcW w:w="582" w:type="pct"/>
            <w:tcBorders>
              <w:top w:val="nil"/>
              <w:left w:val="nil"/>
              <w:bottom w:val="nil"/>
              <w:right w:val="nil"/>
            </w:tcBorders>
            <w:shd w:val="clear" w:color="auto" w:fill="auto"/>
            <w:noWrap/>
            <w:vAlign w:val="bottom"/>
          </w:tcPr>
          <w:p w14:paraId="2950B714"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-0.013</w:t>
            </w:r>
          </w:p>
        </w:tc>
        <w:tc>
          <w:tcPr>
            <w:tcW w:w="620" w:type="pct"/>
            <w:tcBorders>
              <w:top w:val="nil"/>
              <w:left w:val="nil"/>
              <w:bottom w:val="nil"/>
              <w:right w:val="nil"/>
            </w:tcBorders>
            <w:shd w:val="clear" w:color="auto" w:fill="auto"/>
            <w:noWrap/>
            <w:vAlign w:val="bottom"/>
          </w:tcPr>
          <w:p w14:paraId="188C48B8"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-2.457**</w:t>
            </w:r>
          </w:p>
        </w:tc>
        <w:tc>
          <w:tcPr>
            <w:tcW w:w="576" w:type="pct"/>
            <w:tcBorders>
              <w:top w:val="nil"/>
              <w:left w:val="nil"/>
              <w:bottom w:val="nil"/>
              <w:right w:val="nil"/>
            </w:tcBorders>
            <w:shd w:val="clear" w:color="auto" w:fill="auto"/>
            <w:noWrap/>
            <w:vAlign w:val="bottom"/>
          </w:tcPr>
          <w:p w14:paraId="58CE7523"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-0.183</w:t>
            </w:r>
          </w:p>
        </w:tc>
        <w:tc>
          <w:tcPr>
            <w:tcW w:w="622" w:type="pct"/>
            <w:tcBorders>
              <w:top w:val="nil"/>
              <w:left w:val="nil"/>
              <w:bottom w:val="nil"/>
              <w:right w:val="nil"/>
            </w:tcBorders>
            <w:shd w:val="clear" w:color="auto" w:fill="auto"/>
            <w:noWrap/>
            <w:vAlign w:val="bottom"/>
          </w:tcPr>
          <w:p w14:paraId="0370A5B2"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-20.603***</w:t>
            </w:r>
          </w:p>
        </w:tc>
        <w:tc>
          <w:tcPr>
            <w:tcW w:w="632" w:type="pct"/>
            <w:tcBorders>
              <w:top w:val="nil"/>
              <w:left w:val="nil"/>
              <w:bottom w:val="nil"/>
              <w:right w:val="nil"/>
            </w:tcBorders>
            <w:shd w:val="clear" w:color="auto" w:fill="auto"/>
            <w:noWrap/>
            <w:vAlign w:val="bottom"/>
          </w:tcPr>
          <w:p w14:paraId="1391594F"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0.489</w:t>
            </w:r>
          </w:p>
        </w:tc>
        <w:tc>
          <w:tcPr>
            <w:tcW w:w="601" w:type="pct"/>
            <w:tcBorders>
              <w:top w:val="nil"/>
              <w:left w:val="nil"/>
              <w:bottom w:val="nil"/>
              <w:right w:val="nil"/>
            </w:tcBorders>
            <w:shd w:val="clear" w:color="auto" w:fill="auto"/>
            <w:noWrap/>
            <w:vAlign w:val="bottom"/>
          </w:tcPr>
          <w:p w14:paraId="4A1BF5A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34,358</w:t>
            </w:r>
          </w:p>
        </w:tc>
        <w:tc>
          <w:tcPr>
            <w:tcW w:w="668" w:type="pct"/>
            <w:tcBorders>
              <w:top w:val="nil"/>
              <w:left w:val="nil"/>
              <w:bottom w:val="nil"/>
              <w:right w:val="nil"/>
            </w:tcBorders>
          </w:tcPr>
          <w:p w14:paraId="2DABEC39"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7324A756" w14:textId="77777777" w:rsidTr="004F0457">
        <w:trPr>
          <w:trHeight w:val="144"/>
        </w:trPr>
        <w:tc>
          <w:tcPr>
            <w:tcW w:w="698" w:type="pct"/>
            <w:tcBorders>
              <w:top w:val="nil"/>
              <w:left w:val="nil"/>
              <w:bottom w:val="nil"/>
              <w:right w:val="nil"/>
            </w:tcBorders>
            <w:shd w:val="clear" w:color="auto" w:fill="auto"/>
            <w:noWrap/>
            <w:vAlign w:val="bottom"/>
            <w:hideMark/>
          </w:tcPr>
          <w:p w14:paraId="7A98BC4E"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 xml:space="preserve">XRD </w:t>
            </w:r>
            <w:r w:rsidRPr="00D23517">
              <w:rPr>
                <w:rFonts w:ascii="Times New Roman" w:eastAsia="Times New Roman" w:hAnsi="Times New Roman" w:cs="Times New Roman"/>
                <w:color w:val="000000"/>
                <w:sz w:val="20"/>
                <w:szCs w:val="20"/>
              </w:rPr>
              <w:t>&gt; 0</w:t>
            </w:r>
          </w:p>
        </w:tc>
        <w:tc>
          <w:tcPr>
            <w:tcW w:w="582" w:type="pct"/>
            <w:tcBorders>
              <w:top w:val="nil"/>
              <w:left w:val="nil"/>
              <w:bottom w:val="nil"/>
              <w:right w:val="nil"/>
            </w:tcBorders>
            <w:shd w:val="clear" w:color="auto" w:fill="auto"/>
            <w:noWrap/>
            <w:vAlign w:val="bottom"/>
          </w:tcPr>
          <w:p w14:paraId="507D0022"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-0.012</w:t>
            </w:r>
          </w:p>
        </w:tc>
        <w:tc>
          <w:tcPr>
            <w:tcW w:w="620" w:type="pct"/>
            <w:tcBorders>
              <w:top w:val="nil"/>
              <w:left w:val="nil"/>
              <w:bottom w:val="nil"/>
              <w:right w:val="nil"/>
            </w:tcBorders>
            <w:shd w:val="clear" w:color="auto" w:fill="auto"/>
            <w:noWrap/>
            <w:vAlign w:val="bottom"/>
          </w:tcPr>
          <w:p w14:paraId="667B05A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-2.354**</w:t>
            </w:r>
          </w:p>
        </w:tc>
        <w:tc>
          <w:tcPr>
            <w:tcW w:w="576" w:type="pct"/>
            <w:tcBorders>
              <w:top w:val="nil"/>
              <w:left w:val="nil"/>
              <w:bottom w:val="nil"/>
              <w:right w:val="nil"/>
            </w:tcBorders>
            <w:shd w:val="clear" w:color="auto" w:fill="auto"/>
            <w:noWrap/>
            <w:vAlign w:val="bottom"/>
          </w:tcPr>
          <w:p w14:paraId="189571D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-0.210</w:t>
            </w:r>
          </w:p>
        </w:tc>
        <w:tc>
          <w:tcPr>
            <w:tcW w:w="622" w:type="pct"/>
            <w:tcBorders>
              <w:top w:val="nil"/>
              <w:left w:val="nil"/>
              <w:bottom w:val="nil"/>
              <w:right w:val="nil"/>
            </w:tcBorders>
            <w:shd w:val="clear" w:color="auto" w:fill="auto"/>
            <w:noWrap/>
            <w:vAlign w:val="bottom"/>
          </w:tcPr>
          <w:p w14:paraId="383D6DE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-22.064***</w:t>
            </w:r>
          </w:p>
        </w:tc>
        <w:tc>
          <w:tcPr>
            <w:tcW w:w="632" w:type="pct"/>
            <w:tcBorders>
              <w:top w:val="nil"/>
              <w:left w:val="nil"/>
              <w:bottom w:val="nil"/>
              <w:right w:val="nil"/>
            </w:tcBorders>
            <w:shd w:val="clear" w:color="auto" w:fill="auto"/>
            <w:noWrap/>
            <w:vAlign w:val="bottom"/>
          </w:tcPr>
          <w:p w14:paraId="27AEB34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0.563</w:t>
            </w:r>
          </w:p>
        </w:tc>
        <w:tc>
          <w:tcPr>
            <w:tcW w:w="601" w:type="pct"/>
            <w:tcBorders>
              <w:top w:val="nil"/>
              <w:left w:val="nil"/>
              <w:bottom w:val="nil"/>
              <w:right w:val="nil"/>
            </w:tcBorders>
            <w:shd w:val="clear" w:color="auto" w:fill="auto"/>
            <w:noWrap/>
            <w:vAlign w:val="bottom"/>
          </w:tcPr>
          <w:p w14:paraId="74207BA3"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37,664</w:t>
            </w:r>
          </w:p>
        </w:tc>
        <w:tc>
          <w:tcPr>
            <w:tcW w:w="668" w:type="pct"/>
            <w:tcBorders>
              <w:top w:val="nil"/>
              <w:left w:val="nil"/>
              <w:bottom w:val="nil"/>
              <w:right w:val="nil"/>
            </w:tcBorders>
          </w:tcPr>
          <w:p w14:paraId="1D341C0C"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445AB97D" w14:textId="77777777" w:rsidTr="004F0457">
        <w:trPr>
          <w:trHeight w:val="144"/>
        </w:trPr>
        <w:tc>
          <w:tcPr>
            <w:tcW w:w="698" w:type="pct"/>
            <w:tcBorders>
              <w:top w:val="nil"/>
              <w:left w:val="nil"/>
              <w:bottom w:val="nil"/>
              <w:right w:val="nil"/>
            </w:tcBorders>
            <w:shd w:val="clear" w:color="auto" w:fill="auto"/>
            <w:noWrap/>
            <w:vAlign w:val="bottom"/>
            <w:hideMark/>
          </w:tcPr>
          <w:p w14:paraId="60348A2C"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p>
        </w:tc>
        <w:tc>
          <w:tcPr>
            <w:tcW w:w="582" w:type="pct"/>
            <w:tcBorders>
              <w:top w:val="nil"/>
              <w:left w:val="nil"/>
              <w:bottom w:val="nil"/>
              <w:right w:val="nil"/>
            </w:tcBorders>
            <w:shd w:val="clear" w:color="auto" w:fill="auto"/>
            <w:noWrap/>
            <w:vAlign w:val="bottom"/>
            <w:hideMark/>
          </w:tcPr>
          <w:p w14:paraId="5AA5A49B"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20" w:type="pct"/>
            <w:tcBorders>
              <w:top w:val="nil"/>
              <w:left w:val="nil"/>
              <w:bottom w:val="nil"/>
              <w:right w:val="nil"/>
            </w:tcBorders>
            <w:shd w:val="clear" w:color="auto" w:fill="auto"/>
            <w:noWrap/>
            <w:vAlign w:val="bottom"/>
            <w:hideMark/>
          </w:tcPr>
          <w:p w14:paraId="1FA8BA5C"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76" w:type="pct"/>
            <w:tcBorders>
              <w:top w:val="nil"/>
              <w:left w:val="nil"/>
              <w:bottom w:val="nil"/>
              <w:right w:val="nil"/>
            </w:tcBorders>
            <w:shd w:val="clear" w:color="auto" w:fill="auto"/>
            <w:noWrap/>
            <w:vAlign w:val="bottom"/>
            <w:hideMark/>
          </w:tcPr>
          <w:p w14:paraId="27020C0D"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22" w:type="pct"/>
            <w:tcBorders>
              <w:top w:val="nil"/>
              <w:left w:val="nil"/>
              <w:bottom w:val="nil"/>
              <w:right w:val="nil"/>
            </w:tcBorders>
            <w:shd w:val="clear" w:color="auto" w:fill="auto"/>
            <w:noWrap/>
            <w:vAlign w:val="bottom"/>
            <w:hideMark/>
          </w:tcPr>
          <w:p w14:paraId="14952425"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32" w:type="pct"/>
            <w:tcBorders>
              <w:top w:val="nil"/>
              <w:left w:val="nil"/>
              <w:bottom w:val="nil"/>
              <w:right w:val="nil"/>
            </w:tcBorders>
            <w:shd w:val="clear" w:color="auto" w:fill="auto"/>
            <w:noWrap/>
            <w:vAlign w:val="bottom"/>
            <w:hideMark/>
          </w:tcPr>
          <w:p w14:paraId="3898559E"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01" w:type="pct"/>
            <w:tcBorders>
              <w:top w:val="nil"/>
              <w:left w:val="nil"/>
              <w:bottom w:val="nil"/>
              <w:right w:val="nil"/>
            </w:tcBorders>
            <w:shd w:val="clear" w:color="auto" w:fill="auto"/>
            <w:noWrap/>
            <w:vAlign w:val="bottom"/>
            <w:hideMark/>
          </w:tcPr>
          <w:p w14:paraId="47194E63"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68" w:type="pct"/>
            <w:tcBorders>
              <w:top w:val="nil"/>
              <w:left w:val="nil"/>
              <w:bottom w:val="nil"/>
              <w:right w:val="nil"/>
            </w:tcBorders>
          </w:tcPr>
          <w:p w14:paraId="30E10A73"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r>
      <w:tr w:rsidR="0083161B" w:rsidRPr="00D23517" w14:paraId="1D1416C2" w14:textId="77777777" w:rsidTr="004F0457">
        <w:trPr>
          <w:trHeight w:val="144"/>
        </w:trPr>
        <w:tc>
          <w:tcPr>
            <w:tcW w:w="4332" w:type="pct"/>
            <w:gridSpan w:val="7"/>
            <w:tcBorders>
              <w:top w:val="nil"/>
              <w:left w:val="nil"/>
              <w:bottom w:val="nil"/>
              <w:right w:val="nil"/>
            </w:tcBorders>
            <w:shd w:val="clear" w:color="auto" w:fill="auto"/>
            <w:noWrap/>
            <w:vAlign w:val="bottom"/>
            <w:hideMark/>
          </w:tcPr>
          <w:p w14:paraId="678AD6D6"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r w:rsidRPr="00D23517">
              <w:rPr>
                <w:rFonts w:ascii="Times New Roman" w:eastAsia="Times New Roman" w:hAnsi="Times New Roman" w:cs="Times New Roman"/>
                <w:b/>
                <w:i/>
                <w:color w:val="000000"/>
                <w:sz w:val="20"/>
                <w:szCs w:val="20"/>
                <w:u w:val="single"/>
              </w:rPr>
              <w:t>Panel C - IDIORISK</w:t>
            </w:r>
          </w:p>
        </w:tc>
        <w:tc>
          <w:tcPr>
            <w:tcW w:w="668" w:type="pct"/>
            <w:tcBorders>
              <w:top w:val="nil"/>
              <w:left w:val="nil"/>
              <w:bottom w:val="nil"/>
              <w:right w:val="nil"/>
            </w:tcBorders>
          </w:tcPr>
          <w:p w14:paraId="5460B532"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p>
        </w:tc>
      </w:tr>
      <w:tr w:rsidR="0083161B" w:rsidRPr="00D23517" w14:paraId="28D02BE7" w14:textId="77777777" w:rsidTr="004F0457">
        <w:trPr>
          <w:trHeight w:val="144"/>
        </w:trPr>
        <w:tc>
          <w:tcPr>
            <w:tcW w:w="698" w:type="pct"/>
            <w:tcBorders>
              <w:top w:val="nil"/>
              <w:left w:val="nil"/>
              <w:bottom w:val="nil"/>
              <w:right w:val="nil"/>
            </w:tcBorders>
            <w:shd w:val="clear" w:color="auto" w:fill="auto"/>
            <w:noWrap/>
            <w:vAlign w:val="bottom"/>
            <w:hideMark/>
          </w:tcPr>
          <w:p w14:paraId="26B9D0E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 xml:space="preserve">XRD </w:t>
            </w:r>
            <w:r w:rsidRPr="00D23517">
              <w:rPr>
                <w:rFonts w:ascii="Times New Roman" w:eastAsia="Times New Roman" w:hAnsi="Times New Roman" w:cs="Times New Roman"/>
                <w:color w:val="000000"/>
                <w:sz w:val="20"/>
                <w:szCs w:val="20"/>
              </w:rPr>
              <w:t>= 0</w:t>
            </w:r>
          </w:p>
        </w:tc>
        <w:tc>
          <w:tcPr>
            <w:tcW w:w="582" w:type="pct"/>
            <w:tcBorders>
              <w:top w:val="nil"/>
              <w:left w:val="nil"/>
              <w:bottom w:val="nil"/>
              <w:right w:val="nil"/>
            </w:tcBorders>
            <w:shd w:val="clear" w:color="auto" w:fill="auto"/>
            <w:noWrap/>
            <w:vAlign w:val="bottom"/>
          </w:tcPr>
          <w:p w14:paraId="419082F0"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-0.014</w:t>
            </w:r>
          </w:p>
        </w:tc>
        <w:tc>
          <w:tcPr>
            <w:tcW w:w="620" w:type="pct"/>
            <w:tcBorders>
              <w:top w:val="nil"/>
              <w:left w:val="nil"/>
              <w:bottom w:val="nil"/>
              <w:right w:val="nil"/>
            </w:tcBorders>
            <w:shd w:val="clear" w:color="auto" w:fill="auto"/>
            <w:noWrap/>
            <w:vAlign w:val="bottom"/>
          </w:tcPr>
          <w:p w14:paraId="5FFC1A89"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-2.470**</w:t>
            </w:r>
          </w:p>
        </w:tc>
        <w:tc>
          <w:tcPr>
            <w:tcW w:w="576" w:type="pct"/>
            <w:tcBorders>
              <w:top w:val="nil"/>
              <w:left w:val="nil"/>
              <w:bottom w:val="nil"/>
              <w:right w:val="nil"/>
            </w:tcBorders>
            <w:shd w:val="clear" w:color="auto" w:fill="auto"/>
            <w:noWrap/>
            <w:vAlign w:val="bottom"/>
          </w:tcPr>
          <w:p w14:paraId="6592E27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-0.192</w:t>
            </w:r>
          </w:p>
        </w:tc>
        <w:tc>
          <w:tcPr>
            <w:tcW w:w="622" w:type="pct"/>
            <w:tcBorders>
              <w:top w:val="nil"/>
              <w:left w:val="nil"/>
              <w:bottom w:val="nil"/>
              <w:right w:val="nil"/>
            </w:tcBorders>
            <w:shd w:val="clear" w:color="auto" w:fill="auto"/>
            <w:noWrap/>
            <w:vAlign w:val="bottom"/>
          </w:tcPr>
          <w:p w14:paraId="4F05FFBD"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-21.425***</w:t>
            </w:r>
          </w:p>
        </w:tc>
        <w:tc>
          <w:tcPr>
            <w:tcW w:w="632" w:type="pct"/>
            <w:tcBorders>
              <w:top w:val="nil"/>
              <w:left w:val="nil"/>
              <w:bottom w:val="nil"/>
              <w:right w:val="nil"/>
            </w:tcBorders>
            <w:shd w:val="clear" w:color="auto" w:fill="auto"/>
            <w:noWrap/>
            <w:vAlign w:val="bottom"/>
          </w:tcPr>
          <w:p w14:paraId="3430C4B6"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0.462</w:t>
            </w:r>
          </w:p>
        </w:tc>
        <w:tc>
          <w:tcPr>
            <w:tcW w:w="601" w:type="pct"/>
            <w:tcBorders>
              <w:top w:val="nil"/>
              <w:left w:val="nil"/>
              <w:bottom w:val="nil"/>
              <w:right w:val="nil"/>
            </w:tcBorders>
            <w:shd w:val="clear" w:color="auto" w:fill="auto"/>
            <w:noWrap/>
            <w:vAlign w:val="bottom"/>
          </w:tcPr>
          <w:p w14:paraId="4DF745C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34,358</w:t>
            </w:r>
          </w:p>
        </w:tc>
        <w:tc>
          <w:tcPr>
            <w:tcW w:w="668" w:type="pct"/>
            <w:tcBorders>
              <w:top w:val="nil"/>
              <w:left w:val="nil"/>
              <w:bottom w:val="nil"/>
              <w:right w:val="nil"/>
            </w:tcBorders>
          </w:tcPr>
          <w:p w14:paraId="223D681F"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18FB8BCD" w14:textId="77777777" w:rsidTr="004F0457">
        <w:trPr>
          <w:trHeight w:val="144"/>
        </w:trPr>
        <w:tc>
          <w:tcPr>
            <w:tcW w:w="698" w:type="pct"/>
            <w:tcBorders>
              <w:top w:val="nil"/>
              <w:left w:val="nil"/>
              <w:bottom w:val="nil"/>
              <w:right w:val="nil"/>
            </w:tcBorders>
            <w:shd w:val="clear" w:color="auto" w:fill="auto"/>
            <w:noWrap/>
            <w:vAlign w:val="bottom"/>
            <w:hideMark/>
          </w:tcPr>
          <w:p w14:paraId="55311110"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 xml:space="preserve">XRD </w:t>
            </w:r>
            <w:r w:rsidRPr="00D23517">
              <w:rPr>
                <w:rFonts w:ascii="Times New Roman" w:eastAsia="Times New Roman" w:hAnsi="Times New Roman" w:cs="Times New Roman"/>
                <w:color w:val="000000"/>
                <w:sz w:val="20"/>
                <w:szCs w:val="20"/>
              </w:rPr>
              <w:t>&gt; 0</w:t>
            </w:r>
          </w:p>
        </w:tc>
        <w:tc>
          <w:tcPr>
            <w:tcW w:w="582" w:type="pct"/>
            <w:tcBorders>
              <w:top w:val="nil"/>
              <w:left w:val="nil"/>
              <w:bottom w:val="nil"/>
              <w:right w:val="nil"/>
            </w:tcBorders>
            <w:shd w:val="clear" w:color="auto" w:fill="auto"/>
            <w:noWrap/>
            <w:vAlign w:val="bottom"/>
          </w:tcPr>
          <w:p w14:paraId="56686BF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-0.009</w:t>
            </w:r>
          </w:p>
        </w:tc>
        <w:tc>
          <w:tcPr>
            <w:tcW w:w="620" w:type="pct"/>
            <w:tcBorders>
              <w:top w:val="nil"/>
              <w:left w:val="nil"/>
              <w:bottom w:val="nil"/>
              <w:right w:val="nil"/>
            </w:tcBorders>
            <w:shd w:val="clear" w:color="auto" w:fill="auto"/>
            <w:noWrap/>
            <w:vAlign w:val="bottom"/>
          </w:tcPr>
          <w:p w14:paraId="7F033580"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 xml:space="preserve">-2.228** </w:t>
            </w:r>
          </w:p>
        </w:tc>
        <w:tc>
          <w:tcPr>
            <w:tcW w:w="576" w:type="pct"/>
            <w:tcBorders>
              <w:top w:val="nil"/>
              <w:left w:val="nil"/>
              <w:bottom w:val="nil"/>
              <w:right w:val="nil"/>
            </w:tcBorders>
            <w:shd w:val="clear" w:color="auto" w:fill="auto"/>
            <w:noWrap/>
            <w:vAlign w:val="bottom"/>
          </w:tcPr>
          <w:p w14:paraId="39286DF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-0.215</w:t>
            </w:r>
          </w:p>
        </w:tc>
        <w:tc>
          <w:tcPr>
            <w:tcW w:w="622" w:type="pct"/>
            <w:tcBorders>
              <w:top w:val="nil"/>
              <w:left w:val="nil"/>
              <w:bottom w:val="nil"/>
              <w:right w:val="nil"/>
            </w:tcBorders>
            <w:shd w:val="clear" w:color="auto" w:fill="auto"/>
            <w:noWrap/>
            <w:vAlign w:val="bottom"/>
          </w:tcPr>
          <w:p w14:paraId="5F100109"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-22.335***</w:t>
            </w:r>
          </w:p>
        </w:tc>
        <w:tc>
          <w:tcPr>
            <w:tcW w:w="632" w:type="pct"/>
            <w:tcBorders>
              <w:top w:val="nil"/>
              <w:left w:val="nil"/>
              <w:bottom w:val="nil"/>
              <w:right w:val="nil"/>
            </w:tcBorders>
            <w:shd w:val="clear" w:color="auto" w:fill="auto"/>
            <w:noWrap/>
            <w:vAlign w:val="bottom"/>
          </w:tcPr>
          <w:p w14:paraId="0404A1B8"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0.535</w:t>
            </w:r>
          </w:p>
        </w:tc>
        <w:tc>
          <w:tcPr>
            <w:tcW w:w="601" w:type="pct"/>
            <w:tcBorders>
              <w:top w:val="nil"/>
              <w:left w:val="nil"/>
              <w:bottom w:val="nil"/>
              <w:right w:val="nil"/>
            </w:tcBorders>
            <w:shd w:val="clear" w:color="auto" w:fill="auto"/>
            <w:noWrap/>
            <w:vAlign w:val="bottom"/>
          </w:tcPr>
          <w:p w14:paraId="40BCD574"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37,664</w:t>
            </w:r>
          </w:p>
        </w:tc>
        <w:tc>
          <w:tcPr>
            <w:tcW w:w="668" w:type="pct"/>
            <w:tcBorders>
              <w:top w:val="nil"/>
              <w:left w:val="nil"/>
              <w:bottom w:val="nil"/>
              <w:right w:val="nil"/>
            </w:tcBorders>
          </w:tcPr>
          <w:p w14:paraId="2755932A"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5C253A59" w14:textId="77777777" w:rsidTr="004F0457">
        <w:trPr>
          <w:trHeight w:val="144"/>
        </w:trPr>
        <w:tc>
          <w:tcPr>
            <w:tcW w:w="698" w:type="pct"/>
            <w:tcBorders>
              <w:top w:val="nil"/>
              <w:left w:val="nil"/>
              <w:bottom w:val="nil"/>
              <w:right w:val="nil"/>
            </w:tcBorders>
            <w:shd w:val="clear" w:color="auto" w:fill="auto"/>
            <w:noWrap/>
            <w:vAlign w:val="bottom"/>
            <w:hideMark/>
          </w:tcPr>
          <w:p w14:paraId="052EED46"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p>
        </w:tc>
        <w:tc>
          <w:tcPr>
            <w:tcW w:w="582" w:type="pct"/>
            <w:tcBorders>
              <w:top w:val="nil"/>
              <w:left w:val="nil"/>
              <w:bottom w:val="nil"/>
              <w:right w:val="nil"/>
            </w:tcBorders>
            <w:shd w:val="clear" w:color="auto" w:fill="auto"/>
            <w:noWrap/>
            <w:vAlign w:val="bottom"/>
            <w:hideMark/>
          </w:tcPr>
          <w:p w14:paraId="745159F0"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20" w:type="pct"/>
            <w:tcBorders>
              <w:top w:val="nil"/>
              <w:left w:val="nil"/>
              <w:bottom w:val="nil"/>
              <w:right w:val="nil"/>
            </w:tcBorders>
            <w:shd w:val="clear" w:color="auto" w:fill="auto"/>
            <w:noWrap/>
            <w:vAlign w:val="bottom"/>
            <w:hideMark/>
          </w:tcPr>
          <w:p w14:paraId="6FF43F46"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76" w:type="pct"/>
            <w:tcBorders>
              <w:top w:val="nil"/>
              <w:left w:val="nil"/>
              <w:bottom w:val="nil"/>
              <w:right w:val="nil"/>
            </w:tcBorders>
            <w:shd w:val="clear" w:color="auto" w:fill="auto"/>
            <w:noWrap/>
            <w:vAlign w:val="bottom"/>
            <w:hideMark/>
          </w:tcPr>
          <w:p w14:paraId="082C60A3"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22" w:type="pct"/>
            <w:tcBorders>
              <w:top w:val="nil"/>
              <w:left w:val="nil"/>
              <w:bottom w:val="nil"/>
              <w:right w:val="nil"/>
            </w:tcBorders>
            <w:shd w:val="clear" w:color="auto" w:fill="auto"/>
            <w:noWrap/>
            <w:vAlign w:val="bottom"/>
            <w:hideMark/>
          </w:tcPr>
          <w:p w14:paraId="2983F89A"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32" w:type="pct"/>
            <w:tcBorders>
              <w:top w:val="nil"/>
              <w:left w:val="nil"/>
              <w:bottom w:val="nil"/>
              <w:right w:val="nil"/>
            </w:tcBorders>
            <w:shd w:val="clear" w:color="auto" w:fill="auto"/>
            <w:noWrap/>
            <w:vAlign w:val="bottom"/>
            <w:hideMark/>
          </w:tcPr>
          <w:p w14:paraId="46E4E5F1"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01" w:type="pct"/>
            <w:tcBorders>
              <w:top w:val="nil"/>
              <w:left w:val="nil"/>
              <w:bottom w:val="nil"/>
              <w:right w:val="nil"/>
            </w:tcBorders>
            <w:shd w:val="clear" w:color="auto" w:fill="auto"/>
            <w:noWrap/>
            <w:vAlign w:val="bottom"/>
            <w:hideMark/>
          </w:tcPr>
          <w:p w14:paraId="565618A7"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68" w:type="pct"/>
            <w:tcBorders>
              <w:top w:val="nil"/>
              <w:left w:val="nil"/>
              <w:bottom w:val="nil"/>
              <w:right w:val="nil"/>
            </w:tcBorders>
          </w:tcPr>
          <w:p w14:paraId="3FFCB129"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r>
      <w:tr w:rsidR="0083161B" w:rsidRPr="00D23517" w14:paraId="04DDE73C" w14:textId="77777777" w:rsidTr="004F0457">
        <w:trPr>
          <w:trHeight w:val="144"/>
        </w:trPr>
        <w:tc>
          <w:tcPr>
            <w:tcW w:w="4332" w:type="pct"/>
            <w:gridSpan w:val="7"/>
            <w:tcBorders>
              <w:top w:val="nil"/>
              <w:left w:val="nil"/>
              <w:bottom w:val="nil"/>
              <w:right w:val="nil"/>
            </w:tcBorders>
            <w:shd w:val="clear" w:color="auto" w:fill="auto"/>
            <w:noWrap/>
            <w:vAlign w:val="bottom"/>
            <w:hideMark/>
          </w:tcPr>
          <w:p w14:paraId="1B3C5AFA"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r w:rsidRPr="00D23517">
              <w:rPr>
                <w:rFonts w:ascii="Times New Roman" w:eastAsia="Times New Roman" w:hAnsi="Times New Roman" w:cs="Times New Roman"/>
                <w:b/>
                <w:i/>
                <w:color w:val="000000"/>
                <w:sz w:val="20"/>
                <w:szCs w:val="20"/>
                <w:u w:val="single"/>
              </w:rPr>
              <w:t>Panel D - NCSKEW</w:t>
            </w:r>
          </w:p>
        </w:tc>
        <w:tc>
          <w:tcPr>
            <w:tcW w:w="668" w:type="pct"/>
            <w:tcBorders>
              <w:top w:val="nil"/>
              <w:left w:val="nil"/>
              <w:bottom w:val="nil"/>
              <w:right w:val="nil"/>
            </w:tcBorders>
          </w:tcPr>
          <w:p w14:paraId="757AD8D9"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p>
        </w:tc>
      </w:tr>
      <w:tr w:rsidR="0083161B" w:rsidRPr="00D23517" w14:paraId="4109CBBA" w14:textId="77777777" w:rsidTr="004F0457">
        <w:trPr>
          <w:trHeight w:val="144"/>
        </w:trPr>
        <w:tc>
          <w:tcPr>
            <w:tcW w:w="698" w:type="pct"/>
            <w:tcBorders>
              <w:top w:val="nil"/>
              <w:left w:val="nil"/>
              <w:right w:val="nil"/>
            </w:tcBorders>
            <w:shd w:val="clear" w:color="auto" w:fill="auto"/>
            <w:noWrap/>
            <w:vAlign w:val="bottom"/>
          </w:tcPr>
          <w:p w14:paraId="4FFC9993"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 xml:space="preserve">XRD </w:t>
            </w:r>
            <w:r w:rsidRPr="00D23517">
              <w:rPr>
                <w:rFonts w:ascii="Times New Roman" w:eastAsia="Times New Roman" w:hAnsi="Times New Roman" w:cs="Times New Roman"/>
                <w:color w:val="000000"/>
                <w:sz w:val="20"/>
                <w:szCs w:val="20"/>
              </w:rPr>
              <w:t>= 0</w:t>
            </w:r>
          </w:p>
        </w:tc>
        <w:tc>
          <w:tcPr>
            <w:tcW w:w="582" w:type="pct"/>
            <w:tcBorders>
              <w:top w:val="nil"/>
              <w:left w:val="nil"/>
              <w:right w:val="nil"/>
            </w:tcBorders>
            <w:shd w:val="clear" w:color="auto" w:fill="auto"/>
            <w:noWrap/>
            <w:vAlign w:val="bottom"/>
          </w:tcPr>
          <w:p w14:paraId="289C7FC2"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-0.019</w:t>
            </w:r>
          </w:p>
        </w:tc>
        <w:tc>
          <w:tcPr>
            <w:tcW w:w="620" w:type="pct"/>
            <w:tcBorders>
              <w:top w:val="nil"/>
              <w:left w:val="nil"/>
              <w:right w:val="nil"/>
            </w:tcBorders>
            <w:shd w:val="clear" w:color="auto" w:fill="auto"/>
            <w:noWrap/>
            <w:vAlign w:val="bottom"/>
          </w:tcPr>
          <w:p w14:paraId="16DE09C6"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-2.436**</w:t>
            </w:r>
          </w:p>
        </w:tc>
        <w:tc>
          <w:tcPr>
            <w:tcW w:w="576" w:type="pct"/>
            <w:tcBorders>
              <w:top w:val="nil"/>
              <w:left w:val="nil"/>
              <w:right w:val="nil"/>
            </w:tcBorders>
            <w:shd w:val="clear" w:color="auto" w:fill="auto"/>
            <w:noWrap/>
            <w:vAlign w:val="bottom"/>
          </w:tcPr>
          <w:p w14:paraId="5F29B1A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-0.078</w:t>
            </w:r>
          </w:p>
        </w:tc>
        <w:tc>
          <w:tcPr>
            <w:tcW w:w="622" w:type="pct"/>
            <w:tcBorders>
              <w:top w:val="nil"/>
              <w:left w:val="nil"/>
              <w:right w:val="nil"/>
            </w:tcBorders>
            <w:shd w:val="clear" w:color="auto" w:fill="auto"/>
            <w:noWrap/>
            <w:vAlign w:val="bottom"/>
          </w:tcPr>
          <w:p w14:paraId="5D91C490"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-7.482***</w:t>
            </w:r>
          </w:p>
        </w:tc>
        <w:tc>
          <w:tcPr>
            <w:tcW w:w="632" w:type="pct"/>
            <w:tcBorders>
              <w:top w:val="nil"/>
              <w:left w:val="nil"/>
              <w:right w:val="nil"/>
            </w:tcBorders>
            <w:shd w:val="clear" w:color="auto" w:fill="auto"/>
            <w:noWrap/>
            <w:vAlign w:val="bottom"/>
          </w:tcPr>
          <w:p w14:paraId="3C2EA12E"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0.0439</w:t>
            </w:r>
          </w:p>
        </w:tc>
        <w:tc>
          <w:tcPr>
            <w:tcW w:w="601" w:type="pct"/>
            <w:tcBorders>
              <w:top w:val="nil"/>
              <w:left w:val="nil"/>
              <w:right w:val="nil"/>
            </w:tcBorders>
            <w:shd w:val="clear" w:color="auto" w:fill="auto"/>
            <w:noWrap/>
            <w:vAlign w:val="bottom"/>
          </w:tcPr>
          <w:p w14:paraId="63EA2585"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29,858</w:t>
            </w:r>
          </w:p>
        </w:tc>
        <w:tc>
          <w:tcPr>
            <w:tcW w:w="668" w:type="pct"/>
            <w:tcBorders>
              <w:top w:val="nil"/>
              <w:left w:val="nil"/>
              <w:right w:val="nil"/>
            </w:tcBorders>
          </w:tcPr>
          <w:p w14:paraId="28AE47EB"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132160DB" w14:textId="77777777" w:rsidTr="004F0457">
        <w:trPr>
          <w:trHeight w:val="144"/>
        </w:trPr>
        <w:tc>
          <w:tcPr>
            <w:tcW w:w="698" w:type="pct"/>
            <w:tcBorders>
              <w:top w:val="nil"/>
              <w:left w:val="nil"/>
              <w:bottom w:val="single" w:sz="4" w:space="0" w:color="auto"/>
              <w:right w:val="nil"/>
            </w:tcBorders>
            <w:shd w:val="clear" w:color="auto" w:fill="auto"/>
            <w:noWrap/>
            <w:vAlign w:val="bottom"/>
          </w:tcPr>
          <w:p w14:paraId="2FD971BE"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 xml:space="preserve">XRD </w:t>
            </w:r>
            <w:r w:rsidRPr="00D23517">
              <w:rPr>
                <w:rFonts w:ascii="Times New Roman" w:eastAsia="Times New Roman" w:hAnsi="Times New Roman" w:cs="Times New Roman"/>
                <w:color w:val="000000"/>
                <w:sz w:val="20"/>
                <w:szCs w:val="20"/>
              </w:rPr>
              <w:t>&gt; 0</w:t>
            </w:r>
          </w:p>
        </w:tc>
        <w:tc>
          <w:tcPr>
            <w:tcW w:w="582" w:type="pct"/>
            <w:tcBorders>
              <w:top w:val="nil"/>
              <w:left w:val="nil"/>
              <w:bottom w:val="single" w:sz="4" w:space="0" w:color="auto"/>
              <w:right w:val="nil"/>
            </w:tcBorders>
            <w:shd w:val="clear" w:color="auto" w:fill="auto"/>
            <w:noWrap/>
            <w:vAlign w:val="bottom"/>
          </w:tcPr>
          <w:p w14:paraId="43ED5154"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-0.015</w:t>
            </w:r>
          </w:p>
        </w:tc>
        <w:tc>
          <w:tcPr>
            <w:tcW w:w="620" w:type="pct"/>
            <w:tcBorders>
              <w:top w:val="nil"/>
              <w:left w:val="nil"/>
              <w:bottom w:val="single" w:sz="4" w:space="0" w:color="auto"/>
              <w:right w:val="nil"/>
            </w:tcBorders>
            <w:shd w:val="clear" w:color="auto" w:fill="auto"/>
            <w:noWrap/>
            <w:vAlign w:val="bottom"/>
          </w:tcPr>
          <w:p w14:paraId="0255CC0D"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-2.227**</w:t>
            </w:r>
          </w:p>
        </w:tc>
        <w:tc>
          <w:tcPr>
            <w:tcW w:w="576" w:type="pct"/>
            <w:tcBorders>
              <w:top w:val="nil"/>
              <w:left w:val="nil"/>
              <w:bottom w:val="single" w:sz="4" w:space="0" w:color="auto"/>
              <w:right w:val="nil"/>
            </w:tcBorders>
            <w:shd w:val="clear" w:color="auto" w:fill="auto"/>
            <w:noWrap/>
            <w:vAlign w:val="bottom"/>
          </w:tcPr>
          <w:p w14:paraId="3081BB9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-0.074</w:t>
            </w:r>
          </w:p>
        </w:tc>
        <w:tc>
          <w:tcPr>
            <w:tcW w:w="622" w:type="pct"/>
            <w:tcBorders>
              <w:top w:val="nil"/>
              <w:left w:val="nil"/>
              <w:bottom w:val="single" w:sz="4" w:space="0" w:color="auto"/>
              <w:right w:val="nil"/>
            </w:tcBorders>
            <w:shd w:val="clear" w:color="auto" w:fill="auto"/>
            <w:noWrap/>
            <w:vAlign w:val="bottom"/>
          </w:tcPr>
          <w:p w14:paraId="7C06FB94"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-6.038***</w:t>
            </w:r>
          </w:p>
        </w:tc>
        <w:tc>
          <w:tcPr>
            <w:tcW w:w="632" w:type="pct"/>
            <w:tcBorders>
              <w:top w:val="nil"/>
              <w:left w:val="nil"/>
              <w:bottom w:val="single" w:sz="4" w:space="0" w:color="auto"/>
              <w:right w:val="nil"/>
            </w:tcBorders>
            <w:shd w:val="clear" w:color="auto" w:fill="auto"/>
            <w:noWrap/>
            <w:vAlign w:val="bottom"/>
          </w:tcPr>
          <w:p w14:paraId="32EE5E8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0.0413</w:t>
            </w:r>
          </w:p>
        </w:tc>
        <w:tc>
          <w:tcPr>
            <w:tcW w:w="601" w:type="pct"/>
            <w:tcBorders>
              <w:top w:val="nil"/>
              <w:left w:val="nil"/>
              <w:bottom w:val="single" w:sz="4" w:space="0" w:color="auto"/>
              <w:right w:val="nil"/>
            </w:tcBorders>
            <w:shd w:val="clear" w:color="auto" w:fill="auto"/>
            <w:noWrap/>
            <w:vAlign w:val="bottom"/>
          </w:tcPr>
          <w:p w14:paraId="7DADC50C"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35,235</w:t>
            </w:r>
          </w:p>
        </w:tc>
        <w:tc>
          <w:tcPr>
            <w:tcW w:w="668" w:type="pct"/>
            <w:tcBorders>
              <w:top w:val="nil"/>
              <w:left w:val="nil"/>
              <w:bottom w:val="single" w:sz="4" w:space="0" w:color="auto"/>
              <w:right w:val="nil"/>
            </w:tcBorders>
          </w:tcPr>
          <w:p w14:paraId="0E6D534D"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bl>
    <w:p w14:paraId="38E49242" w14:textId="2741316A" w:rsidR="004F0457" w:rsidRPr="005F4D86" w:rsidRDefault="009B6F98" w:rsidP="004F0457">
      <w:pPr>
        <w:spacing w:after="0" w:line="240" w:lineRule="auto"/>
        <w:jc w:val="both"/>
        <w:rPr>
          <w:rFonts w:ascii="Times New Roman" w:hAnsi="Times New Roman" w:cs="Times New Roman"/>
          <w:sz w:val="20"/>
          <w:szCs w:val="20"/>
        </w:rPr>
      </w:pPr>
      <w:r w:rsidRPr="005F4D86">
        <w:rPr>
          <w:rFonts w:ascii="Times New Roman" w:hAnsi="Times New Roman" w:cs="Times New Roman"/>
          <w:sz w:val="20"/>
          <w:szCs w:val="20"/>
        </w:rPr>
        <w:t>Note</w:t>
      </w:r>
      <w:r w:rsidR="00982C8F" w:rsidRPr="005F4D86">
        <w:rPr>
          <w:rFonts w:ascii="Times New Roman" w:hAnsi="Times New Roman" w:cs="Times New Roman"/>
          <w:sz w:val="20"/>
          <w:szCs w:val="20"/>
        </w:rPr>
        <w:t xml:space="preserve">: </w:t>
      </w:r>
      <w:r w:rsidR="004F0457" w:rsidRPr="005F4D86">
        <w:rPr>
          <w:rFonts w:ascii="Times New Roman" w:hAnsi="Times New Roman" w:cs="Times New Roman"/>
          <w:sz w:val="20"/>
          <w:szCs w:val="20"/>
        </w:rPr>
        <w:t>This table reports the results from the panel data firm-fixed effect regressions for the subsamples based upon growth uncertainty. R&amp;D expenditures (</w:t>
      </w:r>
      <w:r w:rsidR="004F0457" w:rsidRPr="005F4D86">
        <w:rPr>
          <w:rFonts w:ascii="Times New Roman" w:eastAsia="Times New Roman" w:hAnsi="Times New Roman" w:cs="Times New Roman"/>
          <w:i/>
          <w:color w:val="000000"/>
          <w:sz w:val="20"/>
          <w:szCs w:val="20"/>
        </w:rPr>
        <w:t>XRD)</w:t>
      </w:r>
      <w:r w:rsidR="004F0457" w:rsidRPr="005F4D86">
        <w:rPr>
          <w:rFonts w:ascii="Times New Roman" w:hAnsi="Times New Roman" w:cs="Times New Roman"/>
          <w:sz w:val="20"/>
          <w:szCs w:val="20"/>
        </w:rPr>
        <w:t xml:space="preserve"> are used as a proxy for growth uncertainty. The regressions are estimated for the subsamples of firms with and firms without R&amp;D</w:t>
      </w:r>
      <w:r w:rsidR="000B1D20">
        <w:rPr>
          <w:rFonts w:ascii="Times New Roman" w:hAnsi="Times New Roman" w:cs="Times New Roman"/>
          <w:sz w:val="20"/>
          <w:szCs w:val="20"/>
        </w:rPr>
        <w:t xml:space="preserve"> </w:t>
      </w:r>
      <w:r w:rsidR="000B1D20" w:rsidRPr="005F4D86">
        <w:rPr>
          <w:rFonts w:ascii="Times New Roman" w:hAnsi="Times New Roman" w:cs="Times New Roman"/>
          <w:sz w:val="20"/>
          <w:szCs w:val="20"/>
        </w:rPr>
        <w:t>expenditures</w:t>
      </w:r>
      <w:r w:rsidR="004F0457" w:rsidRPr="005F4D86">
        <w:rPr>
          <w:rFonts w:ascii="Times New Roman" w:hAnsi="Times New Roman" w:cs="Times New Roman"/>
          <w:sz w:val="20"/>
          <w:szCs w:val="20"/>
        </w:rPr>
        <w:t>. The dependent variables are ROA volatility (in Panel A), the two measures of stock price volatility (</w:t>
      </w:r>
      <w:r w:rsidR="004F0457" w:rsidRPr="005F4D86">
        <w:rPr>
          <w:rFonts w:ascii="Times New Roman" w:hAnsi="Times New Roman" w:cs="Times New Roman"/>
          <w:i/>
          <w:sz w:val="20"/>
          <w:szCs w:val="20"/>
        </w:rPr>
        <w:t>TOTRISK</w:t>
      </w:r>
      <w:r w:rsidR="004F0457" w:rsidRPr="005F4D86">
        <w:rPr>
          <w:rFonts w:ascii="Times New Roman" w:hAnsi="Times New Roman" w:cs="Times New Roman"/>
          <w:sz w:val="20"/>
          <w:szCs w:val="20"/>
        </w:rPr>
        <w:t xml:space="preserve"> in Panel B and </w:t>
      </w:r>
      <w:r w:rsidR="004F0457" w:rsidRPr="005F4D86">
        <w:rPr>
          <w:rFonts w:ascii="Times New Roman" w:hAnsi="Times New Roman" w:cs="Times New Roman"/>
          <w:i/>
          <w:sz w:val="20"/>
          <w:szCs w:val="20"/>
        </w:rPr>
        <w:t>IDIORISK</w:t>
      </w:r>
      <w:r w:rsidR="004F0457" w:rsidRPr="005F4D86">
        <w:rPr>
          <w:rFonts w:ascii="Times New Roman" w:hAnsi="Times New Roman" w:cs="Times New Roman"/>
          <w:sz w:val="20"/>
          <w:szCs w:val="20"/>
        </w:rPr>
        <w:t xml:space="preserve"> in Panel C) and one measure of stock price crash risk (</w:t>
      </w:r>
      <w:r w:rsidR="004F0457" w:rsidRPr="005F4D86">
        <w:rPr>
          <w:rFonts w:ascii="Times New Roman" w:hAnsi="Times New Roman" w:cs="Times New Roman"/>
          <w:i/>
          <w:sz w:val="20"/>
          <w:szCs w:val="20"/>
        </w:rPr>
        <w:t>NCSKEW</w:t>
      </w:r>
      <w:r w:rsidR="004F0457" w:rsidRPr="005F4D86">
        <w:rPr>
          <w:rFonts w:ascii="Times New Roman" w:hAnsi="Times New Roman" w:cs="Times New Roman"/>
          <w:sz w:val="20"/>
          <w:szCs w:val="20"/>
        </w:rPr>
        <w:t xml:space="preserve"> in Panel D). ROA volatility (</w:t>
      </w:r>
      <w:r w:rsidR="004F0457" w:rsidRPr="005F4D86">
        <w:rPr>
          <w:rFonts w:ascii="Times New Roman" w:hAnsi="Times New Roman" w:cs="Times New Roman"/>
          <w:i/>
          <w:sz w:val="20"/>
          <w:szCs w:val="20"/>
        </w:rPr>
        <w:t>ROAVOL</w:t>
      </w:r>
      <w:r w:rsidR="004F0457" w:rsidRPr="005F4D86">
        <w:rPr>
          <w:rFonts w:ascii="Times New Roman" w:hAnsi="Times New Roman" w:cs="Times New Roman"/>
          <w:sz w:val="20"/>
          <w:szCs w:val="20"/>
        </w:rPr>
        <w:t>) is the standard deviation of return on assets over 5 years (from year -4 to the current fiscal year).</w:t>
      </w:r>
      <w:r w:rsidR="004F0457" w:rsidRPr="005F4D86">
        <w:rPr>
          <w:rFonts w:ascii="Times New Roman" w:hAnsi="Times New Roman" w:cs="Times New Roman"/>
          <w:i/>
          <w:sz w:val="20"/>
          <w:szCs w:val="20"/>
        </w:rPr>
        <w:t xml:space="preserve"> </w:t>
      </w:r>
      <w:r w:rsidR="00FC6F5C">
        <w:rPr>
          <w:rFonts w:ascii="Times New Roman" w:hAnsi="Times New Roman" w:cs="Times New Roman"/>
          <w:sz w:val="20"/>
          <w:szCs w:val="20"/>
        </w:rPr>
        <w:t>T</w:t>
      </w:r>
      <w:r w:rsidR="00FC6F5C" w:rsidRPr="005F4D86">
        <w:rPr>
          <w:rFonts w:ascii="Times New Roman" w:hAnsi="Times New Roman" w:cs="Times New Roman"/>
          <w:sz w:val="20"/>
          <w:szCs w:val="20"/>
        </w:rPr>
        <w:t>otal risk</w:t>
      </w:r>
      <w:r w:rsidR="00FC6F5C" w:rsidRPr="005F4D86">
        <w:rPr>
          <w:rFonts w:ascii="Times New Roman" w:hAnsi="Times New Roman" w:cs="Times New Roman"/>
          <w:i/>
          <w:sz w:val="20"/>
          <w:szCs w:val="20"/>
        </w:rPr>
        <w:t xml:space="preserve"> </w:t>
      </w:r>
      <w:r w:rsidR="00FC6F5C">
        <w:rPr>
          <w:rFonts w:ascii="Times New Roman" w:hAnsi="Times New Roman" w:cs="Times New Roman"/>
          <w:i/>
          <w:sz w:val="20"/>
          <w:szCs w:val="20"/>
        </w:rPr>
        <w:t>(</w:t>
      </w:r>
      <w:r w:rsidR="004F0457" w:rsidRPr="005F4D86">
        <w:rPr>
          <w:rFonts w:ascii="Times New Roman" w:hAnsi="Times New Roman" w:cs="Times New Roman"/>
          <w:i/>
          <w:sz w:val="20"/>
          <w:szCs w:val="20"/>
        </w:rPr>
        <w:t>TOTRISK</w:t>
      </w:r>
      <w:r w:rsidR="00FC6F5C">
        <w:rPr>
          <w:rFonts w:ascii="Times New Roman" w:hAnsi="Times New Roman" w:cs="Times New Roman"/>
          <w:sz w:val="20"/>
          <w:szCs w:val="20"/>
        </w:rPr>
        <w:t>)</w:t>
      </w:r>
      <w:r w:rsidR="004F0457" w:rsidRPr="005F4D86">
        <w:rPr>
          <w:rFonts w:ascii="Times New Roman" w:hAnsi="Times New Roman" w:cs="Times New Roman"/>
          <w:sz w:val="20"/>
          <w:szCs w:val="20"/>
        </w:rPr>
        <w:t xml:space="preserve"> is the annualized standard deviation of the daily stock returns in the year.</w:t>
      </w:r>
      <w:r w:rsidR="004F0457" w:rsidRPr="005F4D86">
        <w:rPr>
          <w:rFonts w:ascii="Times New Roman" w:hAnsi="Times New Roman" w:cs="Times New Roman"/>
          <w:i/>
          <w:sz w:val="20"/>
          <w:szCs w:val="20"/>
        </w:rPr>
        <w:t xml:space="preserve"> </w:t>
      </w:r>
      <w:r w:rsidR="00FC6F5C">
        <w:rPr>
          <w:rFonts w:ascii="Times New Roman" w:hAnsi="Times New Roman" w:cs="Times New Roman"/>
          <w:sz w:val="20"/>
          <w:szCs w:val="20"/>
        </w:rPr>
        <w:t>I</w:t>
      </w:r>
      <w:r w:rsidR="004F0457" w:rsidRPr="005F4D86">
        <w:rPr>
          <w:rFonts w:ascii="Times New Roman" w:hAnsi="Times New Roman" w:cs="Times New Roman"/>
          <w:sz w:val="20"/>
          <w:szCs w:val="20"/>
        </w:rPr>
        <w:t>diosyncratic risk</w:t>
      </w:r>
      <w:r w:rsidR="00FC6F5C">
        <w:rPr>
          <w:rFonts w:ascii="Times New Roman" w:hAnsi="Times New Roman" w:cs="Times New Roman"/>
          <w:sz w:val="20"/>
          <w:szCs w:val="20"/>
        </w:rPr>
        <w:t xml:space="preserve"> (</w:t>
      </w:r>
      <w:r w:rsidR="00FC6F5C" w:rsidRPr="005F4D86">
        <w:rPr>
          <w:rFonts w:ascii="Times New Roman" w:hAnsi="Times New Roman" w:cs="Times New Roman"/>
          <w:i/>
          <w:sz w:val="20"/>
          <w:szCs w:val="20"/>
        </w:rPr>
        <w:t>IDIORISK</w:t>
      </w:r>
      <w:r w:rsidR="00FC6F5C">
        <w:rPr>
          <w:rFonts w:ascii="Times New Roman" w:hAnsi="Times New Roman" w:cs="Times New Roman"/>
          <w:i/>
          <w:sz w:val="20"/>
          <w:szCs w:val="20"/>
        </w:rPr>
        <w:t>)</w:t>
      </w:r>
      <w:r w:rsidR="004F0457" w:rsidRPr="005F4D86">
        <w:rPr>
          <w:rFonts w:ascii="Times New Roman" w:hAnsi="Times New Roman" w:cs="Times New Roman"/>
          <w:sz w:val="20"/>
          <w:szCs w:val="20"/>
        </w:rPr>
        <w:t xml:space="preserve"> is the annualized standard deviation of the residuals from the </w:t>
      </w:r>
      <w:proofErr w:type="spellStart"/>
      <w:r w:rsidR="004F0457" w:rsidRPr="005F4D86">
        <w:rPr>
          <w:rFonts w:ascii="Times New Roman" w:hAnsi="Times New Roman" w:cs="Times New Roman"/>
          <w:sz w:val="20"/>
          <w:szCs w:val="20"/>
        </w:rPr>
        <w:t>Fama</w:t>
      </w:r>
      <w:proofErr w:type="spellEnd"/>
      <w:r w:rsidR="004F0457" w:rsidRPr="005F4D86">
        <w:rPr>
          <w:rFonts w:ascii="Times New Roman" w:hAnsi="Times New Roman" w:cs="Times New Roman"/>
          <w:sz w:val="20"/>
          <w:szCs w:val="20"/>
        </w:rPr>
        <w:t>-French 4-factor model using daily stock returns in the year.</w:t>
      </w:r>
      <w:r w:rsidR="004F0457" w:rsidRPr="005F4D86">
        <w:rPr>
          <w:rFonts w:ascii="Times New Roman" w:hAnsi="Times New Roman" w:cs="Times New Roman"/>
          <w:i/>
          <w:sz w:val="20"/>
          <w:szCs w:val="20"/>
        </w:rPr>
        <w:t xml:space="preserve"> NCSKEW</w:t>
      </w:r>
      <w:r w:rsidR="004F0457" w:rsidRPr="005F4D86">
        <w:rPr>
          <w:rFonts w:ascii="Times New Roman" w:hAnsi="Times New Roman" w:cs="Times New Roman"/>
          <w:sz w:val="20"/>
          <w:szCs w:val="20"/>
        </w:rPr>
        <w:t xml:space="preserve"> is the negative conditional skewness of firm-specific weekly return, calculated as the negative third central moment of firm-specific weekly returns divided by the cubed standard deviation of firm-specific weekly returns.</w:t>
      </w:r>
      <w:r w:rsidR="004F0457" w:rsidRPr="005F4D86">
        <w:rPr>
          <w:rFonts w:ascii="Times New Roman" w:eastAsiaTheme="minorEastAsia" w:hAnsi="Times New Roman" w:cs="Times New Roman"/>
          <w:sz w:val="20"/>
          <w:szCs w:val="20"/>
        </w:rPr>
        <w:t xml:space="preserve"> </w:t>
      </w:r>
      <w:r w:rsidR="004F0457" w:rsidRPr="005F4D86">
        <w:rPr>
          <w:rFonts w:ascii="Times New Roman" w:hAnsi="Times New Roman" w:cs="Times New Roman"/>
          <w:i/>
          <w:sz w:val="20"/>
          <w:szCs w:val="20"/>
        </w:rPr>
        <w:t>NONOPERINC</w:t>
      </w:r>
      <w:r w:rsidR="004F0457" w:rsidRPr="005F4D86">
        <w:rPr>
          <w:rFonts w:ascii="Times New Roman" w:hAnsi="Times New Roman" w:cs="Times New Roman"/>
          <w:sz w:val="20"/>
          <w:szCs w:val="20"/>
        </w:rPr>
        <w:t xml:space="preserve"> is the ratio of non-operating income to assets at the end of the fiscal year. </w:t>
      </w:r>
      <w:r w:rsidR="004F0457" w:rsidRPr="005F4D86">
        <w:rPr>
          <w:rFonts w:ascii="Times New Roman" w:hAnsi="Times New Roman" w:cs="Times New Roman"/>
          <w:i/>
          <w:sz w:val="20"/>
          <w:szCs w:val="20"/>
        </w:rPr>
        <w:t>OPERINC</w:t>
      </w:r>
      <w:r w:rsidR="004F0457" w:rsidRPr="005F4D86">
        <w:rPr>
          <w:rFonts w:ascii="Times New Roman" w:hAnsi="Times New Roman" w:cs="Times New Roman"/>
          <w:sz w:val="20"/>
          <w:szCs w:val="20"/>
        </w:rPr>
        <w:t xml:space="preserve"> is the ratio of operating income to assets at the end of the fiscal year. For brevity, only coefficients on </w:t>
      </w:r>
      <w:r w:rsidR="004F0457" w:rsidRPr="005F4D86">
        <w:rPr>
          <w:rFonts w:ascii="Times New Roman" w:hAnsi="Times New Roman" w:cs="Times New Roman"/>
          <w:i/>
          <w:sz w:val="20"/>
          <w:szCs w:val="20"/>
        </w:rPr>
        <w:t>NONOPERINC</w:t>
      </w:r>
      <w:r w:rsidR="004F0457" w:rsidRPr="005F4D86">
        <w:rPr>
          <w:rFonts w:ascii="Times New Roman" w:hAnsi="Times New Roman" w:cs="Times New Roman"/>
          <w:sz w:val="20"/>
          <w:szCs w:val="20"/>
        </w:rPr>
        <w:t xml:space="preserve"> and </w:t>
      </w:r>
      <w:r w:rsidR="004F0457" w:rsidRPr="005F4D86">
        <w:rPr>
          <w:rFonts w:ascii="Times New Roman" w:hAnsi="Times New Roman" w:cs="Times New Roman"/>
          <w:i/>
          <w:sz w:val="20"/>
          <w:szCs w:val="20"/>
        </w:rPr>
        <w:t>OPERINC</w:t>
      </w:r>
      <w:r w:rsidR="004F0457" w:rsidRPr="005F4D86">
        <w:rPr>
          <w:rFonts w:ascii="Times New Roman" w:hAnsi="Times New Roman" w:cs="Times New Roman"/>
          <w:sz w:val="20"/>
          <w:szCs w:val="20"/>
        </w:rPr>
        <w:t xml:space="preserve"> are reported</w:t>
      </w:r>
      <w:r w:rsidR="000038AC">
        <w:rPr>
          <w:rFonts w:ascii="Times New Roman" w:hAnsi="Times New Roman" w:cs="Times New Roman"/>
          <w:sz w:val="20"/>
          <w:szCs w:val="20"/>
        </w:rPr>
        <w:t>.</w:t>
      </w:r>
      <w:r w:rsidR="004F0457" w:rsidRPr="005F4D86">
        <w:rPr>
          <w:rFonts w:ascii="Times New Roman" w:hAnsi="Times New Roman" w:cs="Times New Roman"/>
          <w:sz w:val="20"/>
          <w:szCs w:val="20"/>
        </w:rPr>
        <w:t xml:space="preserve"> *, ** and *** indicate the significance levels of 10%, 5% and 1%, respectively.</w:t>
      </w:r>
    </w:p>
    <w:p w14:paraId="028D67A9" w14:textId="77777777" w:rsidR="0083161B" w:rsidRPr="00893E6D" w:rsidRDefault="0083161B" w:rsidP="00A1062B">
      <w:pPr>
        <w:jc w:val="both"/>
        <w:rPr>
          <w:rFonts w:ascii="Times New Roman" w:hAnsi="Times New Roman" w:cs="Times New Roman"/>
        </w:rPr>
        <w:sectPr w:rsidR="0083161B" w:rsidRPr="00893E6D" w:rsidSect="00067C9F">
          <w:pgSz w:w="15840" w:h="12240" w:orient="landscape"/>
          <w:pgMar w:top="1440" w:right="1440" w:bottom="1440" w:left="1440" w:header="720" w:footer="720" w:gutter="0"/>
          <w:cols w:space="720"/>
          <w:docGrid w:linePitch="360"/>
        </w:sectPr>
      </w:pPr>
    </w:p>
    <w:tbl>
      <w:tblPr>
        <w:tblW w:w="5000" w:type="pct"/>
        <w:tblLayout w:type="fixed"/>
        <w:tblLook w:val="04A0" w:firstRow="1" w:lastRow="0" w:firstColumn="1" w:lastColumn="0" w:noHBand="0" w:noVBand="1"/>
      </w:tblPr>
      <w:tblGrid>
        <w:gridCol w:w="1468"/>
        <w:gridCol w:w="1011"/>
        <w:gridCol w:w="1078"/>
        <w:gridCol w:w="874"/>
        <w:gridCol w:w="1202"/>
        <w:gridCol w:w="1269"/>
        <w:gridCol w:w="899"/>
        <w:gridCol w:w="1559"/>
      </w:tblGrid>
      <w:tr w:rsidR="0083161B" w:rsidRPr="00D23517" w14:paraId="1C355B63" w14:textId="77777777" w:rsidTr="008F6E16">
        <w:trPr>
          <w:trHeight w:val="144"/>
        </w:trPr>
        <w:tc>
          <w:tcPr>
            <w:tcW w:w="5000" w:type="pct"/>
            <w:gridSpan w:val="8"/>
            <w:tcBorders>
              <w:top w:val="nil"/>
              <w:left w:val="nil"/>
              <w:bottom w:val="single" w:sz="4" w:space="0" w:color="auto"/>
              <w:right w:val="nil"/>
            </w:tcBorders>
            <w:shd w:val="clear" w:color="auto" w:fill="auto"/>
            <w:noWrap/>
            <w:vAlign w:val="bottom"/>
            <w:hideMark/>
          </w:tcPr>
          <w:p w14:paraId="0279F840" w14:textId="08FFDB67" w:rsidR="004F0457" w:rsidRPr="00D23517" w:rsidRDefault="0083161B" w:rsidP="00D23517">
            <w:pPr>
              <w:pBdr>
                <w:bottom w:val="single" w:sz="4" w:space="1" w:color="auto"/>
              </w:pBdr>
              <w:spacing w:after="0" w:line="240" w:lineRule="auto"/>
              <w:rPr>
                <w:rFonts w:ascii="Times New Roman" w:eastAsia="Times New Roman" w:hAnsi="Times New Roman" w:cs="Times New Roman"/>
                <w:b/>
                <w:color w:val="000000"/>
                <w:sz w:val="20"/>
                <w:szCs w:val="20"/>
              </w:rPr>
            </w:pPr>
            <w:r w:rsidRPr="00D23517">
              <w:rPr>
                <w:rFonts w:ascii="Times New Roman" w:eastAsia="Times New Roman" w:hAnsi="Times New Roman" w:cs="Times New Roman"/>
                <w:b/>
                <w:color w:val="000000"/>
                <w:sz w:val="24"/>
                <w:szCs w:val="24"/>
              </w:rPr>
              <w:lastRenderedPageBreak/>
              <w:t>Table A5</w:t>
            </w:r>
            <w:r w:rsidR="004F0457" w:rsidRPr="00D23517">
              <w:rPr>
                <w:rFonts w:ascii="Times New Roman" w:eastAsia="Times New Roman" w:hAnsi="Times New Roman" w:cs="Times New Roman"/>
                <w:b/>
                <w:color w:val="000000"/>
                <w:sz w:val="24"/>
                <w:szCs w:val="24"/>
              </w:rPr>
              <w:t xml:space="preserve">: </w:t>
            </w:r>
            <w:r w:rsidRPr="00D23517">
              <w:rPr>
                <w:rFonts w:ascii="Times New Roman" w:eastAsia="Times New Roman" w:hAnsi="Times New Roman" w:cs="Times New Roman"/>
                <w:b/>
                <w:color w:val="000000"/>
                <w:sz w:val="24"/>
                <w:szCs w:val="24"/>
              </w:rPr>
              <w:t xml:space="preserve">Regression </w:t>
            </w:r>
            <w:r w:rsidR="002F46AA" w:rsidRPr="00D23517">
              <w:rPr>
                <w:rFonts w:ascii="Times New Roman" w:eastAsia="Times New Roman" w:hAnsi="Times New Roman" w:cs="Times New Roman"/>
                <w:b/>
                <w:color w:val="000000"/>
                <w:sz w:val="24"/>
                <w:szCs w:val="24"/>
              </w:rPr>
              <w:t xml:space="preserve">results </w:t>
            </w:r>
            <w:r w:rsidRPr="00D23517">
              <w:rPr>
                <w:rFonts w:ascii="Times New Roman" w:eastAsia="Times New Roman" w:hAnsi="Times New Roman" w:cs="Times New Roman"/>
                <w:b/>
                <w:color w:val="000000"/>
                <w:sz w:val="24"/>
                <w:szCs w:val="24"/>
              </w:rPr>
              <w:t xml:space="preserve">by </w:t>
            </w:r>
            <w:r w:rsidR="002F46AA" w:rsidRPr="00D23517">
              <w:rPr>
                <w:rFonts w:ascii="Times New Roman" w:eastAsia="Times New Roman" w:hAnsi="Times New Roman" w:cs="Times New Roman"/>
                <w:b/>
                <w:color w:val="000000"/>
                <w:sz w:val="24"/>
                <w:szCs w:val="24"/>
              </w:rPr>
              <w:t>financial crisis sub</w:t>
            </w:r>
            <w:r w:rsidR="00D930C1" w:rsidRPr="00D23517">
              <w:rPr>
                <w:rFonts w:ascii="Times New Roman" w:eastAsia="Times New Roman" w:hAnsi="Times New Roman" w:cs="Times New Roman"/>
                <w:b/>
                <w:color w:val="000000"/>
                <w:sz w:val="24"/>
                <w:szCs w:val="24"/>
              </w:rPr>
              <w:t>-</w:t>
            </w:r>
            <w:r w:rsidR="002F46AA" w:rsidRPr="00D23517">
              <w:rPr>
                <w:rFonts w:ascii="Times New Roman" w:eastAsia="Times New Roman" w:hAnsi="Times New Roman" w:cs="Times New Roman"/>
                <w:b/>
                <w:color w:val="000000"/>
                <w:sz w:val="24"/>
                <w:szCs w:val="24"/>
              </w:rPr>
              <w:t>periods</w:t>
            </w:r>
          </w:p>
        </w:tc>
      </w:tr>
      <w:tr w:rsidR="0083161B" w:rsidRPr="00D23517" w14:paraId="53005071" w14:textId="77777777" w:rsidTr="008F6E16">
        <w:trPr>
          <w:trHeight w:val="144"/>
        </w:trPr>
        <w:tc>
          <w:tcPr>
            <w:tcW w:w="784" w:type="pct"/>
            <w:tcBorders>
              <w:top w:val="single" w:sz="4" w:space="0" w:color="auto"/>
              <w:left w:val="nil"/>
              <w:bottom w:val="single" w:sz="4" w:space="0" w:color="auto"/>
              <w:right w:val="nil"/>
            </w:tcBorders>
            <w:shd w:val="clear" w:color="auto" w:fill="auto"/>
            <w:noWrap/>
            <w:vAlign w:val="bottom"/>
            <w:hideMark/>
          </w:tcPr>
          <w:p w14:paraId="45FF97EB"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Variables</w:t>
            </w:r>
          </w:p>
        </w:tc>
        <w:tc>
          <w:tcPr>
            <w:tcW w:w="1116" w:type="pct"/>
            <w:gridSpan w:val="2"/>
            <w:tcBorders>
              <w:top w:val="single" w:sz="4" w:space="0" w:color="auto"/>
              <w:left w:val="nil"/>
              <w:bottom w:val="single" w:sz="4" w:space="0" w:color="auto"/>
              <w:right w:val="nil"/>
            </w:tcBorders>
            <w:shd w:val="clear" w:color="auto" w:fill="auto"/>
            <w:noWrap/>
            <w:vAlign w:val="bottom"/>
            <w:hideMark/>
          </w:tcPr>
          <w:p w14:paraId="7973F0A1"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NONOPERINC</w:t>
            </w:r>
          </w:p>
        </w:tc>
        <w:tc>
          <w:tcPr>
            <w:tcW w:w="1109" w:type="pct"/>
            <w:gridSpan w:val="2"/>
            <w:tcBorders>
              <w:top w:val="single" w:sz="4" w:space="0" w:color="auto"/>
              <w:left w:val="nil"/>
              <w:bottom w:val="single" w:sz="4" w:space="0" w:color="auto"/>
              <w:right w:val="nil"/>
            </w:tcBorders>
            <w:shd w:val="clear" w:color="auto" w:fill="auto"/>
            <w:noWrap/>
            <w:vAlign w:val="bottom"/>
            <w:hideMark/>
          </w:tcPr>
          <w:p w14:paraId="6FE33DA8"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OPERINC</w:t>
            </w:r>
          </w:p>
        </w:tc>
        <w:tc>
          <w:tcPr>
            <w:tcW w:w="678" w:type="pct"/>
            <w:tcBorders>
              <w:top w:val="single" w:sz="4" w:space="0" w:color="auto"/>
              <w:left w:val="nil"/>
              <w:bottom w:val="single" w:sz="4" w:space="0" w:color="auto"/>
              <w:right w:val="nil"/>
            </w:tcBorders>
            <w:shd w:val="clear" w:color="auto" w:fill="auto"/>
            <w:noWrap/>
            <w:vAlign w:val="bottom"/>
            <w:hideMark/>
          </w:tcPr>
          <w:p w14:paraId="7BC148E5"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Adj. R-squared</w:t>
            </w:r>
          </w:p>
        </w:tc>
        <w:tc>
          <w:tcPr>
            <w:tcW w:w="480" w:type="pct"/>
            <w:tcBorders>
              <w:top w:val="single" w:sz="4" w:space="0" w:color="auto"/>
              <w:left w:val="nil"/>
              <w:bottom w:val="single" w:sz="4" w:space="0" w:color="auto"/>
              <w:right w:val="nil"/>
            </w:tcBorders>
            <w:shd w:val="clear" w:color="auto" w:fill="auto"/>
            <w:noWrap/>
            <w:vAlign w:val="bottom"/>
            <w:hideMark/>
          </w:tcPr>
          <w:p w14:paraId="41166490"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N</w:t>
            </w:r>
          </w:p>
        </w:tc>
        <w:tc>
          <w:tcPr>
            <w:tcW w:w="833" w:type="pct"/>
            <w:tcBorders>
              <w:top w:val="single" w:sz="4" w:space="0" w:color="auto"/>
              <w:left w:val="nil"/>
              <w:bottom w:val="single" w:sz="4" w:space="0" w:color="auto"/>
              <w:right w:val="nil"/>
            </w:tcBorders>
          </w:tcPr>
          <w:p w14:paraId="131CCD65"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Control variables</w:t>
            </w:r>
          </w:p>
        </w:tc>
      </w:tr>
      <w:tr w:rsidR="0083161B" w:rsidRPr="00D23517" w14:paraId="2F8AB2E3" w14:textId="77777777" w:rsidTr="008F6E16">
        <w:trPr>
          <w:trHeight w:val="144"/>
        </w:trPr>
        <w:tc>
          <w:tcPr>
            <w:tcW w:w="4167" w:type="pct"/>
            <w:gridSpan w:val="7"/>
            <w:tcBorders>
              <w:top w:val="single" w:sz="4" w:space="0" w:color="auto"/>
              <w:left w:val="nil"/>
              <w:bottom w:val="nil"/>
              <w:right w:val="nil"/>
            </w:tcBorders>
            <w:shd w:val="clear" w:color="auto" w:fill="auto"/>
            <w:noWrap/>
            <w:vAlign w:val="bottom"/>
            <w:hideMark/>
          </w:tcPr>
          <w:p w14:paraId="4E1AD418"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r w:rsidRPr="00D23517">
              <w:rPr>
                <w:rFonts w:ascii="Times New Roman" w:eastAsia="Times New Roman" w:hAnsi="Times New Roman" w:cs="Times New Roman"/>
                <w:b/>
                <w:i/>
                <w:color w:val="000000"/>
                <w:sz w:val="20"/>
                <w:szCs w:val="20"/>
                <w:u w:val="single"/>
              </w:rPr>
              <w:t>Panel A - ROAVOL</w:t>
            </w:r>
          </w:p>
        </w:tc>
        <w:tc>
          <w:tcPr>
            <w:tcW w:w="833" w:type="pct"/>
            <w:tcBorders>
              <w:top w:val="single" w:sz="4" w:space="0" w:color="auto"/>
              <w:left w:val="nil"/>
              <w:bottom w:val="nil"/>
              <w:right w:val="nil"/>
            </w:tcBorders>
          </w:tcPr>
          <w:p w14:paraId="76477CC6"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p>
        </w:tc>
      </w:tr>
      <w:tr w:rsidR="0083161B" w:rsidRPr="00D23517" w14:paraId="69CDACB3" w14:textId="77777777" w:rsidTr="008F6E16">
        <w:trPr>
          <w:trHeight w:val="144"/>
        </w:trPr>
        <w:tc>
          <w:tcPr>
            <w:tcW w:w="784" w:type="pct"/>
            <w:tcBorders>
              <w:top w:val="nil"/>
              <w:left w:val="nil"/>
              <w:bottom w:val="nil"/>
              <w:right w:val="nil"/>
            </w:tcBorders>
            <w:shd w:val="clear" w:color="auto" w:fill="auto"/>
            <w:noWrap/>
            <w:vAlign w:val="bottom"/>
            <w:hideMark/>
          </w:tcPr>
          <w:p w14:paraId="76FD8B26"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1990 - 2006</w:t>
            </w:r>
          </w:p>
        </w:tc>
        <w:tc>
          <w:tcPr>
            <w:tcW w:w="540" w:type="pct"/>
            <w:tcBorders>
              <w:top w:val="nil"/>
              <w:left w:val="nil"/>
              <w:bottom w:val="nil"/>
              <w:right w:val="nil"/>
            </w:tcBorders>
            <w:shd w:val="clear" w:color="auto" w:fill="auto"/>
            <w:noWrap/>
            <w:vAlign w:val="bottom"/>
          </w:tcPr>
          <w:p w14:paraId="77D0251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-0.018</w:t>
            </w:r>
          </w:p>
        </w:tc>
        <w:tc>
          <w:tcPr>
            <w:tcW w:w="576" w:type="pct"/>
            <w:tcBorders>
              <w:top w:val="nil"/>
              <w:left w:val="nil"/>
              <w:bottom w:val="nil"/>
              <w:right w:val="nil"/>
            </w:tcBorders>
            <w:shd w:val="clear" w:color="auto" w:fill="auto"/>
            <w:noWrap/>
            <w:vAlign w:val="bottom"/>
          </w:tcPr>
          <w:p w14:paraId="072BDFF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-3.044***</w:t>
            </w:r>
          </w:p>
        </w:tc>
        <w:tc>
          <w:tcPr>
            <w:tcW w:w="467" w:type="pct"/>
            <w:tcBorders>
              <w:top w:val="nil"/>
              <w:left w:val="nil"/>
              <w:bottom w:val="nil"/>
              <w:right w:val="nil"/>
            </w:tcBorders>
            <w:shd w:val="clear" w:color="auto" w:fill="auto"/>
            <w:noWrap/>
            <w:vAlign w:val="bottom"/>
          </w:tcPr>
          <w:p w14:paraId="393BBCE8"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-0.150</w:t>
            </w:r>
          </w:p>
        </w:tc>
        <w:tc>
          <w:tcPr>
            <w:tcW w:w="642" w:type="pct"/>
            <w:tcBorders>
              <w:top w:val="nil"/>
              <w:left w:val="nil"/>
              <w:bottom w:val="nil"/>
              <w:right w:val="nil"/>
            </w:tcBorders>
            <w:shd w:val="clear" w:color="auto" w:fill="auto"/>
            <w:noWrap/>
            <w:vAlign w:val="bottom"/>
          </w:tcPr>
          <w:p w14:paraId="43CAD045"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-11.795***</w:t>
            </w:r>
          </w:p>
        </w:tc>
        <w:tc>
          <w:tcPr>
            <w:tcW w:w="678" w:type="pct"/>
            <w:tcBorders>
              <w:top w:val="nil"/>
              <w:left w:val="nil"/>
              <w:bottom w:val="nil"/>
              <w:right w:val="nil"/>
            </w:tcBorders>
            <w:shd w:val="clear" w:color="auto" w:fill="auto"/>
            <w:noWrap/>
            <w:vAlign w:val="bottom"/>
          </w:tcPr>
          <w:p w14:paraId="56A4C58D"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0.253</w:t>
            </w:r>
          </w:p>
        </w:tc>
        <w:tc>
          <w:tcPr>
            <w:tcW w:w="480" w:type="pct"/>
            <w:tcBorders>
              <w:top w:val="nil"/>
              <w:left w:val="nil"/>
              <w:bottom w:val="nil"/>
              <w:right w:val="nil"/>
            </w:tcBorders>
            <w:shd w:val="clear" w:color="auto" w:fill="auto"/>
            <w:noWrap/>
            <w:vAlign w:val="bottom"/>
          </w:tcPr>
          <w:p w14:paraId="0A3B8DF0"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47,224</w:t>
            </w:r>
          </w:p>
        </w:tc>
        <w:tc>
          <w:tcPr>
            <w:tcW w:w="833" w:type="pct"/>
            <w:tcBorders>
              <w:top w:val="nil"/>
              <w:left w:val="nil"/>
              <w:bottom w:val="nil"/>
              <w:right w:val="nil"/>
            </w:tcBorders>
          </w:tcPr>
          <w:p w14:paraId="29C0F041"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017D7299" w14:textId="77777777" w:rsidTr="008F6E16">
        <w:trPr>
          <w:trHeight w:val="144"/>
        </w:trPr>
        <w:tc>
          <w:tcPr>
            <w:tcW w:w="784" w:type="pct"/>
            <w:tcBorders>
              <w:top w:val="nil"/>
              <w:left w:val="nil"/>
              <w:bottom w:val="nil"/>
              <w:right w:val="nil"/>
            </w:tcBorders>
            <w:shd w:val="clear" w:color="auto" w:fill="auto"/>
            <w:noWrap/>
            <w:vAlign w:val="bottom"/>
            <w:hideMark/>
          </w:tcPr>
          <w:p w14:paraId="12674CFC"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2007 - 2009</w:t>
            </w:r>
          </w:p>
        </w:tc>
        <w:tc>
          <w:tcPr>
            <w:tcW w:w="540" w:type="pct"/>
            <w:tcBorders>
              <w:top w:val="nil"/>
              <w:left w:val="nil"/>
              <w:bottom w:val="nil"/>
              <w:right w:val="nil"/>
            </w:tcBorders>
            <w:shd w:val="clear" w:color="auto" w:fill="auto"/>
            <w:noWrap/>
            <w:vAlign w:val="bottom"/>
          </w:tcPr>
          <w:p w14:paraId="20011FFD"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-0.012</w:t>
            </w:r>
          </w:p>
        </w:tc>
        <w:tc>
          <w:tcPr>
            <w:tcW w:w="576" w:type="pct"/>
            <w:tcBorders>
              <w:top w:val="nil"/>
              <w:left w:val="nil"/>
              <w:bottom w:val="nil"/>
              <w:right w:val="nil"/>
            </w:tcBorders>
            <w:shd w:val="clear" w:color="auto" w:fill="auto"/>
            <w:noWrap/>
            <w:vAlign w:val="bottom"/>
          </w:tcPr>
          <w:p w14:paraId="6634E87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 xml:space="preserve">-1.429 </w:t>
            </w:r>
          </w:p>
        </w:tc>
        <w:tc>
          <w:tcPr>
            <w:tcW w:w="467" w:type="pct"/>
            <w:tcBorders>
              <w:top w:val="nil"/>
              <w:left w:val="nil"/>
              <w:bottom w:val="nil"/>
              <w:right w:val="nil"/>
            </w:tcBorders>
            <w:shd w:val="clear" w:color="auto" w:fill="auto"/>
            <w:noWrap/>
            <w:vAlign w:val="bottom"/>
          </w:tcPr>
          <w:p w14:paraId="16C779AC"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-0.067</w:t>
            </w:r>
          </w:p>
        </w:tc>
        <w:tc>
          <w:tcPr>
            <w:tcW w:w="642" w:type="pct"/>
            <w:tcBorders>
              <w:top w:val="nil"/>
              <w:left w:val="nil"/>
              <w:bottom w:val="nil"/>
              <w:right w:val="nil"/>
            </w:tcBorders>
            <w:shd w:val="clear" w:color="auto" w:fill="auto"/>
            <w:noWrap/>
            <w:vAlign w:val="bottom"/>
          </w:tcPr>
          <w:p w14:paraId="7D937DC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-2.064**</w:t>
            </w:r>
          </w:p>
        </w:tc>
        <w:tc>
          <w:tcPr>
            <w:tcW w:w="678" w:type="pct"/>
            <w:tcBorders>
              <w:top w:val="nil"/>
              <w:left w:val="nil"/>
              <w:bottom w:val="nil"/>
              <w:right w:val="nil"/>
            </w:tcBorders>
            <w:shd w:val="clear" w:color="auto" w:fill="auto"/>
            <w:noWrap/>
            <w:vAlign w:val="bottom"/>
          </w:tcPr>
          <w:p w14:paraId="1E4DCB6F"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0.138</w:t>
            </w:r>
          </w:p>
        </w:tc>
        <w:tc>
          <w:tcPr>
            <w:tcW w:w="480" w:type="pct"/>
            <w:tcBorders>
              <w:top w:val="nil"/>
              <w:left w:val="nil"/>
              <w:bottom w:val="nil"/>
              <w:right w:val="nil"/>
            </w:tcBorders>
            <w:shd w:val="clear" w:color="auto" w:fill="auto"/>
            <w:noWrap/>
            <w:vAlign w:val="bottom"/>
          </w:tcPr>
          <w:p w14:paraId="29823060"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7,734</w:t>
            </w:r>
          </w:p>
        </w:tc>
        <w:tc>
          <w:tcPr>
            <w:tcW w:w="833" w:type="pct"/>
            <w:tcBorders>
              <w:top w:val="nil"/>
              <w:left w:val="nil"/>
              <w:bottom w:val="nil"/>
              <w:right w:val="nil"/>
            </w:tcBorders>
          </w:tcPr>
          <w:p w14:paraId="02869E8F"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69378966" w14:textId="77777777" w:rsidTr="008F6E16">
        <w:trPr>
          <w:trHeight w:val="144"/>
        </w:trPr>
        <w:tc>
          <w:tcPr>
            <w:tcW w:w="784" w:type="pct"/>
            <w:tcBorders>
              <w:top w:val="nil"/>
              <w:left w:val="nil"/>
              <w:bottom w:val="nil"/>
              <w:right w:val="nil"/>
            </w:tcBorders>
            <w:shd w:val="clear" w:color="auto" w:fill="auto"/>
            <w:noWrap/>
            <w:vAlign w:val="bottom"/>
          </w:tcPr>
          <w:p w14:paraId="44A21639"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2010 - 2016</w:t>
            </w:r>
          </w:p>
        </w:tc>
        <w:tc>
          <w:tcPr>
            <w:tcW w:w="540" w:type="pct"/>
            <w:tcBorders>
              <w:top w:val="nil"/>
              <w:left w:val="nil"/>
              <w:bottom w:val="nil"/>
              <w:right w:val="nil"/>
            </w:tcBorders>
            <w:shd w:val="clear" w:color="auto" w:fill="auto"/>
            <w:noWrap/>
            <w:vAlign w:val="bottom"/>
          </w:tcPr>
          <w:p w14:paraId="193B73D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0.002</w:t>
            </w:r>
          </w:p>
        </w:tc>
        <w:tc>
          <w:tcPr>
            <w:tcW w:w="576" w:type="pct"/>
            <w:tcBorders>
              <w:top w:val="nil"/>
              <w:left w:val="nil"/>
              <w:bottom w:val="nil"/>
              <w:right w:val="nil"/>
            </w:tcBorders>
            <w:shd w:val="clear" w:color="auto" w:fill="auto"/>
            <w:noWrap/>
            <w:vAlign w:val="bottom"/>
          </w:tcPr>
          <w:p w14:paraId="18D82F3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 xml:space="preserve">0.211 </w:t>
            </w:r>
          </w:p>
        </w:tc>
        <w:tc>
          <w:tcPr>
            <w:tcW w:w="467" w:type="pct"/>
            <w:tcBorders>
              <w:top w:val="nil"/>
              <w:left w:val="nil"/>
              <w:bottom w:val="nil"/>
              <w:right w:val="nil"/>
            </w:tcBorders>
            <w:shd w:val="clear" w:color="auto" w:fill="auto"/>
            <w:noWrap/>
            <w:vAlign w:val="bottom"/>
          </w:tcPr>
          <w:p w14:paraId="389718BC"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-0.162</w:t>
            </w:r>
          </w:p>
        </w:tc>
        <w:tc>
          <w:tcPr>
            <w:tcW w:w="642" w:type="pct"/>
            <w:tcBorders>
              <w:top w:val="nil"/>
              <w:left w:val="nil"/>
              <w:bottom w:val="nil"/>
              <w:right w:val="nil"/>
            </w:tcBorders>
            <w:shd w:val="clear" w:color="auto" w:fill="auto"/>
            <w:noWrap/>
            <w:vAlign w:val="bottom"/>
          </w:tcPr>
          <w:p w14:paraId="179CA50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-5.813***</w:t>
            </w:r>
          </w:p>
        </w:tc>
        <w:tc>
          <w:tcPr>
            <w:tcW w:w="678" w:type="pct"/>
            <w:tcBorders>
              <w:top w:val="nil"/>
              <w:left w:val="nil"/>
              <w:bottom w:val="nil"/>
              <w:right w:val="nil"/>
            </w:tcBorders>
            <w:shd w:val="clear" w:color="auto" w:fill="auto"/>
            <w:noWrap/>
            <w:vAlign w:val="bottom"/>
          </w:tcPr>
          <w:p w14:paraId="6F7421B5"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0.192</w:t>
            </w:r>
          </w:p>
        </w:tc>
        <w:tc>
          <w:tcPr>
            <w:tcW w:w="480" w:type="pct"/>
            <w:tcBorders>
              <w:top w:val="nil"/>
              <w:left w:val="nil"/>
              <w:bottom w:val="nil"/>
              <w:right w:val="nil"/>
            </w:tcBorders>
            <w:shd w:val="clear" w:color="auto" w:fill="auto"/>
            <w:noWrap/>
            <w:vAlign w:val="bottom"/>
          </w:tcPr>
          <w:p w14:paraId="553E1BF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16,946</w:t>
            </w:r>
          </w:p>
        </w:tc>
        <w:tc>
          <w:tcPr>
            <w:tcW w:w="833" w:type="pct"/>
            <w:tcBorders>
              <w:top w:val="nil"/>
              <w:left w:val="nil"/>
              <w:bottom w:val="nil"/>
              <w:right w:val="nil"/>
            </w:tcBorders>
          </w:tcPr>
          <w:p w14:paraId="4AC45682"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2BB2758F" w14:textId="77777777" w:rsidTr="008F6E16">
        <w:trPr>
          <w:trHeight w:val="144"/>
        </w:trPr>
        <w:tc>
          <w:tcPr>
            <w:tcW w:w="784" w:type="pct"/>
            <w:tcBorders>
              <w:top w:val="nil"/>
              <w:left w:val="nil"/>
              <w:bottom w:val="nil"/>
              <w:right w:val="nil"/>
            </w:tcBorders>
            <w:shd w:val="clear" w:color="auto" w:fill="auto"/>
            <w:noWrap/>
            <w:vAlign w:val="bottom"/>
            <w:hideMark/>
          </w:tcPr>
          <w:p w14:paraId="129EF589"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p>
        </w:tc>
        <w:tc>
          <w:tcPr>
            <w:tcW w:w="540" w:type="pct"/>
            <w:tcBorders>
              <w:top w:val="nil"/>
              <w:left w:val="nil"/>
              <w:bottom w:val="nil"/>
              <w:right w:val="nil"/>
            </w:tcBorders>
            <w:shd w:val="clear" w:color="auto" w:fill="auto"/>
            <w:noWrap/>
            <w:vAlign w:val="bottom"/>
            <w:hideMark/>
          </w:tcPr>
          <w:p w14:paraId="773E3653"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76" w:type="pct"/>
            <w:tcBorders>
              <w:top w:val="nil"/>
              <w:left w:val="nil"/>
              <w:bottom w:val="nil"/>
              <w:right w:val="nil"/>
            </w:tcBorders>
            <w:shd w:val="clear" w:color="auto" w:fill="auto"/>
            <w:noWrap/>
            <w:vAlign w:val="bottom"/>
            <w:hideMark/>
          </w:tcPr>
          <w:p w14:paraId="28B6F8C7"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467" w:type="pct"/>
            <w:tcBorders>
              <w:top w:val="nil"/>
              <w:left w:val="nil"/>
              <w:bottom w:val="nil"/>
              <w:right w:val="nil"/>
            </w:tcBorders>
            <w:shd w:val="clear" w:color="auto" w:fill="auto"/>
            <w:noWrap/>
            <w:vAlign w:val="bottom"/>
            <w:hideMark/>
          </w:tcPr>
          <w:p w14:paraId="0E72B00E"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42" w:type="pct"/>
            <w:tcBorders>
              <w:top w:val="nil"/>
              <w:left w:val="nil"/>
              <w:bottom w:val="nil"/>
              <w:right w:val="nil"/>
            </w:tcBorders>
            <w:shd w:val="clear" w:color="auto" w:fill="auto"/>
            <w:noWrap/>
            <w:vAlign w:val="bottom"/>
            <w:hideMark/>
          </w:tcPr>
          <w:p w14:paraId="60D8C0AE"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78" w:type="pct"/>
            <w:tcBorders>
              <w:top w:val="nil"/>
              <w:left w:val="nil"/>
              <w:bottom w:val="nil"/>
              <w:right w:val="nil"/>
            </w:tcBorders>
            <w:shd w:val="clear" w:color="auto" w:fill="auto"/>
            <w:noWrap/>
            <w:vAlign w:val="bottom"/>
            <w:hideMark/>
          </w:tcPr>
          <w:p w14:paraId="7664CADE"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480" w:type="pct"/>
            <w:tcBorders>
              <w:top w:val="nil"/>
              <w:left w:val="nil"/>
              <w:bottom w:val="nil"/>
              <w:right w:val="nil"/>
            </w:tcBorders>
            <w:shd w:val="clear" w:color="auto" w:fill="auto"/>
            <w:noWrap/>
            <w:vAlign w:val="bottom"/>
            <w:hideMark/>
          </w:tcPr>
          <w:p w14:paraId="13C7A9ED"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833" w:type="pct"/>
            <w:tcBorders>
              <w:top w:val="nil"/>
              <w:left w:val="nil"/>
              <w:bottom w:val="nil"/>
              <w:right w:val="nil"/>
            </w:tcBorders>
          </w:tcPr>
          <w:p w14:paraId="6DCEA590"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r>
      <w:tr w:rsidR="0083161B" w:rsidRPr="00D23517" w14:paraId="02D30FED" w14:textId="77777777" w:rsidTr="008F6E16">
        <w:trPr>
          <w:trHeight w:val="144"/>
        </w:trPr>
        <w:tc>
          <w:tcPr>
            <w:tcW w:w="4167" w:type="pct"/>
            <w:gridSpan w:val="7"/>
            <w:tcBorders>
              <w:top w:val="nil"/>
              <w:left w:val="nil"/>
              <w:bottom w:val="nil"/>
              <w:right w:val="nil"/>
            </w:tcBorders>
            <w:shd w:val="clear" w:color="auto" w:fill="auto"/>
            <w:noWrap/>
            <w:vAlign w:val="bottom"/>
            <w:hideMark/>
          </w:tcPr>
          <w:p w14:paraId="7854A651"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r w:rsidRPr="00D23517">
              <w:rPr>
                <w:rFonts w:ascii="Times New Roman" w:eastAsia="Times New Roman" w:hAnsi="Times New Roman" w:cs="Times New Roman"/>
                <w:b/>
                <w:i/>
                <w:color w:val="000000"/>
                <w:sz w:val="20"/>
                <w:szCs w:val="20"/>
                <w:u w:val="single"/>
              </w:rPr>
              <w:t>Panel B - TOTRISK</w:t>
            </w:r>
          </w:p>
        </w:tc>
        <w:tc>
          <w:tcPr>
            <w:tcW w:w="833" w:type="pct"/>
            <w:tcBorders>
              <w:top w:val="nil"/>
              <w:left w:val="nil"/>
              <w:bottom w:val="nil"/>
              <w:right w:val="nil"/>
            </w:tcBorders>
          </w:tcPr>
          <w:p w14:paraId="627D7A8B"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p>
        </w:tc>
      </w:tr>
      <w:tr w:rsidR="0083161B" w:rsidRPr="00D23517" w14:paraId="014F712E" w14:textId="77777777" w:rsidTr="008F6E16">
        <w:trPr>
          <w:trHeight w:val="144"/>
        </w:trPr>
        <w:tc>
          <w:tcPr>
            <w:tcW w:w="784" w:type="pct"/>
            <w:tcBorders>
              <w:top w:val="nil"/>
              <w:left w:val="nil"/>
              <w:bottom w:val="nil"/>
              <w:right w:val="nil"/>
            </w:tcBorders>
            <w:shd w:val="clear" w:color="auto" w:fill="auto"/>
            <w:noWrap/>
            <w:vAlign w:val="bottom"/>
            <w:hideMark/>
          </w:tcPr>
          <w:p w14:paraId="76169A03"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1990 - 2006</w:t>
            </w:r>
          </w:p>
        </w:tc>
        <w:tc>
          <w:tcPr>
            <w:tcW w:w="540" w:type="pct"/>
            <w:tcBorders>
              <w:top w:val="nil"/>
              <w:left w:val="nil"/>
              <w:bottom w:val="nil"/>
              <w:right w:val="nil"/>
            </w:tcBorders>
            <w:shd w:val="clear" w:color="auto" w:fill="auto"/>
            <w:noWrap/>
            <w:vAlign w:val="bottom"/>
          </w:tcPr>
          <w:p w14:paraId="5C1F57A8"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-0.014</w:t>
            </w:r>
          </w:p>
        </w:tc>
        <w:tc>
          <w:tcPr>
            <w:tcW w:w="576" w:type="pct"/>
            <w:tcBorders>
              <w:top w:val="nil"/>
              <w:left w:val="nil"/>
              <w:bottom w:val="nil"/>
              <w:right w:val="nil"/>
            </w:tcBorders>
            <w:shd w:val="clear" w:color="auto" w:fill="auto"/>
            <w:noWrap/>
            <w:vAlign w:val="bottom"/>
          </w:tcPr>
          <w:p w14:paraId="3972AE75"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-2.986***</w:t>
            </w:r>
          </w:p>
        </w:tc>
        <w:tc>
          <w:tcPr>
            <w:tcW w:w="467" w:type="pct"/>
            <w:tcBorders>
              <w:top w:val="nil"/>
              <w:left w:val="nil"/>
              <w:bottom w:val="nil"/>
              <w:right w:val="nil"/>
            </w:tcBorders>
            <w:shd w:val="clear" w:color="auto" w:fill="auto"/>
            <w:noWrap/>
            <w:vAlign w:val="bottom"/>
          </w:tcPr>
          <w:p w14:paraId="7F9BA3F4"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-0.228</w:t>
            </w:r>
          </w:p>
        </w:tc>
        <w:tc>
          <w:tcPr>
            <w:tcW w:w="642" w:type="pct"/>
            <w:tcBorders>
              <w:top w:val="nil"/>
              <w:left w:val="nil"/>
              <w:bottom w:val="nil"/>
              <w:right w:val="nil"/>
            </w:tcBorders>
            <w:shd w:val="clear" w:color="auto" w:fill="auto"/>
            <w:noWrap/>
            <w:vAlign w:val="bottom"/>
          </w:tcPr>
          <w:p w14:paraId="10EDC599"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-28.143***</w:t>
            </w:r>
          </w:p>
        </w:tc>
        <w:tc>
          <w:tcPr>
            <w:tcW w:w="678" w:type="pct"/>
            <w:tcBorders>
              <w:top w:val="nil"/>
              <w:left w:val="nil"/>
              <w:bottom w:val="nil"/>
              <w:right w:val="nil"/>
            </w:tcBorders>
            <w:shd w:val="clear" w:color="auto" w:fill="auto"/>
            <w:noWrap/>
            <w:vAlign w:val="bottom"/>
          </w:tcPr>
          <w:p w14:paraId="0CC23F19"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0.498</w:t>
            </w:r>
          </w:p>
        </w:tc>
        <w:tc>
          <w:tcPr>
            <w:tcW w:w="480" w:type="pct"/>
            <w:tcBorders>
              <w:top w:val="nil"/>
              <w:left w:val="nil"/>
              <w:bottom w:val="nil"/>
              <w:right w:val="nil"/>
            </w:tcBorders>
            <w:shd w:val="clear" w:color="auto" w:fill="auto"/>
            <w:noWrap/>
            <w:vAlign w:val="bottom"/>
          </w:tcPr>
          <w:p w14:paraId="12FB649F"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47,291</w:t>
            </w:r>
          </w:p>
        </w:tc>
        <w:tc>
          <w:tcPr>
            <w:tcW w:w="833" w:type="pct"/>
            <w:tcBorders>
              <w:top w:val="nil"/>
              <w:left w:val="nil"/>
              <w:bottom w:val="nil"/>
              <w:right w:val="nil"/>
            </w:tcBorders>
          </w:tcPr>
          <w:p w14:paraId="514FE6A0"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0EE13851" w14:textId="77777777" w:rsidTr="008F6E16">
        <w:trPr>
          <w:trHeight w:val="144"/>
        </w:trPr>
        <w:tc>
          <w:tcPr>
            <w:tcW w:w="784" w:type="pct"/>
            <w:tcBorders>
              <w:top w:val="nil"/>
              <w:left w:val="nil"/>
              <w:bottom w:val="nil"/>
              <w:right w:val="nil"/>
            </w:tcBorders>
            <w:shd w:val="clear" w:color="auto" w:fill="auto"/>
            <w:noWrap/>
            <w:vAlign w:val="bottom"/>
            <w:hideMark/>
          </w:tcPr>
          <w:p w14:paraId="5FB59826"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2007 - 2009</w:t>
            </w:r>
          </w:p>
        </w:tc>
        <w:tc>
          <w:tcPr>
            <w:tcW w:w="540" w:type="pct"/>
            <w:tcBorders>
              <w:top w:val="nil"/>
              <w:left w:val="nil"/>
              <w:bottom w:val="nil"/>
              <w:right w:val="nil"/>
            </w:tcBorders>
            <w:shd w:val="clear" w:color="auto" w:fill="auto"/>
            <w:noWrap/>
            <w:vAlign w:val="bottom"/>
          </w:tcPr>
          <w:p w14:paraId="549ACA9D"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-0.001</w:t>
            </w:r>
          </w:p>
        </w:tc>
        <w:tc>
          <w:tcPr>
            <w:tcW w:w="576" w:type="pct"/>
            <w:tcBorders>
              <w:top w:val="nil"/>
              <w:left w:val="nil"/>
              <w:bottom w:val="nil"/>
              <w:right w:val="nil"/>
            </w:tcBorders>
            <w:shd w:val="clear" w:color="auto" w:fill="auto"/>
            <w:noWrap/>
            <w:vAlign w:val="bottom"/>
          </w:tcPr>
          <w:p w14:paraId="515BC20D"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 xml:space="preserve">-0.050 </w:t>
            </w:r>
          </w:p>
        </w:tc>
        <w:tc>
          <w:tcPr>
            <w:tcW w:w="467" w:type="pct"/>
            <w:tcBorders>
              <w:top w:val="nil"/>
              <w:left w:val="nil"/>
              <w:bottom w:val="nil"/>
              <w:right w:val="nil"/>
            </w:tcBorders>
            <w:shd w:val="clear" w:color="auto" w:fill="auto"/>
            <w:noWrap/>
            <w:vAlign w:val="bottom"/>
          </w:tcPr>
          <w:p w14:paraId="48303E78"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-0.124</w:t>
            </w:r>
          </w:p>
        </w:tc>
        <w:tc>
          <w:tcPr>
            <w:tcW w:w="642" w:type="pct"/>
            <w:tcBorders>
              <w:top w:val="nil"/>
              <w:left w:val="nil"/>
              <w:bottom w:val="nil"/>
              <w:right w:val="nil"/>
            </w:tcBorders>
            <w:shd w:val="clear" w:color="auto" w:fill="auto"/>
            <w:noWrap/>
            <w:vAlign w:val="bottom"/>
          </w:tcPr>
          <w:p w14:paraId="7DD961F3"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-4.750***</w:t>
            </w:r>
          </w:p>
        </w:tc>
        <w:tc>
          <w:tcPr>
            <w:tcW w:w="678" w:type="pct"/>
            <w:tcBorders>
              <w:top w:val="nil"/>
              <w:left w:val="nil"/>
              <w:bottom w:val="nil"/>
              <w:right w:val="nil"/>
            </w:tcBorders>
            <w:shd w:val="clear" w:color="auto" w:fill="auto"/>
            <w:noWrap/>
            <w:vAlign w:val="bottom"/>
          </w:tcPr>
          <w:p w14:paraId="178F97BF"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0.347</w:t>
            </w:r>
          </w:p>
        </w:tc>
        <w:tc>
          <w:tcPr>
            <w:tcW w:w="480" w:type="pct"/>
            <w:tcBorders>
              <w:top w:val="nil"/>
              <w:left w:val="nil"/>
              <w:bottom w:val="nil"/>
              <w:right w:val="nil"/>
            </w:tcBorders>
            <w:shd w:val="clear" w:color="auto" w:fill="auto"/>
            <w:noWrap/>
            <w:vAlign w:val="bottom"/>
          </w:tcPr>
          <w:p w14:paraId="7ABD4696"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7,754</w:t>
            </w:r>
          </w:p>
        </w:tc>
        <w:tc>
          <w:tcPr>
            <w:tcW w:w="833" w:type="pct"/>
            <w:tcBorders>
              <w:top w:val="nil"/>
              <w:left w:val="nil"/>
              <w:bottom w:val="nil"/>
              <w:right w:val="nil"/>
            </w:tcBorders>
          </w:tcPr>
          <w:p w14:paraId="4A49DE47"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1A046E5A" w14:textId="77777777" w:rsidTr="008F6E16">
        <w:trPr>
          <w:trHeight w:val="144"/>
        </w:trPr>
        <w:tc>
          <w:tcPr>
            <w:tcW w:w="784" w:type="pct"/>
            <w:tcBorders>
              <w:top w:val="nil"/>
              <w:left w:val="nil"/>
              <w:bottom w:val="nil"/>
              <w:right w:val="nil"/>
            </w:tcBorders>
            <w:shd w:val="clear" w:color="auto" w:fill="auto"/>
            <w:noWrap/>
            <w:vAlign w:val="bottom"/>
          </w:tcPr>
          <w:p w14:paraId="713A2BD4"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2010 - 2016</w:t>
            </w:r>
          </w:p>
        </w:tc>
        <w:tc>
          <w:tcPr>
            <w:tcW w:w="540" w:type="pct"/>
            <w:tcBorders>
              <w:top w:val="nil"/>
              <w:left w:val="nil"/>
              <w:bottom w:val="nil"/>
              <w:right w:val="nil"/>
            </w:tcBorders>
            <w:shd w:val="clear" w:color="auto" w:fill="auto"/>
            <w:noWrap/>
            <w:vAlign w:val="bottom"/>
          </w:tcPr>
          <w:p w14:paraId="5FB04AE4"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-0.014</w:t>
            </w:r>
          </w:p>
        </w:tc>
        <w:tc>
          <w:tcPr>
            <w:tcW w:w="576" w:type="pct"/>
            <w:tcBorders>
              <w:top w:val="nil"/>
              <w:left w:val="nil"/>
              <w:bottom w:val="nil"/>
              <w:right w:val="nil"/>
            </w:tcBorders>
            <w:shd w:val="clear" w:color="auto" w:fill="auto"/>
            <w:noWrap/>
            <w:vAlign w:val="bottom"/>
          </w:tcPr>
          <w:p w14:paraId="0935F5CE"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 xml:space="preserve">-1.411 </w:t>
            </w:r>
          </w:p>
        </w:tc>
        <w:tc>
          <w:tcPr>
            <w:tcW w:w="467" w:type="pct"/>
            <w:tcBorders>
              <w:top w:val="nil"/>
              <w:left w:val="nil"/>
              <w:bottom w:val="nil"/>
              <w:right w:val="nil"/>
            </w:tcBorders>
            <w:shd w:val="clear" w:color="auto" w:fill="auto"/>
            <w:noWrap/>
            <w:vAlign w:val="bottom"/>
          </w:tcPr>
          <w:p w14:paraId="7623A5A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-0.131</w:t>
            </w:r>
          </w:p>
        </w:tc>
        <w:tc>
          <w:tcPr>
            <w:tcW w:w="642" w:type="pct"/>
            <w:tcBorders>
              <w:top w:val="nil"/>
              <w:left w:val="nil"/>
              <w:bottom w:val="nil"/>
              <w:right w:val="nil"/>
            </w:tcBorders>
            <w:shd w:val="clear" w:color="auto" w:fill="auto"/>
            <w:noWrap/>
            <w:vAlign w:val="bottom"/>
          </w:tcPr>
          <w:p w14:paraId="5097760C"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-7.639***</w:t>
            </w:r>
          </w:p>
        </w:tc>
        <w:tc>
          <w:tcPr>
            <w:tcW w:w="678" w:type="pct"/>
            <w:tcBorders>
              <w:top w:val="nil"/>
              <w:left w:val="nil"/>
              <w:bottom w:val="nil"/>
              <w:right w:val="nil"/>
            </w:tcBorders>
            <w:shd w:val="clear" w:color="auto" w:fill="auto"/>
            <w:noWrap/>
            <w:vAlign w:val="bottom"/>
          </w:tcPr>
          <w:p w14:paraId="5D989DF9"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0.382</w:t>
            </w:r>
          </w:p>
        </w:tc>
        <w:tc>
          <w:tcPr>
            <w:tcW w:w="480" w:type="pct"/>
            <w:tcBorders>
              <w:top w:val="nil"/>
              <w:left w:val="nil"/>
              <w:bottom w:val="nil"/>
              <w:right w:val="nil"/>
            </w:tcBorders>
            <w:shd w:val="clear" w:color="auto" w:fill="auto"/>
            <w:noWrap/>
            <w:vAlign w:val="bottom"/>
          </w:tcPr>
          <w:p w14:paraId="42F13DB6"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16,977</w:t>
            </w:r>
          </w:p>
        </w:tc>
        <w:tc>
          <w:tcPr>
            <w:tcW w:w="833" w:type="pct"/>
            <w:tcBorders>
              <w:top w:val="nil"/>
              <w:left w:val="nil"/>
              <w:bottom w:val="nil"/>
              <w:right w:val="nil"/>
            </w:tcBorders>
          </w:tcPr>
          <w:p w14:paraId="3BD94A4E"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5F17086F" w14:textId="77777777" w:rsidTr="008F6E16">
        <w:trPr>
          <w:trHeight w:val="144"/>
        </w:trPr>
        <w:tc>
          <w:tcPr>
            <w:tcW w:w="784" w:type="pct"/>
            <w:tcBorders>
              <w:top w:val="nil"/>
              <w:left w:val="nil"/>
              <w:bottom w:val="nil"/>
              <w:right w:val="nil"/>
            </w:tcBorders>
            <w:shd w:val="clear" w:color="auto" w:fill="auto"/>
            <w:noWrap/>
            <w:vAlign w:val="bottom"/>
            <w:hideMark/>
          </w:tcPr>
          <w:p w14:paraId="370A2845"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p>
        </w:tc>
        <w:tc>
          <w:tcPr>
            <w:tcW w:w="540" w:type="pct"/>
            <w:tcBorders>
              <w:top w:val="nil"/>
              <w:left w:val="nil"/>
              <w:bottom w:val="nil"/>
              <w:right w:val="nil"/>
            </w:tcBorders>
            <w:shd w:val="clear" w:color="auto" w:fill="auto"/>
            <w:noWrap/>
            <w:vAlign w:val="bottom"/>
            <w:hideMark/>
          </w:tcPr>
          <w:p w14:paraId="1BB7B40A"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76" w:type="pct"/>
            <w:tcBorders>
              <w:top w:val="nil"/>
              <w:left w:val="nil"/>
              <w:bottom w:val="nil"/>
              <w:right w:val="nil"/>
            </w:tcBorders>
            <w:shd w:val="clear" w:color="auto" w:fill="auto"/>
            <w:noWrap/>
            <w:vAlign w:val="bottom"/>
            <w:hideMark/>
          </w:tcPr>
          <w:p w14:paraId="7182965B"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467" w:type="pct"/>
            <w:tcBorders>
              <w:top w:val="nil"/>
              <w:left w:val="nil"/>
              <w:bottom w:val="nil"/>
              <w:right w:val="nil"/>
            </w:tcBorders>
            <w:shd w:val="clear" w:color="auto" w:fill="auto"/>
            <w:noWrap/>
            <w:vAlign w:val="bottom"/>
            <w:hideMark/>
          </w:tcPr>
          <w:p w14:paraId="39CF2023"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42" w:type="pct"/>
            <w:tcBorders>
              <w:top w:val="nil"/>
              <w:left w:val="nil"/>
              <w:bottom w:val="nil"/>
              <w:right w:val="nil"/>
            </w:tcBorders>
            <w:shd w:val="clear" w:color="auto" w:fill="auto"/>
            <w:noWrap/>
            <w:vAlign w:val="bottom"/>
            <w:hideMark/>
          </w:tcPr>
          <w:p w14:paraId="5A10BAF3"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78" w:type="pct"/>
            <w:tcBorders>
              <w:top w:val="nil"/>
              <w:left w:val="nil"/>
              <w:bottom w:val="nil"/>
              <w:right w:val="nil"/>
            </w:tcBorders>
            <w:shd w:val="clear" w:color="auto" w:fill="auto"/>
            <w:noWrap/>
            <w:vAlign w:val="bottom"/>
            <w:hideMark/>
          </w:tcPr>
          <w:p w14:paraId="4EE0ED1E"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480" w:type="pct"/>
            <w:tcBorders>
              <w:top w:val="nil"/>
              <w:left w:val="nil"/>
              <w:bottom w:val="nil"/>
              <w:right w:val="nil"/>
            </w:tcBorders>
            <w:shd w:val="clear" w:color="auto" w:fill="auto"/>
            <w:noWrap/>
            <w:vAlign w:val="bottom"/>
            <w:hideMark/>
          </w:tcPr>
          <w:p w14:paraId="25F586DF"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833" w:type="pct"/>
            <w:tcBorders>
              <w:top w:val="nil"/>
              <w:left w:val="nil"/>
              <w:bottom w:val="nil"/>
              <w:right w:val="nil"/>
            </w:tcBorders>
          </w:tcPr>
          <w:p w14:paraId="5743CCDC"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r>
      <w:tr w:rsidR="0083161B" w:rsidRPr="00D23517" w14:paraId="4D38C098" w14:textId="77777777" w:rsidTr="008F6E16">
        <w:trPr>
          <w:trHeight w:val="144"/>
        </w:trPr>
        <w:tc>
          <w:tcPr>
            <w:tcW w:w="4167" w:type="pct"/>
            <w:gridSpan w:val="7"/>
            <w:tcBorders>
              <w:top w:val="nil"/>
              <w:left w:val="nil"/>
              <w:bottom w:val="nil"/>
              <w:right w:val="nil"/>
            </w:tcBorders>
            <w:shd w:val="clear" w:color="auto" w:fill="auto"/>
            <w:noWrap/>
            <w:vAlign w:val="bottom"/>
            <w:hideMark/>
          </w:tcPr>
          <w:p w14:paraId="11AB757A"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r w:rsidRPr="00D23517">
              <w:rPr>
                <w:rFonts w:ascii="Times New Roman" w:eastAsia="Times New Roman" w:hAnsi="Times New Roman" w:cs="Times New Roman"/>
                <w:b/>
                <w:i/>
                <w:color w:val="000000"/>
                <w:sz w:val="20"/>
                <w:szCs w:val="20"/>
                <w:u w:val="single"/>
              </w:rPr>
              <w:t>Panel C - IDIORISK</w:t>
            </w:r>
          </w:p>
        </w:tc>
        <w:tc>
          <w:tcPr>
            <w:tcW w:w="833" w:type="pct"/>
            <w:tcBorders>
              <w:top w:val="nil"/>
              <w:left w:val="nil"/>
              <w:bottom w:val="nil"/>
              <w:right w:val="nil"/>
            </w:tcBorders>
          </w:tcPr>
          <w:p w14:paraId="79C6730D"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p>
        </w:tc>
      </w:tr>
      <w:tr w:rsidR="0083161B" w:rsidRPr="00D23517" w14:paraId="3C8EEBB6" w14:textId="77777777" w:rsidTr="008F6E16">
        <w:trPr>
          <w:trHeight w:val="144"/>
        </w:trPr>
        <w:tc>
          <w:tcPr>
            <w:tcW w:w="784" w:type="pct"/>
            <w:tcBorders>
              <w:top w:val="nil"/>
              <w:left w:val="nil"/>
              <w:bottom w:val="nil"/>
              <w:right w:val="nil"/>
            </w:tcBorders>
            <w:shd w:val="clear" w:color="auto" w:fill="auto"/>
            <w:noWrap/>
            <w:vAlign w:val="bottom"/>
            <w:hideMark/>
          </w:tcPr>
          <w:p w14:paraId="15415F43"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1990 - 2006</w:t>
            </w:r>
          </w:p>
        </w:tc>
        <w:tc>
          <w:tcPr>
            <w:tcW w:w="540" w:type="pct"/>
            <w:tcBorders>
              <w:top w:val="nil"/>
              <w:left w:val="nil"/>
              <w:bottom w:val="nil"/>
              <w:right w:val="nil"/>
            </w:tcBorders>
            <w:shd w:val="clear" w:color="auto" w:fill="auto"/>
            <w:noWrap/>
            <w:vAlign w:val="bottom"/>
          </w:tcPr>
          <w:p w14:paraId="07F0513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-0.016</w:t>
            </w:r>
          </w:p>
        </w:tc>
        <w:tc>
          <w:tcPr>
            <w:tcW w:w="576" w:type="pct"/>
            <w:tcBorders>
              <w:top w:val="nil"/>
              <w:left w:val="nil"/>
              <w:bottom w:val="nil"/>
              <w:right w:val="nil"/>
            </w:tcBorders>
            <w:shd w:val="clear" w:color="auto" w:fill="auto"/>
            <w:noWrap/>
            <w:vAlign w:val="bottom"/>
          </w:tcPr>
          <w:p w14:paraId="2968E74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-3.443***</w:t>
            </w:r>
          </w:p>
        </w:tc>
        <w:tc>
          <w:tcPr>
            <w:tcW w:w="467" w:type="pct"/>
            <w:tcBorders>
              <w:top w:val="nil"/>
              <w:left w:val="nil"/>
              <w:bottom w:val="nil"/>
              <w:right w:val="nil"/>
            </w:tcBorders>
            <w:shd w:val="clear" w:color="auto" w:fill="auto"/>
            <w:noWrap/>
            <w:vAlign w:val="bottom"/>
          </w:tcPr>
          <w:p w14:paraId="387D540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-0.228</w:t>
            </w:r>
          </w:p>
        </w:tc>
        <w:tc>
          <w:tcPr>
            <w:tcW w:w="642" w:type="pct"/>
            <w:tcBorders>
              <w:top w:val="nil"/>
              <w:left w:val="nil"/>
              <w:bottom w:val="nil"/>
              <w:right w:val="nil"/>
            </w:tcBorders>
            <w:shd w:val="clear" w:color="auto" w:fill="auto"/>
            <w:noWrap/>
            <w:vAlign w:val="bottom"/>
          </w:tcPr>
          <w:p w14:paraId="3B0D641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-28.636***</w:t>
            </w:r>
          </w:p>
        </w:tc>
        <w:tc>
          <w:tcPr>
            <w:tcW w:w="678" w:type="pct"/>
            <w:tcBorders>
              <w:top w:val="nil"/>
              <w:left w:val="nil"/>
              <w:bottom w:val="nil"/>
              <w:right w:val="nil"/>
            </w:tcBorders>
            <w:shd w:val="clear" w:color="auto" w:fill="auto"/>
            <w:noWrap/>
            <w:vAlign w:val="bottom"/>
          </w:tcPr>
          <w:p w14:paraId="0BC58E24"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0.518</w:t>
            </w:r>
          </w:p>
        </w:tc>
        <w:tc>
          <w:tcPr>
            <w:tcW w:w="480" w:type="pct"/>
            <w:tcBorders>
              <w:top w:val="nil"/>
              <w:left w:val="nil"/>
              <w:bottom w:val="nil"/>
              <w:right w:val="nil"/>
            </w:tcBorders>
            <w:shd w:val="clear" w:color="auto" w:fill="auto"/>
            <w:noWrap/>
            <w:vAlign w:val="bottom"/>
          </w:tcPr>
          <w:p w14:paraId="34EAAF0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47,291</w:t>
            </w:r>
          </w:p>
        </w:tc>
        <w:tc>
          <w:tcPr>
            <w:tcW w:w="833" w:type="pct"/>
            <w:tcBorders>
              <w:top w:val="nil"/>
              <w:left w:val="nil"/>
              <w:bottom w:val="nil"/>
              <w:right w:val="nil"/>
            </w:tcBorders>
          </w:tcPr>
          <w:p w14:paraId="2A488E7C"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055F1FC8" w14:textId="77777777" w:rsidTr="008F6E16">
        <w:trPr>
          <w:trHeight w:val="144"/>
        </w:trPr>
        <w:tc>
          <w:tcPr>
            <w:tcW w:w="784" w:type="pct"/>
            <w:tcBorders>
              <w:top w:val="nil"/>
              <w:left w:val="nil"/>
              <w:bottom w:val="nil"/>
              <w:right w:val="nil"/>
            </w:tcBorders>
            <w:shd w:val="clear" w:color="auto" w:fill="auto"/>
            <w:noWrap/>
            <w:vAlign w:val="bottom"/>
            <w:hideMark/>
          </w:tcPr>
          <w:p w14:paraId="51F5759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2007 - 2009</w:t>
            </w:r>
          </w:p>
        </w:tc>
        <w:tc>
          <w:tcPr>
            <w:tcW w:w="540" w:type="pct"/>
            <w:tcBorders>
              <w:top w:val="nil"/>
              <w:left w:val="nil"/>
              <w:bottom w:val="nil"/>
              <w:right w:val="nil"/>
            </w:tcBorders>
            <w:shd w:val="clear" w:color="auto" w:fill="auto"/>
            <w:noWrap/>
            <w:vAlign w:val="bottom"/>
          </w:tcPr>
          <w:p w14:paraId="50ACFED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-0.008</w:t>
            </w:r>
          </w:p>
        </w:tc>
        <w:tc>
          <w:tcPr>
            <w:tcW w:w="576" w:type="pct"/>
            <w:tcBorders>
              <w:top w:val="nil"/>
              <w:left w:val="nil"/>
              <w:bottom w:val="nil"/>
              <w:right w:val="nil"/>
            </w:tcBorders>
            <w:shd w:val="clear" w:color="auto" w:fill="auto"/>
            <w:noWrap/>
            <w:vAlign w:val="bottom"/>
          </w:tcPr>
          <w:p w14:paraId="17B967E8"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 xml:space="preserve">-0.601 </w:t>
            </w:r>
          </w:p>
        </w:tc>
        <w:tc>
          <w:tcPr>
            <w:tcW w:w="467" w:type="pct"/>
            <w:tcBorders>
              <w:top w:val="nil"/>
              <w:left w:val="nil"/>
              <w:bottom w:val="nil"/>
              <w:right w:val="nil"/>
            </w:tcBorders>
            <w:shd w:val="clear" w:color="auto" w:fill="auto"/>
            <w:noWrap/>
            <w:vAlign w:val="bottom"/>
          </w:tcPr>
          <w:p w14:paraId="3ED3F50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-0.111</w:t>
            </w:r>
          </w:p>
        </w:tc>
        <w:tc>
          <w:tcPr>
            <w:tcW w:w="642" w:type="pct"/>
            <w:tcBorders>
              <w:top w:val="nil"/>
              <w:left w:val="nil"/>
              <w:bottom w:val="nil"/>
              <w:right w:val="nil"/>
            </w:tcBorders>
            <w:shd w:val="clear" w:color="auto" w:fill="auto"/>
            <w:noWrap/>
            <w:vAlign w:val="bottom"/>
          </w:tcPr>
          <w:p w14:paraId="646C5E9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-4.321***</w:t>
            </w:r>
          </w:p>
        </w:tc>
        <w:tc>
          <w:tcPr>
            <w:tcW w:w="678" w:type="pct"/>
            <w:tcBorders>
              <w:top w:val="nil"/>
              <w:left w:val="nil"/>
              <w:bottom w:val="nil"/>
              <w:right w:val="nil"/>
            </w:tcBorders>
            <w:shd w:val="clear" w:color="auto" w:fill="auto"/>
            <w:noWrap/>
            <w:vAlign w:val="bottom"/>
          </w:tcPr>
          <w:p w14:paraId="2C75BE84"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0.379</w:t>
            </w:r>
          </w:p>
        </w:tc>
        <w:tc>
          <w:tcPr>
            <w:tcW w:w="480" w:type="pct"/>
            <w:tcBorders>
              <w:top w:val="nil"/>
              <w:left w:val="nil"/>
              <w:bottom w:val="nil"/>
              <w:right w:val="nil"/>
            </w:tcBorders>
            <w:shd w:val="clear" w:color="auto" w:fill="auto"/>
            <w:noWrap/>
            <w:vAlign w:val="bottom"/>
          </w:tcPr>
          <w:p w14:paraId="3C1AAADD"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7,754</w:t>
            </w:r>
          </w:p>
        </w:tc>
        <w:tc>
          <w:tcPr>
            <w:tcW w:w="833" w:type="pct"/>
            <w:tcBorders>
              <w:top w:val="nil"/>
              <w:left w:val="nil"/>
              <w:bottom w:val="nil"/>
              <w:right w:val="nil"/>
            </w:tcBorders>
          </w:tcPr>
          <w:p w14:paraId="6619C31D"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6BEEBAB2" w14:textId="77777777" w:rsidTr="008F6E16">
        <w:trPr>
          <w:trHeight w:val="144"/>
        </w:trPr>
        <w:tc>
          <w:tcPr>
            <w:tcW w:w="784" w:type="pct"/>
            <w:tcBorders>
              <w:top w:val="nil"/>
              <w:left w:val="nil"/>
              <w:bottom w:val="nil"/>
              <w:right w:val="nil"/>
            </w:tcBorders>
            <w:shd w:val="clear" w:color="auto" w:fill="auto"/>
            <w:noWrap/>
            <w:vAlign w:val="bottom"/>
          </w:tcPr>
          <w:p w14:paraId="2D52F2E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2010 - 2016</w:t>
            </w:r>
          </w:p>
        </w:tc>
        <w:tc>
          <w:tcPr>
            <w:tcW w:w="540" w:type="pct"/>
            <w:tcBorders>
              <w:top w:val="nil"/>
              <w:left w:val="nil"/>
              <w:bottom w:val="nil"/>
              <w:right w:val="nil"/>
            </w:tcBorders>
            <w:shd w:val="clear" w:color="auto" w:fill="auto"/>
            <w:noWrap/>
            <w:vAlign w:val="bottom"/>
          </w:tcPr>
          <w:p w14:paraId="623C768E"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-0.013</w:t>
            </w:r>
          </w:p>
        </w:tc>
        <w:tc>
          <w:tcPr>
            <w:tcW w:w="576" w:type="pct"/>
            <w:tcBorders>
              <w:top w:val="nil"/>
              <w:left w:val="nil"/>
              <w:bottom w:val="nil"/>
              <w:right w:val="nil"/>
            </w:tcBorders>
            <w:shd w:val="clear" w:color="auto" w:fill="auto"/>
            <w:noWrap/>
            <w:vAlign w:val="bottom"/>
          </w:tcPr>
          <w:p w14:paraId="449D171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 xml:space="preserve">-1.377 </w:t>
            </w:r>
          </w:p>
        </w:tc>
        <w:tc>
          <w:tcPr>
            <w:tcW w:w="467" w:type="pct"/>
            <w:tcBorders>
              <w:top w:val="nil"/>
              <w:left w:val="nil"/>
              <w:bottom w:val="nil"/>
              <w:right w:val="nil"/>
            </w:tcBorders>
            <w:shd w:val="clear" w:color="auto" w:fill="auto"/>
            <w:noWrap/>
            <w:vAlign w:val="bottom"/>
          </w:tcPr>
          <w:p w14:paraId="598C216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-0.103</w:t>
            </w:r>
          </w:p>
        </w:tc>
        <w:tc>
          <w:tcPr>
            <w:tcW w:w="642" w:type="pct"/>
            <w:tcBorders>
              <w:top w:val="nil"/>
              <w:left w:val="nil"/>
              <w:bottom w:val="nil"/>
              <w:right w:val="nil"/>
            </w:tcBorders>
            <w:shd w:val="clear" w:color="auto" w:fill="auto"/>
            <w:noWrap/>
            <w:vAlign w:val="bottom"/>
          </w:tcPr>
          <w:p w14:paraId="6FEA47E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-6.073***</w:t>
            </w:r>
          </w:p>
        </w:tc>
        <w:tc>
          <w:tcPr>
            <w:tcW w:w="678" w:type="pct"/>
            <w:tcBorders>
              <w:top w:val="nil"/>
              <w:left w:val="nil"/>
              <w:bottom w:val="nil"/>
              <w:right w:val="nil"/>
            </w:tcBorders>
            <w:shd w:val="clear" w:color="auto" w:fill="auto"/>
            <w:noWrap/>
            <w:vAlign w:val="bottom"/>
          </w:tcPr>
          <w:p w14:paraId="09D560CF"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0.382</w:t>
            </w:r>
          </w:p>
        </w:tc>
        <w:tc>
          <w:tcPr>
            <w:tcW w:w="480" w:type="pct"/>
            <w:tcBorders>
              <w:top w:val="nil"/>
              <w:left w:val="nil"/>
              <w:bottom w:val="nil"/>
              <w:right w:val="nil"/>
            </w:tcBorders>
            <w:shd w:val="clear" w:color="auto" w:fill="auto"/>
            <w:noWrap/>
            <w:vAlign w:val="bottom"/>
          </w:tcPr>
          <w:p w14:paraId="59EF8A4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16,977</w:t>
            </w:r>
          </w:p>
        </w:tc>
        <w:tc>
          <w:tcPr>
            <w:tcW w:w="833" w:type="pct"/>
            <w:tcBorders>
              <w:top w:val="nil"/>
              <w:left w:val="nil"/>
              <w:bottom w:val="nil"/>
              <w:right w:val="nil"/>
            </w:tcBorders>
          </w:tcPr>
          <w:p w14:paraId="55990F59"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47F01616" w14:textId="77777777" w:rsidTr="008F6E16">
        <w:trPr>
          <w:trHeight w:val="144"/>
        </w:trPr>
        <w:tc>
          <w:tcPr>
            <w:tcW w:w="784" w:type="pct"/>
            <w:tcBorders>
              <w:top w:val="nil"/>
              <w:left w:val="nil"/>
              <w:bottom w:val="nil"/>
              <w:right w:val="nil"/>
            </w:tcBorders>
            <w:shd w:val="clear" w:color="auto" w:fill="auto"/>
            <w:noWrap/>
            <w:vAlign w:val="bottom"/>
            <w:hideMark/>
          </w:tcPr>
          <w:p w14:paraId="407D380C"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p>
        </w:tc>
        <w:tc>
          <w:tcPr>
            <w:tcW w:w="540" w:type="pct"/>
            <w:tcBorders>
              <w:top w:val="nil"/>
              <w:left w:val="nil"/>
              <w:bottom w:val="nil"/>
              <w:right w:val="nil"/>
            </w:tcBorders>
            <w:shd w:val="clear" w:color="auto" w:fill="auto"/>
            <w:noWrap/>
            <w:vAlign w:val="bottom"/>
            <w:hideMark/>
          </w:tcPr>
          <w:p w14:paraId="1EDC0817"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76" w:type="pct"/>
            <w:tcBorders>
              <w:top w:val="nil"/>
              <w:left w:val="nil"/>
              <w:bottom w:val="nil"/>
              <w:right w:val="nil"/>
            </w:tcBorders>
            <w:shd w:val="clear" w:color="auto" w:fill="auto"/>
            <w:noWrap/>
            <w:vAlign w:val="bottom"/>
            <w:hideMark/>
          </w:tcPr>
          <w:p w14:paraId="7A2F2B20"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467" w:type="pct"/>
            <w:tcBorders>
              <w:top w:val="nil"/>
              <w:left w:val="nil"/>
              <w:bottom w:val="nil"/>
              <w:right w:val="nil"/>
            </w:tcBorders>
            <w:shd w:val="clear" w:color="auto" w:fill="auto"/>
            <w:noWrap/>
            <w:vAlign w:val="bottom"/>
            <w:hideMark/>
          </w:tcPr>
          <w:p w14:paraId="7E96637B"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42" w:type="pct"/>
            <w:tcBorders>
              <w:top w:val="nil"/>
              <w:left w:val="nil"/>
              <w:bottom w:val="nil"/>
              <w:right w:val="nil"/>
            </w:tcBorders>
            <w:shd w:val="clear" w:color="auto" w:fill="auto"/>
            <w:noWrap/>
            <w:vAlign w:val="bottom"/>
            <w:hideMark/>
          </w:tcPr>
          <w:p w14:paraId="6A73656F"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78" w:type="pct"/>
            <w:tcBorders>
              <w:top w:val="nil"/>
              <w:left w:val="nil"/>
              <w:bottom w:val="nil"/>
              <w:right w:val="nil"/>
            </w:tcBorders>
            <w:shd w:val="clear" w:color="auto" w:fill="auto"/>
            <w:noWrap/>
            <w:vAlign w:val="bottom"/>
            <w:hideMark/>
          </w:tcPr>
          <w:p w14:paraId="680747FC"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480" w:type="pct"/>
            <w:tcBorders>
              <w:top w:val="nil"/>
              <w:left w:val="nil"/>
              <w:bottom w:val="nil"/>
              <w:right w:val="nil"/>
            </w:tcBorders>
            <w:shd w:val="clear" w:color="auto" w:fill="auto"/>
            <w:noWrap/>
            <w:vAlign w:val="bottom"/>
            <w:hideMark/>
          </w:tcPr>
          <w:p w14:paraId="7A6187A1"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833" w:type="pct"/>
            <w:tcBorders>
              <w:top w:val="nil"/>
              <w:left w:val="nil"/>
              <w:bottom w:val="nil"/>
              <w:right w:val="nil"/>
            </w:tcBorders>
          </w:tcPr>
          <w:p w14:paraId="0A9D19B6"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r>
      <w:tr w:rsidR="0083161B" w:rsidRPr="00D23517" w14:paraId="3A5B98D9" w14:textId="77777777" w:rsidTr="008F6E16">
        <w:trPr>
          <w:trHeight w:val="89"/>
        </w:trPr>
        <w:tc>
          <w:tcPr>
            <w:tcW w:w="4167" w:type="pct"/>
            <w:gridSpan w:val="7"/>
            <w:tcBorders>
              <w:top w:val="nil"/>
              <w:left w:val="nil"/>
              <w:bottom w:val="nil"/>
              <w:right w:val="nil"/>
            </w:tcBorders>
            <w:shd w:val="clear" w:color="auto" w:fill="auto"/>
            <w:noWrap/>
            <w:vAlign w:val="bottom"/>
            <w:hideMark/>
          </w:tcPr>
          <w:p w14:paraId="608C21F5"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r w:rsidRPr="00D23517">
              <w:rPr>
                <w:rFonts w:ascii="Times New Roman" w:eastAsia="Times New Roman" w:hAnsi="Times New Roman" w:cs="Times New Roman"/>
                <w:b/>
                <w:i/>
                <w:color w:val="000000"/>
                <w:sz w:val="20"/>
                <w:szCs w:val="20"/>
                <w:u w:val="single"/>
              </w:rPr>
              <w:t>Panel D - NCSKEW</w:t>
            </w:r>
          </w:p>
        </w:tc>
        <w:tc>
          <w:tcPr>
            <w:tcW w:w="833" w:type="pct"/>
            <w:tcBorders>
              <w:top w:val="nil"/>
              <w:left w:val="nil"/>
              <w:bottom w:val="nil"/>
              <w:right w:val="nil"/>
            </w:tcBorders>
          </w:tcPr>
          <w:p w14:paraId="7AFF9748"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p>
        </w:tc>
      </w:tr>
      <w:tr w:rsidR="0083161B" w:rsidRPr="00D23517" w14:paraId="4E9E4F34" w14:textId="77777777" w:rsidTr="008F6E16">
        <w:trPr>
          <w:trHeight w:val="144"/>
        </w:trPr>
        <w:tc>
          <w:tcPr>
            <w:tcW w:w="784" w:type="pct"/>
            <w:tcBorders>
              <w:top w:val="nil"/>
              <w:left w:val="nil"/>
              <w:right w:val="nil"/>
            </w:tcBorders>
            <w:shd w:val="clear" w:color="auto" w:fill="auto"/>
            <w:noWrap/>
            <w:vAlign w:val="bottom"/>
          </w:tcPr>
          <w:p w14:paraId="670381B0"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1990 - 2006</w:t>
            </w:r>
          </w:p>
        </w:tc>
        <w:tc>
          <w:tcPr>
            <w:tcW w:w="540" w:type="pct"/>
            <w:tcBorders>
              <w:top w:val="nil"/>
              <w:left w:val="nil"/>
              <w:bottom w:val="nil"/>
              <w:right w:val="nil"/>
            </w:tcBorders>
            <w:shd w:val="clear" w:color="auto" w:fill="auto"/>
            <w:noWrap/>
            <w:vAlign w:val="bottom"/>
          </w:tcPr>
          <w:p w14:paraId="0C933A5F"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-0.027</w:t>
            </w:r>
          </w:p>
        </w:tc>
        <w:tc>
          <w:tcPr>
            <w:tcW w:w="576" w:type="pct"/>
            <w:tcBorders>
              <w:top w:val="nil"/>
              <w:left w:val="nil"/>
              <w:bottom w:val="nil"/>
              <w:right w:val="nil"/>
            </w:tcBorders>
            <w:shd w:val="clear" w:color="auto" w:fill="auto"/>
            <w:noWrap/>
            <w:vAlign w:val="bottom"/>
          </w:tcPr>
          <w:p w14:paraId="0733048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-3.813***</w:t>
            </w:r>
          </w:p>
        </w:tc>
        <w:tc>
          <w:tcPr>
            <w:tcW w:w="467" w:type="pct"/>
            <w:tcBorders>
              <w:top w:val="nil"/>
              <w:left w:val="nil"/>
              <w:bottom w:val="nil"/>
              <w:right w:val="nil"/>
            </w:tcBorders>
            <w:shd w:val="clear" w:color="auto" w:fill="auto"/>
            <w:noWrap/>
            <w:vAlign w:val="bottom"/>
          </w:tcPr>
          <w:p w14:paraId="4B41D42F"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-0.071</w:t>
            </w:r>
          </w:p>
        </w:tc>
        <w:tc>
          <w:tcPr>
            <w:tcW w:w="642" w:type="pct"/>
            <w:tcBorders>
              <w:top w:val="nil"/>
              <w:left w:val="nil"/>
              <w:bottom w:val="nil"/>
              <w:right w:val="nil"/>
            </w:tcBorders>
            <w:shd w:val="clear" w:color="auto" w:fill="auto"/>
            <w:noWrap/>
            <w:vAlign w:val="bottom"/>
          </w:tcPr>
          <w:p w14:paraId="3775F5CD"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-6.843***</w:t>
            </w:r>
          </w:p>
        </w:tc>
        <w:tc>
          <w:tcPr>
            <w:tcW w:w="678" w:type="pct"/>
            <w:tcBorders>
              <w:top w:val="nil"/>
              <w:left w:val="nil"/>
              <w:bottom w:val="nil"/>
              <w:right w:val="nil"/>
            </w:tcBorders>
            <w:shd w:val="clear" w:color="auto" w:fill="auto"/>
            <w:noWrap/>
            <w:vAlign w:val="bottom"/>
          </w:tcPr>
          <w:p w14:paraId="43639470"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0.0538</w:t>
            </w:r>
          </w:p>
        </w:tc>
        <w:tc>
          <w:tcPr>
            <w:tcW w:w="480" w:type="pct"/>
            <w:tcBorders>
              <w:top w:val="nil"/>
              <w:left w:val="nil"/>
              <w:bottom w:val="nil"/>
              <w:right w:val="nil"/>
            </w:tcBorders>
            <w:shd w:val="clear" w:color="auto" w:fill="auto"/>
            <w:noWrap/>
            <w:vAlign w:val="bottom"/>
          </w:tcPr>
          <w:p w14:paraId="5E4253C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41,395</w:t>
            </w:r>
          </w:p>
        </w:tc>
        <w:tc>
          <w:tcPr>
            <w:tcW w:w="833" w:type="pct"/>
            <w:tcBorders>
              <w:top w:val="nil"/>
              <w:left w:val="nil"/>
              <w:bottom w:val="nil"/>
              <w:right w:val="nil"/>
            </w:tcBorders>
          </w:tcPr>
          <w:p w14:paraId="31957B0C"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5063B0C4" w14:textId="77777777" w:rsidTr="008F6E16">
        <w:trPr>
          <w:trHeight w:val="144"/>
        </w:trPr>
        <w:tc>
          <w:tcPr>
            <w:tcW w:w="784" w:type="pct"/>
            <w:tcBorders>
              <w:top w:val="nil"/>
              <w:left w:val="nil"/>
              <w:right w:val="nil"/>
            </w:tcBorders>
            <w:shd w:val="clear" w:color="auto" w:fill="auto"/>
            <w:noWrap/>
            <w:vAlign w:val="bottom"/>
          </w:tcPr>
          <w:p w14:paraId="2A51618C"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2007 - 2009</w:t>
            </w:r>
          </w:p>
        </w:tc>
        <w:tc>
          <w:tcPr>
            <w:tcW w:w="540" w:type="pct"/>
            <w:tcBorders>
              <w:top w:val="nil"/>
              <w:left w:val="nil"/>
              <w:bottom w:val="nil"/>
              <w:right w:val="nil"/>
            </w:tcBorders>
            <w:shd w:val="clear" w:color="auto" w:fill="auto"/>
            <w:noWrap/>
            <w:vAlign w:val="bottom"/>
          </w:tcPr>
          <w:p w14:paraId="0F1801A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0.021</w:t>
            </w:r>
          </w:p>
        </w:tc>
        <w:tc>
          <w:tcPr>
            <w:tcW w:w="576" w:type="pct"/>
            <w:tcBorders>
              <w:top w:val="nil"/>
              <w:left w:val="nil"/>
              <w:bottom w:val="nil"/>
              <w:right w:val="nil"/>
            </w:tcBorders>
            <w:shd w:val="clear" w:color="auto" w:fill="auto"/>
            <w:noWrap/>
            <w:vAlign w:val="bottom"/>
          </w:tcPr>
          <w:p w14:paraId="2704AD60"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 xml:space="preserve">1.084 </w:t>
            </w:r>
          </w:p>
        </w:tc>
        <w:tc>
          <w:tcPr>
            <w:tcW w:w="467" w:type="pct"/>
            <w:tcBorders>
              <w:top w:val="nil"/>
              <w:left w:val="nil"/>
              <w:bottom w:val="nil"/>
              <w:right w:val="nil"/>
            </w:tcBorders>
            <w:shd w:val="clear" w:color="auto" w:fill="auto"/>
            <w:noWrap/>
            <w:vAlign w:val="bottom"/>
          </w:tcPr>
          <w:p w14:paraId="797C14D0"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-0.036</w:t>
            </w:r>
          </w:p>
        </w:tc>
        <w:tc>
          <w:tcPr>
            <w:tcW w:w="642" w:type="pct"/>
            <w:tcBorders>
              <w:top w:val="nil"/>
              <w:left w:val="nil"/>
              <w:bottom w:val="nil"/>
              <w:right w:val="nil"/>
            </w:tcBorders>
            <w:shd w:val="clear" w:color="auto" w:fill="auto"/>
            <w:noWrap/>
            <w:vAlign w:val="bottom"/>
          </w:tcPr>
          <w:p w14:paraId="283760B5"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 xml:space="preserve">-1.076 </w:t>
            </w:r>
          </w:p>
        </w:tc>
        <w:tc>
          <w:tcPr>
            <w:tcW w:w="678" w:type="pct"/>
            <w:tcBorders>
              <w:top w:val="nil"/>
              <w:left w:val="nil"/>
              <w:bottom w:val="nil"/>
              <w:right w:val="nil"/>
            </w:tcBorders>
            <w:shd w:val="clear" w:color="auto" w:fill="auto"/>
            <w:noWrap/>
            <w:vAlign w:val="bottom"/>
          </w:tcPr>
          <w:p w14:paraId="6F85BE04"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0.0117</w:t>
            </w:r>
          </w:p>
        </w:tc>
        <w:tc>
          <w:tcPr>
            <w:tcW w:w="480" w:type="pct"/>
            <w:tcBorders>
              <w:top w:val="nil"/>
              <w:left w:val="nil"/>
              <w:bottom w:val="nil"/>
              <w:right w:val="nil"/>
            </w:tcBorders>
            <w:shd w:val="clear" w:color="auto" w:fill="auto"/>
            <w:noWrap/>
            <w:vAlign w:val="bottom"/>
          </w:tcPr>
          <w:p w14:paraId="78D79D7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7,381</w:t>
            </w:r>
          </w:p>
        </w:tc>
        <w:tc>
          <w:tcPr>
            <w:tcW w:w="833" w:type="pct"/>
            <w:tcBorders>
              <w:top w:val="nil"/>
              <w:left w:val="nil"/>
              <w:right w:val="nil"/>
            </w:tcBorders>
          </w:tcPr>
          <w:p w14:paraId="02C1659C"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614C2641" w14:textId="77777777" w:rsidTr="008F6E16">
        <w:trPr>
          <w:trHeight w:val="144"/>
        </w:trPr>
        <w:tc>
          <w:tcPr>
            <w:tcW w:w="784" w:type="pct"/>
            <w:tcBorders>
              <w:top w:val="nil"/>
              <w:left w:val="nil"/>
              <w:bottom w:val="single" w:sz="4" w:space="0" w:color="auto"/>
              <w:right w:val="nil"/>
            </w:tcBorders>
            <w:shd w:val="clear" w:color="auto" w:fill="auto"/>
            <w:noWrap/>
            <w:vAlign w:val="bottom"/>
            <w:hideMark/>
          </w:tcPr>
          <w:p w14:paraId="1B8137A8"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2010 - 2016</w:t>
            </w:r>
          </w:p>
        </w:tc>
        <w:tc>
          <w:tcPr>
            <w:tcW w:w="540" w:type="pct"/>
            <w:tcBorders>
              <w:top w:val="nil"/>
              <w:left w:val="nil"/>
              <w:bottom w:val="single" w:sz="4" w:space="0" w:color="auto"/>
              <w:right w:val="nil"/>
            </w:tcBorders>
            <w:shd w:val="clear" w:color="auto" w:fill="auto"/>
            <w:noWrap/>
            <w:vAlign w:val="bottom"/>
          </w:tcPr>
          <w:p w14:paraId="4740FA74"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-0.005</w:t>
            </w:r>
          </w:p>
        </w:tc>
        <w:tc>
          <w:tcPr>
            <w:tcW w:w="576" w:type="pct"/>
            <w:tcBorders>
              <w:top w:val="nil"/>
              <w:left w:val="nil"/>
              <w:bottom w:val="single" w:sz="4" w:space="0" w:color="auto"/>
              <w:right w:val="nil"/>
            </w:tcBorders>
            <w:shd w:val="clear" w:color="auto" w:fill="auto"/>
            <w:noWrap/>
            <w:vAlign w:val="bottom"/>
          </w:tcPr>
          <w:p w14:paraId="22D5067D"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 xml:space="preserve">-0.377 </w:t>
            </w:r>
          </w:p>
        </w:tc>
        <w:tc>
          <w:tcPr>
            <w:tcW w:w="467" w:type="pct"/>
            <w:tcBorders>
              <w:top w:val="nil"/>
              <w:left w:val="nil"/>
              <w:bottom w:val="single" w:sz="4" w:space="0" w:color="auto"/>
              <w:right w:val="nil"/>
            </w:tcBorders>
            <w:shd w:val="clear" w:color="auto" w:fill="auto"/>
            <w:noWrap/>
            <w:vAlign w:val="bottom"/>
          </w:tcPr>
          <w:p w14:paraId="6166B4C9"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-0.110</w:t>
            </w:r>
          </w:p>
        </w:tc>
        <w:tc>
          <w:tcPr>
            <w:tcW w:w="642" w:type="pct"/>
            <w:tcBorders>
              <w:top w:val="nil"/>
              <w:left w:val="nil"/>
              <w:bottom w:val="single" w:sz="4" w:space="0" w:color="auto"/>
              <w:right w:val="nil"/>
            </w:tcBorders>
            <w:shd w:val="clear" w:color="auto" w:fill="auto"/>
            <w:noWrap/>
            <w:vAlign w:val="bottom"/>
          </w:tcPr>
          <w:p w14:paraId="3C3278E2"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-4.871***</w:t>
            </w:r>
          </w:p>
        </w:tc>
        <w:tc>
          <w:tcPr>
            <w:tcW w:w="678" w:type="pct"/>
            <w:tcBorders>
              <w:top w:val="nil"/>
              <w:left w:val="nil"/>
              <w:bottom w:val="single" w:sz="4" w:space="0" w:color="auto"/>
              <w:right w:val="nil"/>
            </w:tcBorders>
            <w:shd w:val="clear" w:color="auto" w:fill="auto"/>
            <w:noWrap/>
            <w:vAlign w:val="bottom"/>
          </w:tcPr>
          <w:p w14:paraId="77544539"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0.0190</w:t>
            </w:r>
          </w:p>
        </w:tc>
        <w:tc>
          <w:tcPr>
            <w:tcW w:w="480" w:type="pct"/>
            <w:tcBorders>
              <w:top w:val="nil"/>
              <w:left w:val="nil"/>
              <w:bottom w:val="single" w:sz="4" w:space="0" w:color="auto"/>
              <w:right w:val="nil"/>
            </w:tcBorders>
            <w:shd w:val="clear" w:color="auto" w:fill="auto"/>
            <w:noWrap/>
            <w:vAlign w:val="bottom"/>
          </w:tcPr>
          <w:p w14:paraId="76F094B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16,317</w:t>
            </w:r>
          </w:p>
        </w:tc>
        <w:tc>
          <w:tcPr>
            <w:tcW w:w="833" w:type="pct"/>
            <w:tcBorders>
              <w:top w:val="nil"/>
              <w:left w:val="nil"/>
              <w:bottom w:val="single" w:sz="4" w:space="0" w:color="auto"/>
              <w:right w:val="nil"/>
            </w:tcBorders>
          </w:tcPr>
          <w:p w14:paraId="068617CF"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bl>
    <w:p w14:paraId="41648572" w14:textId="22B5FC4E" w:rsidR="0083161B" w:rsidRPr="005F4D86" w:rsidRDefault="009B6F98" w:rsidP="00A1062B">
      <w:pPr>
        <w:jc w:val="both"/>
        <w:rPr>
          <w:sz w:val="20"/>
          <w:szCs w:val="20"/>
        </w:rPr>
      </w:pPr>
      <w:r w:rsidRPr="005F4D86">
        <w:rPr>
          <w:rFonts w:ascii="Times New Roman" w:hAnsi="Times New Roman" w:cs="Times New Roman"/>
          <w:sz w:val="20"/>
          <w:szCs w:val="20"/>
        </w:rPr>
        <w:t>Note</w:t>
      </w:r>
      <w:r w:rsidR="00982C8F" w:rsidRPr="005F4D86">
        <w:rPr>
          <w:rFonts w:ascii="Times New Roman" w:hAnsi="Times New Roman" w:cs="Times New Roman"/>
          <w:sz w:val="20"/>
          <w:szCs w:val="20"/>
        </w:rPr>
        <w:t xml:space="preserve">: </w:t>
      </w:r>
      <w:r w:rsidR="004F0457" w:rsidRPr="005F4D86">
        <w:rPr>
          <w:rFonts w:ascii="Times New Roman" w:hAnsi="Times New Roman" w:cs="Times New Roman"/>
          <w:sz w:val="20"/>
          <w:szCs w:val="20"/>
        </w:rPr>
        <w:t xml:space="preserve">This table reports the results from the panel data firm-fixed effect regressions for the </w:t>
      </w:r>
      <w:r w:rsidR="006E7F78">
        <w:rPr>
          <w:rFonts w:ascii="Times New Roman" w:hAnsi="Times New Roman" w:cs="Times New Roman"/>
          <w:sz w:val="20"/>
          <w:szCs w:val="20"/>
        </w:rPr>
        <w:t>three</w:t>
      </w:r>
      <w:r w:rsidR="006E7F78" w:rsidRPr="005F4D86">
        <w:rPr>
          <w:rFonts w:ascii="Times New Roman" w:hAnsi="Times New Roman" w:cs="Times New Roman"/>
          <w:sz w:val="20"/>
          <w:szCs w:val="20"/>
        </w:rPr>
        <w:t xml:space="preserve"> </w:t>
      </w:r>
      <w:r w:rsidR="004F0457" w:rsidRPr="005F4D86">
        <w:rPr>
          <w:rFonts w:ascii="Times New Roman" w:hAnsi="Times New Roman" w:cs="Times New Roman"/>
          <w:sz w:val="20"/>
          <w:szCs w:val="20"/>
        </w:rPr>
        <w:t>sub</w:t>
      </w:r>
      <w:r w:rsidR="005217FE">
        <w:rPr>
          <w:rFonts w:ascii="Times New Roman" w:hAnsi="Times New Roman" w:cs="Times New Roman"/>
          <w:sz w:val="20"/>
          <w:szCs w:val="20"/>
        </w:rPr>
        <w:t>-</w:t>
      </w:r>
      <w:r w:rsidR="004F0457" w:rsidRPr="005F4D86">
        <w:rPr>
          <w:rFonts w:ascii="Times New Roman" w:hAnsi="Times New Roman" w:cs="Times New Roman"/>
          <w:sz w:val="20"/>
          <w:szCs w:val="20"/>
        </w:rPr>
        <w:t>periods: 1990-2006 (pre-crisis period), 2007-2009 (crisis period)</w:t>
      </w:r>
      <w:r w:rsidR="006E7F78">
        <w:rPr>
          <w:rFonts w:ascii="Times New Roman" w:hAnsi="Times New Roman" w:cs="Times New Roman"/>
          <w:sz w:val="20"/>
          <w:szCs w:val="20"/>
        </w:rPr>
        <w:t>,</w:t>
      </w:r>
      <w:r w:rsidR="004F0457" w:rsidRPr="005F4D86">
        <w:rPr>
          <w:rFonts w:ascii="Times New Roman" w:hAnsi="Times New Roman" w:cs="Times New Roman"/>
          <w:sz w:val="20"/>
          <w:szCs w:val="20"/>
        </w:rPr>
        <w:t xml:space="preserve"> and 2010-2016 (post-crisis period). The dependent variables are ROA volatility (</w:t>
      </w:r>
      <w:r w:rsidR="000B1D20" w:rsidRPr="005F4D86">
        <w:rPr>
          <w:rFonts w:ascii="Times New Roman" w:hAnsi="Times New Roman" w:cs="Times New Roman"/>
          <w:i/>
          <w:sz w:val="20"/>
          <w:szCs w:val="20"/>
        </w:rPr>
        <w:t>ROAVOL</w:t>
      </w:r>
      <w:r w:rsidR="000B1D20" w:rsidRPr="005F4D86">
        <w:rPr>
          <w:rFonts w:ascii="Times New Roman" w:hAnsi="Times New Roman" w:cs="Times New Roman"/>
          <w:sz w:val="20"/>
          <w:szCs w:val="20"/>
        </w:rPr>
        <w:t xml:space="preserve"> </w:t>
      </w:r>
      <w:r w:rsidR="004F0457" w:rsidRPr="005F4D86">
        <w:rPr>
          <w:rFonts w:ascii="Times New Roman" w:hAnsi="Times New Roman" w:cs="Times New Roman"/>
          <w:sz w:val="20"/>
          <w:szCs w:val="20"/>
        </w:rPr>
        <w:t>in Panel A), the two measures of stock price volatility (</w:t>
      </w:r>
      <w:r w:rsidR="004F0457" w:rsidRPr="005F4D86">
        <w:rPr>
          <w:rFonts w:ascii="Times New Roman" w:hAnsi="Times New Roman" w:cs="Times New Roman"/>
          <w:i/>
          <w:sz w:val="20"/>
          <w:szCs w:val="20"/>
        </w:rPr>
        <w:t>TOTRISK</w:t>
      </w:r>
      <w:r w:rsidR="004F0457" w:rsidRPr="005F4D86">
        <w:rPr>
          <w:rFonts w:ascii="Times New Roman" w:hAnsi="Times New Roman" w:cs="Times New Roman"/>
          <w:sz w:val="20"/>
          <w:szCs w:val="20"/>
        </w:rPr>
        <w:t xml:space="preserve"> in Panel B and </w:t>
      </w:r>
      <w:r w:rsidR="004F0457" w:rsidRPr="005F4D86">
        <w:rPr>
          <w:rFonts w:ascii="Times New Roman" w:hAnsi="Times New Roman" w:cs="Times New Roman"/>
          <w:i/>
          <w:sz w:val="20"/>
          <w:szCs w:val="20"/>
        </w:rPr>
        <w:t>IDIORISK</w:t>
      </w:r>
      <w:r w:rsidR="004F0457" w:rsidRPr="005F4D86">
        <w:rPr>
          <w:rFonts w:ascii="Times New Roman" w:hAnsi="Times New Roman" w:cs="Times New Roman"/>
          <w:sz w:val="20"/>
          <w:szCs w:val="20"/>
        </w:rPr>
        <w:t xml:space="preserve"> in Panel C)</w:t>
      </w:r>
      <w:r w:rsidR="006E7F78">
        <w:rPr>
          <w:rFonts w:ascii="Times New Roman" w:hAnsi="Times New Roman" w:cs="Times New Roman"/>
          <w:sz w:val="20"/>
          <w:szCs w:val="20"/>
        </w:rPr>
        <w:t>,</w:t>
      </w:r>
      <w:r w:rsidR="004F0457" w:rsidRPr="005F4D86">
        <w:rPr>
          <w:rFonts w:ascii="Times New Roman" w:hAnsi="Times New Roman" w:cs="Times New Roman"/>
          <w:sz w:val="20"/>
          <w:szCs w:val="20"/>
        </w:rPr>
        <w:t xml:space="preserve"> and one measure of stock price crash risk (</w:t>
      </w:r>
      <w:r w:rsidR="004F0457" w:rsidRPr="005F4D86">
        <w:rPr>
          <w:rFonts w:ascii="Times New Roman" w:hAnsi="Times New Roman" w:cs="Times New Roman"/>
          <w:i/>
          <w:sz w:val="20"/>
          <w:szCs w:val="20"/>
        </w:rPr>
        <w:t>NCSKEW</w:t>
      </w:r>
      <w:r w:rsidR="004F0457" w:rsidRPr="005F4D86">
        <w:rPr>
          <w:rFonts w:ascii="Times New Roman" w:hAnsi="Times New Roman" w:cs="Times New Roman"/>
          <w:sz w:val="20"/>
          <w:szCs w:val="20"/>
        </w:rPr>
        <w:t xml:space="preserve"> in Panel D). ROA volatility (</w:t>
      </w:r>
      <w:r w:rsidR="004F0457" w:rsidRPr="005F4D86">
        <w:rPr>
          <w:rFonts w:ascii="Times New Roman" w:hAnsi="Times New Roman" w:cs="Times New Roman"/>
          <w:i/>
          <w:sz w:val="20"/>
          <w:szCs w:val="20"/>
        </w:rPr>
        <w:t>ROAVOL</w:t>
      </w:r>
      <w:r w:rsidR="004F0457" w:rsidRPr="005F4D86">
        <w:rPr>
          <w:rFonts w:ascii="Times New Roman" w:hAnsi="Times New Roman" w:cs="Times New Roman"/>
          <w:sz w:val="20"/>
          <w:szCs w:val="20"/>
        </w:rPr>
        <w:t>) is the standard deviation of return on assets over the 5 years period (from year -4 to the current fiscal year).</w:t>
      </w:r>
      <w:r w:rsidR="004F0457" w:rsidRPr="005F4D86">
        <w:rPr>
          <w:rFonts w:ascii="Times New Roman" w:hAnsi="Times New Roman" w:cs="Times New Roman"/>
          <w:i/>
          <w:sz w:val="20"/>
          <w:szCs w:val="20"/>
        </w:rPr>
        <w:t xml:space="preserve"> </w:t>
      </w:r>
      <w:r w:rsidR="00FC6F5C">
        <w:rPr>
          <w:rFonts w:ascii="Times New Roman" w:hAnsi="Times New Roman" w:cs="Times New Roman"/>
          <w:sz w:val="20"/>
          <w:szCs w:val="20"/>
        </w:rPr>
        <w:t>T</w:t>
      </w:r>
      <w:r w:rsidR="00FC6F5C" w:rsidRPr="005F4D86">
        <w:rPr>
          <w:rFonts w:ascii="Times New Roman" w:hAnsi="Times New Roman" w:cs="Times New Roman"/>
          <w:sz w:val="20"/>
          <w:szCs w:val="20"/>
        </w:rPr>
        <w:t>otal risk</w:t>
      </w:r>
      <w:r w:rsidR="00FC6F5C" w:rsidRPr="005F4D86">
        <w:rPr>
          <w:rFonts w:ascii="Times New Roman" w:hAnsi="Times New Roman" w:cs="Times New Roman"/>
          <w:i/>
          <w:sz w:val="20"/>
          <w:szCs w:val="20"/>
        </w:rPr>
        <w:t xml:space="preserve"> </w:t>
      </w:r>
      <w:r w:rsidR="00FC6F5C">
        <w:rPr>
          <w:rFonts w:ascii="Times New Roman" w:hAnsi="Times New Roman" w:cs="Times New Roman"/>
          <w:i/>
          <w:sz w:val="20"/>
          <w:szCs w:val="20"/>
        </w:rPr>
        <w:t>(</w:t>
      </w:r>
      <w:r w:rsidR="004F0457" w:rsidRPr="005F4D86">
        <w:rPr>
          <w:rFonts w:ascii="Times New Roman" w:hAnsi="Times New Roman" w:cs="Times New Roman"/>
          <w:i/>
          <w:sz w:val="20"/>
          <w:szCs w:val="20"/>
        </w:rPr>
        <w:t>TOTRISK</w:t>
      </w:r>
      <w:r w:rsidR="00FC6F5C">
        <w:rPr>
          <w:rFonts w:ascii="Times New Roman" w:hAnsi="Times New Roman" w:cs="Times New Roman"/>
          <w:sz w:val="20"/>
          <w:szCs w:val="20"/>
        </w:rPr>
        <w:t>)</w:t>
      </w:r>
      <w:r w:rsidR="00FC6F5C" w:rsidRPr="005F4D86">
        <w:rPr>
          <w:rFonts w:ascii="Times New Roman" w:hAnsi="Times New Roman" w:cs="Times New Roman"/>
          <w:sz w:val="20"/>
          <w:szCs w:val="20"/>
        </w:rPr>
        <w:t xml:space="preserve"> </w:t>
      </w:r>
      <w:r w:rsidR="004F0457" w:rsidRPr="005F4D86">
        <w:rPr>
          <w:rFonts w:ascii="Times New Roman" w:hAnsi="Times New Roman" w:cs="Times New Roman"/>
          <w:sz w:val="20"/>
          <w:szCs w:val="20"/>
        </w:rPr>
        <w:t>is the annualized standard deviation of the daily stock returns in the year.</w:t>
      </w:r>
      <w:r w:rsidR="004F0457" w:rsidRPr="005F4D86">
        <w:rPr>
          <w:rFonts w:ascii="Times New Roman" w:hAnsi="Times New Roman" w:cs="Times New Roman"/>
          <w:i/>
          <w:sz w:val="20"/>
          <w:szCs w:val="20"/>
        </w:rPr>
        <w:t xml:space="preserve"> </w:t>
      </w:r>
      <w:r w:rsidR="00FC6F5C">
        <w:rPr>
          <w:rFonts w:ascii="Times New Roman" w:hAnsi="Times New Roman" w:cs="Times New Roman"/>
          <w:sz w:val="20"/>
          <w:szCs w:val="20"/>
        </w:rPr>
        <w:t>I</w:t>
      </w:r>
      <w:r w:rsidR="00FC6F5C" w:rsidRPr="005F4D86">
        <w:rPr>
          <w:rFonts w:ascii="Times New Roman" w:hAnsi="Times New Roman" w:cs="Times New Roman"/>
          <w:sz w:val="20"/>
          <w:szCs w:val="20"/>
        </w:rPr>
        <w:t>diosyncratic risk</w:t>
      </w:r>
      <w:r w:rsidR="00FC6F5C">
        <w:rPr>
          <w:rFonts w:ascii="Times New Roman" w:hAnsi="Times New Roman" w:cs="Times New Roman"/>
          <w:sz w:val="20"/>
          <w:szCs w:val="20"/>
        </w:rPr>
        <w:t xml:space="preserve"> (</w:t>
      </w:r>
      <w:r w:rsidR="004F0457" w:rsidRPr="005F4D86">
        <w:rPr>
          <w:rFonts w:ascii="Times New Roman" w:hAnsi="Times New Roman" w:cs="Times New Roman"/>
          <w:i/>
          <w:sz w:val="20"/>
          <w:szCs w:val="20"/>
        </w:rPr>
        <w:t>IDIORISK</w:t>
      </w:r>
      <w:r w:rsidR="00FC6F5C">
        <w:rPr>
          <w:rFonts w:ascii="Times New Roman" w:hAnsi="Times New Roman" w:cs="Times New Roman"/>
          <w:sz w:val="20"/>
          <w:szCs w:val="20"/>
        </w:rPr>
        <w:t>)</w:t>
      </w:r>
      <w:r w:rsidR="004F0457" w:rsidRPr="005F4D86">
        <w:rPr>
          <w:rFonts w:ascii="Times New Roman" w:hAnsi="Times New Roman" w:cs="Times New Roman"/>
          <w:sz w:val="20"/>
          <w:szCs w:val="20"/>
        </w:rPr>
        <w:t xml:space="preserve"> is the annualized standard deviation of the residuals from the </w:t>
      </w:r>
      <w:proofErr w:type="spellStart"/>
      <w:r w:rsidR="004F0457" w:rsidRPr="005F4D86">
        <w:rPr>
          <w:rFonts w:ascii="Times New Roman" w:hAnsi="Times New Roman" w:cs="Times New Roman"/>
          <w:sz w:val="20"/>
          <w:szCs w:val="20"/>
        </w:rPr>
        <w:t>Fama</w:t>
      </w:r>
      <w:proofErr w:type="spellEnd"/>
      <w:r w:rsidR="004F0457" w:rsidRPr="005F4D86">
        <w:rPr>
          <w:rFonts w:ascii="Times New Roman" w:hAnsi="Times New Roman" w:cs="Times New Roman"/>
          <w:sz w:val="20"/>
          <w:szCs w:val="20"/>
        </w:rPr>
        <w:t>-French 4-factor model using daily stock returns in the year.</w:t>
      </w:r>
      <w:r w:rsidR="004F0457" w:rsidRPr="005F4D86">
        <w:rPr>
          <w:rFonts w:ascii="Times New Roman" w:hAnsi="Times New Roman" w:cs="Times New Roman"/>
          <w:i/>
          <w:sz w:val="20"/>
          <w:szCs w:val="20"/>
        </w:rPr>
        <w:t xml:space="preserve"> NCSKEW</w:t>
      </w:r>
      <w:r w:rsidR="004F0457" w:rsidRPr="005F4D86">
        <w:rPr>
          <w:rFonts w:ascii="Times New Roman" w:hAnsi="Times New Roman" w:cs="Times New Roman"/>
          <w:sz w:val="20"/>
          <w:szCs w:val="20"/>
        </w:rPr>
        <w:t xml:space="preserve"> is the negative conditional skewness of firm-specific weekly return, calculated as the negative third central moment of firm-specific weekly returns divided by the cubed standard deviation of firm-specific weekly returns.</w:t>
      </w:r>
      <w:r w:rsidR="004F0457" w:rsidRPr="005F4D86">
        <w:rPr>
          <w:rFonts w:ascii="Times New Roman" w:eastAsiaTheme="minorEastAsia" w:hAnsi="Times New Roman" w:cs="Times New Roman"/>
          <w:sz w:val="20"/>
          <w:szCs w:val="20"/>
        </w:rPr>
        <w:t xml:space="preserve"> </w:t>
      </w:r>
      <w:r w:rsidR="004F0457" w:rsidRPr="005F4D86">
        <w:rPr>
          <w:rFonts w:ascii="Times New Roman" w:hAnsi="Times New Roman" w:cs="Times New Roman"/>
          <w:i/>
          <w:sz w:val="20"/>
          <w:szCs w:val="20"/>
        </w:rPr>
        <w:t>NONOPERINC</w:t>
      </w:r>
      <w:r w:rsidR="004F0457" w:rsidRPr="005F4D86">
        <w:rPr>
          <w:rFonts w:ascii="Times New Roman" w:hAnsi="Times New Roman" w:cs="Times New Roman"/>
          <w:sz w:val="20"/>
          <w:szCs w:val="20"/>
        </w:rPr>
        <w:t xml:space="preserve"> is the ratio of non-operating income to assets at the end of the fiscal year. </w:t>
      </w:r>
      <w:r w:rsidR="004F0457" w:rsidRPr="005F4D86">
        <w:rPr>
          <w:rFonts w:ascii="Times New Roman" w:hAnsi="Times New Roman" w:cs="Times New Roman"/>
          <w:i/>
          <w:sz w:val="20"/>
          <w:szCs w:val="20"/>
        </w:rPr>
        <w:t>OPERINC</w:t>
      </w:r>
      <w:r w:rsidR="004F0457" w:rsidRPr="005F4D86">
        <w:rPr>
          <w:rFonts w:ascii="Times New Roman" w:hAnsi="Times New Roman" w:cs="Times New Roman"/>
          <w:sz w:val="20"/>
          <w:szCs w:val="20"/>
        </w:rPr>
        <w:t xml:space="preserve"> is the ratio of operating income to assets at the end of the fiscal year. For brevity, only coefficients on </w:t>
      </w:r>
      <w:r w:rsidR="004F0457" w:rsidRPr="005F4D86">
        <w:rPr>
          <w:rFonts w:ascii="Times New Roman" w:hAnsi="Times New Roman" w:cs="Times New Roman"/>
          <w:i/>
          <w:sz w:val="20"/>
          <w:szCs w:val="20"/>
        </w:rPr>
        <w:t>NONOPERINC</w:t>
      </w:r>
      <w:r w:rsidR="004F0457" w:rsidRPr="005F4D86">
        <w:rPr>
          <w:rFonts w:ascii="Times New Roman" w:hAnsi="Times New Roman" w:cs="Times New Roman"/>
          <w:sz w:val="20"/>
          <w:szCs w:val="20"/>
        </w:rPr>
        <w:t xml:space="preserve"> and </w:t>
      </w:r>
      <w:r w:rsidR="004F0457" w:rsidRPr="005F4D86">
        <w:rPr>
          <w:rFonts w:ascii="Times New Roman" w:hAnsi="Times New Roman" w:cs="Times New Roman"/>
          <w:i/>
          <w:sz w:val="20"/>
          <w:szCs w:val="20"/>
        </w:rPr>
        <w:t>OPERINC</w:t>
      </w:r>
      <w:r w:rsidR="004F0457" w:rsidRPr="005F4D86">
        <w:rPr>
          <w:rFonts w:ascii="Times New Roman" w:hAnsi="Times New Roman" w:cs="Times New Roman"/>
          <w:sz w:val="20"/>
          <w:szCs w:val="20"/>
        </w:rPr>
        <w:t xml:space="preserve"> are reported. *, ** and *** indicate the significance levels of 10%, 5% and 1%, respectively</w:t>
      </w:r>
      <w:r w:rsidR="0083161B" w:rsidRPr="005F4D86">
        <w:rPr>
          <w:sz w:val="20"/>
          <w:szCs w:val="20"/>
        </w:rPr>
        <w:br w:type="page"/>
      </w:r>
    </w:p>
    <w:tbl>
      <w:tblPr>
        <w:tblW w:w="5000" w:type="pct"/>
        <w:tblLook w:val="04A0" w:firstRow="1" w:lastRow="0" w:firstColumn="1" w:lastColumn="0" w:noHBand="0" w:noVBand="1"/>
      </w:tblPr>
      <w:tblGrid>
        <w:gridCol w:w="1175"/>
        <w:gridCol w:w="762"/>
        <w:gridCol w:w="1265"/>
        <w:gridCol w:w="762"/>
        <w:gridCol w:w="1370"/>
        <w:gridCol w:w="1520"/>
        <w:gridCol w:w="797"/>
        <w:gridCol w:w="1709"/>
      </w:tblGrid>
      <w:tr w:rsidR="0083161B" w:rsidRPr="00D23517" w14:paraId="4D38AA72" w14:textId="77777777" w:rsidTr="00D23517">
        <w:trPr>
          <w:trHeight w:val="144"/>
        </w:trPr>
        <w:tc>
          <w:tcPr>
            <w:tcW w:w="5000" w:type="pct"/>
            <w:gridSpan w:val="8"/>
            <w:tcBorders>
              <w:top w:val="nil"/>
              <w:left w:val="nil"/>
              <w:bottom w:val="single" w:sz="4" w:space="0" w:color="auto"/>
              <w:right w:val="nil"/>
            </w:tcBorders>
            <w:shd w:val="clear" w:color="auto" w:fill="auto"/>
            <w:noWrap/>
            <w:vAlign w:val="bottom"/>
            <w:hideMark/>
          </w:tcPr>
          <w:p w14:paraId="3EE408F6" w14:textId="5A90C227" w:rsidR="00982C8F" w:rsidRPr="00D23517" w:rsidRDefault="0083161B" w:rsidP="00D23517">
            <w:pPr>
              <w:pBdr>
                <w:bottom w:val="single" w:sz="4" w:space="1" w:color="auto"/>
              </w:pBdr>
              <w:spacing w:after="0" w:line="240" w:lineRule="auto"/>
              <w:rPr>
                <w:rFonts w:ascii="Times New Roman" w:eastAsia="Times New Roman" w:hAnsi="Times New Roman" w:cs="Times New Roman"/>
                <w:b/>
                <w:color w:val="000000"/>
                <w:sz w:val="20"/>
                <w:szCs w:val="20"/>
              </w:rPr>
            </w:pPr>
            <w:r w:rsidRPr="00D23517">
              <w:rPr>
                <w:rFonts w:ascii="Times New Roman" w:eastAsia="Times New Roman" w:hAnsi="Times New Roman" w:cs="Times New Roman"/>
                <w:b/>
                <w:color w:val="000000"/>
                <w:sz w:val="24"/>
                <w:szCs w:val="24"/>
              </w:rPr>
              <w:lastRenderedPageBreak/>
              <w:t>Table A6</w:t>
            </w:r>
            <w:r w:rsidR="00982C8F" w:rsidRPr="00D23517">
              <w:rPr>
                <w:rFonts w:ascii="Times New Roman" w:eastAsia="Times New Roman" w:hAnsi="Times New Roman" w:cs="Times New Roman"/>
                <w:b/>
                <w:color w:val="000000"/>
                <w:sz w:val="24"/>
                <w:szCs w:val="24"/>
              </w:rPr>
              <w:t xml:space="preserve">: </w:t>
            </w:r>
            <w:r w:rsidRPr="00D23517">
              <w:rPr>
                <w:rFonts w:ascii="Times New Roman" w:eastAsia="Times New Roman" w:hAnsi="Times New Roman" w:cs="Times New Roman"/>
                <w:b/>
                <w:color w:val="000000"/>
                <w:sz w:val="24"/>
                <w:szCs w:val="24"/>
              </w:rPr>
              <w:t xml:space="preserve">Regression </w:t>
            </w:r>
            <w:r w:rsidR="002F46AA" w:rsidRPr="00D23517">
              <w:rPr>
                <w:rFonts w:ascii="Times New Roman" w:eastAsia="Times New Roman" w:hAnsi="Times New Roman" w:cs="Times New Roman"/>
                <w:b/>
                <w:color w:val="000000"/>
                <w:sz w:val="24"/>
                <w:szCs w:val="24"/>
              </w:rPr>
              <w:t xml:space="preserve">results </w:t>
            </w:r>
            <w:r w:rsidRPr="00D23517">
              <w:rPr>
                <w:rFonts w:ascii="Times New Roman" w:eastAsia="Times New Roman" w:hAnsi="Times New Roman" w:cs="Times New Roman"/>
                <w:b/>
                <w:color w:val="000000"/>
                <w:sz w:val="24"/>
                <w:szCs w:val="24"/>
              </w:rPr>
              <w:t xml:space="preserve">by </w:t>
            </w:r>
            <w:r w:rsidR="00AC74B2" w:rsidRPr="00D23517">
              <w:rPr>
                <w:rFonts w:ascii="Times New Roman" w:eastAsia="Times New Roman" w:hAnsi="Times New Roman" w:cs="Times New Roman"/>
                <w:b/>
                <w:color w:val="000000"/>
                <w:sz w:val="24"/>
                <w:szCs w:val="24"/>
              </w:rPr>
              <w:t>pre</w:t>
            </w:r>
            <w:r w:rsidRPr="00D23517">
              <w:rPr>
                <w:rFonts w:ascii="Times New Roman" w:eastAsia="Times New Roman" w:hAnsi="Times New Roman" w:cs="Times New Roman"/>
                <w:b/>
                <w:color w:val="000000"/>
                <w:sz w:val="24"/>
                <w:szCs w:val="24"/>
              </w:rPr>
              <w:t xml:space="preserve">-SOX vs. </w:t>
            </w:r>
            <w:r w:rsidR="002F46AA" w:rsidRPr="00D23517">
              <w:rPr>
                <w:rFonts w:ascii="Times New Roman" w:eastAsia="Times New Roman" w:hAnsi="Times New Roman" w:cs="Times New Roman"/>
                <w:b/>
                <w:color w:val="000000"/>
                <w:sz w:val="24"/>
                <w:szCs w:val="24"/>
              </w:rPr>
              <w:t>post-</w:t>
            </w:r>
            <w:r w:rsidRPr="00D23517">
              <w:rPr>
                <w:rFonts w:ascii="Times New Roman" w:eastAsia="Times New Roman" w:hAnsi="Times New Roman" w:cs="Times New Roman"/>
                <w:b/>
                <w:color w:val="000000"/>
                <w:sz w:val="24"/>
                <w:szCs w:val="24"/>
              </w:rPr>
              <w:t xml:space="preserve">SOX </w:t>
            </w:r>
            <w:r w:rsidR="00AC74B2" w:rsidRPr="00D23517">
              <w:rPr>
                <w:rFonts w:ascii="Times New Roman" w:eastAsia="Times New Roman" w:hAnsi="Times New Roman" w:cs="Times New Roman"/>
                <w:b/>
                <w:color w:val="000000"/>
                <w:sz w:val="24"/>
                <w:szCs w:val="24"/>
              </w:rPr>
              <w:t>sub</w:t>
            </w:r>
            <w:r w:rsidR="00C00F98" w:rsidRPr="00D23517">
              <w:rPr>
                <w:rFonts w:ascii="Times New Roman" w:eastAsia="Times New Roman" w:hAnsi="Times New Roman" w:cs="Times New Roman"/>
                <w:b/>
                <w:color w:val="000000"/>
                <w:sz w:val="24"/>
                <w:szCs w:val="24"/>
              </w:rPr>
              <w:t>-</w:t>
            </w:r>
            <w:r w:rsidR="00AC74B2" w:rsidRPr="00D23517">
              <w:rPr>
                <w:rFonts w:ascii="Times New Roman" w:eastAsia="Times New Roman" w:hAnsi="Times New Roman" w:cs="Times New Roman"/>
                <w:b/>
                <w:color w:val="000000"/>
                <w:sz w:val="24"/>
                <w:szCs w:val="24"/>
              </w:rPr>
              <w:t>periods</w:t>
            </w:r>
          </w:p>
        </w:tc>
      </w:tr>
      <w:tr w:rsidR="001848DB" w:rsidRPr="00D23517" w14:paraId="3B65EA38" w14:textId="77777777" w:rsidTr="001848DB">
        <w:trPr>
          <w:trHeight w:val="144"/>
        </w:trPr>
        <w:tc>
          <w:tcPr>
            <w:tcW w:w="627" w:type="pct"/>
            <w:tcBorders>
              <w:top w:val="single" w:sz="4" w:space="0" w:color="auto"/>
              <w:left w:val="nil"/>
              <w:bottom w:val="single" w:sz="4" w:space="0" w:color="auto"/>
              <w:right w:val="nil"/>
            </w:tcBorders>
            <w:shd w:val="clear" w:color="auto" w:fill="auto"/>
            <w:noWrap/>
            <w:vAlign w:val="bottom"/>
            <w:hideMark/>
          </w:tcPr>
          <w:p w14:paraId="11EFB288"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Variables</w:t>
            </w:r>
          </w:p>
        </w:tc>
        <w:tc>
          <w:tcPr>
            <w:tcW w:w="1083" w:type="pct"/>
            <w:gridSpan w:val="2"/>
            <w:tcBorders>
              <w:top w:val="single" w:sz="4" w:space="0" w:color="auto"/>
              <w:left w:val="nil"/>
              <w:bottom w:val="single" w:sz="4" w:space="0" w:color="auto"/>
              <w:right w:val="nil"/>
            </w:tcBorders>
            <w:shd w:val="clear" w:color="auto" w:fill="auto"/>
            <w:noWrap/>
            <w:vAlign w:val="bottom"/>
            <w:hideMark/>
          </w:tcPr>
          <w:p w14:paraId="33A0BA16"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NONOPERINC</w:t>
            </w:r>
          </w:p>
        </w:tc>
        <w:tc>
          <w:tcPr>
            <w:tcW w:w="1139" w:type="pct"/>
            <w:gridSpan w:val="2"/>
            <w:tcBorders>
              <w:top w:val="single" w:sz="4" w:space="0" w:color="auto"/>
              <w:left w:val="nil"/>
              <w:bottom w:val="single" w:sz="4" w:space="0" w:color="auto"/>
              <w:right w:val="nil"/>
            </w:tcBorders>
            <w:shd w:val="clear" w:color="auto" w:fill="auto"/>
            <w:noWrap/>
            <w:vAlign w:val="bottom"/>
            <w:hideMark/>
          </w:tcPr>
          <w:p w14:paraId="380FBE0D"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OPERINC</w:t>
            </w:r>
          </w:p>
        </w:tc>
        <w:tc>
          <w:tcPr>
            <w:tcW w:w="812" w:type="pct"/>
            <w:tcBorders>
              <w:top w:val="single" w:sz="4" w:space="0" w:color="auto"/>
              <w:left w:val="nil"/>
              <w:bottom w:val="single" w:sz="4" w:space="0" w:color="auto"/>
              <w:right w:val="nil"/>
            </w:tcBorders>
            <w:shd w:val="clear" w:color="auto" w:fill="auto"/>
            <w:noWrap/>
            <w:vAlign w:val="bottom"/>
            <w:hideMark/>
          </w:tcPr>
          <w:p w14:paraId="4EFACD51"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Adj. R-squared</w:t>
            </w:r>
          </w:p>
        </w:tc>
        <w:tc>
          <w:tcPr>
            <w:tcW w:w="426" w:type="pct"/>
            <w:tcBorders>
              <w:top w:val="single" w:sz="4" w:space="0" w:color="auto"/>
              <w:left w:val="nil"/>
              <w:bottom w:val="single" w:sz="4" w:space="0" w:color="auto"/>
              <w:right w:val="nil"/>
            </w:tcBorders>
            <w:shd w:val="clear" w:color="auto" w:fill="auto"/>
            <w:noWrap/>
            <w:vAlign w:val="bottom"/>
            <w:hideMark/>
          </w:tcPr>
          <w:p w14:paraId="06A3790A"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N</w:t>
            </w:r>
          </w:p>
        </w:tc>
        <w:tc>
          <w:tcPr>
            <w:tcW w:w="914" w:type="pct"/>
            <w:tcBorders>
              <w:top w:val="single" w:sz="4" w:space="0" w:color="auto"/>
              <w:left w:val="nil"/>
              <w:bottom w:val="single" w:sz="4" w:space="0" w:color="auto"/>
              <w:right w:val="nil"/>
            </w:tcBorders>
          </w:tcPr>
          <w:p w14:paraId="48673B97"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Control variables</w:t>
            </w:r>
          </w:p>
        </w:tc>
      </w:tr>
      <w:tr w:rsidR="0083161B" w:rsidRPr="00D23517" w14:paraId="2A8A0D7F" w14:textId="77777777" w:rsidTr="00D23517">
        <w:trPr>
          <w:trHeight w:val="144"/>
        </w:trPr>
        <w:tc>
          <w:tcPr>
            <w:tcW w:w="4086" w:type="pct"/>
            <w:gridSpan w:val="7"/>
            <w:tcBorders>
              <w:top w:val="single" w:sz="4" w:space="0" w:color="auto"/>
              <w:left w:val="nil"/>
              <w:bottom w:val="nil"/>
              <w:right w:val="nil"/>
            </w:tcBorders>
            <w:shd w:val="clear" w:color="auto" w:fill="auto"/>
            <w:noWrap/>
            <w:vAlign w:val="bottom"/>
            <w:hideMark/>
          </w:tcPr>
          <w:p w14:paraId="4FD7426E"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r w:rsidRPr="00D23517">
              <w:rPr>
                <w:rFonts w:ascii="Times New Roman" w:eastAsia="Times New Roman" w:hAnsi="Times New Roman" w:cs="Times New Roman"/>
                <w:b/>
                <w:i/>
                <w:color w:val="000000"/>
                <w:sz w:val="20"/>
                <w:szCs w:val="20"/>
                <w:u w:val="single"/>
              </w:rPr>
              <w:t>Panel A - ROAVOL</w:t>
            </w:r>
          </w:p>
        </w:tc>
        <w:tc>
          <w:tcPr>
            <w:tcW w:w="914" w:type="pct"/>
            <w:tcBorders>
              <w:top w:val="single" w:sz="4" w:space="0" w:color="auto"/>
              <w:left w:val="nil"/>
              <w:bottom w:val="nil"/>
              <w:right w:val="nil"/>
            </w:tcBorders>
          </w:tcPr>
          <w:p w14:paraId="101C58DF"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p>
        </w:tc>
      </w:tr>
      <w:tr w:rsidR="001848DB" w:rsidRPr="00D23517" w14:paraId="4BFCAEA9" w14:textId="77777777" w:rsidTr="001848DB">
        <w:trPr>
          <w:trHeight w:val="144"/>
        </w:trPr>
        <w:tc>
          <w:tcPr>
            <w:tcW w:w="627" w:type="pct"/>
            <w:tcBorders>
              <w:top w:val="nil"/>
              <w:left w:val="nil"/>
              <w:bottom w:val="nil"/>
              <w:right w:val="nil"/>
            </w:tcBorders>
            <w:shd w:val="clear" w:color="auto" w:fill="auto"/>
            <w:noWrap/>
            <w:vAlign w:val="bottom"/>
            <w:hideMark/>
          </w:tcPr>
          <w:p w14:paraId="0D349A9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PRE-SOX</w:t>
            </w:r>
          </w:p>
        </w:tc>
        <w:tc>
          <w:tcPr>
            <w:tcW w:w="407" w:type="pct"/>
            <w:tcBorders>
              <w:top w:val="nil"/>
              <w:left w:val="nil"/>
              <w:bottom w:val="nil"/>
              <w:right w:val="nil"/>
            </w:tcBorders>
            <w:shd w:val="clear" w:color="auto" w:fill="auto"/>
            <w:noWrap/>
            <w:vAlign w:val="bottom"/>
          </w:tcPr>
          <w:p w14:paraId="361BDB24"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-0.026</w:t>
            </w:r>
          </w:p>
        </w:tc>
        <w:tc>
          <w:tcPr>
            <w:tcW w:w="676" w:type="pct"/>
            <w:tcBorders>
              <w:top w:val="nil"/>
              <w:left w:val="nil"/>
              <w:bottom w:val="nil"/>
              <w:right w:val="nil"/>
            </w:tcBorders>
            <w:shd w:val="clear" w:color="auto" w:fill="auto"/>
            <w:noWrap/>
            <w:vAlign w:val="bottom"/>
          </w:tcPr>
          <w:p w14:paraId="65B2BBB5"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(-3.837 ***)</w:t>
            </w:r>
          </w:p>
        </w:tc>
        <w:tc>
          <w:tcPr>
            <w:tcW w:w="407" w:type="pct"/>
            <w:tcBorders>
              <w:top w:val="nil"/>
              <w:left w:val="nil"/>
              <w:bottom w:val="nil"/>
              <w:right w:val="nil"/>
            </w:tcBorders>
            <w:shd w:val="clear" w:color="auto" w:fill="auto"/>
            <w:noWrap/>
            <w:vAlign w:val="bottom"/>
          </w:tcPr>
          <w:p w14:paraId="14D80179"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-0.183</w:t>
            </w:r>
          </w:p>
        </w:tc>
        <w:tc>
          <w:tcPr>
            <w:tcW w:w="731" w:type="pct"/>
            <w:tcBorders>
              <w:top w:val="nil"/>
              <w:left w:val="nil"/>
              <w:bottom w:val="nil"/>
              <w:right w:val="nil"/>
            </w:tcBorders>
            <w:shd w:val="clear" w:color="auto" w:fill="auto"/>
            <w:noWrap/>
            <w:vAlign w:val="bottom"/>
          </w:tcPr>
          <w:p w14:paraId="3DBD35F4"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(-12.848 ***)</w:t>
            </w:r>
          </w:p>
        </w:tc>
        <w:tc>
          <w:tcPr>
            <w:tcW w:w="812" w:type="pct"/>
            <w:tcBorders>
              <w:top w:val="nil"/>
              <w:left w:val="nil"/>
              <w:bottom w:val="nil"/>
              <w:right w:val="nil"/>
            </w:tcBorders>
            <w:shd w:val="clear" w:color="auto" w:fill="auto"/>
            <w:noWrap/>
            <w:vAlign w:val="bottom"/>
          </w:tcPr>
          <w:p w14:paraId="1ECBB7EC"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0.281</w:t>
            </w:r>
          </w:p>
        </w:tc>
        <w:tc>
          <w:tcPr>
            <w:tcW w:w="426" w:type="pct"/>
            <w:tcBorders>
              <w:top w:val="nil"/>
              <w:left w:val="nil"/>
              <w:bottom w:val="nil"/>
              <w:right w:val="nil"/>
            </w:tcBorders>
            <w:shd w:val="clear" w:color="auto" w:fill="auto"/>
            <w:noWrap/>
            <w:vAlign w:val="bottom"/>
          </w:tcPr>
          <w:p w14:paraId="085B89E4"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38,986</w:t>
            </w:r>
          </w:p>
        </w:tc>
        <w:tc>
          <w:tcPr>
            <w:tcW w:w="914" w:type="pct"/>
            <w:tcBorders>
              <w:top w:val="nil"/>
              <w:left w:val="nil"/>
              <w:bottom w:val="nil"/>
              <w:right w:val="nil"/>
            </w:tcBorders>
          </w:tcPr>
          <w:p w14:paraId="3AC5A94C" w14:textId="77777777" w:rsidR="0083161B" w:rsidRPr="00D23517" w:rsidRDefault="0083161B" w:rsidP="003C4AAB">
            <w:pPr>
              <w:spacing w:after="0" w:line="240" w:lineRule="auto"/>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1848DB" w:rsidRPr="00D23517" w14:paraId="0A122079" w14:textId="77777777" w:rsidTr="001848DB">
        <w:trPr>
          <w:trHeight w:val="144"/>
        </w:trPr>
        <w:tc>
          <w:tcPr>
            <w:tcW w:w="627" w:type="pct"/>
            <w:tcBorders>
              <w:top w:val="nil"/>
              <w:left w:val="nil"/>
              <w:bottom w:val="nil"/>
              <w:right w:val="nil"/>
            </w:tcBorders>
            <w:shd w:val="clear" w:color="auto" w:fill="auto"/>
            <w:noWrap/>
            <w:vAlign w:val="bottom"/>
            <w:hideMark/>
          </w:tcPr>
          <w:p w14:paraId="37C5725F"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POST-SOX</w:t>
            </w:r>
          </w:p>
        </w:tc>
        <w:tc>
          <w:tcPr>
            <w:tcW w:w="407" w:type="pct"/>
            <w:tcBorders>
              <w:top w:val="nil"/>
              <w:left w:val="nil"/>
              <w:bottom w:val="nil"/>
              <w:right w:val="nil"/>
            </w:tcBorders>
            <w:shd w:val="clear" w:color="auto" w:fill="auto"/>
            <w:noWrap/>
            <w:vAlign w:val="bottom"/>
          </w:tcPr>
          <w:p w14:paraId="2CC16C59"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0.010</w:t>
            </w:r>
          </w:p>
        </w:tc>
        <w:tc>
          <w:tcPr>
            <w:tcW w:w="676" w:type="pct"/>
            <w:tcBorders>
              <w:top w:val="nil"/>
              <w:left w:val="nil"/>
              <w:bottom w:val="nil"/>
              <w:right w:val="nil"/>
            </w:tcBorders>
            <w:shd w:val="clear" w:color="auto" w:fill="auto"/>
            <w:noWrap/>
            <w:vAlign w:val="bottom"/>
          </w:tcPr>
          <w:p w14:paraId="136650E6"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(1.647 *)</w:t>
            </w:r>
          </w:p>
        </w:tc>
        <w:tc>
          <w:tcPr>
            <w:tcW w:w="407" w:type="pct"/>
            <w:tcBorders>
              <w:top w:val="nil"/>
              <w:left w:val="nil"/>
              <w:bottom w:val="nil"/>
              <w:right w:val="nil"/>
            </w:tcBorders>
            <w:shd w:val="clear" w:color="auto" w:fill="auto"/>
            <w:noWrap/>
            <w:vAlign w:val="bottom"/>
          </w:tcPr>
          <w:p w14:paraId="573A54B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-0.121</w:t>
            </w:r>
          </w:p>
        </w:tc>
        <w:tc>
          <w:tcPr>
            <w:tcW w:w="731" w:type="pct"/>
            <w:tcBorders>
              <w:top w:val="nil"/>
              <w:left w:val="nil"/>
              <w:bottom w:val="nil"/>
              <w:right w:val="nil"/>
            </w:tcBorders>
            <w:shd w:val="clear" w:color="auto" w:fill="auto"/>
            <w:noWrap/>
            <w:vAlign w:val="bottom"/>
          </w:tcPr>
          <w:p w14:paraId="73D1673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(-6.702 ***)</w:t>
            </w:r>
          </w:p>
        </w:tc>
        <w:tc>
          <w:tcPr>
            <w:tcW w:w="812" w:type="pct"/>
            <w:tcBorders>
              <w:top w:val="nil"/>
              <w:left w:val="nil"/>
              <w:bottom w:val="nil"/>
              <w:right w:val="nil"/>
            </w:tcBorders>
            <w:shd w:val="clear" w:color="auto" w:fill="auto"/>
            <w:noWrap/>
            <w:vAlign w:val="bottom"/>
          </w:tcPr>
          <w:p w14:paraId="4371AEA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0.183</w:t>
            </w:r>
          </w:p>
        </w:tc>
        <w:tc>
          <w:tcPr>
            <w:tcW w:w="426" w:type="pct"/>
            <w:tcBorders>
              <w:top w:val="nil"/>
              <w:left w:val="nil"/>
              <w:bottom w:val="nil"/>
              <w:right w:val="nil"/>
            </w:tcBorders>
            <w:shd w:val="clear" w:color="auto" w:fill="auto"/>
            <w:noWrap/>
            <w:vAlign w:val="bottom"/>
          </w:tcPr>
          <w:p w14:paraId="7B46184D"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32,918</w:t>
            </w:r>
          </w:p>
        </w:tc>
        <w:tc>
          <w:tcPr>
            <w:tcW w:w="914" w:type="pct"/>
            <w:tcBorders>
              <w:top w:val="nil"/>
              <w:left w:val="nil"/>
              <w:bottom w:val="nil"/>
              <w:right w:val="nil"/>
            </w:tcBorders>
          </w:tcPr>
          <w:p w14:paraId="4B1F47CB" w14:textId="77777777" w:rsidR="0083161B" w:rsidRPr="00D23517" w:rsidRDefault="0083161B" w:rsidP="003C4AAB">
            <w:pPr>
              <w:spacing w:after="0" w:line="240" w:lineRule="auto"/>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1848DB" w:rsidRPr="00D23517" w14:paraId="0CD872BC" w14:textId="77777777" w:rsidTr="001848DB">
        <w:trPr>
          <w:trHeight w:val="144"/>
        </w:trPr>
        <w:tc>
          <w:tcPr>
            <w:tcW w:w="627" w:type="pct"/>
            <w:tcBorders>
              <w:top w:val="nil"/>
              <w:left w:val="nil"/>
              <w:bottom w:val="nil"/>
              <w:right w:val="nil"/>
            </w:tcBorders>
            <w:shd w:val="clear" w:color="auto" w:fill="auto"/>
            <w:noWrap/>
            <w:vAlign w:val="bottom"/>
            <w:hideMark/>
          </w:tcPr>
          <w:p w14:paraId="747480BE"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p>
        </w:tc>
        <w:tc>
          <w:tcPr>
            <w:tcW w:w="407" w:type="pct"/>
            <w:tcBorders>
              <w:top w:val="nil"/>
              <w:left w:val="nil"/>
              <w:bottom w:val="nil"/>
              <w:right w:val="nil"/>
            </w:tcBorders>
            <w:shd w:val="clear" w:color="auto" w:fill="auto"/>
            <w:noWrap/>
            <w:vAlign w:val="bottom"/>
            <w:hideMark/>
          </w:tcPr>
          <w:p w14:paraId="347C0178"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76" w:type="pct"/>
            <w:tcBorders>
              <w:top w:val="nil"/>
              <w:left w:val="nil"/>
              <w:bottom w:val="nil"/>
              <w:right w:val="nil"/>
            </w:tcBorders>
            <w:shd w:val="clear" w:color="auto" w:fill="auto"/>
            <w:noWrap/>
            <w:vAlign w:val="bottom"/>
            <w:hideMark/>
          </w:tcPr>
          <w:p w14:paraId="14512998"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407" w:type="pct"/>
            <w:tcBorders>
              <w:top w:val="nil"/>
              <w:left w:val="nil"/>
              <w:bottom w:val="nil"/>
              <w:right w:val="nil"/>
            </w:tcBorders>
            <w:shd w:val="clear" w:color="auto" w:fill="auto"/>
            <w:noWrap/>
            <w:vAlign w:val="bottom"/>
            <w:hideMark/>
          </w:tcPr>
          <w:p w14:paraId="08B56D43"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731" w:type="pct"/>
            <w:tcBorders>
              <w:top w:val="nil"/>
              <w:left w:val="nil"/>
              <w:bottom w:val="nil"/>
              <w:right w:val="nil"/>
            </w:tcBorders>
            <w:shd w:val="clear" w:color="auto" w:fill="auto"/>
            <w:noWrap/>
            <w:vAlign w:val="bottom"/>
            <w:hideMark/>
          </w:tcPr>
          <w:p w14:paraId="332D49EE"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812" w:type="pct"/>
            <w:tcBorders>
              <w:top w:val="nil"/>
              <w:left w:val="nil"/>
              <w:bottom w:val="nil"/>
              <w:right w:val="nil"/>
            </w:tcBorders>
            <w:shd w:val="clear" w:color="auto" w:fill="auto"/>
            <w:noWrap/>
            <w:vAlign w:val="bottom"/>
            <w:hideMark/>
          </w:tcPr>
          <w:p w14:paraId="6B79F7D7"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426" w:type="pct"/>
            <w:tcBorders>
              <w:top w:val="nil"/>
              <w:left w:val="nil"/>
              <w:bottom w:val="nil"/>
              <w:right w:val="nil"/>
            </w:tcBorders>
            <w:shd w:val="clear" w:color="auto" w:fill="auto"/>
            <w:noWrap/>
            <w:vAlign w:val="bottom"/>
            <w:hideMark/>
          </w:tcPr>
          <w:p w14:paraId="4125DEC7"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914" w:type="pct"/>
            <w:tcBorders>
              <w:top w:val="nil"/>
              <w:left w:val="nil"/>
              <w:bottom w:val="nil"/>
              <w:right w:val="nil"/>
            </w:tcBorders>
          </w:tcPr>
          <w:p w14:paraId="64E052E1" w14:textId="77777777" w:rsidR="0083161B" w:rsidRPr="00D23517" w:rsidRDefault="0083161B" w:rsidP="003C4AAB">
            <w:pPr>
              <w:spacing w:after="0" w:line="240" w:lineRule="auto"/>
              <w:rPr>
                <w:rFonts w:ascii="Times New Roman" w:eastAsia="Times New Roman" w:hAnsi="Times New Roman" w:cs="Times New Roman"/>
                <w:sz w:val="20"/>
                <w:szCs w:val="20"/>
              </w:rPr>
            </w:pPr>
          </w:p>
        </w:tc>
      </w:tr>
      <w:tr w:rsidR="0083161B" w:rsidRPr="00D23517" w14:paraId="040B7426" w14:textId="77777777" w:rsidTr="00D23517">
        <w:trPr>
          <w:trHeight w:val="144"/>
        </w:trPr>
        <w:tc>
          <w:tcPr>
            <w:tcW w:w="4086" w:type="pct"/>
            <w:gridSpan w:val="7"/>
            <w:tcBorders>
              <w:top w:val="nil"/>
              <w:left w:val="nil"/>
              <w:bottom w:val="nil"/>
              <w:right w:val="nil"/>
            </w:tcBorders>
            <w:shd w:val="clear" w:color="auto" w:fill="auto"/>
            <w:noWrap/>
            <w:vAlign w:val="bottom"/>
            <w:hideMark/>
          </w:tcPr>
          <w:p w14:paraId="66B64679"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r w:rsidRPr="00D23517">
              <w:rPr>
                <w:rFonts w:ascii="Times New Roman" w:eastAsia="Times New Roman" w:hAnsi="Times New Roman" w:cs="Times New Roman"/>
                <w:b/>
                <w:i/>
                <w:color w:val="000000"/>
                <w:sz w:val="20"/>
                <w:szCs w:val="20"/>
                <w:u w:val="single"/>
              </w:rPr>
              <w:t>Panel B - TOTRISK</w:t>
            </w:r>
          </w:p>
        </w:tc>
        <w:tc>
          <w:tcPr>
            <w:tcW w:w="914" w:type="pct"/>
            <w:tcBorders>
              <w:top w:val="nil"/>
              <w:left w:val="nil"/>
              <w:bottom w:val="nil"/>
              <w:right w:val="nil"/>
            </w:tcBorders>
          </w:tcPr>
          <w:p w14:paraId="79BA884A" w14:textId="77777777" w:rsidR="0083161B" w:rsidRPr="00D23517" w:rsidRDefault="0083161B" w:rsidP="003C4AAB">
            <w:pPr>
              <w:spacing w:after="0" w:line="240" w:lineRule="auto"/>
              <w:rPr>
                <w:rFonts w:ascii="Times New Roman" w:eastAsia="Times New Roman" w:hAnsi="Times New Roman" w:cs="Times New Roman"/>
                <w:b/>
                <w:i/>
                <w:color w:val="000000"/>
                <w:sz w:val="20"/>
                <w:szCs w:val="20"/>
                <w:u w:val="single"/>
              </w:rPr>
            </w:pPr>
          </w:p>
        </w:tc>
      </w:tr>
      <w:tr w:rsidR="001848DB" w:rsidRPr="00D23517" w14:paraId="4CA4BAF5" w14:textId="77777777" w:rsidTr="001848DB">
        <w:trPr>
          <w:trHeight w:val="144"/>
        </w:trPr>
        <w:tc>
          <w:tcPr>
            <w:tcW w:w="627" w:type="pct"/>
            <w:tcBorders>
              <w:top w:val="nil"/>
              <w:left w:val="nil"/>
              <w:bottom w:val="nil"/>
              <w:right w:val="nil"/>
            </w:tcBorders>
            <w:shd w:val="clear" w:color="auto" w:fill="auto"/>
            <w:noWrap/>
            <w:vAlign w:val="bottom"/>
            <w:hideMark/>
          </w:tcPr>
          <w:p w14:paraId="4673939F"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PRE-SOX</w:t>
            </w:r>
          </w:p>
        </w:tc>
        <w:tc>
          <w:tcPr>
            <w:tcW w:w="407" w:type="pct"/>
            <w:tcBorders>
              <w:top w:val="nil"/>
              <w:left w:val="nil"/>
              <w:bottom w:val="nil"/>
              <w:right w:val="nil"/>
            </w:tcBorders>
            <w:shd w:val="clear" w:color="auto" w:fill="auto"/>
            <w:noWrap/>
            <w:vAlign w:val="bottom"/>
          </w:tcPr>
          <w:p w14:paraId="5AF30EF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-0.015</w:t>
            </w:r>
          </w:p>
        </w:tc>
        <w:tc>
          <w:tcPr>
            <w:tcW w:w="676" w:type="pct"/>
            <w:tcBorders>
              <w:top w:val="nil"/>
              <w:left w:val="nil"/>
              <w:bottom w:val="nil"/>
              <w:right w:val="nil"/>
            </w:tcBorders>
            <w:shd w:val="clear" w:color="auto" w:fill="auto"/>
            <w:noWrap/>
            <w:vAlign w:val="bottom"/>
          </w:tcPr>
          <w:p w14:paraId="3992935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(-2.932 ***)</w:t>
            </w:r>
          </w:p>
        </w:tc>
        <w:tc>
          <w:tcPr>
            <w:tcW w:w="407" w:type="pct"/>
            <w:tcBorders>
              <w:top w:val="nil"/>
              <w:left w:val="nil"/>
              <w:bottom w:val="nil"/>
              <w:right w:val="nil"/>
            </w:tcBorders>
            <w:shd w:val="clear" w:color="auto" w:fill="auto"/>
            <w:noWrap/>
            <w:vAlign w:val="bottom"/>
          </w:tcPr>
          <w:p w14:paraId="472A65FD"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-0.238</w:t>
            </w:r>
          </w:p>
        </w:tc>
        <w:tc>
          <w:tcPr>
            <w:tcW w:w="731" w:type="pct"/>
            <w:tcBorders>
              <w:top w:val="nil"/>
              <w:left w:val="nil"/>
              <w:bottom w:val="nil"/>
              <w:right w:val="nil"/>
            </w:tcBorders>
            <w:shd w:val="clear" w:color="auto" w:fill="auto"/>
            <w:noWrap/>
            <w:vAlign w:val="bottom"/>
          </w:tcPr>
          <w:p w14:paraId="4097736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(-26.927 ***)</w:t>
            </w:r>
          </w:p>
        </w:tc>
        <w:tc>
          <w:tcPr>
            <w:tcW w:w="812" w:type="pct"/>
            <w:tcBorders>
              <w:top w:val="nil"/>
              <w:left w:val="nil"/>
              <w:bottom w:val="nil"/>
              <w:right w:val="nil"/>
            </w:tcBorders>
            <w:shd w:val="clear" w:color="auto" w:fill="auto"/>
            <w:noWrap/>
            <w:vAlign w:val="bottom"/>
          </w:tcPr>
          <w:p w14:paraId="0D32FDC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0.482</w:t>
            </w:r>
          </w:p>
        </w:tc>
        <w:tc>
          <w:tcPr>
            <w:tcW w:w="426" w:type="pct"/>
            <w:tcBorders>
              <w:top w:val="nil"/>
              <w:left w:val="nil"/>
              <w:bottom w:val="nil"/>
              <w:right w:val="nil"/>
            </w:tcBorders>
            <w:shd w:val="clear" w:color="auto" w:fill="auto"/>
            <w:noWrap/>
            <w:vAlign w:val="bottom"/>
          </w:tcPr>
          <w:p w14:paraId="783D859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39,037</w:t>
            </w:r>
          </w:p>
        </w:tc>
        <w:tc>
          <w:tcPr>
            <w:tcW w:w="914" w:type="pct"/>
            <w:tcBorders>
              <w:top w:val="nil"/>
              <w:left w:val="nil"/>
              <w:bottom w:val="nil"/>
              <w:right w:val="nil"/>
            </w:tcBorders>
          </w:tcPr>
          <w:p w14:paraId="6B3ADFB3" w14:textId="77777777" w:rsidR="0083161B" w:rsidRPr="00D23517" w:rsidRDefault="0083161B" w:rsidP="003C4AAB">
            <w:pPr>
              <w:spacing w:after="0" w:line="240" w:lineRule="auto"/>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1848DB" w:rsidRPr="00D23517" w14:paraId="196D203C" w14:textId="77777777" w:rsidTr="001848DB">
        <w:trPr>
          <w:trHeight w:val="144"/>
        </w:trPr>
        <w:tc>
          <w:tcPr>
            <w:tcW w:w="627" w:type="pct"/>
            <w:tcBorders>
              <w:top w:val="nil"/>
              <w:left w:val="nil"/>
              <w:bottom w:val="nil"/>
              <w:right w:val="nil"/>
            </w:tcBorders>
            <w:shd w:val="clear" w:color="auto" w:fill="auto"/>
            <w:noWrap/>
            <w:vAlign w:val="bottom"/>
            <w:hideMark/>
          </w:tcPr>
          <w:p w14:paraId="66A5164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POST-SOX</w:t>
            </w:r>
          </w:p>
        </w:tc>
        <w:tc>
          <w:tcPr>
            <w:tcW w:w="407" w:type="pct"/>
            <w:tcBorders>
              <w:top w:val="nil"/>
              <w:left w:val="nil"/>
              <w:bottom w:val="nil"/>
              <w:right w:val="nil"/>
            </w:tcBorders>
            <w:shd w:val="clear" w:color="auto" w:fill="auto"/>
            <w:noWrap/>
            <w:vAlign w:val="bottom"/>
          </w:tcPr>
          <w:p w14:paraId="66539FDE"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-0.017</w:t>
            </w:r>
          </w:p>
        </w:tc>
        <w:tc>
          <w:tcPr>
            <w:tcW w:w="676" w:type="pct"/>
            <w:tcBorders>
              <w:top w:val="nil"/>
              <w:left w:val="nil"/>
              <w:bottom w:val="nil"/>
              <w:right w:val="nil"/>
            </w:tcBorders>
            <w:shd w:val="clear" w:color="auto" w:fill="auto"/>
            <w:noWrap/>
            <w:vAlign w:val="bottom"/>
          </w:tcPr>
          <w:p w14:paraId="3128E2D6"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(-2.668 ***)</w:t>
            </w:r>
          </w:p>
        </w:tc>
        <w:tc>
          <w:tcPr>
            <w:tcW w:w="407" w:type="pct"/>
            <w:tcBorders>
              <w:top w:val="nil"/>
              <w:left w:val="nil"/>
              <w:bottom w:val="nil"/>
              <w:right w:val="nil"/>
            </w:tcBorders>
            <w:shd w:val="clear" w:color="auto" w:fill="auto"/>
            <w:noWrap/>
            <w:vAlign w:val="bottom"/>
          </w:tcPr>
          <w:p w14:paraId="089307C2"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-0.134</w:t>
            </w:r>
          </w:p>
        </w:tc>
        <w:tc>
          <w:tcPr>
            <w:tcW w:w="731" w:type="pct"/>
            <w:tcBorders>
              <w:top w:val="nil"/>
              <w:left w:val="nil"/>
              <w:bottom w:val="nil"/>
              <w:right w:val="nil"/>
            </w:tcBorders>
            <w:shd w:val="clear" w:color="auto" w:fill="auto"/>
            <w:noWrap/>
            <w:vAlign w:val="bottom"/>
          </w:tcPr>
          <w:p w14:paraId="0B9D530E"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(-12.614 ***)</w:t>
            </w:r>
          </w:p>
        </w:tc>
        <w:tc>
          <w:tcPr>
            <w:tcW w:w="812" w:type="pct"/>
            <w:tcBorders>
              <w:top w:val="nil"/>
              <w:left w:val="nil"/>
              <w:bottom w:val="nil"/>
              <w:right w:val="nil"/>
            </w:tcBorders>
            <w:shd w:val="clear" w:color="auto" w:fill="auto"/>
            <w:noWrap/>
            <w:vAlign w:val="bottom"/>
          </w:tcPr>
          <w:p w14:paraId="2D87EEB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0.446</w:t>
            </w:r>
          </w:p>
        </w:tc>
        <w:tc>
          <w:tcPr>
            <w:tcW w:w="426" w:type="pct"/>
            <w:tcBorders>
              <w:top w:val="nil"/>
              <w:left w:val="nil"/>
              <w:bottom w:val="nil"/>
              <w:right w:val="nil"/>
            </w:tcBorders>
            <w:shd w:val="clear" w:color="auto" w:fill="auto"/>
            <w:noWrap/>
            <w:vAlign w:val="bottom"/>
          </w:tcPr>
          <w:p w14:paraId="52DCD564"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32,985</w:t>
            </w:r>
          </w:p>
        </w:tc>
        <w:tc>
          <w:tcPr>
            <w:tcW w:w="914" w:type="pct"/>
            <w:tcBorders>
              <w:top w:val="nil"/>
              <w:left w:val="nil"/>
              <w:bottom w:val="nil"/>
              <w:right w:val="nil"/>
            </w:tcBorders>
          </w:tcPr>
          <w:p w14:paraId="7CF3360A" w14:textId="77777777" w:rsidR="0083161B" w:rsidRPr="00D23517" w:rsidRDefault="0083161B" w:rsidP="003C4AAB">
            <w:pPr>
              <w:spacing w:after="0" w:line="240" w:lineRule="auto"/>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1848DB" w:rsidRPr="00D23517" w14:paraId="44A5822F" w14:textId="77777777" w:rsidTr="001848DB">
        <w:trPr>
          <w:trHeight w:val="144"/>
        </w:trPr>
        <w:tc>
          <w:tcPr>
            <w:tcW w:w="627" w:type="pct"/>
            <w:tcBorders>
              <w:top w:val="nil"/>
              <w:left w:val="nil"/>
              <w:bottom w:val="nil"/>
              <w:right w:val="nil"/>
            </w:tcBorders>
            <w:shd w:val="clear" w:color="auto" w:fill="auto"/>
            <w:noWrap/>
            <w:vAlign w:val="bottom"/>
            <w:hideMark/>
          </w:tcPr>
          <w:p w14:paraId="0A7A685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p>
        </w:tc>
        <w:tc>
          <w:tcPr>
            <w:tcW w:w="407" w:type="pct"/>
            <w:tcBorders>
              <w:top w:val="nil"/>
              <w:left w:val="nil"/>
              <w:bottom w:val="nil"/>
              <w:right w:val="nil"/>
            </w:tcBorders>
            <w:shd w:val="clear" w:color="auto" w:fill="auto"/>
            <w:noWrap/>
            <w:vAlign w:val="bottom"/>
            <w:hideMark/>
          </w:tcPr>
          <w:p w14:paraId="15021446"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76" w:type="pct"/>
            <w:tcBorders>
              <w:top w:val="nil"/>
              <w:left w:val="nil"/>
              <w:bottom w:val="nil"/>
              <w:right w:val="nil"/>
            </w:tcBorders>
            <w:shd w:val="clear" w:color="auto" w:fill="auto"/>
            <w:noWrap/>
            <w:vAlign w:val="bottom"/>
            <w:hideMark/>
          </w:tcPr>
          <w:p w14:paraId="0BD0712A"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407" w:type="pct"/>
            <w:tcBorders>
              <w:top w:val="nil"/>
              <w:left w:val="nil"/>
              <w:bottom w:val="nil"/>
              <w:right w:val="nil"/>
            </w:tcBorders>
            <w:shd w:val="clear" w:color="auto" w:fill="auto"/>
            <w:noWrap/>
            <w:vAlign w:val="bottom"/>
            <w:hideMark/>
          </w:tcPr>
          <w:p w14:paraId="5692006B"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731" w:type="pct"/>
            <w:tcBorders>
              <w:top w:val="nil"/>
              <w:left w:val="nil"/>
              <w:bottom w:val="nil"/>
              <w:right w:val="nil"/>
            </w:tcBorders>
            <w:shd w:val="clear" w:color="auto" w:fill="auto"/>
            <w:noWrap/>
            <w:vAlign w:val="bottom"/>
            <w:hideMark/>
          </w:tcPr>
          <w:p w14:paraId="3A26F07F"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812" w:type="pct"/>
            <w:tcBorders>
              <w:top w:val="nil"/>
              <w:left w:val="nil"/>
              <w:bottom w:val="nil"/>
              <w:right w:val="nil"/>
            </w:tcBorders>
            <w:shd w:val="clear" w:color="auto" w:fill="auto"/>
            <w:noWrap/>
            <w:vAlign w:val="bottom"/>
            <w:hideMark/>
          </w:tcPr>
          <w:p w14:paraId="02E519FF"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426" w:type="pct"/>
            <w:tcBorders>
              <w:top w:val="nil"/>
              <w:left w:val="nil"/>
              <w:bottom w:val="nil"/>
              <w:right w:val="nil"/>
            </w:tcBorders>
            <w:shd w:val="clear" w:color="auto" w:fill="auto"/>
            <w:noWrap/>
            <w:vAlign w:val="bottom"/>
            <w:hideMark/>
          </w:tcPr>
          <w:p w14:paraId="2A2307A8"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914" w:type="pct"/>
            <w:tcBorders>
              <w:top w:val="nil"/>
              <w:left w:val="nil"/>
              <w:bottom w:val="nil"/>
              <w:right w:val="nil"/>
            </w:tcBorders>
          </w:tcPr>
          <w:p w14:paraId="1CE97E78" w14:textId="77777777" w:rsidR="0083161B" w:rsidRPr="00D23517" w:rsidRDefault="0083161B" w:rsidP="003C4AAB">
            <w:pPr>
              <w:spacing w:after="0" w:line="240" w:lineRule="auto"/>
              <w:rPr>
                <w:rFonts w:ascii="Times New Roman" w:eastAsia="Times New Roman" w:hAnsi="Times New Roman" w:cs="Times New Roman"/>
                <w:sz w:val="20"/>
                <w:szCs w:val="20"/>
              </w:rPr>
            </w:pPr>
          </w:p>
        </w:tc>
      </w:tr>
      <w:tr w:rsidR="0083161B" w:rsidRPr="00D23517" w14:paraId="07DF6871" w14:textId="77777777" w:rsidTr="00D23517">
        <w:trPr>
          <w:trHeight w:val="144"/>
        </w:trPr>
        <w:tc>
          <w:tcPr>
            <w:tcW w:w="4086" w:type="pct"/>
            <w:gridSpan w:val="7"/>
            <w:tcBorders>
              <w:top w:val="nil"/>
              <w:left w:val="nil"/>
              <w:bottom w:val="nil"/>
              <w:right w:val="nil"/>
            </w:tcBorders>
            <w:shd w:val="clear" w:color="auto" w:fill="auto"/>
            <w:noWrap/>
            <w:vAlign w:val="bottom"/>
            <w:hideMark/>
          </w:tcPr>
          <w:p w14:paraId="1C800E95"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r w:rsidRPr="00D23517">
              <w:rPr>
                <w:rFonts w:ascii="Times New Roman" w:eastAsia="Times New Roman" w:hAnsi="Times New Roman" w:cs="Times New Roman"/>
                <w:b/>
                <w:i/>
                <w:color w:val="000000"/>
                <w:sz w:val="20"/>
                <w:szCs w:val="20"/>
                <w:u w:val="single"/>
              </w:rPr>
              <w:t>Panel C - IDIORISK</w:t>
            </w:r>
          </w:p>
        </w:tc>
        <w:tc>
          <w:tcPr>
            <w:tcW w:w="914" w:type="pct"/>
            <w:tcBorders>
              <w:top w:val="nil"/>
              <w:left w:val="nil"/>
              <w:bottom w:val="nil"/>
              <w:right w:val="nil"/>
            </w:tcBorders>
          </w:tcPr>
          <w:p w14:paraId="77BC24DF" w14:textId="77777777" w:rsidR="0083161B" w:rsidRPr="00D23517" w:rsidRDefault="0083161B" w:rsidP="003C4AAB">
            <w:pPr>
              <w:spacing w:after="0" w:line="240" w:lineRule="auto"/>
              <w:rPr>
                <w:rFonts w:ascii="Times New Roman" w:eastAsia="Times New Roman" w:hAnsi="Times New Roman" w:cs="Times New Roman"/>
                <w:b/>
                <w:i/>
                <w:color w:val="000000"/>
                <w:sz w:val="20"/>
                <w:szCs w:val="20"/>
                <w:u w:val="single"/>
              </w:rPr>
            </w:pPr>
          </w:p>
        </w:tc>
      </w:tr>
      <w:tr w:rsidR="001848DB" w:rsidRPr="00D23517" w14:paraId="5CBF2FCE" w14:textId="77777777" w:rsidTr="001848DB">
        <w:trPr>
          <w:trHeight w:val="144"/>
        </w:trPr>
        <w:tc>
          <w:tcPr>
            <w:tcW w:w="627" w:type="pct"/>
            <w:tcBorders>
              <w:top w:val="nil"/>
              <w:left w:val="nil"/>
              <w:bottom w:val="nil"/>
              <w:right w:val="nil"/>
            </w:tcBorders>
            <w:shd w:val="clear" w:color="auto" w:fill="auto"/>
            <w:noWrap/>
            <w:vAlign w:val="bottom"/>
            <w:hideMark/>
          </w:tcPr>
          <w:p w14:paraId="20B65A0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PRE-SOX</w:t>
            </w:r>
          </w:p>
        </w:tc>
        <w:tc>
          <w:tcPr>
            <w:tcW w:w="407" w:type="pct"/>
            <w:tcBorders>
              <w:top w:val="nil"/>
              <w:left w:val="nil"/>
              <w:bottom w:val="nil"/>
              <w:right w:val="nil"/>
            </w:tcBorders>
            <w:shd w:val="clear" w:color="auto" w:fill="auto"/>
            <w:noWrap/>
            <w:vAlign w:val="bottom"/>
          </w:tcPr>
          <w:p w14:paraId="0EA92B2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-0.017</w:t>
            </w:r>
          </w:p>
        </w:tc>
        <w:tc>
          <w:tcPr>
            <w:tcW w:w="676" w:type="pct"/>
            <w:tcBorders>
              <w:top w:val="nil"/>
              <w:left w:val="nil"/>
              <w:bottom w:val="nil"/>
              <w:right w:val="nil"/>
            </w:tcBorders>
            <w:shd w:val="clear" w:color="auto" w:fill="auto"/>
            <w:noWrap/>
            <w:vAlign w:val="bottom"/>
          </w:tcPr>
          <w:p w14:paraId="0AE9DBED"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(-3.422 ***)</w:t>
            </w:r>
          </w:p>
        </w:tc>
        <w:tc>
          <w:tcPr>
            <w:tcW w:w="407" w:type="pct"/>
            <w:tcBorders>
              <w:top w:val="nil"/>
              <w:left w:val="nil"/>
              <w:bottom w:val="nil"/>
              <w:right w:val="nil"/>
            </w:tcBorders>
            <w:shd w:val="clear" w:color="auto" w:fill="auto"/>
            <w:noWrap/>
            <w:vAlign w:val="bottom"/>
          </w:tcPr>
          <w:p w14:paraId="48A6DBA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-0.239</w:t>
            </w:r>
          </w:p>
        </w:tc>
        <w:tc>
          <w:tcPr>
            <w:tcW w:w="731" w:type="pct"/>
            <w:tcBorders>
              <w:top w:val="nil"/>
              <w:left w:val="nil"/>
              <w:bottom w:val="nil"/>
              <w:right w:val="nil"/>
            </w:tcBorders>
            <w:shd w:val="clear" w:color="auto" w:fill="auto"/>
            <w:noWrap/>
            <w:vAlign w:val="bottom"/>
          </w:tcPr>
          <w:p w14:paraId="444482BC"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(-27.410 ***)</w:t>
            </w:r>
          </w:p>
        </w:tc>
        <w:tc>
          <w:tcPr>
            <w:tcW w:w="812" w:type="pct"/>
            <w:tcBorders>
              <w:top w:val="nil"/>
              <w:left w:val="nil"/>
              <w:bottom w:val="nil"/>
              <w:right w:val="nil"/>
            </w:tcBorders>
            <w:shd w:val="clear" w:color="auto" w:fill="auto"/>
            <w:noWrap/>
            <w:vAlign w:val="bottom"/>
          </w:tcPr>
          <w:p w14:paraId="13583892"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0.500</w:t>
            </w:r>
          </w:p>
        </w:tc>
        <w:tc>
          <w:tcPr>
            <w:tcW w:w="426" w:type="pct"/>
            <w:tcBorders>
              <w:top w:val="nil"/>
              <w:left w:val="nil"/>
              <w:bottom w:val="nil"/>
              <w:right w:val="nil"/>
            </w:tcBorders>
            <w:shd w:val="clear" w:color="auto" w:fill="auto"/>
            <w:noWrap/>
            <w:vAlign w:val="bottom"/>
          </w:tcPr>
          <w:p w14:paraId="3A7EFD73"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39,037</w:t>
            </w:r>
          </w:p>
        </w:tc>
        <w:tc>
          <w:tcPr>
            <w:tcW w:w="914" w:type="pct"/>
            <w:tcBorders>
              <w:top w:val="nil"/>
              <w:left w:val="nil"/>
              <w:bottom w:val="nil"/>
              <w:right w:val="nil"/>
            </w:tcBorders>
          </w:tcPr>
          <w:p w14:paraId="34CDF866" w14:textId="77777777" w:rsidR="0083161B" w:rsidRPr="00D23517" w:rsidRDefault="0083161B" w:rsidP="003C4AAB">
            <w:pPr>
              <w:spacing w:after="0" w:line="240" w:lineRule="auto"/>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1848DB" w:rsidRPr="00D23517" w14:paraId="66414205" w14:textId="77777777" w:rsidTr="001848DB">
        <w:trPr>
          <w:trHeight w:val="144"/>
        </w:trPr>
        <w:tc>
          <w:tcPr>
            <w:tcW w:w="627" w:type="pct"/>
            <w:tcBorders>
              <w:top w:val="nil"/>
              <w:left w:val="nil"/>
              <w:bottom w:val="nil"/>
              <w:right w:val="nil"/>
            </w:tcBorders>
            <w:shd w:val="clear" w:color="auto" w:fill="auto"/>
            <w:noWrap/>
            <w:vAlign w:val="bottom"/>
            <w:hideMark/>
          </w:tcPr>
          <w:p w14:paraId="2D99C80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POST-SOX</w:t>
            </w:r>
          </w:p>
        </w:tc>
        <w:tc>
          <w:tcPr>
            <w:tcW w:w="407" w:type="pct"/>
            <w:tcBorders>
              <w:top w:val="nil"/>
              <w:left w:val="nil"/>
              <w:bottom w:val="nil"/>
              <w:right w:val="nil"/>
            </w:tcBorders>
            <w:shd w:val="clear" w:color="auto" w:fill="auto"/>
            <w:noWrap/>
            <w:vAlign w:val="bottom"/>
          </w:tcPr>
          <w:p w14:paraId="7F9AA3D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-0.016</w:t>
            </w:r>
          </w:p>
        </w:tc>
        <w:tc>
          <w:tcPr>
            <w:tcW w:w="676" w:type="pct"/>
            <w:tcBorders>
              <w:top w:val="nil"/>
              <w:left w:val="nil"/>
              <w:bottom w:val="nil"/>
              <w:right w:val="nil"/>
            </w:tcBorders>
            <w:shd w:val="clear" w:color="auto" w:fill="auto"/>
            <w:noWrap/>
            <w:vAlign w:val="bottom"/>
          </w:tcPr>
          <w:p w14:paraId="6A8CEC10"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(-2.550 **)</w:t>
            </w:r>
          </w:p>
        </w:tc>
        <w:tc>
          <w:tcPr>
            <w:tcW w:w="407" w:type="pct"/>
            <w:tcBorders>
              <w:top w:val="nil"/>
              <w:left w:val="nil"/>
              <w:bottom w:val="nil"/>
              <w:right w:val="nil"/>
            </w:tcBorders>
            <w:shd w:val="clear" w:color="auto" w:fill="auto"/>
            <w:noWrap/>
            <w:vAlign w:val="bottom"/>
          </w:tcPr>
          <w:p w14:paraId="3B49040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-0.124</w:t>
            </w:r>
          </w:p>
        </w:tc>
        <w:tc>
          <w:tcPr>
            <w:tcW w:w="731" w:type="pct"/>
            <w:tcBorders>
              <w:top w:val="nil"/>
              <w:left w:val="nil"/>
              <w:bottom w:val="nil"/>
              <w:right w:val="nil"/>
            </w:tcBorders>
            <w:shd w:val="clear" w:color="auto" w:fill="auto"/>
            <w:noWrap/>
            <w:vAlign w:val="bottom"/>
          </w:tcPr>
          <w:p w14:paraId="7B2CF8D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(-11.324 ***)</w:t>
            </w:r>
          </w:p>
        </w:tc>
        <w:tc>
          <w:tcPr>
            <w:tcW w:w="812" w:type="pct"/>
            <w:tcBorders>
              <w:top w:val="nil"/>
              <w:left w:val="nil"/>
              <w:bottom w:val="nil"/>
              <w:right w:val="nil"/>
            </w:tcBorders>
            <w:shd w:val="clear" w:color="auto" w:fill="auto"/>
            <w:noWrap/>
            <w:vAlign w:val="bottom"/>
          </w:tcPr>
          <w:p w14:paraId="0753C1C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0.445</w:t>
            </w:r>
          </w:p>
        </w:tc>
        <w:tc>
          <w:tcPr>
            <w:tcW w:w="426" w:type="pct"/>
            <w:tcBorders>
              <w:top w:val="nil"/>
              <w:left w:val="nil"/>
              <w:bottom w:val="nil"/>
              <w:right w:val="nil"/>
            </w:tcBorders>
            <w:shd w:val="clear" w:color="auto" w:fill="auto"/>
            <w:noWrap/>
            <w:vAlign w:val="bottom"/>
          </w:tcPr>
          <w:p w14:paraId="333CB4A6"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32,985</w:t>
            </w:r>
          </w:p>
        </w:tc>
        <w:tc>
          <w:tcPr>
            <w:tcW w:w="914" w:type="pct"/>
            <w:tcBorders>
              <w:top w:val="nil"/>
              <w:left w:val="nil"/>
              <w:bottom w:val="nil"/>
              <w:right w:val="nil"/>
            </w:tcBorders>
          </w:tcPr>
          <w:p w14:paraId="3AEB0C3D" w14:textId="77777777" w:rsidR="0083161B" w:rsidRPr="00D23517" w:rsidRDefault="0083161B" w:rsidP="003C4AAB">
            <w:pPr>
              <w:spacing w:after="0" w:line="240" w:lineRule="auto"/>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1848DB" w:rsidRPr="00D23517" w14:paraId="6FCC6EB2" w14:textId="77777777" w:rsidTr="001848DB">
        <w:trPr>
          <w:trHeight w:val="144"/>
        </w:trPr>
        <w:tc>
          <w:tcPr>
            <w:tcW w:w="627" w:type="pct"/>
            <w:tcBorders>
              <w:top w:val="nil"/>
              <w:left w:val="nil"/>
              <w:bottom w:val="nil"/>
              <w:right w:val="nil"/>
            </w:tcBorders>
            <w:shd w:val="clear" w:color="auto" w:fill="auto"/>
            <w:noWrap/>
            <w:vAlign w:val="bottom"/>
            <w:hideMark/>
          </w:tcPr>
          <w:p w14:paraId="708EAD0E"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p>
        </w:tc>
        <w:tc>
          <w:tcPr>
            <w:tcW w:w="407" w:type="pct"/>
            <w:tcBorders>
              <w:top w:val="nil"/>
              <w:left w:val="nil"/>
              <w:bottom w:val="nil"/>
              <w:right w:val="nil"/>
            </w:tcBorders>
            <w:shd w:val="clear" w:color="auto" w:fill="auto"/>
            <w:noWrap/>
            <w:vAlign w:val="bottom"/>
            <w:hideMark/>
          </w:tcPr>
          <w:p w14:paraId="2C91D9DD"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76" w:type="pct"/>
            <w:tcBorders>
              <w:top w:val="nil"/>
              <w:left w:val="nil"/>
              <w:bottom w:val="nil"/>
              <w:right w:val="nil"/>
            </w:tcBorders>
            <w:shd w:val="clear" w:color="auto" w:fill="auto"/>
            <w:noWrap/>
            <w:vAlign w:val="bottom"/>
            <w:hideMark/>
          </w:tcPr>
          <w:p w14:paraId="725FBCC9"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407" w:type="pct"/>
            <w:tcBorders>
              <w:top w:val="nil"/>
              <w:left w:val="nil"/>
              <w:bottom w:val="nil"/>
              <w:right w:val="nil"/>
            </w:tcBorders>
            <w:shd w:val="clear" w:color="auto" w:fill="auto"/>
            <w:noWrap/>
            <w:vAlign w:val="bottom"/>
            <w:hideMark/>
          </w:tcPr>
          <w:p w14:paraId="5DDA727D"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731" w:type="pct"/>
            <w:tcBorders>
              <w:top w:val="nil"/>
              <w:left w:val="nil"/>
              <w:bottom w:val="nil"/>
              <w:right w:val="nil"/>
            </w:tcBorders>
            <w:shd w:val="clear" w:color="auto" w:fill="auto"/>
            <w:noWrap/>
            <w:vAlign w:val="bottom"/>
            <w:hideMark/>
          </w:tcPr>
          <w:p w14:paraId="20670ED6"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812" w:type="pct"/>
            <w:tcBorders>
              <w:top w:val="nil"/>
              <w:left w:val="nil"/>
              <w:bottom w:val="nil"/>
              <w:right w:val="nil"/>
            </w:tcBorders>
            <w:shd w:val="clear" w:color="auto" w:fill="auto"/>
            <w:noWrap/>
            <w:vAlign w:val="bottom"/>
            <w:hideMark/>
          </w:tcPr>
          <w:p w14:paraId="2CB0F106"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426" w:type="pct"/>
            <w:tcBorders>
              <w:top w:val="nil"/>
              <w:left w:val="nil"/>
              <w:bottom w:val="nil"/>
              <w:right w:val="nil"/>
            </w:tcBorders>
            <w:shd w:val="clear" w:color="auto" w:fill="auto"/>
            <w:noWrap/>
            <w:vAlign w:val="bottom"/>
            <w:hideMark/>
          </w:tcPr>
          <w:p w14:paraId="1B1B3F62"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914" w:type="pct"/>
            <w:tcBorders>
              <w:top w:val="nil"/>
              <w:left w:val="nil"/>
              <w:bottom w:val="nil"/>
              <w:right w:val="nil"/>
            </w:tcBorders>
          </w:tcPr>
          <w:p w14:paraId="7F5B6206" w14:textId="77777777" w:rsidR="0083161B" w:rsidRPr="00D23517" w:rsidRDefault="0083161B" w:rsidP="003C4AAB">
            <w:pPr>
              <w:spacing w:after="0" w:line="240" w:lineRule="auto"/>
              <w:rPr>
                <w:rFonts w:ascii="Times New Roman" w:eastAsia="Times New Roman" w:hAnsi="Times New Roman" w:cs="Times New Roman"/>
                <w:sz w:val="20"/>
                <w:szCs w:val="20"/>
              </w:rPr>
            </w:pPr>
          </w:p>
        </w:tc>
      </w:tr>
      <w:tr w:rsidR="0083161B" w:rsidRPr="00D23517" w14:paraId="162DA76D" w14:textId="77777777" w:rsidTr="00D23517">
        <w:trPr>
          <w:trHeight w:val="89"/>
        </w:trPr>
        <w:tc>
          <w:tcPr>
            <w:tcW w:w="4086" w:type="pct"/>
            <w:gridSpan w:val="7"/>
            <w:tcBorders>
              <w:top w:val="nil"/>
              <w:left w:val="nil"/>
              <w:bottom w:val="nil"/>
              <w:right w:val="nil"/>
            </w:tcBorders>
            <w:shd w:val="clear" w:color="auto" w:fill="auto"/>
            <w:noWrap/>
            <w:vAlign w:val="bottom"/>
            <w:hideMark/>
          </w:tcPr>
          <w:p w14:paraId="10BF9FDF"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r w:rsidRPr="00D23517">
              <w:rPr>
                <w:rFonts w:ascii="Times New Roman" w:eastAsia="Times New Roman" w:hAnsi="Times New Roman" w:cs="Times New Roman"/>
                <w:b/>
                <w:i/>
                <w:color w:val="000000"/>
                <w:sz w:val="20"/>
                <w:szCs w:val="20"/>
                <w:u w:val="single"/>
              </w:rPr>
              <w:t>Panel D - NCSKEW</w:t>
            </w:r>
          </w:p>
        </w:tc>
        <w:tc>
          <w:tcPr>
            <w:tcW w:w="914" w:type="pct"/>
            <w:tcBorders>
              <w:top w:val="nil"/>
              <w:left w:val="nil"/>
              <w:bottom w:val="nil"/>
              <w:right w:val="nil"/>
            </w:tcBorders>
          </w:tcPr>
          <w:p w14:paraId="2264F592" w14:textId="77777777" w:rsidR="0083161B" w:rsidRPr="00D23517" w:rsidRDefault="0083161B" w:rsidP="003C4AAB">
            <w:pPr>
              <w:spacing w:after="0" w:line="240" w:lineRule="auto"/>
              <w:rPr>
                <w:rFonts w:ascii="Times New Roman" w:eastAsia="Times New Roman" w:hAnsi="Times New Roman" w:cs="Times New Roman"/>
                <w:b/>
                <w:i/>
                <w:color w:val="000000"/>
                <w:sz w:val="20"/>
                <w:szCs w:val="20"/>
                <w:u w:val="single"/>
              </w:rPr>
            </w:pPr>
          </w:p>
        </w:tc>
      </w:tr>
      <w:tr w:rsidR="001848DB" w:rsidRPr="00D23517" w14:paraId="496CDEA9" w14:textId="77777777" w:rsidTr="001848DB">
        <w:trPr>
          <w:trHeight w:val="144"/>
        </w:trPr>
        <w:tc>
          <w:tcPr>
            <w:tcW w:w="627" w:type="pct"/>
            <w:tcBorders>
              <w:top w:val="nil"/>
              <w:left w:val="nil"/>
              <w:right w:val="nil"/>
            </w:tcBorders>
            <w:shd w:val="clear" w:color="auto" w:fill="auto"/>
            <w:noWrap/>
            <w:vAlign w:val="bottom"/>
          </w:tcPr>
          <w:p w14:paraId="707CBBB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PRE-SOX</w:t>
            </w:r>
          </w:p>
        </w:tc>
        <w:tc>
          <w:tcPr>
            <w:tcW w:w="407" w:type="pct"/>
            <w:tcBorders>
              <w:top w:val="nil"/>
              <w:left w:val="nil"/>
              <w:right w:val="nil"/>
            </w:tcBorders>
            <w:shd w:val="clear" w:color="auto" w:fill="auto"/>
            <w:noWrap/>
            <w:vAlign w:val="bottom"/>
          </w:tcPr>
          <w:p w14:paraId="7C3A416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-0.021</w:t>
            </w:r>
          </w:p>
        </w:tc>
        <w:tc>
          <w:tcPr>
            <w:tcW w:w="676" w:type="pct"/>
            <w:tcBorders>
              <w:top w:val="nil"/>
              <w:left w:val="nil"/>
              <w:right w:val="nil"/>
            </w:tcBorders>
            <w:shd w:val="clear" w:color="auto" w:fill="auto"/>
            <w:noWrap/>
            <w:vAlign w:val="bottom"/>
          </w:tcPr>
          <w:p w14:paraId="61EB27A3"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(-2.579 ***)</w:t>
            </w:r>
          </w:p>
        </w:tc>
        <w:tc>
          <w:tcPr>
            <w:tcW w:w="407" w:type="pct"/>
            <w:tcBorders>
              <w:top w:val="nil"/>
              <w:left w:val="nil"/>
              <w:right w:val="nil"/>
            </w:tcBorders>
            <w:shd w:val="clear" w:color="auto" w:fill="auto"/>
            <w:noWrap/>
            <w:vAlign w:val="bottom"/>
          </w:tcPr>
          <w:p w14:paraId="155C8CB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-0.069</w:t>
            </w:r>
          </w:p>
        </w:tc>
        <w:tc>
          <w:tcPr>
            <w:tcW w:w="731" w:type="pct"/>
            <w:tcBorders>
              <w:top w:val="nil"/>
              <w:left w:val="nil"/>
              <w:right w:val="nil"/>
            </w:tcBorders>
            <w:shd w:val="clear" w:color="auto" w:fill="auto"/>
            <w:noWrap/>
            <w:vAlign w:val="bottom"/>
          </w:tcPr>
          <w:p w14:paraId="1A8FA6B8"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(-5.981 ***)</w:t>
            </w:r>
          </w:p>
        </w:tc>
        <w:tc>
          <w:tcPr>
            <w:tcW w:w="812" w:type="pct"/>
            <w:tcBorders>
              <w:top w:val="nil"/>
              <w:left w:val="nil"/>
              <w:right w:val="nil"/>
            </w:tcBorders>
            <w:shd w:val="clear" w:color="auto" w:fill="auto"/>
            <w:noWrap/>
            <w:vAlign w:val="bottom"/>
          </w:tcPr>
          <w:p w14:paraId="13FBB0F2"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0.0574</w:t>
            </w:r>
          </w:p>
        </w:tc>
        <w:tc>
          <w:tcPr>
            <w:tcW w:w="426" w:type="pct"/>
            <w:tcBorders>
              <w:top w:val="nil"/>
              <w:left w:val="nil"/>
              <w:right w:val="nil"/>
            </w:tcBorders>
            <w:shd w:val="clear" w:color="auto" w:fill="auto"/>
            <w:noWrap/>
            <w:vAlign w:val="bottom"/>
          </w:tcPr>
          <w:p w14:paraId="39BFEE0F"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28,322</w:t>
            </w:r>
          </w:p>
        </w:tc>
        <w:tc>
          <w:tcPr>
            <w:tcW w:w="914" w:type="pct"/>
            <w:tcBorders>
              <w:top w:val="nil"/>
              <w:left w:val="nil"/>
              <w:right w:val="nil"/>
            </w:tcBorders>
          </w:tcPr>
          <w:p w14:paraId="131C8D7E" w14:textId="77777777" w:rsidR="0083161B" w:rsidRPr="00D23517" w:rsidRDefault="0083161B" w:rsidP="003C4AAB">
            <w:pPr>
              <w:spacing w:after="0" w:line="240" w:lineRule="auto"/>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1848DB" w:rsidRPr="00D23517" w14:paraId="1FC9463F" w14:textId="77777777" w:rsidTr="001848DB">
        <w:trPr>
          <w:trHeight w:val="144"/>
        </w:trPr>
        <w:tc>
          <w:tcPr>
            <w:tcW w:w="627" w:type="pct"/>
            <w:tcBorders>
              <w:top w:val="nil"/>
              <w:left w:val="nil"/>
              <w:bottom w:val="single" w:sz="4" w:space="0" w:color="auto"/>
              <w:right w:val="nil"/>
            </w:tcBorders>
            <w:shd w:val="clear" w:color="auto" w:fill="auto"/>
            <w:noWrap/>
            <w:vAlign w:val="bottom"/>
            <w:hideMark/>
          </w:tcPr>
          <w:p w14:paraId="70A6C299"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POST-SOX</w:t>
            </w:r>
          </w:p>
        </w:tc>
        <w:tc>
          <w:tcPr>
            <w:tcW w:w="407" w:type="pct"/>
            <w:tcBorders>
              <w:top w:val="nil"/>
              <w:left w:val="nil"/>
              <w:bottom w:val="single" w:sz="4" w:space="0" w:color="auto"/>
              <w:right w:val="nil"/>
            </w:tcBorders>
            <w:shd w:val="clear" w:color="auto" w:fill="auto"/>
            <w:noWrap/>
            <w:vAlign w:val="bottom"/>
          </w:tcPr>
          <w:p w14:paraId="4884532E"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-0.007</w:t>
            </w:r>
          </w:p>
        </w:tc>
        <w:tc>
          <w:tcPr>
            <w:tcW w:w="676" w:type="pct"/>
            <w:tcBorders>
              <w:top w:val="nil"/>
              <w:left w:val="nil"/>
              <w:bottom w:val="single" w:sz="4" w:space="0" w:color="auto"/>
              <w:right w:val="nil"/>
            </w:tcBorders>
            <w:shd w:val="clear" w:color="auto" w:fill="auto"/>
            <w:noWrap/>
            <w:vAlign w:val="bottom"/>
          </w:tcPr>
          <w:p w14:paraId="1777DF42" w14:textId="1A29C914"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(-0.767)</w:t>
            </w:r>
          </w:p>
        </w:tc>
        <w:tc>
          <w:tcPr>
            <w:tcW w:w="407" w:type="pct"/>
            <w:tcBorders>
              <w:top w:val="nil"/>
              <w:left w:val="nil"/>
              <w:bottom w:val="single" w:sz="4" w:space="0" w:color="auto"/>
              <w:right w:val="nil"/>
            </w:tcBorders>
            <w:shd w:val="clear" w:color="auto" w:fill="auto"/>
            <w:noWrap/>
            <w:vAlign w:val="bottom"/>
          </w:tcPr>
          <w:p w14:paraId="6CBCAEC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-0.096</w:t>
            </w:r>
          </w:p>
        </w:tc>
        <w:tc>
          <w:tcPr>
            <w:tcW w:w="731" w:type="pct"/>
            <w:tcBorders>
              <w:top w:val="nil"/>
              <w:left w:val="nil"/>
              <w:bottom w:val="single" w:sz="4" w:space="0" w:color="auto"/>
              <w:right w:val="nil"/>
            </w:tcBorders>
            <w:shd w:val="clear" w:color="auto" w:fill="auto"/>
            <w:noWrap/>
            <w:vAlign w:val="bottom"/>
          </w:tcPr>
          <w:p w14:paraId="1D8922C5"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(-7.228 ***)</w:t>
            </w:r>
          </w:p>
        </w:tc>
        <w:tc>
          <w:tcPr>
            <w:tcW w:w="812" w:type="pct"/>
            <w:tcBorders>
              <w:top w:val="nil"/>
              <w:left w:val="nil"/>
              <w:bottom w:val="single" w:sz="4" w:space="0" w:color="auto"/>
              <w:right w:val="nil"/>
            </w:tcBorders>
            <w:shd w:val="clear" w:color="auto" w:fill="auto"/>
            <w:noWrap/>
            <w:vAlign w:val="bottom"/>
          </w:tcPr>
          <w:p w14:paraId="31078E66"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0.0201</w:t>
            </w:r>
          </w:p>
        </w:tc>
        <w:tc>
          <w:tcPr>
            <w:tcW w:w="426" w:type="pct"/>
            <w:tcBorders>
              <w:top w:val="nil"/>
              <w:left w:val="nil"/>
              <w:bottom w:val="single" w:sz="4" w:space="0" w:color="auto"/>
              <w:right w:val="nil"/>
            </w:tcBorders>
            <w:shd w:val="clear" w:color="auto" w:fill="auto"/>
            <w:noWrap/>
            <w:vAlign w:val="bottom"/>
          </w:tcPr>
          <w:p w14:paraId="09EEA6B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sz w:val="20"/>
                <w:szCs w:val="20"/>
              </w:rPr>
              <w:t>27,000</w:t>
            </w:r>
          </w:p>
        </w:tc>
        <w:tc>
          <w:tcPr>
            <w:tcW w:w="914" w:type="pct"/>
            <w:tcBorders>
              <w:top w:val="nil"/>
              <w:left w:val="nil"/>
              <w:bottom w:val="single" w:sz="4" w:space="0" w:color="auto"/>
              <w:right w:val="nil"/>
            </w:tcBorders>
          </w:tcPr>
          <w:p w14:paraId="237D7A4B" w14:textId="77777777" w:rsidR="0083161B" w:rsidRPr="00D23517" w:rsidRDefault="0083161B" w:rsidP="003C4AAB">
            <w:pPr>
              <w:spacing w:after="0" w:line="240" w:lineRule="auto"/>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bl>
    <w:p w14:paraId="0DA73D41" w14:textId="7F054178" w:rsidR="00982C8F" w:rsidRPr="005F4D86" w:rsidRDefault="009B6F98" w:rsidP="00982C8F">
      <w:pPr>
        <w:spacing w:after="0" w:line="240" w:lineRule="auto"/>
        <w:jc w:val="both"/>
        <w:rPr>
          <w:rFonts w:ascii="Times New Roman" w:hAnsi="Times New Roman" w:cs="Times New Roman"/>
          <w:sz w:val="20"/>
          <w:szCs w:val="20"/>
        </w:rPr>
      </w:pPr>
      <w:r w:rsidRPr="005F4D86">
        <w:rPr>
          <w:rFonts w:ascii="Times New Roman" w:eastAsia="Times New Roman" w:hAnsi="Times New Roman" w:cs="Times New Roman"/>
          <w:color w:val="000000"/>
          <w:sz w:val="20"/>
          <w:szCs w:val="20"/>
        </w:rPr>
        <w:t>Note</w:t>
      </w:r>
      <w:r w:rsidR="00982C8F" w:rsidRPr="005F4D86">
        <w:rPr>
          <w:rFonts w:ascii="Times New Roman" w:eastAsia="Times New Roman" w:hAnsi="Times New Roman" w:cs="Times New Roman"/>
          <w:color w:val="000000"/>
          <w:sz w:val="20"/>
          <w:szCs w:val="20"/>
        </w:rPr>
        <w:t xml:space="preserve">: This table reports the results from the panel data firm-fixed effect regressions for the </w:t>
      </w:r>
      <w:r w:rsidR="006E7F78">
        <w:rPr>
          <w:rFonts w:ascii="Times New Roman" w:eastAsia="Times New Roman" w:hAnsi="Times New Roman" w:cs="Times New Roman"/>
          <w:color w:val="000000"/>
          <w:sz w:val="20"/>
          <w:szCs w:val="20"/>
        </w:rPr>
        <w:t>two</w:t>
      </w:r>
      <w:r w:rsidR="006E7F78" w:rsidRPr="005F4D86">
        <w:rPr>
          <w:rFonts w:ascii="Times New Roman" w:eastAsia="Times New Roman" w:hAnsi="Times New Roman" w:cs="Times New Roman"/>
          <w:color w:val="000000"/>
          <w:sz w:val="20"/>
          <w:szCs w:val="20"/>
        </w:rPr>
        <w:t xml:space="preserve"> </w:t>
      </w:r>
      <w:r w:rsidR="00982C8F" w:rsidRPr="005F4D86">
        <w:rPr>
          <w:rFonts w:ascii="Times New Roman" w:eastAsia="Times New Roman" w:hAnsi="Times New Roman" w:cs="Times New Roman"/>
          <w:color w:val="000000"/>
          <w:sz w:val="20"/>
          <w:szCs w:val="20"/>
        </w:rPr>
        <w:t>sub</w:t>
      </w:r>
      <w:r w:rsidR="005217FE">
        <w:rPr>
          <w:rFonts w:ascii="Times New Roman" w:eastAsia="Times New Roman" w:hAnsi="Times New Roman" w:cs="Times New Roman"/>
          <w:color w:val="000000"/>
          <w:sz w:val="20"/>
          <w:szCs w:val="20"/>
        </w:rPr>
        <w:t>-</w:t>
      </w:r>
      <w:r w:rsidR="00982C8F" w:rsidRPr="005F4D86">
        <w:rPr>
          <w:rFonts w:ascii="Times New Roman" w:eastAsia="Times New Roman" w:hAnsi="Times New Roman" w:cs="Times New Roman"/>
          <w:color w:val="000000"/>
          <w:sz w:val="20"/>
          <w:szCs w:val="20"/>
        </w:rPr>
        <w:t xml:space="preserve">periods: pre-Sarbanes Oxley Act (SOX) and post-SOX. </w:t>
      </w:r>
      <w:r w:rsidR="00982C8F" w:rsidRPr="005F4D86">
        <w:rPr>
          <w:rFonts w:ascii="Times New Roman" w:hAnsi="Times New Roman" w:cs="Times New Roman"/>
          <w:sz w:val="20"/>
          <w:szCs w:val="20"/>
        </w:rPr>
        <w:t>The dependent variables are ROA volatility (</w:t>
      </w:r>
      <w:r w:rsidR="00E2026D" w:rsidRPr="005F4D86">
        <w:rPr>
          <w:rFonts w:ascii="Times New Roman" w:hAnsi="Times New Roman" w:cs="Times New Roman"/>
          <w:i/>
          <w:sz w:val="20"/>
          <w:szCs w:val="20"/>
        </w:rPr>
        <w:t>ROAVOL</w:t>
      </w:r>
      <w:r w:rsidR="00E2026D" w:rsidRPr="005F4D86">
        <w:rPr>
          <w:rFonts w:ascii="Times New Roman" w:hAnsi="Times New Roman" w:cs="Times New Roman"/>
          <w:sz w:val="20"/>
          <w:szCs w:val="20"/>
        </w:rPr>
        <w:t xml:space="preserve"> </w:t>
      </w:r>
      <w:r w:rsidR="00982C8F" w:rsidRPr="005F4D86">
        <w:rPr>
          <w:rFonts w:ascii="Times New Roman" w:hAnsi="Times New Roman" w:cs="Times New Roman"/>
          <w:sz w:val="20"/>
          <w:szCs w:val="20"/>
        </w:rPr>
        <w:t xml:space="preserve">in Panel A), </w:t>
      </w:r>
      <w:r w:rsidR="006E7F78">
        <w:rPr>
          <w:rFonts w:ascii="Times New Roman" w:hAnsi="Times New Roman" w:cs="Times New Roman"/>
          <w:sz w:val="20"/>
          <w:szCs w:val="20"/>
        </w:rPr>
        <w:t xml:space="preserve">the two </w:t>
      </w:r>
      <w:r w:rsidR="00982C8F" w:rsidRPr="005F4D86">
        <w:rPr>
          <w:rFonts w:ascii="Times New Roman" w:hAnsi="Times New Roman" w:cs="Times New Roman"/>
          <w:sz w:val="20"/>
          <w:szCs w:val="20"/>
        </w:rPr>
        <w:t>measures of stock price volatility (</w:t>
      </w:r>
      <w:r w:rsidR="00982C8F" w:rsidRPr="005F4D86">
        <w:rPr>
          <w:rFonts w:ascii="Times New Roman" w:hAnsi="Times New Roman" w:cs="Times New Roman"/>
          <w:i/>
          <w:sz w:val="20"/>
          <w:szCs w:val="20"/>
        </w:rPr>
        <w:t>TOTRISK</w:t>
      </w:r>
      <w:r w:rsidR="00982C8F" w:rsidRPr="005F4D86">
        <w:rPr>
          <w:rFonts w:ascii="Times New Roman" w:hAnsi="Times New Roman" w:cs="Times New Roman"/>
          <w:sz w:val="20"/>
          <w:szCs w:val="20"/>
        </w:rPr>
        <w:t xml:space="preserve"> in Panel B and </w:t>
      </w:r>
      <w:r w:rsidR="00982C8F" w:rsidRPr="005F4D86">
        <w:rPr>
          <w:rFonts w:ascii="Times New Roman" w:hAnsi="Times New Roman" w:cs="Times New Roman"/>
          <w:i/>
          <w:sz w:val="20"/>
          <w:szCs w:val="20"/>
        </w:rPr>
        <w:t>IDIORISK</w:t>
      </w:r>
      <w:r w:rsidR="00982C8F" w:rsidRPr="005F4D86">
        <w:rPr>
          <w:rFonts w:ascii="Times New Roman" w:hAnsi="Times New Roman" w:cs="Times New Roman"/>
          <w:sz w:val="20"/>
          <w:szCs w:val="20"/>
        </w:rPr>
        <w:t xml:space="preserve"> in Panel C)</w:t>
      </w:r>
      <w:r w:rsidR="006E7F78">
        <w:rPr>
          <w:rFonts w:ascii="Times New Roman" w:hAnsi="Times New Roman" w:cs="Times New Roman"/>
          <w:sz w:val="20"/>
          <w:szCs w:val="20"/>
        </w:rPr>
        <w:t>,</w:t>
      </w:r>
      <w:r w:rsidR="00982C8F" w:rsidRPr="005F4D86">
        <w:rPr>
          <w:rFonts w:ascii="Times New Roman" w:hAnsi="Times New Roman" w:cs="Times New Roman"/>
          <w:sz w:val="20"/>
          <w:szCs w:val="20"/>
        </w:rPr>
        <w:t xml:space="preserve"> and one measure of stock price crash risk (</w:t>
      </w:r>
      <w:r w:rsidR="00982C8F" w:rsidRPr="005F4D86">
        <w:rPr>
          <w:rFonts w:ascii="Times New Roman" w:hAnsi="Times New Roman" w:cs="Times New Roman"/>
          <w:i/>
          <w:sz w:val="20"/>
          <w:szCs w:val="20"/>
        </w:rPr>
        <w:t>NCSKEW</w:t>
      </w:r>
      <w:r w:rsidR="00982C8F" w:rsidRPr="005F4D86">
        <w:rPr>
          <w:rFonts w:ascii="Times New Roman" w:hAnsi="Times New Roman" w:cs="Times New Roman"/>
          <w:sz w:val="20"/>
          <w:szCs w:val="20"/>
        </w:rPr>
        <w:t xml:space="preserve"> in Panel D).  ROA volatility (</w:t>
      </w:r>
      <w:r w:rsidR="00982C8F" w:rsidRPr="005F4D86">
        <w:rPr>
          <w:rFonts w:ascii="Times New Roman" w:hAnsi="Times New Roman" w:cs="Times New Roman"/>
          <w:i/>
          <w:sz w:val="20"/>
          <w:szCs w:val="20"/>
        </w:rPr>
        <w:t>ROAVOL</w:t>
      </w:r>
      <w:r w:rsidR="00982C8F" w:rsidRPr="005F4D86">
        <w:rPr>
          <w:rFonts w:ascii="Times New Roman" w:hAnsi="Times New Roman" w:cs="Times New Roman"/>
          <w:sz w:val="20"/>
          <w:szCs w:val="20"/>
        </w:rPr>
        <w:t>) is the standard deviation of return on assets over 5 years (from year -4 to the current fiscal year).</w:t>
      </w:r>
      <w:r w:rsidR="00982C8F" w:rsidRPr="005F4D86">
        <w:rPr>
          <w:rFonts w:ascii="Times New Roman" w:hAnsi="Times New Roman" w:cs="Times New Roman"/>
          <w:i/>
          <w:sz w:val="20"/>
          <w:szCs w:val="20"/>
        </w:rPr>
        <w:t xml:space="preserve"> </w:t>
      </w:r>
      <w:r w:rsidR="00FC6F5C">
        <w:rPr>
          <w:rFonts w:ascii="Times New Roman" w:hAnsi="Times New Roman" w:cs="Times New Roman"/>
          <w:sz w:val="20"/>
          <w:szCs w:val="20"/>
        </w:rPr>
        <w:t>T</w:t>
      </w:r>
      <w:r w:rsidR="00FC6F5C" w:rsidRPr="005F4D86">
        <w:rPr>
          <w:rFonts w:ascii="Times New Roman" w:hAnsi="Times New Roman" w:cs="Times New Roman"/>
          <w:sz w:val="20"/>
          <w:szCs w:val="20"/>
        </w:rPr>
        <w:t>otal risk</w:t>
      </w:r>
      <w:r w:rsidR="00FC6F5C" w:rsidRPr="005F4D86">
        <w:rPr>
          <w:rFonts w:ascii="Times New Roman" w:hAnsi="Times New Roman" w:cs="Times New Roman"/>
          <w:i/>
          <w:sz w:val="20"/>
          <w:szCs w:val="20"/>
        </w:rPr>
        <w:t xml:space="preserve"> </w:t>
      </w:r>
      <w:r w:rsidR="00FC6F5C">
        <w:rPr>
          <w:rFonts w:ascii="Times New Roman" w:hAnsi="Times New Roman" w:cs="Times New Roman"/>
          <w:i/>
          <w:sz w:val="20"/>
          <w:szCs w:val="20"/>
        </w:rPr>
        <w:t>(</w:t>
      </w:r>
      <w:r w:rsidR="00FC6F5C" w:rsidRPr="005F4D86">
        <w:rPr>
          <w:rFonts w:ascii="Times New Roman" w:hAnsi="Times New Roman" w:cs="Times New Roman"/>
          <w:i/>
          <w:sz w:val="20"/>
          <w:szCs w:val="20"/>
        </w:rPr>
        <w:t>TOTRISK</w:t>
      </w:r>
      <w:r w:rsidR="00FC6F5C">
        <w:rPr>
          <w:rFonts w:ascii="Times New Roman" w:hAnsi="Times New Roman" w:cs="Times New Roman"/>
          <w:sz w:val="20"/>
          <w:szCs w:val="20"/>
        </w:rPr>
        <w:t>)</w:t>
      </w:r>
      <w:r w:rsidR="00FC6F5C" w:rsidRPr="005F4D86">
        <w:rPr>
          <w:rFonts w:ascii="Times New Roman" w:hAnsi="Times New Roman" w:cs="Times New Roman"/>
          <w:sz w:val="20"/>
          <w:szCs w:val="20"/>
        </w:rPr>
        <w:t xml:space="preserve"> </w:t>
      </w:r>
      <w:r w:rsidR="00982C8F" w:rsidRPr="005F4D86">
        <w:rPr>
          <w:rFonts w:ascii="Times New Roman" w:hAnsi="Times New Roman" w:cs="Times New Roman"/>
          <w:sz w:val="20"/>
          <w:szCs w:val="20"/>
        </w:rPr>
        <w:t>is the annualized standard deviation of the daily stock returns in the year.</w:t>
      </w:r>
      <w:r w:rsidR="00982C8F" w:rsidRPr="005F4D86">
        <w:rPr>
          <w:rFonts w:ascii="Times New Roman" w:hAnsi="Times New Roman" w:cs="Times New Roman"/>
          <w:i/>
          <w:sz w:val="20"/>
          <w:szCs w:val="20"/>
        </w:rPr>
        <w:t xml:space="preserve"> </w:t>
      </w:r>
      <w:r w:rsidR="00982C8F" w:rsidRPr="005F4D86">
        <w:rPr>
          <w:rFonts w:ascii="Times New Roman" w:hAnsi="Times New Roman" w:cs="Times New Roman"/>
          <w:sz w:val="20"/>
          <w:szCs w:val="20"/>
        </w:rPr>
        <w:t xml:space="preserve"> </w:t>
      </w:r>
      <w:r w:rsidR="00FC6F5C" w:rsidRPr="00D05DBE">
        <w:rPr>
          <w:rFonts w:ascii="Times New Roman" w:hAnsi="Times New Roman" w:cs="Times New Roman"/>
          <w:sz w:val="20"/>
          <w:szCs w:val="20"/>
        </w:rPr>
        <w:t>Idiosyncratic</w:t>
      </w:r>
      <w:r w:rsidR="00FC6F5C" w:rsidRPr="005F4D86">
        <w:rPr>
          <w:rFonts w:ascii="Times New Roman" w:hAnsi="Times New Roman" w:cs="Times New Roman"/>
          <w:sz w:val="20"/>
          <w:szCs w:val="20"/>
        </w:rPr>
        <w:t xml:space="preserve"> risk</w:t>
      </w:r>
      <w:r w:rsidR="00FC6F5C">
        <w:rPr>
          <w:rFonts w:ascii="Times New Roman" w:hAnsi="Times New Roman" w:cs="Times New Roman"/>
          <w:sz w:val="20"/>
          <w:szCs w:val="20"/>
        </w:rPr>
        <w:t xml:space="preserve"> (</w:t>
      </w:r>
      <w:r w:rsidR="00FC6F5C" w:rsidRPr="005F4D86">
        <w:rPr>
          <w:rFonts w:ascii="Times New Roman" w:hAnsi="Times New Roman" w:cs="Times New Roman"/>
          <w:i/>
          <w:sz w:val="20"/>
          <w:szCs w:val="20"/>
        </w:rPr>
        <w:t>IDIORISK</w:t>
      </w:r>
      <w:r w:rsidR="00FC6F5C">
        <w:rPr>
          <w:rFonts w:ascii="Times New Roman" w:hAnsi="Times New Roman" w:cs="Times New Roman"/>
          <w:i/>
          <w:sz w:val="20"/>
          <w:szCs w:val="20"/>
        </w:rPr>
        <w:t>)</w:t>
      </w:r>
      <w:r w:rsidR="00E2026D">
        <w:rPr>
          <w:rFonts w:ascii="Times New Roman" w:hAnsi="Times New Roman" w:cs="Times New Roman"/>
          <w:i/>
          <w:sz w:val="20"/>
          <w:szCs w:val="20"/>
        </w:rPr>
        <w:t xml:space="preserve"> </w:t>
      </w:r>
      <w:r w:rsidR="00982C8F" w:rsidRPr="005F4D86">
        <w:rPr>
          <w:rFonts w:ascii="Times New Roman" w:hAnsi="Times New Roman" w:cs="Times New Roman"/>
          <w:sz w:val="20"/>
          <w:szCs w:val="20"/>
        </w:rPr>
        <w:t xml:space="preserve">is the annualized standard deviation of the residuals from the </w:t>
      </w:r>
      <w:proofErr w:type="spellStart"/>
      <w:r w:rsidR="00982C8F" w:rsidRPr="005F4D86">
        <w:rPr>
          <w:rFonts w:ascii="Times New Roman" w:hAnsi="Times New Roman" w:cs="Times New Roman"/>
          <w:sz w:val="20"/>
          <w:szCs w:val="20"/>
        </w:rPr>
        <w:t>Fama</w:t>
      </w:r>
      <w:proofErr w:type="spellEnd"/>
      <w:r w:rsidR="00982C8F" w:rsidRPr="005F4D86">
        <w:rPr>
          <w:rFonts w:ascii="Times New Roman" w:hAnsi="Times New Roman" w:cs="Times New Roman"/>
          <w:sz w:val="20"/>
          <w:szCs w:val="20"/>
        </w:rPr>
        <w:t>-French 4-factor model using daily stock returns in the year.</w:t>
      </w:r>
      <w:r w:rsidR="00982C8F" w:rsidRPr="005F4D86">
        <w:rPr>
          <w:rFonts w:ascii="Times New Roman" w:hAnsi="Times New Roman" w:cs="Times New Roman"/>
          <w:i/>
          <w:sz w:val="20"/>
          <w:szCs w:val="20"/>
        </w:rPr>
        <w:t xml:space="preserve"> NCSKEW</w:t>
      </w:r>
      <w:r w:rsidR="00982C8F" w:rsidRPr="005F4D86">
        <w:rPr>
          <w:rFonts w:ascii="Times New Roman" w:hAnsi="Times New Roman" w:cs="Times New Roman"/>
          <w:sz w:val="20"/>
          <w:szCs w:val="20"/>
        </w:rPr>
        <w:t xml:space="preserve"> is the negative conditional skewness of firm-specific weekly return, calculated as the negative third central moment of firm-specific weekly returns divided by the cubed standard deviation of firm-specific weekly returns.</w:t>
      </w:r>
      <w:r w:rsidR="00982C8F" w:rsidRPr="005F4D86">
        <w:rPr>
          <w:rFonts w:ascii="Times New Roman" w:eastAsiaTheme="minorEastAsia" w:hAnsi="Times New Roman" w:cs="Times New Roman"/>
          <w:sz w:val="20"/>
          <w:szCs w:val="20"/>
        </w:rPr>
        <w:t xml:space="preserve"> </w:t>
      </w:r>
      <w:r w:rsidR="00982C8F" w:rsidRPr="005F4D86">
        <w:rPr>
          <w:rFonts w:ascii="Times New Roman" w:hAnsi="Times New Roman" w:cs="Times New Roman"/>
          <w:i/>
          <w:sz w:val="20"/>
          <w:szCs w:val="20"/>
        </w:rPr>
        <w:t>NONOPERINC</w:t>
      </w:r>
      <w:r w:rsidR="00982C8F" w:rsidRPr="005F4D86">
        <w:rPr>
          <w:rFonts w:ascii="Times New Roman" w:hAnsi="Times New Roman" w:cs="Times New Roman"/>
          <w:sz w:val="20"/>
          <w:szCs w:val="20"/>
        </w:rPr>
        <w:t xml:space="preserve"> is the ratio of non-operating income to assets at the end of the fiscal year. </w:t>
      </w:r>
      <w:r w:rsidR="00982C8F" w:rsidRPr="005F4D86">
        <w:rPr>
          <w:rFonts w:ascii="Times New Roman" w:hAnsi="Times New Roman" w:cs="Times New Roman"/>
          <w:i/>
          <w:sz w:val="20"/>
          <w:szCs w:val="20"/>
        </w:rPr>
        <w:t>OPERINC</w:t>
      </w:r>
      <w:r w:rsidR="00982C8F" w:rsidRPr="005F4D86">
        <w:rPr>
          <w:rFonts w:ascii="Times New Roman" w:hAnsi="Times New Roman" w:cs="Times New Roman"/>
          <w:sz w:val="20"/>
          <w:szCs w:val="20"/>
        </w:rPr>
        <w:t xml:space="preserve"> is the ratio of operating income to assets at the end of the fiscal year. For brevity, only coefficients on </w:t>
      </w:r>
      <w:r w:rsidR="00982C8F" w:rsidRPr="005F4D86">
        <w:rPr>
          <w:rFonts w:ascii="Times New Roman" w:hAnsi="Times New Roman" w:cs="Times New Roman"/>
          <w:i/>
          <w:sz w:val="20"/>
          <w:szCs w:val="20"/>
        </w:rPr>
        <w:t>NONOPERINC</w:t>
      </w:r>
      <w:r w:rsidR="00982C8F" w:rsidRPr="005F4D86">
        <w:rPr>
          <w:rFonts w:ascii="Times New Roman" w:hAnsi="Times New Roman" w:cs="Times New Roman"/>
          <w:sz w:val="20"/>
          <w:szCs w:val="20"/>
        </w:rPr>
        <w:t xml:space="preserve"> and </w:t>
      </w:r>
      <w:r w:rsidR="00982C8F" w:rsidRPr="005F4D86">
        <w:rPr>
          <w:rFonts w:ascii="Times New Roman" w:hAnsi="Times New Roman" w:cs="Times New Roman"/>
          <w:i/>
          <w:sz w:val="20"/>
          <w:szCs w:val="20"/>
        </w:rPr>
        <w:t>OPERINC</w:t>
      </w:r>
      <w:r w:rsidR="00982C8F" w:rsidRPr="005F4D86">
        <w:rPr>
          <w:rFonts w:ascii="Times New Roman" w:hAnsi="Times New Roman" w:cs="Times New Roman"/>
          <w:sz w:val="20"/>
          <w:szCs w:val="20"/>
        </w:rPr>
        <w:t xml:space="preserve"> are reported</w:t>
      </w:r>
      <w:r w:rsidR="005217FE">
        <w:rPr>
          <w:rFonts w:ascii="Times New Roman" w:hAnsi="Times New Roman" w:cs="Times New Roman"/>
          <w:sz w:val="20"/>
          <w:szCs w:val="20"/>
        </w:rPr>
        <w:t>.</w:t>
      </w:r>
      <w:r w:rsidR="00982C8F" w:rsidRPr="005F4D86">
        <w:rPr>
          <w:rFonts w:ascii="Times New Roman" w:hAnsi="Times New Roman" w:cs="Times New Roman"/>
          <w:sz w:val="20"/>
          <w:szCs w:val="20"/>
        </w:rPr>
        <w:t xml:space="preserve"> *, ** and *** indicate the significance levels of 10%, 5% and 1%, respectively.</w:t>
      </w:r>
    </w:p>
    <w:p w14:paraId="07989ECE" w14:textId="77777777" w:rsidR="0083161B" w:rsidRPr="005F4D86" w:rsidRDefault="0083161B" w:rsidP="00A1062B">
      <w:pPr>
        <w:jc w:val="both"/>
      </w:pPr>
      <w:r w:rsidRPr="005F4D86">
        <w:br w:type="page"/>
      </w:r>
    </w:p>
    <w:tbl>
      <w:tblPr>
        <w:tblW w:w="5000" w:type="pct"/>
        <w:tblLayout w:type="fixed"/>
        <w:tblLook w:val="04A0" w:firstRow="1" w:lastRow="0" w:firstColumn="1" w:lastColumn="0" w:noHBand="0" w:noVBand="1"/>
      </w:tblPr>
      <w:tblGrid>
        <w:gridCol w:w="1557"/>
        <w:gridCol w:w="825"/>
        <w:gridCol w:w="1043"/>
        <w:gridCol w:w="955"/>
        <w:gridCol w:w="1234"/>
        <w:gridCol w:w="1430"/>
        <w:gridCol w:w="822"/>
        <w:gridCol w:w="1494"/>
      </w:tblGrid>
      <w:tr w:rsidR="0083161B" w:rsidRPr="00D23517" w14:paraId="7BA2E34F" w14:textId="77777777" w:rsidTr="008F6E16">
        <w:trPr>
          <w:trHeight w:val="144"/>
        </w:trPr>
        <w:tc>
          <w:tcPr>
            <w:tcW w:w="5000" w:type="pct"/>
            <w:gridSpan w:val="8"/>
            <w:tcBorders>
              <w:top w:val="nil"/>
              <w:left w:val="nil"/>
              <w:bottom w:val="single" w:sz="4" w:space="0" w:color="auto"/>
              <w:right w:val="nil"/>
            </w:tcBorders>
            <w:shd w:val="clear" w:color="auto" w:fill="auto"/>
            <w:noWrap/>
            <w:vAlign w:val="bottom"/>
            <w:hideMark/>
          </w:tcPr>
          <w:p w14:paraId="3532DF07" w14:textId="7E7533CC" w:rsidR="00982C8F" w:rsidRPr="00D23517" w:rsidRDefault="0083161B" w:rsidP="00D23517">
            <w:pPr>
              <w:pBdr>
                <w:bottom w:val="single" w:sz="4" w:space="1" w:color="auto"/>
              </w:pBdr>
              <w:spacing w:after="0" w:line="240" w:lineRule="auto"/>
              <w:rPr>
                <w:rFonts w:ascii="Times New Roman" w:eastAsia="Times New Roman" w:hAnsi="Times New Roman" w:cs="Times New Roman"/>
                <w:b/>
                <w:color w:val="000000"/>
                <w:sz w:val="20"/>
                <w:szCs w:val="20"/>
              </w:rPr>
            </w:pPr>
            <w:r w:rsidRPr="00D23517">
              <w:rPr>
                <w:rFonts w:ascii="Times New Roman" w:eastAsia="Times New Roman" w:hAnsi="Times New Roman" w:cs="Times New Roman"/>
                <w:b/>
                <w:color w:val="000000"/>
                <w:sz w:val="24"/>
                <w:szCs w:val="24"/>
              </w:rPr>
              <w:lastRenderedPageBreak/>
              <w:t>Table A7</w:t>
            </w:r>
            <w:r w:rsidR="00982C8F" w:rsidRPr="00D23517">
              <w:rPr>
                <w:rFonts w:ascii="Times New Roman" w:eastAsia="Times New Roman" w:hAnsi="Times New Roman" w:cs="Times New Roman"/>
                <w:b/>
                <w:color w:val="000000"/>
                <w:sz w:val="24"/>
                <w:szCs w:val="24"/>
              </w:rPr>
              <w:t xml:space="preserve">: </w:t>
            </w:r>
            <w:r w:rsidRPr="00D23517">
              <w:rPr>
                <w:rFonts w:ascii="Times New Roman" w:eastAsia="Times New Roman" w:hAnsi="Times New Roman" w:cs="Times New Roman"/>
                <w:b/>
                <w:color w:val="000000"/>
                <w:sz w:val="24"/>
                <w:szCs w:val="24"/>
              </w:rPr>
              <w:t xml:space="preserve">Regression </w:t>
            </w:r>
            <w:r w:rsidR="00AC74B2" w:rsidRPr="00D23517">
              <w:rPr>
                <w:rFonts w:ascii="Times New Roman" w:eastAsia="Times New Roman" w:hAnsi="Times New Roman" w:cs="Times New Roman"/>
                <w:b/>
                <w:color w:val="000000"/>
                <w:sz w:val="24"/>
                <w:szCs w:val="24"/>
              </w:rPr>
              <w:t xml:space="preserve">results </w:t>
            </w:r>
            <w:r w:rsidRPr="00D23517">
              <w:rPr>
                <w:rFonts w:ascii="Times New Roman" w:eastAsia="Times New Roman" w:hAnsi="Times New Roman" w:cs="Times New Roman"/>
                <w:b/>
                <w:color w:val="000000"/>
                <w:sz w:val="24"/>
                <w:szCs w:val="24"/>
              </w:rPr>
              <w:t xml:space="preserve">by </w:t>
            </w:r>
            <w:r w:rsidR="00AC74B2" w:rsidRPr="00D23517">
              <w:rPr>
                <w:rFonts w:ascii="Times New Roman" w:eastAsia="Times New Roman" w:hAnsi="Times New Roman" w:cs="Times New Roman"/>
                <w:b/>
                <w:color w:val="000000"/>
                <w:sz w:val="24"/>
                <w:szCs w:val="24"/>
              </w:rPr>
              <w:t xml:space="preserve">managerial skill </w:t>
            </w:r>
            <w:r w:rsidRPr="00D23517">
              <w:rPr>
                <w:rFonts w:ascii="Times New Roman" w:eastAsia="Times New Roman" w:hAnsi="Times New Roman" w:cs="Times New Roman"/>
                <w:b/>
                <w:color w:val="000000"/>
                <w:sz w:val="24"/>
                <w:szCs w:val="24"/>
              </w:rPr>
              <w:t xml:space="preserve">vs. </w:t>
            </w:r>
            <w:r w:rsidR="00AC74B2" w:rsidRPr="00D23517">
              <w:rPr>
                <w:rFonts w:ascii="Times New Roman" w:eastAsia="Times New Roman" w:hAnsi="Times New Roman" w:cs="Times New Roman"/>
                <w:b/>
                <w:color w:val="000000"/>
                <w:sz w:val="24"/>
                <w:szCs w:val="24"/>
              </w:rPr>
              <w:t>luck</w:t>
            </w:r>
          </w:p>
        </w:tc>
      </w:tr>
      <w:tr w:rsidR="0083161B" w:rsidRPr="00D23517" w14:paraId="1E0C6658" w14:textId="77777777" w:rsidTr="00982C8F">
        <w:trPr>
          <w:trHeight w:val="144"/>
        </w:trPr>
        <w:tc>
          <w:tcPr>
            <w:tcW w:w="832" w:type="pct"/>
            <w:tcBorders>
              <w:top w:val="single" w:sz="4" w:space="0" w:color="auto"/>
              <w:left w:val="nil"/>
              <w:bottom w:val="single" w:sz="4" w:space="0" w:color="auto"/>
              <w:right w:val="nil"/>
            </w:tcBorders>
            <w:shd w:val="clear" w:color="auto" w:fill="auto"/>
            <w:noWrap/>
            <w:vAlign w:val="bottom"/>
            <w:hideMark/>
          </w:tcPr>
          <w:p w14:paraId="32F750C0"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Variables</w:t>
            </w:r>
          </w:p>
        </w:tc>
        <w:tc>
          <w:tcPr>
            <w:tcW w:w="998" w:type="pct"/>
            <w:gridSpan w:val="2"/>
            <w:tcBorders>
              <w:top w:val="single" w:sz="4" w:space="0" w:color="auto"/>
              <w:left w:val="nil"/>
              <w:bottom w:val="single" w:sz="4" w:space="0" w:color="auto"/>
              <w:right w:val="nil"/>
            </w:tcBorders>
            <w:shd w:val="clear" w:color="auto" w:fill="auto"/>
            <w:noWrap/>
            <w:vAlign w:val="bottom"/>
            <w:hideMark/>
          </w:tcPr>
          <w:p w14:paraId="54E1A3C0"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NONOPERINC</w:t>
            </w:r>
          </w:p>
        </w:tc>
        <w:tc>
          <w:tcPr>
            <w:tcW w:w="1169" w:type="pct"/>
            <w:gridSpan w:val="2"/>
            <w:tcBorders>
              <w:top w:val="single" w:sz="4" w:space="0" w:color="auto"/>
              <w:left w:val="nil"/>
              <w:bottom w:val="single" w:sz="4" w:space="0" w:color="auto"/>
              <w:right w:val="nil"/>
            </w:tcBorders>
            <w:shd w:val="clear" w:color="auto" w:fill="auto"/>
            <w:noWrap/>
            <w:vAlign w:val="bottom"/>
            <w:hideMark/>
          </w:tcPr>
          <w:p w14:paraId="6F53D9F5"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OPERINC</w:t>
            </w:r>
          </w:p>
        </w:tc>
        <w:tc>
          <w:tcPr>
            <w:tcW w:w="764" w:type="pct"/>
            <w:tcBorders>
              <w:top w:val="single" w:sz="4" w:space="0" w:color="auto"/>
              <w:left w:val="nil"/>
              <w:bottom w:val="single" w:sz="4" w:space="0" w:color="auto"/>
              <w:right w:val="nil"/>
            </w:tcBorders>
            <w:shd w:val="clear" w:color="auto" w:fill="auto"/>
            <w:noWrap/>
            <w:vAlign w:val="bottom"/>
            <w:hideMark/>
          </w:tcPr>
          <w:p w14:paraId="7EDD8AB4"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Adj. R-squared</w:t>
            </w:r>
          </w:p>
        </w:tc>
        <w:tc>
          <w:tcPr>
            <w:tcW w:w="438" w:type="pct"/>
            <w:tcBorders>
              <w:top w:val="single" w:sz="4" w:space="0" w:color="auto"/>
              <w:left w:val="nil"/>
              <w:bottom w:val="single" w:sz="4" w:space="0" w:color="auto"/>
              <w:right w:val="nil"/>
            </w:tcBorders>
            <w:shd w:val="clear" w:color="auto" w:fill="auto"/>
            <w:noWrap/>
            <w:vAlign w:val="bottom"/>
            <w:hideMark/>
          </w:tcPr>
          <w:p w14:paraId="141F2197"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N</w:t>
            </w:r>
          </w:p>
        </w:tc>
        <w:tc>
          <w:tcPr>
            <w:tcW w:w="798" w:type="pct"/>
            <w:tcBorders>
              <w:top w:val="single" w:sz="4" w:space="0" w:color="auto"/>
              <w:left w:val="nil"/>
              <w:bottom w:val="single" w:sz="4" w:space="0" w:color="auto"/>
              <w:right w:val="nil"/>
            </w:tcBorders>
          </w:tcPr>
          <w:p w14:paraId="09585DA0"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Control variables</w:t>
            </w:r>
          </w:p>
        </w:tc>
      </w:tr>
      <w:tr w:rsidR="0083161B" w:rsidRPr="00D23517" w14:paraId="5651E09B" w14:textId="77777777" w:rsidTr="008F6E16">
        <w:trPr>
          <w:trHeight w:val="144"/>
        </w:trPr>
        <w:tc>
          <w:tcPr>
            <w:tcW w:w="4202" w:type="pct"/>
            <w:gridSpan w:val="7"/>
            <w:tcBorders>
              <w:top w:val="single" w:sz="4" w:space="0" w:color="auto"/>
              <w:left w:val="nil"/>
              <w:bottom w:val="nil"/>
              <w:right w:val="nil"/>
            </w:tcBorders>
            <w:shd w:val="clear" w:color="auto" w:fill="auto"/>
            <w:noWrap/>
            <w:vAlign w:val="bottom"/>
            <w:hideMark/>
          </w:tcPr>
          <w:p w14:paraId="5CBEFFAE"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r w:rsidRPr="00D23517">
              <w:rPr>
                <w:rFonts w:ascii="Times New Roman" w:eastAsia="Times New Roman" w:hAnsi="Times New Roman" w:cs="Times New Roman"/>
                <w:b/>
                <w:i/>
                <w:color w:val="000000"/>
                <w:sz w:val="20"/>
                <w:szCs w:val="20"/>
                <w:u w:val="single"/>
              </w:rPr>
              <w:t>Panel A - ROAVOL</w:t>
            </w:r>
          </w:p>
        </w:tc>
        <w:tc>
          <w:tcPr>
            <w:tcW w:w="798" w:type="pct"/>
            <w:tcBorders>
              <w:top w:val="single" w:sz="4" w:space="0" w:color="auto"/>
              <w:left w:val="nil"/>
              <w:bottom w:val="nil"/>
              <w:right w:val="nil"/>
            </w:tcBorders>
          </w:tcPr>
          <w:p w14:paraId="26639B84"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p>
        </w:tc>
      </w:tr>
      <w:tr w:rsidR="0083161B" w:rsidRPr="00D23517" w14:paraId="76DC719C" w14:textId="77777777" w:rsidTr="00982C8F">
        <w:trPr>
          <w:trHeight w:val="189"/>
        </w:trPr>
        <w:tc>
          <w:tcPr>
            <w:tcW w:w="832" w:type="pct"/>
            <w:tcBorders>
              <w:top w:val="nil"/>
              <w:left w:val="nil"/>
              <w:bottom w:val="nil"/>
              <w:right w:val="nil"/>
            </w:tcBorders>
            <w:shd w:val="clear" w:color="auto" w:fill="auto"/>
            <w:noWrap/>
            <w:vAlign w:val="bottom"/>
            <w:hideMark/>
          </w:tcPr>
          <w:p w14:paraId="1E22895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Luck</w:t>
            </w:r>
          </w:p>
        </w:tc>
        <w:tc>
          <w:tcPr>
            <w:tcW w:w="441" w:type="pct"/>
            <w:tcBorders>
              <w:top w:val="nil"/>
              <w:left w:val="nil"/>
              <w:bottom w:val="nil"/>
              <w:right w:val="nil"/>
            </w:tcBorders>
            <w:shd w:val="clear" w:color="auto" w:fill="auto"/>
            <w:noWrap/>
            <w:vAlign w:val="bottom"/>
          </w:tcPr>
          <w:p w14:paraId="2DFC22E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-0.009</w:t>
            </w:r>
          </w:p>
        </w:tc>
        <w:tc>
          <w:tcPr>
            <w:tcW w:w="557" w:type="pct"/>
            <w:tcBorders>
              <w:top w:val="nil"/>
              <w:left w:val="nil"/>
              <w:bottom w:val="nil"/>
              <w:right w:val="nil"/>
            </w:tcBorders>
            <w:shd w:val="clear" w:color="auto" w:fill="auto"/>
            <w:noWrap/>
            <w:vAlign w:val="bottom"/>
          </w:tcPr>
          <w:p w14:paraId="3CD2DBC5"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-1.681*</w:t>
            </w:r>
          </w:p>
        </w:tc>
        <w:tc>
          <w:tcPr>
            <w:tcW w:w="510" w:type="pct"/>
            <w:tcBorders>
              <w:top w:val="nil"/>
              <w:left w:val="nil"/>
              <w:bottom w:val="nil"/>
              <w:right w:val="nil"/>
            </w:tcBorders>
            <w:shd w:val="clear" w:color="auto" w:fill="auto"/>
            <w:noWrap/>
            <w:vAlign w:val="bottom"/>
          </w:tcPr>
          <w:p w14:paraId="0045D9B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-0.164</w:t>
            </w:r>
          </w:p>
        </w:tc>
        <w:tc>
          <w:tcPr>
            <w:tcW w:w="659" w:type="pct"/>
            <w:tcBorders>
              <w:top w:val="nil"/>
              <w:left w:val="nil"/>
              <w:bottom w:val="nil"/>
              <w:right w:val="nil"/>
            </w:tcBorders>
            <w:shd w:val="clear" w:color="auto" w:fill="auto"/>
            <w:noWrap/>
            <w:vAlign w:val="bottom"/>
          </w:tcPr>
          <w:p w14:paraId="12BE8126"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-12.653***</w:t>
            </w:r>
          </w:p>
        </w:tc>
        <w:tc>
          <w:tcPr>
            <w:tcW w:w="764" w:type="pct"/>
            <w:tcBorders>
              <w:top w:val="nil"/>
              <w:left w:val="nil"/>
              <w:bottom w:val="nil"/>
              <w:right w:val="nil"/>
            </w:tcBorders>
            <w:shd w:val="clear" w:color="auto" w:fill="auto"/>
            <w:noWrap/>
            <w:vAlign w:val="bottom"/>
          </w:tcPr>
          <w:p w14:paraId="316D5AB6"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0.265</w:t>
            </w:r>
          </w:p>
        </w:tc>
        <w:tc>
          <w:tcPr>
            <w:tcW w:w="438" w:type="pct"/>
            <w:tcBorders>
              <w:top w:val="nil"/>
              <w:left w:val="nil"/>
              <w:bottom w:val="nil"/>
              <w:right w:val="nil"/>
            </w:tcBorders>
            <w:shd w:val="clear" w:color="auto" w:fill="auto"/>
            <w:noWrap/>
            <w:vAlign w:val="bottom"/>
          </w:tcPr>
          <w:p w14:paraId="4B3DBA09"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52,837</w:t>
            </w:r>
          </w:p>
        </w:tc>
        <w:tc>
          <w:tcPr>
            <w:tcW w:w="798" w:type="pct"/>
            <w:tcBorders>
              <w:top w:val="nil"/>
              <w:left w:val="nil"/>
              <w:bottom w:val="nil"/>
              <w:right w:val="nil"/>
            </w:tcBorders>
          </w:tcPr>
          <w:p w14:paraId="1A16C6FC"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5305D261" w14:textId="77777777" w:rsidTr="00982C8F">
        <w:trPr>
          <w:trHeight w:val="144"/>
        </w:trPr>
        <w:tc>
          <w:tcPr>
            <w:tcW w:w="832" w:type="pct"/>
            <w:tcBorders>
              <w:top w:val="nil"/>
              <w:left w:val="nil"/>
              <w:bottom w:val="nil"/>
              <w:right w:val="nil"/>
            </w:tcBorders>
            <w:shd w:val="clear" w:color="auto" w:fill="auto"/>
            <w:noWrap/>
            <w:vAlign w:val="bottom"/>
            <w:hideMark/>
          </w:tcPr>
          <w:p w14:paraId="01FF532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Skill</w:t>
            </w:r>
          </w:p>
        </w:tc>
        <w:tc>
          <w:tcPr>
            <w:tcW w:w="441" w:type="pct"/>
            <w:tcBorders>
              <w:top w:val="nil"/>
              <w:left w:val="nil"/>
              <w:bottom w:val="nil"/>
              <w:right w:val="nil"/>
            </w:tcBorders>
            <w:shd w:val="clear" w:color="auto" w:fill="auto"/>
            <w:noWrap/>
            <w:vAlign w:val="bottom"/>
          </w:tcPr>
          <w:p w14:paraId="3B24CA5E"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-0.009</w:t>
            </w:r>
          </w:p>
        </w:tc>
        <w:tc>
          <w:tcPr>
            <w:tcW w:w="557" w:type="pct"/>
            <w:tcBorders>
              <w:top w:val="nil"/>
              <w:left w:val="nil"/>
              <w:bottom w:val="nil"/>
              <w:right w:val="nil"/>
            </w:tcBorders>
            <w:shd w:val="clear" w:color="auto" w:fill="auto"/>
            <w:noWrap/>
            <w:vAlign w:val="bottom"/>
          </w:tcPr>
          <w:p w14:paraId="0D74468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 xml:space="preserve">-0.975 </w:t>
            </w:r>
          </w:p>
        </w:tc>
        <w:tc>
          <w:tcPr>
            <w:tcW w:w="510" w:type="pct"/>
            <w:tcBorders>
              <w:top w:val="nil"/>
              <w:left w:val="nil"/>
              <w:bottom w:val="nil"/>
              <w:right w:val="nil"/>
            </w:tcBorders>
            <w:shd w:val="clear" w:color="auto" w:fill="auto"/>
            <w:noWrap/>
            <w:vAlign w:val="bottom"/>
          </w:tcPr>
          <w:p w14:paraId="40C2735F"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-0.151</w:t>
            </w:r>
          </w:p>
        </w:tc>
        <w:tc>
          <w:tcPr>
            <w:tcW w:w="659" w:type="pct"/>
            <w:tcBorders>
              <w:top w:val="nil"/>
              <w:left w:val="nil"/>
              <w:bottom w:val="nil"/>
              <w:right w:val="nil"/>
            </w:tcBorders>
            <w:shd w:val="clear" w:color="auto" w:fill="auto"/>
            <w:noWrap/>
            <w:vAlign w:val="bottom"/>
          </w:tcPr>
          <w:p w14:paraId="7ED0E48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-7.362***</w:t>
            </w:r>
          </w:p>
        </w:tc>
        <w:tc>
          <w:tcPr>
            <w:tcW w:w="764" w:type="pct"/>
            <w:tcBorders>
              <w:top w:val="nil"/>
              <w:left w:val="nil"/>
              <w:bottom w:val="nil"/>
              <w:right w:val="nil"/>
            </w:tcBorders>
            <w:shd w:val="clear" w:color="auto" w:fill="auto"/>
            <w:noWrap/>
            <w:vAlign w:val="bottom"/>
          </w:tcPr>
          <w:p w14:paraId="2EDC8AF4"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0.190</w:t>
            </w:r>
          </w:p>
        </w:tc>
        <w:tc>
          <w:tcPr>
            <w:tcW w:w="438" w:type="pct"/>
            <w:tcBorders>
              <w:top w:val="nil"/>
              <w:left w:val="nil"/>
              <w:bottom w:val="nil"/>
              <w:right w:val="nil"/>
            </w:tcBorders>
            <w:shd w:val="clear" w:color="auto" w:fill="auto"/>
            <w:noWrap/>
            <w:vAlign w:val="bottom"/>
          </w:tcPr>
          <w:p w14:paraId="5DCB803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19,067</w:t>
            </w:r>
          </w:p>
        </w:tc>
        <w:tc>
          <w:tcPr>
            <w:tcW w:w="798" w:type="pct"/>
            <w:tcBorders>
              <w:top w:val="nil"/>
              <w:left w:val="nil"/>
              <w:bottom w:val="nil"/>
              <w:right w:val="nil"/>
            </w:tcBorders>
          </w:tcPr>
          <w:p w14:paraId="6301B190"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16A4A859" w14:textId="77777777" w:rsidTr="00982C8F">
        <w:trPr>
          <w:trHeight w:val="144"/>
        </w:trPr>
        <w:tc>
          <w:tcPr>
            <w:tcW w:w="832" w:type="pct"/>
            <w:tcBorders>
              <w:top w:val="nil"/>
              <w:left w:val="nil"/>
              <w:bottom w:val="nil"/>
              <w:right w:val="nil"/>
            </w:tcBorders>
            <w:shd w:val="clear" w:color="auto" w:fill="auto"/>
            <w:noWrap/>
            <w:vAlign w:val="bottom"/>
            <w:hideMark/>
          </w:tcPr>
          <w:p w14:paraId="2164B0C0"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p>
        </w:tc>
        <w:tc>
          <w:tcPr>
            <w:tcW w:w="441" w:type="pct"/>
            <w:tcBorders>
              <w:top w:val="nil"/>
              <w:left w:val="nil"/>
              <w:bottom w:val="nil"/>
              <w:right w:val="nil"/>
            </w:tcBorders>
            <w:shd w:val="clear" w:color="auto" w:fill="auto"/>
            <w:noWrap/>
            <w:vAlign w:val="bottom"/>
            <w:hideMark/>
          </w:tcPr>
          <w:p w14:paraId="2EDD839A"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57" w:type="pct"/>
            <w:tcBorders>
              <w:top w:val="nil"/>
              <w:left w:val="nil"/>
              <w:bottom w:val="nil"/>
              <w:right w:val="nil"/>
            </w:tcBorders>
            <w:shd w:val="clear" w:color="auto" w:fill="auto"/>
            <w:noWrap/>
            <w:vAlign w:val="bottom"/>
            <w:hideMark/>
          </w:tcPr>
          <w:p w14:paraId="030E7A39"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10" w:type="pct"/>
            <w:tcBorders>
              <w:top w:val="nil"/>
              <w:left w:val="nil"/>
              <w:bottom w:val="nil"/>
              <w:right w:val="nil"/>
            </w:tcBorders>
            <w:shd w:val="clear" w:color="auto" w:fill="auto"/>
            <w:noWrap/>
            <w:vAlign w:val="bottom"/>
            <w:hideMark/>
          </w:tcPr>
          <w:p w14:paraId="5D7396ED"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59" w:type="pct"/>
            <w:tcBorders>
              <w:top w:val="nil"/>
              <w:left w:val="nil"/>
              <w:bottom w:val="nil"/>
              <w:right w:val="nil"/>
            </w:tcBorders>
            <w:shd w:val="clear" w:color="auto" w:fill="auto"/>
            <w:noWrap/>
            <w:vAlign w:val="bottom"/>
            <w:hideMark/>
          </w:tcPr>
          <w:p w14:paraId="3671E11C"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764" w:type="pct"/>
            <w:tcBorders>
              <w:top w:val="nil"/>
              <w:left w:val="nil"/>
              <w:bottom w:val="nil"/>
              <w:right w:val="nil"/>
            </w:tcBorders>
            <w:shd w:val="clear" w:color="auto" w:fill="auto"/>
            <w:noWrap/>
            <w:vAlign w:val="bottom"/>
            <w:hideMark/>
          </w:tcPr>
          <w:p w14:paraId="49D5C5F0"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438" w:type="pct"/>
            <w:tcBorders>
              <w:top w:val="nil"/>
              <w:left w:val="nil"/>
              <w:bottom w:val="nil"/>
              <w:right w:val="nil"/>
            </w:tcBorders>
            <w:shd w:val="clear" w:color="auto" w:fill="auto"/>
            <w:noWrap/>
            <w:vAlign w:val="bottom"/>
            <w:hideMark/>
          </w:tcPr>
          <w:p w14:paraId="29176F11"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798" w:type="pct"/>
            <w:tcBorders>
              <w:top w:val="nil"/>
              <w:left w:val="nil"/>
              <w:bottom w:val="nil"/>
              <w:right w:val="nil"/>
            </w:tcBorders>
          </w:tcPr>
          <w:p w14:paraId="030CA1B7"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r>
      <w:tr w:rsidR="0083161B" w:rsidRPr="00D23517" w14:paraId="34B4CB81" w14:textId="77777777" w:rsidTr="008F6E16">
        <w:trPr>
          <w:trHeight w:val="144"/>
        </w:trPr>
        <w:tc>
          <w:tcPr>
            <w:tcW w:w="4202" w:type="pct"/>
            <w:gridSpan w:val="7"/>
            <w:tcBorders>
              <w:top w:val="nil"/>
              <w:left w:val="nil"/>
              <w:bottom w:val="nil"/>
              <w:right w:val="nil"/>
            </w:tcBorders>
            <w:shd w:val="clear" w:color="auto" w:fill="auto"/>
            <w:noWrap/>
            <w:vAlign w:val="bottom"/>
            <w:hideMark/>
          </w:tcPr>
          <w:p w14:paraId="45DB2105"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r w:rsidRPr="00D23517">
              <w:rPr>
                <w:rFonts w:ascii="Times New Roman" w:eastAsia="Times New Roman" w:hAnsi="Times New Roman" w:cs="Times New Roman"/>
                <w:b/>
                <w:i/>
                <w:color w:val="000000"/>
                <w:sz w:val="20"/>
                <w:szCs w:val="20"/>
                <w:u w:val="single"/>
              </w:rPr>
              <w:t>Panel B - TOTRISK</w:t>
            </w:r>
          </w:p>
        </w:tc>
        <w:tc>
          <w:tcPr>
            <w:tcW w:w="798" w:type="pct"/>
            <w:tcBorders>
              <w:top w:val="nil"/>
              <w:left w:val="nil"/>
              <w:bottom w:val="nil"/>
              <w:right w:val="nil"/>
            </w:tcBorders>
          </w:tcPr>
          <w:p w14:paraId="028EA0A0"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p>
        </w:tc>
      </w:tr>
      <w:tr w:rsidR="0083161B" w:rsidRPr="00D23517" w14:paraId="3C9BD9B1" w14:textId="77777777" w:rsidTr="00982C8F">
        <w:trPr>
          <w:trHeight w:val="144"/>
        </w:trPr>
        <w:tc>
          <w:tcPr>
            <w:tcW w:w="832" w:type="pct"/>
            <w:tcBorders>
              <w:top w:val="nil"/>
              <w:left w:val="nil"/>
              <w:bottom w:val="nil"/>
              <w:right w:val="nil"/>
            </w:tcBorders>
            <w:shd w:val="clear" w:color="auto" w:fill="auto"/>
            <w:noWrap/>
            <w:vAlign w:val="bottom"/>
            <w:hideMark/>
          </w:tcPr>
          <w:p w14:paraId="16EFE23E"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Luck</w:t>
            </w:r>
          </w:p>
        </w:tc>
        <w:tc>
          <w:tcPr>
            <w:tcW w:w="441" w:type="pct"/>
            <w:tcBorders>
              <w:top w:val="nil"/>
              <w:left w:val="nil"/>
              <w:bottom w:val="nil"/>
              <w:right w:val="nil"/>
            </w:tcBorders>
            <w:shd w:val="clear" w:color="auto" w:fill="auto"/>
            <w:noWrap/>
            <w:vAlign w:val="bottom"/>
          </w:tcPr>
          <w:p w14:paraId="0BC72ED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-0.009</w:t>
            </w:r>
          </w:p>
        </w:tc>
        <w:tc>
          <w:tcPr>
            <w:tcW w:w="557" w:type="pct"/>
            <w:tcBorders>
              <w:top w:val="nil"/>
              <w:left w:val="nil"/>
              <w:bottom w:val="nil"/>
              <w:right w:val="nil"/>
            </w:tcBorders>
            <w:shd w:val="clear" w:color="auto" w:fill="auto"/>
            <w:noWrap/>
            <w:vAlign w:val="bottom"/>
          </w:tcPr>
          <w:p w14:paraId="735D423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-2.110**</w:t>
            </w:r>
          </w:p>
        </w:tc>
        <w:tc>
          <w:tcPr>
            <w:tcW w:w="510" w:type="pct"/>
            <w:tcBorders>
              <w:top w:val="nil"/>
              <w:left w:val="nil"/>
              <w:bottom w:val="nil"/>
              <w:right w:val="nil"/>
            </w:tcBorders>
            <w:shd w:val="clear" w:color="auto" w:fill="auto"/>
            <w:noWrap/>
            <w:vAlign w:val="bottom"/>
          </w:tcPr>
          <w:p w14:paraId="5BC28D86"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-0.214</w:t>
            </w:r>
          </w:p>
        </w:tc>
        <w:tc>
          <w:tcPr>
            <w:tcW w:w="659" w:type="pct"/>
            <w:tcBorders>
              <w:top w:val="nil"/>
              <w:left w:val="nil"/>
              <w:bottom w:val="nil"/>
              <w:right w:val="nil"/>
            </w:tcBorders>
            <w:shd w:val="clear" w:color="auto" w:fill="auto"/>
            <w:noWrap/>
            <w:vAlign w:val="bottom"/>
          </w:tcPr>
          <w:p w14:paraId="51BC4198"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-26.475***</w:t>
            </w:r>
          </w:p>
        </w:tc>
        <w:tc>
          <w:tcPr>
            <w:tcW w:w="764" w:type="pct"/>
            <w:tcBorders>
              <w:top w:val="nil"/>
              <w:left w:val="nil"/>
              <w:bottom w:val="nil"/>
              <w:right w:val="nil"/>
            </w:tcBorders>
            <w:shd w:val="clear" w:color="auto" w:fill="auto"/>
            <w:noWrap/>
            <w:vAlign w:val="bottom"/>
          </w:tcPr>
          <w:p w14:paraId="3E2D3DFC"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0.494</w:t>
            </w:r>
          </w:p>
        </w:tc>
        <w:tc>
          <w:tcPr>
            <w:tcW w:w="438" w:type="pct"/>
            <w:tcBorders>
              <w:top w:val="nil"/>
              <w:left w:val="nil"/>
              <w:bottom w:val="nil"/>
              <w:right w:val="nil"/>
            </w:tcBorders>
            <w:shd w:val="clear" w:color="auto" w:fill="auto"/>
            <w:noWrap/>
            <w:vAlign w:val="bottom"/>
          </w:tcPr>
          <w:p w14:paraId="68AFB740"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52,899</w:t>
            </w:r>
          </w:p>
        </w:tc>
        <w:tc>
          <w:tcPr>
            <w:tcW w:w="798" w:type="pct"/>
            <w:tcBorders>
              <w:top w:val="nil"/>
              <w:left w:val="nil"/>
              <w:bottom w:val="nil"/>
              <w:right w:val="nil"/>
            </w:tcBorders>
          </w:tcPr>
          <w:p w14:paraId="3815EFC3"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4DEECAC9" w14:textId="77777777" w:rsidTr="00982C8F">
        <w:trPr>
          <w:trHeight w:val="144"/>
        </w:trPr>
        <w:tc>
          <w:tcPr>
            <w:tcW w:w="832" w:type="pct"/>
            <w:tcBorders>
              <w:top w:val="nil"/>
              <w:left w:val="nil"/>
              <w:bottom w:val="nil"/>
              <w:right w:val="nil"/>
            </w:tcBorders>
            <w:shd w:val="clear" w:color="auto" w:fill="auto"/>
            <w:noWrap/>
            <w:vAlign w:val="bottom"/>
            <w:hideMark/>
          </w:tcPr>
          <w:p w14:paraId="41FB2A93"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Skill</w:t>
            </w:r>
          </w:p>
        </w:tc>
        <w:tc>
          <w:tcPr>
            <w:tcW w:w="441" w:type="pct"/>
            <w:tcBorders>
              <w:top w:val="nil"/>
              <w:left w:val="nil"/>
              <w:bottom w:val="nil"/>
              <w:right w:val="nil"/>
            </w:tcBorders>
            <w:shd w:val="clear" w:color="auto" w:fill="auto"/>
            <w:noWrap/>
            <w:vAlign w:val="bottom"/>
          </w:tcPr>
          <w:p w14:paraId="5B9D29FC"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-0.003</w:t>
            </w:r>
          </w:p>
        </w:tc>
        <w:tc>
          <w:tcPr>
            <w:tcW w:w="557" w:type="pct"/>
            <w:tcBorders>
              <w:top w:val="nil"/>
              <w:left w:val="nil"/>
              <w:bottom w:val="nil"/>
              <w:right w:val="nil"/>
            </w:tcBorders>
            <w:shd w:val="clear" w:color="auto" w:fill="auto"/>
            <w:noWrap/>
            <w:vAlign w:val="bottom"/>
          </w:tcPr>
          <w:p w14:paraId="3760878F"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 xml:space="preserve">-0.313 </w:t>
            </w:r>
          </w:p>
        </w:tc>
        <w:tc>
          <w:tcPr>
            <w:tcW w:w="510" w:type="pct"/>
            <w:tcBorders>
              <w:top w:val="nil"/>
              <w:left w:val="nil"/>
              <w:bottom w:val="nil"/>
              <w:right w:val="nil"/>
            </w:tcBorders>
            <w:shd w:val="clear" w:color="auto" w:fill="auto"/>
            <w:noWrap/>
            <w:vAlign w:val="bottom"/>
          </w:tcPr>
          <w:p w14:paraId="0D3D38B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-0.184</w:t>
            </w:r>
          </w:p>
        </w:tc>
        <w:tc>
          <w:tcPr>
            <w:tcW w:w="659" w:type="pct"/>
            <w:tcBorders>
              <w:top w:val="nil"/>
              <w:left w:val="nil"/>
              <w:bottom w:val="nil"/>
              <w:right w:val="nil"/>
            </w:tcBorders>
            <w:shd w:val="clear" w:color="auto" w:fill="auto"/>
            <w:noWrap/>
            <w:vAlign w:val="bottom"/>
          </w:tcPr>
          <w:p w14:paraId="00B58E10"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-14.464***</w:t>
            </w:r>
          </w:p>
        </w:tc>
        <w:tc>
          <w:tcPr>
            <w:tcW w:w="764" w:type="pct"/>
            <w:tcBorders>
              <w:top w:val="nil"/>
              <w:left w:val="nil"/>
              <w:bottom w:val="nil"/>
              <w:right w:val="nil"/>
            </w:tcBorders>
            <w:shd w:val="clear" w:color="auto" w:fill="auto"/>
            <w:noWrap/>
            <w:vAlign w:val="bottom"/>
          </w:tcPr>
          <w:p w14:paraId="5017BD86"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0.481</w:t>
            </w:r>
          </w:p>
        </w:tc>
        <w:tc>
          <w:tcPr>
            <w:tcW w:w="438" w:type="pct"/>
            <w:tcBorders>
              <w:top w:val="nil"/>
              <w:left w:val="nil"/>
              <w:bottom w:val="nil"/>
              <w:right w:val="nil"/>
            </w:tcBorders>
            <w:shd w:val="clear" w:color="auto" w:fill="auto"/>
            <w:noWrap/>
            <w:vAlign w:val="bottom"/>
          </w:tcPr>
          <w:p w14:paraId="39CEA2FC"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19,123</w:t>
            </w:r>
          </w:p>
        </w:tc>
        <w:tc>
          <w:tcPr>
            <w:tcW w:w="798" w:type="pct"/>
            <w:tcBorders>
              <w:top w:val="nil"/>
              <w:left w:val="nil"/>
              <w:bottom w:val="nil"/>
              <w:right w:val="nil"/>
            </w:tcBorders>
          </w:tcPr>
          <w:p w14:paraId="474F72AA"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0CB3540F" w14:textId="77777777" w:rsidTr="00982C8F">
        <w:trPr>
          <w:trHeight w:val="144"/>
        </w:trPr>
        <w:tc>
          <w:tcPr>
            <w:tcW w:w="832" w:type="pct"/>
            <w:tcBorders>
              <w:top w:val="nil"/>
              <w:left w:val="nil"/>
              <w:bottom w:val="nil"/>
              <w:right w:val="nil"/>
            </w:tcBorders>
            <w:shd w:val="clear" w:color="auto" w:fill="auto"/>
            <w:noWrap/>
            <w:vAlign w:val="bottom"/>
            <w:hideMark/>
          </w:tcPr>
          <w:p w14:paraId="5CE6517E"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p>
        </w:tc>
        <w:tc>
          <w:tcPr>
            <w:tcW w:w="441" w:type="pct"/>
            <w:tcBorders>
              <w:top w:val="nil"/>
              <w:left w:val="nil"/>
              <w:bottom w:val="nil"/>
              <w:right w:val="nil"/>
            </w:tcBorders>
            <w:shd w:val="clear" w:color="auto" w:fill="auto"/>
            <w:noWrap/>
            <w:vAlign w:val="bottom"/>
            <w:hideMark/>
          </w:tcPr>
          <w:p w14:paraId="0AD12BC3"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57" w:type="pct"/>
            <w:tcBorders>
              <w:top w:val="nil"/>
              <w:left w:val="nil"/>
              <w:bottom w:val="nil"/>
              <w:right w:val="nil"/>
            </w:tcBorders>
            <w:shd w:val="clear" w:color="auto" w:fill="auto"/>
            <w:noWrap/>
            <w:vAlign w:val="bottom"/>
            <w:hideMark/>
          </w:tcPr>
          <w:p w14:paraId="15889B47"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10" w:type="pct"/>
            <w:tcBorders>
              <w:top w:val="nil"/>
              <w:left w:val="nil"/>
              <w:bottom w:val="nil"/>
              <w:right w:val="nil"/>
            </w:tcBorders>
            <w:shd w:val="clear" w:color="auto" w:fill="auto"/>
            <w:noWrap/>
            <w:vAlign w:val="bottom"/>
            <w:hideMark/>
          </w:tcPr>
          <w:p w14:paraId="34B9B88D"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59" w:type="pct"/>
            <w:tcBorders>
              <w:top w:val="nil"/>
              <w:left w:val="nil"/>
              <w:bottom w:val="nil"/>
              <w:right w:val="nil"/>
            </w:tcBorders>
            <w:shd w:val="clear" w:color="auto" w:fill="auto"/>
            <w:noWrap/>
            <w:vAlign w:val="bottom"/>
            <w:hideMark/>
          </w:tcPr>
          <w:p w14:paraId="53E9D72F"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764" w:type="pct"/>
            <w:tcBorders>
              <w:top w:val="nil"/>
              <w:left w:val="nil"/>
              <w:bottom w:val="nil"/>
              <w:right w:val="nil"/>
            </w:tcBorders>
            <w:shd w:val="clear" w:color="auto" w:fill="auto"/>
            <w:noWrap/>
            <w:vAlign w:val="bottom"/>
            <w:hideMark/>
          </w:tcPr>
          <w:p w14:paraId="4CF0F75F"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438" w:type="pct"/>
            <w:tcBorders>
              <w:top w:val="nil"/>
              <w:left w:val="nil"/>
              <w:bottom w:val="nil"/>
              <w:right w:val="nil"/>
            </w:tcBorders>
            <w:shd w:val="clear" w:color="auto" w:fill="auto"/>
            <w:noWrap/>
            <w:vAlign w:val="bottom"/>
            <w:hideMark/>
          </w:tcPr>
          <w:p w14:paraId="534ED46C"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798" w:type="pct"/>
            <w:tcBorders>
              <w:top w:val="nil"/>
              <w:left w:val="nil"/>
              <w:bottom w:val="nil"/>
              <w:right w:val="nil"/>
            </w:tcBorders>
          </w:tcPr>
          <w:p w14:paraId="12381611"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r>
      <w:tr w:rsidR="0083161B" w:rsidRPr="00D23517" w14:paraId="1C9E947E" w14:textId="77777777" w:rsidTr="008F6E16">
        <w:trPr>
          <w:trHeight w:val="144"/>
        </w:trPr>
        <w:tc>
          <w:tcPr>
            <w:tcW w:w="4202" w:type="pct"/>
            <w:gridSpan w:val="7"/>
            <w:tcBorders>
              <w:top w:val="nil"/>
              <w:left w:val="nil"/>
              <w:bottom w:val="nil"/>
              <w:right w:val="nil"/>
            </w:tcBorders>
            <w:shd w:val="clear" w:color="auto" w:fill="auto"/>
            <w:noWrap/>
            <w:vAlign w:val="bottom"/>
            <w:hideMark/>
          </w:tcPr>
          <w:p w14:paraId="56AC7AAC"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r w:rsidRPr="00D23517">
              <w:rPr>
                <w:rFonts w:ascii="Times New Roman" w:eastAsia="Times New Roman" w:hAnsi="Times New Roman" w:cs="Times New Roman"/>
                <w:b/>
                <w:i/>
                <w:color w:val="000000"/>
                <w:sz w:val="20"/>
                <w:szCs w:val="20"/>
                <w:u w:val="single"/>
              </w:rPr>
              <w:t>Panel C - IDIORISK</w:t>
            </w:r>
          </w:p>
        </w:tc>
        <w:tc>
          <w:tcPr>
            <w:tcW w:w="798" w:type="pct"/>
            <w:tcBorders>
              <w:top w:val="nil"/>
              <w:left w:val="nil"/>
              <w:bottom w:val="nil"/>
              <w:right w:val="nil"/>
            </w:tcBorders>
          </w:tcPr>
          <w:p w14:paraId="31EAED4E"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p>
        </w:tc>
      </w:tr>
      <w:tr w:rsidR="0083161B" w:rsidRPr="00D23517" w14:paraId="5475CCF3" w14:textId="77777777" w:rsidTr="00982C8F">
        <w:trPr>
          <w:trHeight w:val="144"/>
        </w:trPr>
        <w:tc>
          <w:tcPr>
            <w:tcW w:w="832" w:type="pct"/>
            <w:tcBorders>
              <w:top w:val="nil"/>
              <w:left w:val="nil"/>
              <w:bottom w:val="nil"/>
              <w:right w:val="nil"/>
            </w:tcBorders>
            <w:shd w:val="clear" w:color="auto" w:fill="auto"/>
            <w:noWrap/>
            <w:vAlign w:val="bottom"/>
            <w:hideMark/>
          </w:tcPr>
          <w:p w14:paraId="0AB3605F"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Luck</w:t>
            </w:r>
          </w:p>
        </w:tc>
        <w:tc>
          <w:tcPr>
            <w:tcW w:w="441" w:type="pct"/>
            <w:tcBorders>
              <w:top w:val="nil"/>
              <w:left w:val="nil"/>
              <w:bottom w:val="nil"/>
              <w:right w:val="nil"/>
            </w:tcBorders>
            <w:shd w:val="clear" w:color="auto" w:fill="auto"/>
            <w:noWrap/>
            <w:vAlign w:val="bottom"/>
          </w:tcPr>
          <w:p w14:paraId="1E84D1A3"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-0.011</w:t>
            </w:r>
          </w:p>
        </w:tc>
        <w:tc>
          <w:tcPr>
            <w:tcW w:w="557" w:type="pct"/>
            <w:tcBorders>
              <w:top w:val="nil"/>
              <w:left w:val="nil"/>
              <w:bottom w:val="nil"/>
              <w:right w:val="nil"/>
            </w:tcBorders>
            <w:shd w:val="clear" w:color="auto" w:fill="auto"/>
            <w:noWrap/>
            <w:vAlign w:val="bottom"/>
          </w:tcPr>
          <w:p w14:paraId="686B2BBC"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-2.549**</w:t>
            </w:r>
          </w:p>
        </w:tc>
        <w:tc>
          <w:tcPr>
            <w:tcW w:w="510" w:type="pct"/>
            <w:tcBorders>
              <w:top w:val="nil"/>
              <w:left w:val="nil"/>
              <w:bottom w:val="nil"/>
              <w:right w:val="nil"/>
            </w:tcBorders>
            <w:shd w:val="clear" w:color="auto" w:fill="auto"/>
            <w:noWrap/>
            <w:vAlign w:val="bottom"/>
          </w:tcPr>
          <w:p w14:paraId="7279BD1C"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-0.207</w:t>
            </w:r>
          </w:p>
        </w:tc>
        <w:tc>
          <w:tcPr>
            <w:tcW w:w="659" w:type="pct"/>
            <w:tcBorders>
              <w:top w:val="nil"/>
              <w:left w:val="nil"/>
              <w:bottom w:val="nil"/>
              <w:right w:val="nil"/>
            </w:tcBorders>
            <w:shd w:val="clear" w:color="auto" w:fill="auto"/>
            <w:noWrap/>
            <w:vAlign w:val="bottom"/>
          </w:tcPr>
          <w:p w14:paraId="4358D80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-26.292***</w:t>
            </w:r>
          </w:p>
        </w:tc>
        <w:tc>
          <w:tcPr>
            <w:tcW w:w="764" w:type="pct"/>
            <w:tcBorders>
              <w:top w:val="nil"/>
              <w:left w:val="nil"/>
              <w:bottom w:val="nil"/>
              <w:right w:val="nil"/>
            </w:tcBorders>
            <w:shd w:val="clear" w:color="auto" w:fill="auto"/>
            <w:noWrap/>
            <w:vAlign w:val="bottom"/>
          </w:tcPr>
          <w:p w14:paraId="42636984"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0.524</w:t>
            </w:r>
          </w:p>
        </w:tc>
        <w:tc>
          <w:tcPr>
            <w:tcW w:w="438" w:type="pct"/>
            <w:tcBorders>
              <w:top w:val="nil"/>
              <w:left w:val="nil"/>
              <w:bottom w:val="nil"/>
              <w:right w:val="nil"/>
            </w:tcBorders>
            <w:shd w:val="clear" w:color="auto" w:fill="auto"/>
            <w:noWrap/>
            <w:vAlign w:val="bottom"/>
          </w:tcPr>
          <w:p w14:paraId="7AD3CDE8"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52,899</w:t>
            </w:r>
          </w:p>
        </w:tc>
        <w:tc>
          <w:tcPr>
            <w:tcW w:w="798" w:type="pct"/>
            <w:tcBorders>
              <w:top w:val="nil"/>
              <w:left w:val="nil"/>
              <w:bottom w:val="nil"/>
              <w:right w:val="nil"/>
            </w:tcBorders>
          </w:tcPr>
          <w:p w14:paraId="2A8F3F22"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70A5A94E" w14:textId="77777777" w:rsidTr="00982C8F">
        <w:trPr>
          <w:trHeight w:val="144"/>
        </w:trPr>
        <w:tc>
          <w:tcPr>
            <w:tcW w:w="832" w:type="pct"/>
            <w:tcBorders>
              <w:top w:val="nil"/>
              <w:left w:val="nil"/>
              <w:bottom w:val="nil"/>
              <w:right w:val="nil"/>
            </w:tcBorders>
            <w:shd w:val="clear" w:color="auto" w:fill="auto"/>
            <w:noWrap/>
            <w:vAlign w:val="bottom"/>
            <w:hideMark/>
          </w:tcPr>
          <w:p w14:paraId="464458B3"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Skill</w:t>
            </w:r>
          </w:p>
        </w:tc>
        <w:tc>
          <w:tcPr>
            <w:tcW w:w="441" w:type="pct"/>
            <w:tcBorders>
              <w:top w:val="nil"/>
              <w:left w:val="nil"/>
              <w:bottom w:val="nil"/>
              <w:right w:val="nil"/>
            </w:tcBorders>
            <w:shd w:val="clear" w:color="auto" w:fill="auto"/>
            <w:noWrap/>
            <w:vAlign w:val="bottom"/>
          </w:tcPr>
          <w:p w14:paraId="470B9D60"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-0.005</w:t>
            </w:r>
          </w:p>
        </w:tc>
        <w:tc>
          <w:tcPr>
            <w:tcW w:w="557" w:type="pct"/>
            <w:tcBorders>
              <w:top w:val="nil"/>
              <w:left w:val="nil"/>
              <w:bottom w:val="nil"/>
              <w:right w:val="nil"/>
            </w:tcBorders>
            <w:shd w:val="clear" w:color="auto" w:fill="auto"/>
            <w:noWrap/>
            <w:vAlign w:val="bottom"/>
          </w:tcPr>
          <w:p w14:paraId="23A1374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 xml:space="preserve">-0.611 </w:t>
            </w:r>
          </w:p>
        </w:tc>
        <w:tc>
          <w:tcPr>
            <w:tcW w:w="510" w:type="pct"/>
            <w:tcBorders>
              <w:top w:val="nil"/>
              <w:left w:val="nil"/>
              <w:bottom w:val="nil"/>
              <w:right w:val="nil"/>
            </w:tcBorders>
            <w:shd w:val="clear" w:color="auto" w:fill="auto"/>
            <w:noWrap/>
            <w:vAlign w:val="bottom"/>
          </w:tcPr>
          <w:p w14:paraId="7AD1881C"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-0.172</w:t>
            </w:r>
          </w:p>
        </w:tc>
        <w:tc>
          <w:tcPr>
            <w:tcW w:w="659" w:type="pct"/>
            <w:tcBorders>
              <w:top w:val="nil"/>
              <w:left w:val="nil"/>
              <w:bottom w:val="nil"/>
              <w:right w:val="nil"/>
            </w:tcBorders>
            <w:shd w:val="clear" w:color="auto" w:fill="auto"/>
            <w:noWrap/>
            <w:vAlign w:val="bottom"/>
          </w:tcPr>
          <w:p w14:paraId="535F8FA9"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-13.629***</w:t>
            </w:r>
          </w:p>
        </w:tc>
        <w:tc>
          <w:tcPr>
            <w:tcW w:w="764" w:type="pct"/>
            <w:tcBorders>
              <w:top w:val="nil"/>
              <w:left w:val="nil"/>
              <w:bottom w:val="nil"/>
              <w:right w:val="nil"/>
            </w:tcBorders>
            <w:shd w:val="clear" w:color="auto" w:fill="auto"/>
            <w:noWrap/>
            <w:vAlign w:val="bottom"/>
          </w:tcPr>
          <w:p w14:paraId="1417190B"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0.514</w:t>
            </w:r>
          </w:p>
        </w:tc>
        <w:tc>
          <w:tcPr>
            <w:tcW w:w="438" w:type="pct"/>
            <w:tcBorders>
              <w:top w:val="nil"/>
              <w:left w:val="nil"/>
              <w:bottom w:val="nil"/>
              <w:right w:val="nil"/>
            </w:tcBorders>
            <w:shd w:val="clear" w:color="auto" w:fill="auto"/>
            <w:noWrap/>
            <w:vAlign w:val="bottom"/>
          </w:tcPr>
          <w:p w14:paraId="55287BE2"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19,123</w:t>
            </w:r>
          </w:p>
        </w:tc>
        <w:tc>
          <w:tcPr>
            <w:tcW w:w="798" w:type="pct"/>
            <w:tcBorders>
              <w:top w:val="nil"/>
              <w:left w:val="nil"/>
              <w:bottom w:val="nil"/>
              <w:right w:val="nil"/>
            </w:tcBorders>
          </w:tcPr>
          <w:p w14:paraId="0D25727C"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06CF6E43" w14:textId="77777777" w:rsidTr="00982C8F">
        <w:trPr>
          <w:trHeight w:val="144"/>
        </w:trPr>
        <w:tc>
          <w:tcPr>
            <w:tcW w:w="832" w:type="pct"/>
            <w:tcBorders>
              <w:top w:val="nil"/>
              <w:left w:val="nil"/>
              <w:bottom w:val="nil"/>
              <w:right w:val="nil"/>
            </w:tcBorders>
            <w:shd w:val="clear" w:color="auto" w:fill="auto"/>
            <w:noWrap/>
            <w:vAlign w:val="bottom"/>
            <w:hideMark/>
          </w:tcPr>
          <w:p w14:paraId="1E5D0043"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p>
        </w:tc>
        <w:tc>
          <w:tcPr>
            <w:tcW w:w="441" w:type="pct"/>
            <w:tcBorders>
              <w:top w:val="nil"/>
              <w:left w:val="nil"/>
              <w:bottom w:val="nil"/>
              <w:right w:val="nil"/>
            </w:tcBorders>
            <w:shd w:val="clear" w:color="auto" w:fill="auto"/>
            <w:noWrap/>
            <w:vAlign w:val="bottom"/>
            <w:hideMark/>
          </w:tcPr>
          <w:p w14:paraId="70DFC59B"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57" w:type="pct"/>
            <w:tcBorders>
              <w:top w:val="nil"/>
              <w:left w:val="nil"/>
              <w:bottom w:val="nil"/>
              <w:right w:val="nil"/>
            </w:tcBorders>
            <w:shd w:val="clear" w:color="auto" w:fill="auto"/>
            <w:noWrap/>
            <w:vAlign w:val="bottom"/>
            <w:hideMark/>
          </w:tcPr>
          <w:p w14:paraId="53ACBF26"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510" w:type="pct"/>
            <w:tcBorders>
              <w:top w:val="nil"/>
              <w:left w:val="nil"/>
              <w:bottom w:val="nil"/>
              <w:right w:val="nil"/>
            </w:tcBorders>
            <w:shd w:val="clear" w:color="auto" w:fill="auto"/>
            <w:noWrap/>
            <w:vAlign w:val="bottom"/>
            <w:hideMark/>
          </w:tcPr>
          <w:p w14:paraId="252DE7C1"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659" w:type="pct"/>
            <w:tcBorders>
              <w:top w:val="nil"/>
              <w:left w:val="nil"/>
              <w:bottom w:val="nil"/>
              <w:right w:val="nil"/>
            </w:tcBorders>
            <w:shd w:val="clear" w:color="auto" w:fill="auto"/>
            <w:noWrap/>
            <w:vAlign w:val="bottom"/>
            <w:hideMark/>
          </w:tcPr>
          <w:p w14:paraId="6D208D82"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764" w:type="pct"/>
            <w:tcBorders>
              <w:top w:val="nil"/>
              <w:left w:val="nil"/>
              <w:bottom w:val="nil"/>
              <w:right w:val="nil"/>
            </w:tcBorders>
            <w:shd w:val="clear" w:color="auto" w:fill="auto"/>
            <w:noWrap/>
            <w:vAlign w:val="bottom"/>
            <w:hideMark/>
          </w:tcPr>
          <w:p w14:paraId="14E1AF7D"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438" w:type="pct"/>
            <w:tcBorders>
              <w:top w:val="nil"/>
              <w:left w:val="nil"/>
              <w:bottom w:val="nil"/>
              <w:right w:val="nil"/>
            </w:tcBorders>
            <w:shd w:val="clear" w:color="auto" w:fill="auto"/>
            <w:noWrap/>
            <w:vAlign w:val="bottom"/>
            <w:hideMark/>
          </w:tcPr>
          <w:p w14:paraId="3115FA3F"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c>
          <w:tcPr>
            <w:tcW w:w="798" w:type="pct"/>
            <w:tcBorders>
              <w:top w:val="nil"/>
              <w:left w:val="nil"/>
              <w:bottom w:val="nil"/>
              <w:right w:val="nil"/>
            </w:tcBorders>
          </w:tcPr>
          <w:p w14:paraId="332E0054" w14:textId="77777777" w:rsidR="0083161B" w:rsidRPr="00D23517" w:rsidRDefault="0083161B" w:rsidP="00A1062B">
            <w:pPr>
              <w:spacing w:after="0" w:line="240" w:lineRule="auto"/>
              <w:jc w:val="both"/>
              <w:rPr>
                <w:rFonts w:ascii="Times New Roman" w:eastAsia="Times New Roman" w:hAnsi="Times New Roman" w:cs="Times New Roman"/>
                <w:sz w:val="20"/>
                <w:szCs w:val="20"/>
              </w:rPr>
            </w:pPr>
          </w:p>
        </w:tc>
      </w:tr>
      <w:tr w:rsidR="0083161B" w:rsidRPr="00D23517" w14:paraId="0AA9BFB4" w14:textId="77777777" w:rsidTr="008F6E16">
        <w:trPr>
          <w:trHeight w:val="89"/>
        </w:trPr>
        <w:tc>
          <w:tcPr>
            <w:tcW w:w="4202" w:type="pct"/>
            <w:gridSpan w:val="7"/>
            <w:tcBorders>
              <w:top w:val="nil"/>
              <w:left w:val="nil"/>
              <w:bottom w:val="nil"/>
              <w:right w:val="nil"/>
            </w:tcBorders>
            <w:shd w:val="clear" w:color="auto" w:fill="auto"/>
            <w:noWrap/>
            <w:vAlign w:val="bottom"/>
            <w:hideMark/>
          </w:tcPr>
          <w:p w14:paraId="5EC5A85A"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r w:rsidRPr="00D23517">
              <w:rPr>
                <w:rFonts w:ascii="Times New Roman" w:eastAsia="Times New Roman" w:hAnsi="Times New Roman" w:cs="Times New Roman"/>
                <w:b/>
                <w:i/>
                <w:color w:val="000000"/>
                <w:sz w:val="20"/>
                <w:szCs w:val="20"/>
                <w:u w:val="single"/>
              </w:rPr>
              <w:t>Panel D - NCSKEW</w:t>
            </w:r>
          </w:p>
        </w:tc>
        <w:tc>
          <w:tcPr>
            <w:tcW w:w="798" w:type="pct"/>
            <w:tcBorders>
              <w:top w:val="nil"/>
              <w:left w:val="nil"/>
              <w:bottom w:val="nil"/>
              <w:right w:val="nil"/>
            </w:tcBorders>
          </w:tcPr>
          <w:p w14:paraId="5FD85E62" w14:textId="77777777" w:rsidR="0083161B" w:rsidRPr="00D23517" w:rsidRDefault="0083161B" w:rsidP="00A1062B">
            <w:pPr>
              <w:spacing w:after="0" w:line="240" w:lineRule="auto"/>
              <w:jc w:val="both"/>
              <w:rPr>
                <w:rFonts w:ascii="Times New Roman" w:eastAsia="Times New Roman" w:hAnsi="Times New Roman" w:cs="Times New Roman"/>
                <w:b/>
                <w:i/>
                <w:color w:val="000000"/>
                <w:sz w:val="20"/>
                <w:szCs w:val="20"/>
                <w:u w:val="single"/>
              </w:rPr>
            </w:pPr>
          </w:p>
        </w:tc>
      </w:tr>
      <w:tr w:rsidR="0083161B" w:rsidRPr="00D23517" w14:paraId="535BBA38" w14:textId="77777777" w:rsidTr="00982C8F">
        <w:trPr>
          <w:trHeight w:val="89"/>
        </w:trPr>
        <w:tc>
          <w:tcPr>
            <w:tcW w:w="832" w:type="pct"/>
            <w:tcBorders>
              <w:top w:val="nil"/>
              <w:left w:val="nil"/>
              <w:right w:val="nil"/>
            </w:tcBorders>
            <w:shd w:val="clear" w:color="auto" w:fill="auto"/>
            <w:noWrap/>
            <w:vAlign w:val="bottom"/>
          </w:tcPr>
          <w:p w14:paraId="2D2C17A9"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Luck</w:t>
            </w:r>
          </w:p>
        </w:tc>
        <w:tc>
          <w:tcPr>
            <w:tcW w:w="441" w:type="pct"/>
            <w:tcBorders>
              <w:top w:val="nil"/>
              <w:left w:val="nil"/>
              <w:right w:val="nil"/>
            </w:tcBorders>
            <w:shd w:val="clear" w:color="auto" w:fill="auto"/>
            <w:noWrap/>
            <w:vAlign w:val="bottom"/>
          </w:tcPr>
          <w:p w14:paraId="0F947BE0"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-0.021</w:t>
            </w:r>
          </w:p>
        </w:tc>
        <w:tc>
          <w:tcPr>
            <w:tcW w:w="557" w:type="pct"/>
            <w:tcBorders>
              <w:top w:val="nil"/>
              <w:left w:val="nil"/>
              <w:right w:val="nil"/>
            </w:tcBorders>
            <w:shd w:val="clear" w:color="auto" w:fill="auto"/>
            <w:noWrap/>
            <w:vAlign w:val="bottom"/>
          </w:tcPr>
          <w:p w14:paraId="4E60ECCF"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-2.976***</w:t>
            </w:r>
          </w:p>
        </w:tc>
        <w:tc>
          <w:tcPr>
            <w:tcW w:w="510" w:type="pct"/>
            <w:tcBorders>
              <w:top w:val="nil"/>
              <w:left w:val="nil"/>
              <w:right w:val="nil"/>
            </w:tcBorders>
            <w:shd w:val="clear" w:color="auto" w:fill="auto"/>
            <w:noWrap/>
            <w:vAlign w:val="bottom"/>
          </w:tcPr>
          <w:p w14:paraId="77699005"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-0.090</w:t>
            </w:r>
          </w:p>
        </w:tc>
        <w:tc>
          <w:tcPr>
            <w:tcW w:w="659" w:type="pct"/>
            <w:tcBorders>
              <w:top w:val="nil"/>
              <w:left w:val="nil"/>
              <w:right w:val="nil"/>
            </w:tcBorders>
            <w:shd w:val="clear" w:color="auto" w:fill="auto"/>
            <w:noWrap/>
            <w:vAlign w:val="bottom"/>
          </w:tcPr>
          <w:p w14:paraId="27C7135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-8.121***</w:t>
            </w:r>
          </w:p>
        </w:tc>
        <w:tc>
          <w:tcPr>
            <w:tcW w:w="764" w:type="pct"/>
            <w:tcBorders>
              <w:top w:val="nil"/>
              <w:left w:val="nil"/>
              <w:right w:val="nil"/>
            </w:tcBorders>
            <w:shd w:val="clear" w:color="auto" w:fill="auto"/>
            <w:noWrap/>
            <w:vAlign w:val="bottom"/>
          </w:tcPr>
          <w:p w14:paraId="1B3CDBE0"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0.0423</w:t>
            </w:r>
          </w:p>
        </w:tc>
        <w:tc>
          <w:tcPr>
            <w:tcW w:w="438" w:type="pct"/>
            <w:tcBorders>
              <w:top w:val="nil"/>
              <w:left w:val="nil"/>
              <w:right w:val="nil"/>
            </w:tcBorders>
            <w:shd w:val="clear" w:color="auto" w:fill="auto"/>
            <w:noWrap/>
            <w:vAlign w:val="bottom"/>
          </w:tcPr>
          <w:p w14:paraId="08CBE4DD"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38,599</w:t>
            </w:r>
          </w:p>
        </w:tc>
        <w:tc>
          <w:tcPr>
            <w:tcW w:w="798" w:type="pct"/>
            <w:tcBorders>
              <w:top w:val="nil"/>
              <w:left w:val="nil"/>
              <w:right w:val="nil"/>
            </w:tcBorders>
          </w:tcPr>
          <w:p w14:paraId="1117A683"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83161B" w:rsidRPr="00D23517" w14:paraId="10788D56" w14:textId="77777777" w:rsidTr="00982C8F">
        <w:trPr>
          <w:trHeight w:val="144"/>
        </w:trPr>
        <w:tc>
          <w:tcPr>
            <w:tcW w:w="832" w:type="pct"/>
            <w:tcBorders>
              <w:top w:val="nil"/>
              <w:left w:val="nil"/>
              <w:bottom w:val="single" w:sz="4" w:space="0" w:color="auto"/>
              <w:right w:val="nil"/>
            </w:tcBorders>
            <w:shd w:val="clear" w:color="auto" w:fill="auto"/>
            <w:noWrap/>
            <w:vAlign w:val="bottom"/>
            <w:hideMark/>
          </w:tcPr>
          <w:p w14:paraId="0103CCE4"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Skill</w:t>
            </w:r>
          </w:p>
        </w:tc>
        <w:tc>
          <w:tcPr>
            <w:tcW w:w="441" w:type="pct"/>
            <w:tcBorders>
              <w:top w:val="nil"/>
              <w:left w:val="nil"/>
              <w:bottom w:val="single" w:sz="4" w:space="0" w:color="auto"/>
              <w:right w:val="nil"/>
            </w:tcBorders>
            <w:shd w:val="clear" w:color="auto" w:fill="auto"/>
            <w:noWrap/>
            <w:vAlign w:val="bottom"/>
          </w:tcPr>
          <w:p w14:paraId="09D7F27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-0.014</w:t>
            </w:r>
          </w:p>
        </w:tc>
        <w:tc>
          <w:tcPr>
            <w:tcW w:w="557" w:type="pct"/>
            <w:tcBorders>
              <w:top w:val="nil"/>
              <w:left w:val="nil"/>
              <w:bottom w:val="single" w:sz="4" w:space="0" w:color="auto"/>
              <w:right w:val="nil"/>
            </w:tcBorders>
            <w:shd w:val="clear" w:color="auto" w:fill="auto"/>
            <w:noWrap/>
            <w:vAlign w:val="bottom"/>
          </w:tcPr>
          <w:p w14:paraId="3C7C8197"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 xml:space="preserve">-1.317 </w:t>
            </w:r>
          </w:p>
        </w:tc>
        <w:tc>
          <w:tcPr>
            <w:tcW w:w="510" w:type="pct"/>
            <w:tcBorders>
              <w:top w:val="nil"/>
              <w:left w:val="nil"/>
              <w:bottom w:val="single" w:sz="4" w:space="0" w:color="auto"/>
              <w:right w:val="nil"/>
            </w:tcBorders>
            <w:shd w:val="clear" w:color="auto" w:fill="auto"/>
            <w:noWrap/>
            <w:vAlign w:val="bottom"/>
          </w:tcPr>
          <w:p w14:paraId="0F84471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-0.056</w:t>
            </w:r>
          </w:p>
        </w:tc>
        <w:tc>
          <w:tcPr>
            <w:tcW w:w="659" w:type="pct"/>
            <w:tcBorders>
              <w:top w:val="nil"/>
              <w:left w:val="nil"/>
              <w:bottom w:val="single" w:sz="4" w:space="0" w:color="auto"/>
              <w:right w:val="nil"/>
            </w:tcBorders>
            <w:shd w:val="clear" w:color="auto" w:fill="auto"/>
            <w:noWrap/>
            <w:vAlign w:val="bottom"/>
          </w:tcPr>
          <w:p w14:paraId="60A865F1"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-3.822***</w:t>
            </w:r>
          </w:p>
        </w:tc>
        <w:tc>
          <w:tcPr>
            <w:tcW w:w="764" w:type="pct"/>
            <w:tcBorders>
              <w:top w:val="nil"/>
              <w:left w:val="nil"/>
              <w:bottom w:val="single" w:sz="4" w:space="0" w:color="auto"/>
              <w:right w:val="nil"/>
            </w:tcBorders>
            <w:shd w:val="clear" w:color="auto" w:fill="auto"/>
            <w:noWrap/>
            <w:vAlign w:val="bottom"/>
          </w:tcPr>
          <w:p w14:paraId="375BC2EA"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0.0375</w:t>
            </w:r>
          </w:p>
        </w:tc>
        <w:tc>
          <w:tcPr>
            <w:tcW w:w="438" w:type="pct"/>
            <w:tcBorders>
              <w:top w:val="nil"/>
              <w:left w:val="nil"/>
              <w:bottom w:val="single" w:sz="4" w:space="0" w:color="auto"/>
              <w:right w:val="nil"/>
            </w:tcBorders>
            <w:shd w:val="clear" w:color="auto" w:fill="auto"/>
            <w:noWrap/>
            <w:vAlign w:val="bottom"/>
          </w:tcPr>
          <w:p w14:paraId="56516838" w14:textId="77777777" w:rsidR="0083161B" w:rsidRPr="00D23517" w:rsidRDefault="0083161B"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16,723</w:t>
            </w:r>
          </w:p>
        </w:tc>
        <w:tc>
          <w:tcPr>
            <w:tcW w:w="798" w:type="pct"/>
            <w:tcBorders>
              <w:top w:val="nil"/>
              <w:left w:val="nil"/>
              <w:bottom w:val="single" w:sz="4" w:space="0" w:color="auto"/>
              <w:right w:val="nil"/>
            </w:tcBorders>
          </w:tcPr>
          <w:p w14:paraId="0C1804B0" w14:textId="77777777" w:rsidR="0083161B" w:rsidRPr="00D23517" w:rsidRDefault="0083161B"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bl>
    <w:p w14:paraId="0C131DF0" w14:textId="16DE2B2A" w:rsidR="00982C8F" w:rsidRPr="005F4D86" w:rsidRDefault="009B6F98" w:rsidP="00982C8F">
      <w:pPr>
        <w:spacing w:after="0" w:line="240" w:lineRule="auto"/>
        <w:jc w:val="both"/>
        <w:rPr>
          <w:rFonts w:ascii="Times New Roman" w:hAnsi="Times New Roman" w:cs="Times New Roman"/>
          <w:sz w:val="20"/>
          <w:szCs w:val="20"/>
        </w:rPr>
      </w:pPr>
      <w:r w:rsidRPr="005F4D86">
        <w:rPr>
          <w:rFonts w:ascii="Times New Roman" w:hAnsi="Times New Roman" w:cs="Times New Roman"/>
          <w:sz w:val="20"/>
          <w:szCs w:val="20"/>
        </w:rPr>
        <w:t>Note</w:t>
      </w:r>
      <w:r w:rsidR="00982C8F" w:rsidRPr="005F4D86">
        <w:rPr>
          <w:rFonts w:ascii="Times New Roman" w:hAnsi="Times New Roman" w:cs="Times New Roman"/>
          <w:sz w:val="20"/>
          <w:szCs w:val="20"/>
        </w:rPr>
        <w:t xml:space="preserve">: This table reports the results from the panel data firm-fixed effect regressions for the </w:t>
      </w:r>
      <w:r w:rsidR="006E7F78">
        <w:rPr>
          <w:rFonts w:ascii="Times New Roman" w:hAnsi="Times New Roman" w:cs="Times New Roman"/>
          <w:sz w:val="20"/>
          <w:szCs w:val="20"/>
        </w:rPr>
        <w:t>two</w:t>
      </w:r>
      <w:r w:rsidR="006E7F78" w:rsidRPr="005F4D86">
        <w:rPr>
          <w:rFonts w:ascii="Times New Roman" w:hAnsi="Times New Roman" w:cs="Times New Roman"/>
          <w:sz w:val="20"/>
          <w:szCs w:val="20"/>
        </w:rPr>
        <w:t xml:space="preserve"> </w:t>
      </w:r>
      <w:r w:rsidR="00982C8F" w:rsidRPr="005F4D86">
        <w:rPr>
          <w:rFonts w:ascii="Times New Roman" w:hAnsi="Times New Roman" w:cs="Times New Roman"/>
          <w:sz w:val="20"/>
          <w:szCs w:val="20"/>
        </w:rPr>
        <w:t xml:space="preserve">subsamples based upon managerial skills. </w:t>
      </w:r>
      <w:r w:rsidR="00982C8F" w:rsidRPr="005F4D86">
        <w:rPr>
          <w:rFonts w:ascii="Times New Roman" w:hAnsi="Times New Roman" w:cs="Times New Roman"/>
          <w:i/>
          <w:sz w:val="20"/>
          <w:szCs w:val="20"/>
        </w:rPr>
        <w:t xml:space="preserve">SKILL </w:t>
      </w:r>
      <w:r w:rsidR="00982C8F" w:rsidRPr="005F4D86">
        <w:rPr>
          <w:rFonts w:ascii="Times New Roman" w:hAnsi="Times New Roman" w:cs="Times New Roman"/>
          <w:sz w:val="20"/>
          <w:szCs w:val="20"/>
        </w:rPr>
        <w:t xml:space="preserve">is an indicator variable which equals to 1 for firms with managerial ability scores higher than the median industry scores in the </w:t>
      </w:r>
      <w:r w:rsidR="00AF3079">
        <w:rPr>
          <w:rFonts w:ascii="Times New Roman" w:hAnsi="Times New Roman" w:cs="Times New Roman"/>
          <w:sz w:val="20"/>
          <w:szCs w:val="20"/>
        </w:rPr>
        <w:t>p</w:t>
      </w:r>
      <w:r w:rsidR="00AF3079" w:rsidRPr="005F4D86">
        <w:rPr>
          <w:rFonts w:ascii="Times New Roman" w:hAnsi="Times New Roman" w:cs="Times New Roman"/>
          <w:sz w:val="20"/>
          <w:szCs w:val="20"/>
        </w:rPr>
        <w:t xml:space="preserve">ast </w:t>
      </w:r>
      <w:r w:rsidR="00982C8F" w:rsidRPr="005F4D86">
        <w:rPr>
          <w:rFonts w:ascii="Times New Roman" w:hAnsi="Times New Roman" w:cs="Times New Roman"/>
          <w:sz w:val="20"/>
          <w:szCs w:val="20"/>
        </w:rPr>
        <w:t>three years</w:t>
      </w:r>
      <w:r w:rsidR="006E7F78">
        <w:rPr>
          <w:rFonts w:ascii="Times New Roman" w:hAnsi="Times New Roman" w:cs="Times New Roman"/>
          <w:sz w:val="20"/>
          <w:szCs w:val="20"/>
        </w:rPr>
        <w:t>,</w:t>
      </w:r>
      <w:r w:rsidR="00982C8F" w:rsidRPr="005F4D86">
        <w:rPr>
          <w:rFonts w:ascii="Times New Roman" w:hAnsi="Times New Roman" w:cs="Times New Roman"/>
          <w:sz w:val="20"/>
          <w:szCs w:val="20"/>
        </w:rPr>
        <w:t xml:space="preserve"> and 0 otherwise (</w:t>
      </w:r>
      <w:r w:rsidR="00982C8F" w:rsidRPr="005F4D86">
        <w:rPr>
          <w:rFonts w:ascii="Times New Roman" w:hAnsi="Times New Roman" w:cs="Times New Roman"/>
          <w:i/>
          <w:sz w:val="20"/>
          <w:szCs w:val="20"/>
        </w:rPr>
        <w:t>LUCK</w:t>
      </w:r>
      <w:r w:rsidR="00982C8F" w:rsidRPr="005F4D86">
        <w:rPr>
          <w:rFonts w:ascii="Times New Roman" w:hAnsi="Times New Roman" w:cs="Times New Roman"/>
          <w:sz w:val="20"/>
          <w:szCs w:val="20"/>
        </w:rPr>
        <w:t>). The dependent variables are ROA volatility (in Panel A), the two measures of stock price volatility (</w:t>
      </w:r>
      <w:r w:rsidR="00982C8F" w:rsidRPr="005F4D86">
        <w:rPr>
          <w:rFonts w:ascii="Times New Roman" w:hAnsi="Times New Roman" w:cs="Times New Roman"/>
          <w:i/>
          <w:sz w:val="20"/>
          <w:szCs w:val="20"/>
        </w:rPr>
        <w:t>TOTRISK</w:t>
      </w:r>
      <w:r w:rsidR="00982C8F" w:rsidRPr="005F4D86">
        <w:rPr>
          <w:rFonts w:ascii="Times New Roman" w:hAnsi="Times New Roman" w:cs="Times New Roman"/>
          <w:sz w:val="20"/>
          <w:szCs w:val="20"/>
        </w:rPr>
        <w:t xml:space="preserve"> in Panel B and </w:t>
      </w:r>
      <w:r w:rsidR="00982C8F" w:rsidRPr="005F4D86">
        <w:rPr>
          <w:rFonts w:ascii="Times New Roman" w:hAnsi="Times New Roman" w:cs="Times New Roman"/>
          <w:i/>
          <w:sz w:val="20"/>
          <w:szCs w:val="20"/>
        </w:rPr>
        <w:t>IDIORISK</w:t>
      </w:r>
      <w:r w:rsidR="00982C8F" w:rsidRPr="005F4D86">
        <w:rPr>
          <w:rFonts w:ascii="Times New Roman" w:hAnsi="Times New Roman" w:cs="Times New Roman"/>
          <w:sz w:val="20"/>
          <w:szCs w:val="20"/>
        </w:rPr>
        <w:t xml:space="preserve"> in Panel C) and one measure of stock price crash risk (</w:t>
      </w:r>
      <w:r w:rsidR="00982C8F" w:rsidRPr="005F4D86">
        <w:rPr>
          <w:rFonts w:ascii="Times New Roman" w:hAnsi="Times New Roman" w:cs="Times New Roman"/>
          <w:i/>
          <w:sz w:val="20"/>
          <w:szCs w:val="20"/>
        </w:rPr>
        <w:t>NCSKEW</w:t>
      </w:r>
      <w:r w:rsidR="00982C8F" w:rsidRPr="005F4D86">
        <w:rPr>
          <w:rFonts w:ascii="Times New Roman" w:hAnsi="Times New Roman" w:cs="Times New Roman"/>
          <w:sz w:val="20"/>
          <w:szCs w:val="20"/>
        </w:rPr>
        <w:t xml:space="preserve"> in Panel D). ROA volatility (</w:t>
      </w:r>
      <w:r w:rsidR="00982C8F" w:rsidRPr="005F4D86">
        <w:rPr>
          <w:rFonts w:ascii="Times New Roman" w:hAnsi="Times New Roman" w:cs="Times New Roman"/>
          <w:i/>
          <w:sz w:val="20"/>
          <w:szCs w:val="20"/>
        </w:rPr>
        <w:t>ROAVOL</w:t>
      </w:r>
      <w:r w:rsidR="00982C8F" w:rsidRPr="005F4D86">
        <w:rPr>
          <w:rFonts w:ascii="Times New Roman" w:hAnsi="Times New Roman" w:cs="Times New Roman"/>
          <w:sz w:val="20"/>
          <w:szCs w:val="20"/>
        </w:rPr>
        <w:t>) is the standard deviation of return on assets over 5 years (from year -4 to the current fiscal year).</w:t>
      </w:r>
      <w:r w:rsidR="00982C8F" w:rsidRPr="005F4D86">
        <w:rPr>
          <w:rFonts w:ascii="Times New Roman" w:hAnsi="Times New Roman" w:cs="Times New Roman"/>
          <w:i/>
          <w:sz w:val="20"/>
          <w:szCs w:val="20"/>
        </w:rPr>
        <w:t xml:space="preserve"> </w:t>
      </w:r>
      <w:r w:rsidR="00FC6F5C">
        <w:rPr>
          <w:rFonts w:ascii="Times New Roman" w:hAnsi="Times New Roman" w:cs="Times New Roman"/>
          <w:sz w:val="20"/>
          <w:szCs w:val="20"/>
        </w:rPr>
        <w:t>T</w:t>
      </w:r>
      <w:r w:rsidR="00FC6F5C" w:rsidRPr="005F4D86">
        <w:rPr>
          <w:rFonts w:ascii="Times New Roman" w:hAnsi="Times New Roman" w:cs="Times New Roman"/>
          <w:sz w:val="20"/>
          <w:szCs w:val="20"/>
        </w:rPr>
        <w:t>otal risk</w:t>
      </w:r>
      <w:r w:rsidR="00FC6F5C" w:rsidRPr="005F4D86">
        <w:rPr>
          <w:rFonts w:ascii="Times New Roman" w:hAnsi="Times New Roman" w:cs="Times New Roman"/>
          <w:i/>
          <w:sz w:val="20"/>
          <w:szCs w:val="20"/>
        </w:rPr>
        <w:t xml:space="preserve"> </w:t>
      </w:r>
      <w:r w:rsidR="00FC6F5C">
        <w:rPr>
          <w:rFonts w:ascii="Times New Roman" w:hAnsi="Times New Roman" w:cs="Times New Roman"/>
          <w:i/>
          <w:sz w:val="20"/>
          <w:szCs w:val="20"/>
        </w:rPr>
        <w:t>(</w:t>
      </w:r>
      <w:r w:rsidR="00FC6F5C" w:rsidRPr="005F4D86">
        <w:rPr>
          <w:rFonts w:ascii="Times New Roman" w:hAnsi="Times New Roman" w:cs="Times New Roman"/>
          <w:i/>
          <w:sz w:val="20"/>
          <w:szCs w:val="20"/>
        </w:rPr>
        <w:t>TOTRISK</w:t>
      </w:r>
      <w:r w:rsidR="00FC6F5C">
        <w:rPr>
          <w:rFonts w:ascii="Times New Roman" w:hAnsi="Times New Roman" w:cs="Times New Roman"/>
          <w:sz w:val="20"/>
          <w:szCs w:val="20"/>
        </w:rPr>
        <w:t>)</w:t>
      </w:r>
      <w:r w:rsidR="00FC6F5C" w:rsidRPr="005F4D86">
        <w:rPr>
          <w:rFonts w:ascii="Times New Roman" w:hAnsi="Times New Roman" w:cs="Times New Roman"/>
          <w:sz w:val="20"/>
          <w:szCs w:val="20"/>
        </w:rPr>
        <w:t xml:space="preserve"> </w:t>
      </w:r>
      <w:r w:rsidR="00982C8F" w:rsidRPr="005F4D86">
        <w:rPr>
          <w:rFonts w:ascii="Times New Roman" w:hAnsi="Times New Roman" w:cs="Times New Roman"/>
          <w:sz w:val="20"/>
          <w:szCs w:val="20"/>
        </w:rPr>
        <w:t xml:space="preserve">is the annualized standard deviation of the daily stock returns in the year. </w:t>
      </w:r>
      <w:r w:rsidR="00FC6F5C" w:rsidRPr="00D05DBE">
        <w:rPr>
          <w:rFonts w:ascii="Times New Roman" w:hAnsi="Times New Roman" w:cs="Times New Roman"/>
          <w:sz w:val="20"/>
          <w:szCs w:val="20"/>
        </w:rPr>
        <w:t>Idiosyncratic</w:t>
      </w:r>
      <w:r w:rsidR="00FC6F5C" w:rsidRPr="005F4D86">
        <w:rPr>
          <w:rFonts w:ascii="Times New Roman" w:hAnsi="Times New Roman" w:cs="Times New Roman"/>
          <w:sz w:val="20"/>
          <w:szCs w:val="20"/>
        </w:rPr>
        <w:t xml:space="preserve"> risk</w:t>
      </w:r>
      <w:r w:rsidR="00FC6F5C">
        <w:rPr>
          <w:rFonts w:ascii="Times New Roman" w:hAnsi="Times New Roman" w:cs="Times New Roman"/>
          <w:sz w:val="20"/>
          <w:szCs w:val="20"/>
        </w:rPr>
        <w:t xml:space="preserve"> (</w:t>
      </w:r>
      <w:r w:rsidR="00FC6F5C" w:rsidRPr="005F4D86">
        <w:rPr>
          <w:rFonts w:ascii="Times New Roman" w:hAnsi="Times New Roman" w:cs="Times New Roman"/>
          <w:i/>
          <w:sz w:val="20"/>
          <w:szCs w:val="20"/>
        </w:rPr>
        <w:t>IDIORISK</w:t>
      </w:r>
      <w:r w:rsidR="00FC6F5C">
        <w:rPr>
          <w:rFonts w:ascii="Times New Roman" w:hAnsi="Times New Roman" w:cs="Times New Roman"/>
          <w:i/>
          <w:sz w:val="20"/>
          <w:szCs w:val="20"/>
        </w:rPr>
        <w:t xml:space="preserve">) </w:t>
      </w:r>
      <w:r w:rsidR="00982C8F" w:rsidRPr="005F4D86">
        <w:rPr>
          <w:rFonts w:ascii="Times New Roman" w:hAnsi="Times New Roman" w:cs="Times New Roman"/>
          <w:sz w:val="20"/>
          <w:szCs w:val="20"/>
        </w:rPr>
        <w:t xml:space="preserve">is the annualized standard deviation of the residuals from the </w:t>
      </w:r>
      <w:proofErr w:type="spellStart"/>
      <w:r w:rsidR="00982C8F" w:rsidRPr="005F4D86">
        <w:rPr>
          <w:rFonts w:ascii="Times New Roman" w:hAnsi="Times New Roman" w:cs="Times New Roman"/>
          <w:sz w:val="20"/>
          <w:szCs w:val="20"/>
        </w:rPr>
        <w:t>Fama</w:t>
      </w:r>
      <w:proofErr w:type="spellEnd"/>
      <w:r w:rsidR="00982C8F" w:rsidRPr="005F4D86">
        <w:rPr>
          <w:rFonts w:ascii="Times New Roman" w:hAnsi="Times New Roman" w:cs="Times New Roman"/>
          <w:sz w:val="20"/>
          <w:szCs w:val="20"/>
        </w:rPr>
        <w:t>-French 4-factor model using daily stock returns in the year.</w:t>
      </w:r>
      <w:r w:rsidR="00982C8F" w:rsidRPr="005F4D86">
        <w:rPr>
          <w:rFonts w:ascii="Times New Roman" w:hAnsi="Times New Roman" w:cs="Times New Roman"/>
          <w:i/>
          <w:sz w:val="20"/>
          <w:szCs w:val="20"/>
        </w:rPr>
        <w:t xml:space="preserve"> NCSKEW</w:t>
      </w:r>
      <w:r w:rsidR="00982C8F" w:rsidRPr="005F4D86">
        <w:rPr>
          <w:rFonts w:ascii="Times New Roman" w:hAnsi="Times New Roman" w:cs="Times New Roman"/>
          <w:sz w:val="20"/>
          <w:szCs w:val="20"/>
        </w:rPr>
        <w:t xml:space="preserve"> is the negative conditional skewness of firm-specific weekly return, calculated as the negative third central moment of firm-specific weekly returns divided by the cubed standard deviation of firm-specific weekly returns.</w:t>
      </w:r>
      <w:r w:rsidR="00982C8F" w:rsidRPr="005F4D86">
        <w:rPr>
          <w:rFonts w:ascii="Times New Roman" w:eastAsiaTheme="minorEastAsia" w:hAnsi="Times New Roman" w:cs="Times New Roman"/>
          <w:sz w:val="20"/>
          <w:szCs w:val="20"/>
        </w:rPr>
        <w:t xml:space="preserve"> </w:t>
      </w:r>
      <w:r w:rsidR="00982C8F" w:rsidRPr="005F4D86">
        <w:rPr>
          <w:rFonts w:ascii="Times New Roman" w:hAnsi="Times New Roman" w:cs="Times New Roman"/>
          <w:i/>
          <w:sz w:val="20"/>
          <w:szCs w:val="20"/>
        </w:rPr>
        <w:t>NONOPERINC</w:t>
      </w:r>
      <w:r w:rsidR="00982C8F" w:rsidRPr="005F4D86">
        <w:rPr>
          <w:rFonts w:ascii="Times New Roman" w:hAnsi="Times New Roman" w:cs="Times New Roman"/>
          <w:sz w:val="20"/>
          <w:szCs w:val="20"/>
        </w:rPr>
        <w:t xml:space="preserve"> is the ratio of non-operating income to assets at the end of the fiscal year. </w:t>
      </w:r>
      <w:r w:rsidR="00982C8F" w:rsidRPr="005F4D86">
        <w:rPr>
          <w:rFonts w:ascii="Times New Roman" w:hAnsi="Times New Roman" w:cs="Times New Roman"/>
          <w:i/>
          <w:sz w:val="20"/>
          <w:szCs w:val="20"/>
        </w:rPr>
        <w:t>OPERINC</w:t>
      </w:r>
      <w:r w:rsidR="00982C8F" w:rsidRPr="005F4D86">
        <w:rPr>
          <w:rFonts w:ascii="Times New Roman" w:hAnsi="Times New Roman" w:cs="Times New Roman"/>
          <w:sz w:val="20"/>
          <w:szCs w:val="20"/>
        </w:rPr>
        <w:t xml:space="preserve"> is the ratio of operating income to assets at the end of the fiscal year. For brevity, only coefficients on </w:t>
      </w:r>
      <w:r w:rsidR="00982C8F" w:rsidRPr="005F4D86">
        <w:rPr>
          <w:rFonts w:ascii="Times New Roman" w:hAnsi="Times New Roman" w:cs="Times New Roman"/>
          <w:i/>
          <w:sz w:val="20"/>
          <w:szCs w:val="20"/>
        </w:rPr>
        <w:t>NONOPERINC</w:t>
      </w:r>
      <w:r w:rsidR="00982C8F" w:rsidRPr="005F4D86">
        <w:rPr>
          <w:rFonts w:ascii="Times New Roman" w:hAnsi="Times New Roman" w:cs="Times New Roman"/>
          <w:sz w:val="20"/>
          <w:szCs w:val="20"/>
        </w:rPr>
        <w:t xml:space="preserve"> and </w:t>
      </w:r>
      <w:r w:rsidR="00982C8F" w:rsidRPr="005F4D86">
        <w:rPr>
          <w:rFonts w:ascii="Times New Roman" w:hAnsi="Times New Roman" w:cs="Times New Roman"/>
          <w:i/>
          <w:sz w:val="20"/>
          <w:szCs w:val="20"/>
        </w:rPr>
        <w:t>OPERINC</w:t>
      </w:r>
      <w:r w:rsidR="00982C8F" w:rsidRPr="005F4D86">
        <w:rPr>
          <w:rFonts w:ascii="Times New Roman" w:hAnsi="Times New Roman" w:cs="Times New Roman"/>
          <w:sz w:val="20"/>
          <w:szCs w:val="20"/>
        </w:rPr>
        <w:t xml:space="preserve"> are reported. Firm fixed effects and year fixed effects are included. We calculate the significance levels of the variables using standard errors adjusted for firm clustering effects. *, ** and *** indicate the significance levels of 10%, 5% and 1%, respectively.</w:t>
      </w:r>
    </w:p>
    <w:p w14:paraId="7BD2D4F6" w14:textId="77777777" w:rsidR="0083161B" w:rsidRPr="005F4D86" w:rsidRDefault="0083161B" w:rsidP="00A1062B">
      <w:pPr>
        <w:spacing w:line="240" w:lineRule="auto"/>
        <w:jc w:val="both"/>
        <w:rPr>
          <w:rFonts w:ascii="Times New Roman" w:hAnsi="Times New Roman" w:cs="Times New Roman"/>
        </w:rPr>
      </w:pPr>
    </w:p>
    <w:p w14:paraId="6240CE76" w14:textId="77777777" w:rsidR="0083161B" w:rsidRDefault="0083161B" w:rsidP="00A1062B">
      <w:pPr>
        <w:jc w:val="both"/>
        <w:rPr>
          <w:rFonts w:ascii="Times New Roman" w:hAnsi="Times New Roman" w:cs="Times New Roman"/>
          <w:sz w:val="24"/>
          <w:szCs w:val="24"/>
        </w:rPr>
      </w:pPr>
      <w:r>
        <w:rPr>
          <w:rFonts w:ascii="Times New Roman" w:hAnsi="Times New Roman" w:cs="Times New Roman"/>
          <w:sz w:val="24"/>
          <w:szCs w:val="24"/>
        </w:rPr>
        <w:br w:type="page"/>
      </w:r>
    </w:p>
    <w:tbl>
      <w:tblPr>
        <w:tblW w:w="5000" w:type="pct"/>
        <w:tblLook w:val="04A0" w:firstRow="1" w:lastRow="0" w:firstColumn="1" w:lastColumn="0" w:noHBand="0" w:noVBand="1"/>
      </w:tblPr>
      <w:tblGrid>
        <w:gridCol w:w="4775"/>
        <w:gridCol w:w="822"/>
        <w:gridCol w:w="914"/>
        <w:gridCol w:w="223"/>
        <w:gridCol w:w="1000"/>
        <w:gridCol w:w="711"/>
        <w:gridCol w:w="915"/>
      </w:tblGrid>
      <w:tr w:rsidR="001734AA" w:rsidRPr="00D23517" w14:paraId="008E2DE4" w14:textId="77777777" w:rsidTr="001734AA">
        <w:trPr>
          <w:trHeight w:val="288"/>
        </w:trPr>
        <w:tc>
          <w:tcPr>
            <w:tcW w:w="5000" w:type="pct"/>
            <w:gridSpan w:val="7"/>
            <w:tcBorders>
              <w:left w:val="nil"/>
            </w:tcBorders>
            <w:shd w:val="clear" w:color="auto" w:fill="auto"/>
            <w:noWrap/>
            <w:vAlign w:val="bottom"/>
          </w:tcPr>
          <w:p w14:paraId="7A85F829" w14:textId="439CFD92" w:rsidR="001734AA" w:rsidRPr="00D23517" w:rsidRDefault="001734AA" w:rsidP="00D23517">
            <w:pPr>
              <w:spacing w:after="0" w:line="240" w:lineRule="auto"/>
              <w:rPr>
                <w:rFonts w:ascii="Times New Roman" w:eastAsia="Times New Roman" w:hAnsi="Times New Roman" w:cs="Times New Roman"/>
                <w:b/>
                <w:bCs/>
                <w:i/>
                <w:iCs/>
                <w:color w:val="000000"/>
                <w:sz w:val="24"/>
                <w:szCs w:val="24"/>
              </w:rPr>
            </w:pPr>
            <w:r w:rsidRPr="00D23517">
              <w:rPr>
                <w:rFonts w:ascii="Times New Roman" w:eastAsia="Times New Roman" w:hAnsi="Times New Roman" w:cs="Times New Roman"/>
                <w:b/>
                <w:bCs/>
                <w:color w:val="000000"/>
                <w:sz w:val="24"/>
                <w:szCs w:val="24"/>
              </w:rPr>
              <w:lastRenderedPageBreak/>
              <w:t>Table 1</w:t>
            </w:r>
            <w:r w:rsidR="004F0457" w:rsidRPr="00D23517">
              <w:rPr>
                <w:rFonts w:ascii="Times New Roman" w:eastAsia="Times New Roman" w:hAnsi="Times New Roman" w:cs="Times New Roman"/>
                <w:b/>
                <w:bCs/>
                <w:color w:val="000000"/>
                <w:sz w:val="24"/>
                <w:szCs w:val="24"/>
              </w:rPr>
              <w:t xml:space="preserve">: </w:t>
            </w:r>
            <w:r w:rsidRPr="00D23517">
              <w:rPr>
                <w:rFonts w:ascii="Times New Roman" w:eastAsia="Times New Roman" w:hAnsi="Times New Roman" w:cs="Times New Roman"/>
                <w:b/>
                <w:bCs/>
                <w:color w:val="000000"/>
                <w:sz w:val="24"/>
                <w:szCs w:val="24"/>
              </w:rPr>
              <w:t xml:space="preserve">Sample </w:t>
            </w:r>
            <w:r w:rsidR="00AC74B2" w:rsidRPr="00D23517">
              <w:rPr>
                <w:rFonts w:ascii="Times New Roman" w:eastAsia="Times New Roman" w:hAnsi="Times New Roman" w:cs="Times New Roman"/>
                <w:b/>
                <w:bCs/>
                <w:color w:val="000000"/>
                <w:sz w:val="24"/>
                <w:szCs w:val="24"/>
              </w:rPr>
              <w:t xml:space="preserve">distribution </w:t>
            </w:r>
            <w:r w:rsidRPr="00D23517">
              <w:rPr>
                <w:rFonts w:ascii="Times New Roman" w:eastAsia="Times New Roman" w:hAnsi="Times New Roman" w:cs="Times New Roman"/>
                <w:b/>
                <w:bCs/>
                <w:color w:val="000000"/>
                <w:sz w:val="24"/>
                <w:szCs w:val="24"/>
              </w:rPr>
              <w:t xml:space="preserve">by </w:t>
            </w:r>
            <w:r w:rsidR="00AC74B2" w:rsidRPr="00D23517">
              <w:rPr>
                <w:rFonts w:ascii="Times New Roman" w:eastAsia="Times New Roman" w:hAnsi="Times New Roman" w:cs="Times New Roman"/>
                <w:b/>
                <w:bCs/>
                <w:color w:val="000000"/>
                <w:sz w:val="24"/>
                <w:szCs w:val="24"/>
              </w:rPr>
              <w:t xml:space="preserve">year </w:t>
            </w:r>
            <w:r w:rsidRPr="00D23517">
              <w:rPr>
                <w:rFonts w:ascii="Times New Roman" w:eastAsia="Times New Roman" w:hAnsi="Times New Roman" w:cs="Times New Roman"/>
                <w:b/>
                <w:bCs/>
                <w:color w:val="000000"/>
                <w:sz w:val="24"/>
                <w:szCs w:val="24"/>
              </w:rPr>
              <w:t xml:space="preserve">and by </w:t>
            </w:r>
            <w:proofErr w:type="spellStart"/>
            <w:r w:rsidRPr="00D23517">
              <w:rPr>
                <w:rFonts w:ascii="Times New Roman" w:eastAsia="Times New Roman" w:hAnsi="Times New Roman" w:cs="Times New Roman"/>
                <w:b/>
                <w:bCs/>
                <w:color w:val="000000"/>
                <w:sz w:val="24"/>
                <w:szCs w:val="24"/>
              </w:rPr>
              <w:t>Fama</w:t>
            </w:r>
            <w:proofErr w:type="spellEnd"/>
            <w:r w:rsidRPr="00D23517">
              <w:rPr>
                <w:rFonts w:ascii="Times New Roman" w:eastAsia="Times New Roman" w:hAnsi="Times New Roman" w:cs="Times New Roman"/>
                <w:b/>
                <w:bCs/>
                <w:color w:val="000000"/>
                <w:sz w:val="24"/>
                <w:szCs w:val="24"/>
              </w:rPr>
              <w:t>-French 48-</w:t>
            </w:r>
            <w:r w:rsidR="00AC74B2" w:rsidRPr="00D23517">
              <w:rPr>
                <w:rFonts w:ascii="Times New Roman" w:eastAsia="Times New Roman" w:hAnsi="Times New Roman" w:cs="Times New Roman"/>
                <w:b/>
                <w:bCs/>
                <w:color w:val="000000"/>
                <w:sz w:val="24"/>
                <w:szCs w:val="24"/>
              </w:rPr>
              <w:t>sector classification</w:t>
            </w:r>
          </w:p>
        </w:tc>
      </w:tr>
      <w:tr w:rsidR="006F4FAD" w:rsidRPr="00D23517" w14:paraId="3864874E" w14:textId="77777777" w:rsidTr="008D5265">
        <w:trPr>
          <w:trHeight w:val="288"/>
        </w:trPr>
        <w:tc>
          <w:tcPr>
            <w:tcW w:w="2551" w:type="pct"/>
            <w:tcBorders>
              <w:top w:val="single" w:sz="4" w:space="0" w:color="auto"/>
              <w:left w:val="nil"/>
              <w:right w:val="nil"/>
            </w:tcBorders>
            <w:shd w:val="clear" w:color="auto" w:fill="auto"/>
            <w:noWrap/>
            <w:vAlign w:val="bottom"/>
            <w:hideMark/>
          </w:tcPr>
          <w:p w14:paraId="10D22530" w14:textId="77777777" w:rsidR="006F4FAD" w:rsidRPr="00D23517" w:rsidRDefault="006F4FAD" w:rsidP="00A1062B">
            <w:pPr>
              <w:spacing w:after="0" w:line="240" w:lineRule="auto"/>
              <w:jc w:val="both"/>
              <w:rPr>
                <w:rFonts w:ascii="Times New Roman" w:eastAsia="Times New Roman" w:hAnsi="Times New Roman" w:cs="Times New Roman"/>
                <w:b/>
                <w:bCs/>
                <w:i/>
                <w:iCs/>
                <w:color w:val="000000"/>
                <w:sz w:val="20"/>
                <w:szCs w:val="20"/>
              </w:rPr>
            </w:pPr>
            <w:r w:rsidRPr="00D23517">
              <w:rPr>
                <w:rFonts w:ascii="Times New Roman" w:eastAsia="Times New Roman" w:hAnsi="Times New Roman" w:cs="Times New Roman"/>
                <w:b/>
                <w:bCs/>
                <w:i/>
                <w:iCs/>
                <w:color w:val="000000"/>
                <w:sz w:val="20"/>
                <w:szCs w:val="20"/>
              </w:rPr>
              <w:t>Year</w:t>
            </w:r>
          </w:p>
        </w:tc>
        <w:tc>
          <w:tcPr>
            <w:tcW w:w="439" w:type="pct"/>
            <w:tcBorders>
              <w:top w:val="single" w:sz="4" w:space="0" w:color="auto"/>
              <w:left w:val="nil"/>
              <w:right w:val="nil"/>
            </w:tcBorders>
            <w:shd w:val="clear" w:color="auto" w:fill="auto"/>
            <w:noWrap/>
            <w:vAlign w:val="bottom"/>
            <w:hideMark/>
          </w:tcPr>
          <w:p w14:paraId="68E95383" w14:textId="77777777" w:rsidR="006F4FAD" w:rsidRPr="00D23517" w:rsidRDefault="006F4FAD" w:rsidP="00A1062B">
            <w:pPr>
              <w:spacing w:after="0" w:line="240" w:lineRule="auto"/>
              <w:jc w:val="both"/>
              <w:rPr>
                <w:rFonts w:ascii="Times New Roman" w:eastAsia="Times New Roman" w:hAnsi="Times New Roman" w:cs="Times New Roman"/>
                <w:b/>
                <w:bCs/>
                <w:i/>
                <w:iCs/>
                <w:color w:val="000000"/>
                <w:sz w:val="20"/>
                <w:szCs w:val="20"/>
              </w:rPr>
            </w:pPr>
            <w:r w:rsidRPr="00D23517">
              <w:rPr>
                <w:rFonts w:ascii="Times New Roman" w:eastAsia="Times New Roman" w:hAnsi="Times New Roman" w:cs="Times New Roman"/>
                <w:b/>
                <w:bCs/>
                <w:i/>
                <w:iCs/>
                <w:color w:val="000000"/>
                <w:sz w:val="20"/>
                <w:szCs w:val="20"/>
              </w:rPr>
              <w:t>N</w:t>
            </w:r>
          </w:p>
        </w:tc>
        <w:tc>
          <w:tcPr>
            <w:tcW w:w="488" w:type="pct"/>
            <w:tcBorders>
              <w:top w:val="single" w:sz="4" w:space="0" w:color="auto"/>
              <w:left w:val="nil"/>
              <w:right w:val="nil"/>
            </w:tcBorders>
            <w:shd w:val="clear" w:color="auto" w:fill="auto"/>
            <w:noWrap/>
            <w:vAlign w:val="bottom"/>
            <w:hideMark/>
          </w:tcPr>
          <w:p w14:paraId="5A35C7D1" w14:textId="77777777" w:rsidR="006F4FAD" w:rsidRPr="00D23517" w:rsidRDefault="006F4FAD" w:rsidP="00A1062B">
            <w:pPr>
              <w:spacing w:after="0" w:line="240" w:lineRule="auto"/>
              <w:jc w:val="both"/>
              <w:rPr>
                <w:rFonts w:ascii="Times New Roman" w:eastAsia="Times New Roman" w:hAnsi="Times New Roman" w:cs="Times New Roman"/>
                <w:b/>
                <w:bCs/>
                <w:i/>
                <w:iCs/>
                <w:color w:val="000000"/>
                <w:sz w:val="20"/>
                <w:szCs w:val="20"/>
              </w:rPr>
            </w:pPr>
            <w:r w:rsidRPr="00D23517">
              <w:rPr>
                <w:rFonts w:ascii="Times New Roman" w:eastAsia="Times New Roman" w:hAnsi="Times New Roman" w:cs="Times New Roman"/>
                <w:b/>
                <w:bCs/>
                <w:i/>
                <w:iCs/>
                <w:color w:val="000000"/>
                <w:sz w:val="20"/>
                <w:szCs w:val="20"/>
              </w:rPr>
              <w:t>Percent</w:t>
            </w:r>
          </w:p>
        </w:tc>
        <w:tc>
          <w:tcPr>
            <w:tcW w:w="119" w:type="pct"/>
            <w:tcBorders>
              <w:top w:val="single" w:sz="4" w:space="0" w:color="auto"/>
              <w:left w:val="nil"/>
              <w:right w:val="nil"/>
            </w:tcBorders>
            <w:shd w:val="clear" w:color="auto" w:fill="auto"/>
            <w:noWrap/>
            <w:vAlign w:val="bottom"/>
            <w:hideMark/>
          </w:tcPr>
          <w:p w14:paraId="5C3F8719" w14:textId="77777777" w:rsidR="006F4FAD" w:rsidRPr="00D23517" w:rsidRDefault="006F4FAD" w:rsidP="00A1062B">
            <w:pPr>
              <w:spacing w:after="0" w:line="240" w:lineRule="auto"/>
              <w:jc w:val="both"/>
              <w:rPr>
                <w:rFonts w:ascii="Times New Roman" w:eastAsia="Times New Roman" w:hAnsi="Times New Roman" w:cs="Times New Roman"/>
                <w:b/>
                <w:bCs/>
                <w:i/>
                <w:iCs/>
                <w:color w:val="000000"/>
                <w:sz w:val="20"/>
                <w:szCs w:val="20"/>
              </w:rPr>
            </w:pPr>
          </w:p>
        </w:tc>
        <w:tc>
          <w:tcPr>
            <w:tcW w:w="534" w:type="pct"/>
            <w:tcBorders>
              <w:top w:val="single" w:sz="4" w:space="0" w:color="auto"/>
              <w:left w:val="nil"/>
              <w:right w:val="nil"/>
            </w:tcBorders>
            <w:shd w:val="clear" w:color="auto" w:fill="auto"/>
            <w:noWrap/>
            <w:vAlign w:val="bottom"/>
            <w:hideMark/>
          </w:tcPr>
          <w:p w14:paraId="0C2EB2AF" w14:textId="77777777" w:rsidR="006F4FAD" w:rsidRPr="00D23517" w:rsidRDefault="006F4FAD" w:rsidP="00A1062B">
            <w:pPr>
              <w:spacing w:after="0" w:line="240" w:lineRule="auto"/>
              <w:jc w:val="both"/>
              <w:rPr>
                <w:rFonts w:ascii="Times New Roman" w:eastAsia="Times New Roman" w:hAnsi="Times New Roman" w:cs="Times New Roman"/>
                <w:b/>
                <w:bCs/>
                <w:i/>
                <w:iCs/>
                <w:color w:val="000000"/>
                <w:sz w:val="20"/>
                <w:szCs w:val="20"/>
              </w:rPr>
            </w:pPr>
            <w:r w:rsidRPr="00D23517">
              <w:rPr>
                <w:rFonts w:ascii="Times New Roman" w:eastAsia="Times New Roman" w:hAnsi="Times New Roman" w:cs="Times New Roman"/>
                <w:b/>
                <w:bCs/>
                <w:i/>
                <w:iCs/>
                <w:color w:val="000000"/>
                <w:sz w:val="20"/>
                <w:szCs w:val="20"/>
              </w:rPr>
              <w:t>Industry</w:t>
            </w:r>
          </w:p>
        </w:tc>
        <w:tc>
          <w:tcPr>
            <w:tcW w:w="380" w:type="pct"/>
            <w:tcBorders>
              <w:top w:val="single" w:sz="4" w:space="0" w:color="auto"/>
              <w:left w:val="nil"/>
              <w:right w:val="nil"/>
            </w:tcBorders>
            <w:shd w:val="clear" w:color="auto" w:fill="auto"/>
            <w:noWrap/>
            <w:vAlign w:val="bottom"/>
            <w:hideMark/>
          </w:tcPr>
          <w:p w14:paraId="7689ACED" w14:textId="77777777" w:rsidR="006F4FAD" w:rsidRPr="00D23517" w:rsidRDefault="006F4FAD" w:rsidP="00A1062B">
            <w:pPr>
              <w:spacing w:after="0" w:line="240" w:lineRule="auto"/>
              <w:jc w:val="both"/>
              <w:rPr>
                <w:rFonts w:ascii="Times New Roman" w:eastAsia="Times New Roman" w:hAnsi="Times New Roman" w:cs="Times New Roman"/>
                <w:b/>
                <w:bCs/>
                <w:i/>
                <w:iCs/>
                <w:color w:val="000000"/>
                <w:sz w:val="20"/>
                <w:szCs w:val="20"/>
              </w:rPr>
            </w:pPr>
            <w:r w:rsidRPr="00D23517">
              <w:rPr>
                <w:rFonts w:ascii="Times New Roman" w:eastAsia="Times New Roman" w:hAnsi="Times New Roman" w:cs="Times New Roman"/>
                <w:b/>
                <w:bCs/>
                <w:i/>
                <w:iCs/>
                <w:color w:val="000000"/>
                <w:sz w:val="20"/>
                <w:szCs w:val="20"/>
              </w:rPr>
              <w:t>N</w:t>
            </w:r>
          </w:p>
        </w:tc>
        <w:tc>
          <w:tcPr>
            <w:tcW w:w="489" w:type="pct"/>
            <w:tcBorders>
              <w:top w:val="single" w:sz="4" w:space="0" w:color="auto"/>
              <w:left w:val="nil"/>
              <w:right w:val="nil"/>
            </w:tcBorders>
            <w:shd w:val="clear" w:color="auto" w:fill="auto"/>
            <w:noWrap/>
            <w:vAlign w:val="bottom"/>
            <w:hideMark/>
          </w:tcPr>
          <w:p w14:paraId="1ABBF9A2" w14:textId="77777777" w:rsidR="006F4FAD" w:rsidRPr="00D23517" w:rsidRDefault="006F4FAD" w:rsidP="00A1062B">
            <w:pPr>
              <w:spacing w:after="0" w:line="240" w:lineRule="auto"/>
              <w:jc w:val="both"/>
              <w:rPr>
                <w:rFonts w:ascii="Times New Roman" w:eastAsia="Times New Roman" w:hAnsi="Times New Roman" w:cs="Times New Roman"/>
                <w:b/>
                <w:bCs/>
                <w:i/>
                <w:iCs/>
                <w:color w:val="000000"/>
                <w:sz w:val="20"/>
                <w:szCs w:val="20"/>
              </w:rPr>
            </w:pPr>
            <w:r w:rsidRPr="00D23517">
              <w:rPr>
                <w:rFonts w:ascii="Times New Roman" w:eastAsia="Times New Roman" w:hAnsi="Times New Roman" w:cs="Times New Roman"/>
                <w:b/>
                <w:bCs/>
                <w:i/>
                <w:iCs/>
                <w:color w:val="000000"/>
                <w:sz w:val="20"/>
                <w:szCs w:val="20"/>
              </w:rPr>
              <w:t>Percent</w:t>
            </w:r>
          </w:p>
        </w:tc>
      </w:tr>
      <w:tr w:rsidR="006F4FAD" w:rsidRPr="00D23517" w14:paraId="7776E78E" w14:textId="77777777" w:rsidTr="008D5265">
        <w:trPr>
          <w:trHeight w:val="276"/>
        </w:trPr>
        <w:tc>
          <w:tcPr>
            <w:tcW w:w="2551" w:type="pct"/>
            <w:tcBorders>
              <w:left w:val="nil"/>
              <w:right w:val="nil"/>
            </w:tcBorders>
            <w:shd w:val="clear" w:color="auto" w:fill="auto"/>
            <w:noWrap/>
            <w:vAlign w:val="bottom"/>
            <w:hideMark/>
          </w:tcPr>
          <w:p w14:paraId="03A791CF"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1990</w:t>
            </w:r>
          </w:p>
        </w:tc>
        <w:tc>
          <w:tcPr>
            <w:tcW w:w="439" w:type="pct"/>
            <w:tcBorders>
              <w:left w:val="nil"/>
              <w:bottom w:val="nil"/>
              <w:right w:val="nil"/>
            </w:tcBorders>
            <w:shd w:val="clear" w:color="auto" w:fill="auto"/>
            <w:noWrap/>
            <w:vAlign w:val="bottom"/>
            <w:hideMark/>
          </w:tcPr>
          <w:p w14:paraId="4E9156D7"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1,870</w:t>
            </w:r>
          </w:p>
        </w:tc>
        <w:tc>
          <w:tcPr>
            <w:tcW w:w="488" w:type="pct"/>
            <w:tcBorders>
              <w:left w:val="nil"/>
              <w:bottom w:val="nil"/>
              <w:right w:val="nil"/>
            </w:tcBorders>
            <w:shd w:val="clear" w:color="auto" w:fill="auto"/>
            <w:noWrap/>
            <w:vAlign w:val="bottom"/>
            <w:hideMark/>
          </w:tcPr>
          <w:p w14:paraId="38BD4920"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2.59</w:t>
            </w:r>
          </w:p>
        </w:tc>
        <w:tc>
          <w:tcPr>
            <w:tcW w:w="119" w:type="pct"/>
            <w:tcBorders>
              <w:left w:val="nil"/>
              <w:right w:val="nil"/>
            </w:tcBorders>
            <w:shd w:val="clear" w:color="auto" w:fill="auto"/>
            <w:noWrap/>
            <w:vAlign w:val="bottom"/>
            <w:hideMark/>
          </w:tcPr>
          <w:p w14:paraId="50AB345B"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left w:val="nil"/>
              <w:right w:val="nil"/>
            </w:tcBorders>
            <w:shd w:val="clear" w:color="auto" w:fill="auto"/>
            <w:noWrap/>
            <w:vAlign w:val="bottom"/>
            <w:hideMark/>
          </w:tcPr>
          <w:p w14:paraId="530457D5"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AERO</w:t>
            </w:r>
          </w:p>
        </w:tc>
        <w:tc>
          <w:tcPr>
            <w:tcW w:w="380" w:type="pct"/>
            <w:tcBorders>
              <w:left w:val="nil"/>
              <w:bottom w:val="nil"/>
              <w:right w:val="nil"/>
            </w:tcBorders>
            <w:shd w:val="clear" w:color="auto" w:fill="auto"/>
            <w:noWrap/>
            <w:vAlign w:val="bottom"/>
            <w:hideMark/>
          </w:tcPr>
          <w:p w14:paraId="68AA58DF"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476</w:t>
            </w:r>
          </w:p>
        </w:tc>
        <w:tc>
          <w:tcPr>
            <w:tcW w:w="489" w:type="pct"/>
            <w:tcBorders>
              <w:left w:val="nil"/>
              <w:bottom w:val="nil"/>
              <w:right w:val="nil"/>
            </w:tcBorders>
            <w:shd w:val="clear" w:color="auto" w:fill="auto"/>
            <w:noWrap/>
            <w:vAlign w:val="bottom"/>
            <w:hideMark/>
          </w:tcPr>
          <w:p w14:paraId="6A2062B0"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0.66</w:t>
            </w:r>
          </w:p>
        </w:tc>
      </w:tr>
      <w:tr w:rsidR="006F4FAD" w:rsidRPr="00D23517" w14:paraId="2EDD0640" w14:textId="77777777" w:rsidTr="008D5265">
        <w:trPr>
          <w:trHeight w:val="276"/>
        </w:trPr>
        <w:tc>
          <w:tcPr>
            <w:tcW w:w="2551" w:type="pct"/>
            <w:tcBorders>
              <w:top w:val="nil"/>
              <w:left w:val="nil"/>
              <w:right w:val="nil"/>
            </w:tcBorders>
            <w:shd w:val="clear" w:color="auto" w:fill="auto"/>
            <w:noWrap/>
            <w:vAlign w:val="bottom"/>
            <w:hideMark/>
          </w:tcPr>
          <w:p w14:paraId="279E28D3"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1991</w:t>
            </w:r>
          </w:p>
        </w:tc>
        <w:tc>
          <w:tcPr>
            <w:tcW w:w="439" w:type="pct"/>
            <w:tcBorders>
              <w:top w:val="nil"/>
              <w:left w:val="nil"/>
              <w:bottom w:val="nil"/>
              <w:right w:val="nil"/>
            </w:tcBorders>
            <w:shd w:val="clear" w:color="auto" w:fill="auto"/>
            <w:noWrap/>
            <w:vAlign w:val="bottom"/>
            <w:hideMark/>
          </w:tcPr>
          <w:p w14:paraId="7990F267"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1,904</w:t>
            </w:r>
          </w:p>
        </w:tc>
        <w:tc>
          <w:tcPr>
            <w:tcW w:w="488" w:type="pct"/>
            <w:tcBorders>
              <w:top w:val="nil"/>
              <w:left w:val="nil"/>
              <w:bottom w:val="nil"/>
              <w:right w:val="nil"/>
            </w:tcBorders>
            <w:shd w:val="clear" w:color="auto" w:fill="auto"/>
            <w:noWrap/>
            <w:vAlign w:val="bottom"/>
            <w:hideMark/>
          </w:tcPr>
          <w:p w14:paraId="48B04BC2"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2.64</w:t>
            </w:r>
          </w:p>
        </w:tc>
        <w:tc>
          <w:tcPr>
            <w:tcW w:w="119" w:type="pct"/>
            <w:tcBorders>
              <w:top w:val="nil"/>
              <w:left w:val="nil"/>
              <w:right w:val="nil"/>
            </w:tcBorders>
            <w:shd w:val="clear" w:color="auto" w:fill="auto"/>
            <w:noWrap/>
            <w:vAlign w:val="bottom"/>
            <w:hideMark/>
          </w:tcPr>
          <w:p w14:paraId="2E573283"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623987AE"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AGRIC</w:t>
            </w:r>
          </w:p>
        </w:tc>
        <w:tc>
          <w:tcPr>
            <w:tcW w:w="380" w:type="pct"/>
            <w:tcBorders>
              <w:top w:val="nil"/>
              <w:left w:val="nil"/>
              <w:bottom w:val="nil"/>
              <w:right w:val="nil"/>
            </w:tcBorders>
            <w:shd w:val="clear" w:color="auto" w:fill="auto"/>
            <w:noWrap/>
            <w:vAlign w:val="bottom"/>
            <w:hideMark/>
          </w:tcPr>
          <w:p w14:paraId="541711F9"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251</w:t>
            </w:r>
          </w:p>
        </w:tc>
        <w:tc>
          <w:tcPr>
            <w:tcW w:w="489" w:type="pct"/>
            <w:tcBorders>
              <w:top w:val="nil"/>
              <w:left w:val="nil"/>
              <w:bottom w:val="nil"/>
              <w:right w:val="nil"/>
            </w:tcBorders>
            <w:shd w:val="clear" w:color="auto" w:fill="auto"/>
            <w:noWrap/>
            <w:vAlign w:val="bottom"/>
            <w:hideMark/>
          </w:tcPr>
          <w:p w14:paraId="14196FA7"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0.35</w:t>
            </w:r>
          </w:p>
        </w:tc>
      </w:tr>
      <w:tr w:rsidR="006F4FAD" w:rsidRPr="00D23517" w14:paraId="7E07EE46" w14:textId="77777777" w:rsidTr="008D5265">
        <w:trPr>
          <w:trHeight w:val="276"/>
        </w:trPr>
        <w:tc>
          <w:tcPr>
            <w:tcW w:w="2551" w:type="pct"/>
            <w:tcBorders>
              <w:top w:val="nil"/>
              <w:left w:val="nil"/>
              <w:right w:val="nil"/>
            </w:tcBorders>
            <w:shd w:val="clear" w:color="auto" w:fill="auto"/>
            <w:noWrap/>
            <w:vAlign w:val="bottom"/>
            <w:hideMark/>
          </w:tcPr>
          <w:p w14:paraId="7045A202"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1992</w:t>
            </w:r>
          </w:p>
        </w:tc>
        <w:tc>
          <w:tcPr>
            <w:tcW w:w="439" w:type="pct"/>
            <w:tcBorders>
              <w:top w:val="nil"/>
              <w:left w:val="nil"/>
              <w:bottom w:val="nil"/>
              <w:right w:val="nil"/>
            </w:tcBorders>
            <w:shd w:val="clear" w:color="auto" w:fill="auto"/>
            <w:noWrap/>
            <w:vAlign w:val="bottom"/>
            <w:hideMark/>
          </w:tcPr>
          <w:p w14:paraId="3A6521FC"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2,238</w:t>
            </w:r>
          </w:p>
        </w:tc>
        <w:tc>
          <w:tcPr>
            <w:tcW w:w="488" w:type="pct"/>
            <w:tcBorders>
              <w:top w:val="nil"/>
              <w:left w:val="nil"/>
              <w:bottom w:val="nil"/>
              <w:right w:val="nil"/>
            </w:tcBorders>
            <w:shd w:val="clear" w:color="auto" w:fill="auto"/>
            <w:noWrap/>
            <w:vAlign w:val="bottom"/>
            <w:hideMark/>
          </w:tcPr>
          <w:p w14:paraId="54D592BE"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3.1</w:t>
            </w:r>
          </w:p>
        </w:tc>
        <w:tc>
          <w:tcPr>
            <w:tcW w:w="119" w:type="pct"/>
            <w:tcBorders>
              <w:top w:val="nil"/>
              <w:left w:val="nil"/>
              <w:right w:val="nil"/>
            </w:tcBorders>
            <w:shd w:val="clear" w:color="auto" w:fill="auto"/>
            <w:noWrap/>
            <w:vAlign w:val="bottom"/>
            <w:hideMark/>
          </w:tcPr>
          <w:p w14:paraId="206B66D5"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5354AAC1"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AUTOS</w:t>
            </w:r>
          </w:p>
        </w:tc>
        <w:tc>
          <w:tcPr>
            <w:tcW w:w="380" w:type="pct"/>
            <w:tcBorders>
              <w:top w:val="nil"/>
              <w:left w:val="nil"/>
              <w:bottom w:val="nil"/>
              <w:right w:val="nil"/>
            </w:tcBorders>
            <w:shd w:val="clear" w:color="auto" w:fill="auto"/>
            <w:noWrap/>
            <w:vAlign w:val="bottom"/>
            <w:hideMark/>
          </w:tcPr>
          <w:p w14:paraId="7227A2D9"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1,348</w:t>
            </w:r>
          </w:p>
        </w:tc>
        <w:tc>
          <w:tcPr>
            <w:tcW w:w="489" w:type="pct"/>
            <w:tcBorders>
              <w:top w:val="nil"/>
              <w:left w:val="nil"/>
              <w:bottom w:val="nil"/>
              <w:right w:val="nil"/>
            </w:tcBorders>
            <w:shd w:val="clear" w:color="auto" w:fill="auto"/>
            <w:noWrap/>
            <w:vAlign w:val="bottom"/>
            <w:hideMark/>
          </w:tcPr>
          <w:p w14:paraId="759F5EE2"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1.87</w:t>
            </w:r>
          </w:p>
        </w:tc>
      </w:tr>
      <w:tr w:rsidR="006F4FAD" w:rsidRPr="00D23517" w14:paraId="3149CDFF" w14:textId="77777777" w:rsidTr="008D5265">
        <w:trPr>
          <w:trHeight w:val="276"/>
        </w:trPr>
        <w:tc>
          <w:tcPr>
            <w:tcW w:w="2551" w:type="pct"/>
            <w:tcBorders>
              <w:top w:val="nil"/>
              <w:left w:val="nil"/>
              <w:right w:val="nil"/>
            </w:tcBorders>
            <w:shd w:val="clear" w:color="auto" w:fill="auto"/>
            <w:noWrap/>
            <w:vAlign w:val="bottom"/>
            <w:hideMark/>
          </w:tcPr>
          <w:p w14:paraId="114CDC1C"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1993</w:t>
            </w:r>
          </w:p>
        </w:tc>
        <w:tc>
          <w:tcPr>
            <w:tcW w:w="439" w:type="pct"/>
            <w:tcBorders>
              <w:top w:val="nil"/>
              <w:left w:val="nil"/>
              <w:bottom w:val="nil"/>
              <w:right w:val="nil"/>
            </w:tcBorders>
            <w:shd w:val="clear" w:color="auto" w:fill="auto"/>
            <w:noWrap/>
            <w:vAlign w:val="bottom"/>
            <w:hideMark/>
          </w:tcPr>
          <w:p w14:paraId="4CA4C835"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2,478</w:t>
            </w:r>
          </w:p>
        </w:tc>
        <w:tc>
          <w:tcPr>
            <w:tcW w:w="488" w:type="pct"/>
            <w:tcBorders>
              <w:top w:val="nil"/>
              <w:left w:val="nil"/>
              <w:bottom w:val="nil"/>
              <w:right w:val="nil"/>
            </w:tcBorders>
            <w:shd w:val="clear" w:color="auto" w:fill="auto"/>
            <w:noWrap/>
            <w:vAlign w:val="bottom"/>
            <w:hideMark/>
          </w:tcPr>
          <w:p w14:paraId="68A16F45"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3.44</w:t>
            </w:r>
          </w:p>
        </w:tc>
        <w:tc>
          <w:tcPr>
            <w:tcW w:w="119" w:type="pct"/>
            <w:tcBorders>
              <w:top w:val="nil"/>
              <w:left w:val="nil"/>
              <w:right w:val="nil"/>
            </w:tcBorders>
            <w:shd w:val="clear" w:color="auto" w:fill="auto"/>
            <w:noWrap/>
            <w:vAlign w:val="bottom"/>
            <w:hideMark/>
          </w:tcPr>
          <w:p w14:paraId="143697FD"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0D718A4C"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BEER</w:t>
            </w:r>
          </w:p>
        </w:tc>
        <w:tc>
          <w:tcPr>
            <w:tcW w:w="380" w:type="pct"/>
            <w:tcBorders>
              <w:top w:val="nil"/>
              <w:left w:val="nil"/>
              <w:bottom w:val="nil"/>
              <w:right w:val="nil"/>
            </w:tcBorders>
            <w:shd w:val="clear" w:color="auto" w:fill="auto"/>
            <w:noWrap/>
            <w:vAlign w:val="bottom"/>
            <w:hideMark/>
          </w:tcPr>
          <w:p w14:paraId="57D340BA"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317</w:t>
            </w:r>
          </w:p>
        </w:tc>
        <w:tc>
          <w:tcPr>
            <w:tcW w:w="489" w:type="pct"/>
            <w:tcBorders>
              <w:top w:val="nil"/>
              <w:left w:val="nil"/>
              <w:bottom w:val="nil"/>
              <w:right w:val="nil"/>
            </w:tcBorders>
            <w:shd w:val="clear" w:color="auto" w:fill="auto"/>
            <w:noWrap/>
            <w:vAlign w:val="bottom"/>
            <w:hideMark/>
          </w:tcPr>
          <w:p w14:paraId="5E670579"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0.44</w:t>
            </w:r>
          </w:p>
        </w:tc>
      </w:tr>
      <w:tr w:rsidR="006F4FAD" w:rsidRPr="00D23517" w14:paraId="67615064" w14:textId="77777777" w:rsidTr="008D5265">
        <w:trPr>
          <w:trHeight w:val="276"/>
        </w:trPr>
        <w:tc>
          <w:tcPr>
            <w:tcW w:w="2551" w:type="pct"/>
            <w:tcBorders>
              <w:top w:val="nil"/>
              <w:left w:val="nil"/>
              <w:right w:val="nil"/>
            </w:tcBorders>
            <w:shd w:val="clear" w:color="auto" w:fill="auto"/>
            <w:noWrap/>
            <w:vAlign w:val="bottom"/>
            <w:hideMark/>
          </w:tcPr>
          <w:p w14:paraId="77707DB5"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1994</w:t>
            </w:r>
          </w:p>
        </w:tc>
        <w:tc>
          <w:tcPr>
            <w:tcW w:w="439" w:type="pct"/>
            <w:tcBorders>
              <w:top w:val="nil"/>
              <w:left w:val="nil"/>
              <w:bottom w:val="nil"/>
              <w:right w:val="nil"/>
            </w:tcBorders>
            <w:shd w:val="clear" w:color="auto" w:fill="auto"/>
            <w:noWrap/>
            <w:vAlign w:val="bottom"/>
            <w:hideMark/>
          </w:tcPr>
          <w:p w14:paraId="3193934C"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2,692</w:t>
            </w:r>
          </w:p>
        </w:tc>
        <w:tc>
          <w:tcPr>
            <w:tcW w:w="488" w:type="pct"/>
            <w:tcBorders>
              <w:top w:val="nil"/>
              <w:left w:val="nil"/>
              <w:bottom w:val="nil"/>
              <w:right w:val="nil"/>
            </w:tcBorders>
            <w:shd w:val="clear" w:color="auto" w:fill="auto"/>
            <w:noWrap/>
            <w:vAlign w:val="bottom"/>
            <w:hideMark/>
          </w:tcPr>
          <w:p w14:paraId="05869EE8"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3.73</w:t>
            </w:r>
          </w:p>
        </w:tc>
        <w:tc>
          <w:tcPr>
            <w:tcW w:w="119" w:type="pct"/>
            <w:tcBorders>
              <w:top w:val="nil"/>
              <w:left w:val="nil"/>
              <w:right w:val="nil"/>
            </w:tcBorders>
            <w:shd w:val="clear" w:color="auto" w:fill="auto"/>
            <w:noWrap/>
            <w:vAlign w:val="bottom"/>
            <w:hideMark/>
          </w:tcPr>
          <w:p w14:paraId="188AEB06"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2466F642"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BLDMT</w:t>
            </w:r>
          </w:p>
        </w:tc>
        <w:tc>
          <w:tcPr>
            <w:tcW w:w="380" w:type="pct"/>
            <w:tcBorders>
              <w:top w:val="nil"/>
              <w:left w:val="nil"/>
              <w:bottom w:val="nil"/>
              <w:right w:val="nil"/>
            </w:tcBorders>
            <w:shd w:val="clear" w:color="auto" w:fill="auto"/>
            <w:noWrap/>
            <w:vAlign w:val="bottom"/>
            <w:hideMark/>
          </w:tcPr>
          <w:p w14:paraId="1D021AD8"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1,781</w:t>
            </w:r>
          </w:p>
        </w:tc>
        <w:tc>
          <w:tcPr>
            <w:tcW w:w="489" w:type="pct"/>
            <w:tcBorders>
              <w:top w:val="nil"/>
              <w:left w:val="nil"/>
              <w:bottom w:val="nil"/>
              <w:right w:val="nil"/>
            </w:tcBorders>
            <w:shd w:val="clear" w:color="auto" w:fill="auto"/>
            <w:noWrap/>
            <w:vAlign w:val="bottom"/>
            <w:hideMark/>
          </w:tcPr>
          <w:p w14:paraId="74CC9447"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2.47</w:t>
            </w:r>
          </w:p>
        </w:tc>
      </w:tr>
      <w:tr w:rsidR="006F4FAD" w:rsidRPr="00D23517" w14:paraId="1EADDB3E" w14:textId="77777777" w:rsidTr="008D5265">
        <w:trPr>
          <w:trHeight w:val="276"/>
        </w:trPr>
        <w:tc>
          <w:tcPr>
            <w:tcW w:w="2551" w:type="pct"/>
            <w:tcBorders>
              <w:top w:val="nil"/>
              <w:left w:val="nil"/>
              <w:right w:val="nil"/>
            </w:tcBorders>
            <w:shd w:val="clear" w:color="auto" w:fill="auto"/>
            <w:noWrap/>
            <w:vAlign w:val="bottom"/>
            <w:hideMark/>
          </w:tcPr>
          <w:p w14:paraId="1B55FC0C"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1995</w:t>
            </w:r>
          </w:p>
        </w:tc>
        <w:tc>
          <w:tcPr>
            <w:tcW w:w="439" w:type="pct"/>
            <w:tcBorders>
              <w:top w:val="nil"/>
              <w:left w:val="nil"/>
              <w:bottom w:val="nil"/>
              <w:right w:val="nil"/>
            </w:tcBorders>
            <w:shd w:val="clear" w:color="auto" w:fill="auto"/>
            <w:noWrap/>
            <w:vAlign w:val="bottom"/>
            <w:hideMark/>
          </w:tcPr>
          <w:p w14:paraId="4CB32B88"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2,876</w:t>
            </w:r>
          </w:p>
        </w:tc>
        <w:tc>
          <w:tcPr>
            <w:tcW w:w="488" w:type="pct"/>
            <w:tcBorders>
              <w:top w:val="nil"/>
              <w:left w:val="nil"/>
              <w:bottom w:val="nil"/>
              <w:right w:val="nil"/>
            </w:tcBorders>
            <w:shd w:val="clear" w:color="auto" w:fill="auto"/>
            <w:noWrap/>
            <w:vAlign w:val="bottom"/>
            <w:hideMark/>
          </w:tcPr>
          <w:p w14:paraId="1099CBB6"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3.99</w:t>
            </w:r>
          </w:p>
        </w:tc>
        <w:tc>
          <w:tcPr>
            <w:tcW w:w="119" w:type="pct"/>
            <w:tcBorders>
              <w:top w:val="nil"/>
              <w:left w:val="nil"/>
              <w:right w:val="nil"/>
            </w:tcBorders>
            <w:shd w:val="clear" w:color="auto" w:fill="auto"/>
            <w:noWrap/>
            <w:vAlign w:val="bottom"/>
            <w:hideMark/>
          </w:tcPr>
          <w:p w14:paraId="7728CDA5"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73662C8C"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BOOKS</w:t>
            </w:r>
          </w:p>
        </w:tc>
        <w:tc>
          <w:tcPr>
            <w:tcW w:w="380" w:type="pct"/>
            <w:tcBorders>
              <w:top w:val="nil"/>
              <w:left w:val="nil"/>
              <w:bottom w:val="nil"/>
              <w:right w:val="nil"/>
            </w:tcBorders>
            <w:shd w:val="clear" w:color="auto" w:fill="auto"/>
            <w:noWrap/>
            <w:vAlign w:val="bottom"/>
            <w:hideMark/>
          </w:tcPr>
          <w:p w14:paraId="31C7EF92"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626</w:t>
            </w:r>
          </w:p>
        </w:tc>
        <w:tc>
          <w:tcPr>
            <w:tcW w:w="489" w:type="pct"/>
            <w:tcBorders>
              <w:top w:val="nil"/>
              <w:left w:val="nil"/>
              <w:bottom w:val="nil"/>
              <w:right w:val="nil"/>
            </w:tcBorders>
            <w:shd w:val="clear" w:color="auto" w:fill="auto"/>
            <w:noWrap/>
            <w:vAlign w:val="bottom"/>
            <w:hideMark/>
          </w:tcPr>
          <w:p w14:paraId="5E3E7F7E"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0.87</w:t>
            </w:r>
          </w:p>
        </w:tc>
      </w:tr>
      <w:tr w:rsidR="006F4FAD" w:rsidRPr="00D23517" w14:paraId="0C78D844" w14:textId="77777777" w:rsidTr="008D5265">
        <w:trPr>
          <w:trHeight w:val="276"/>
        </w:trPr>
        <w:tc>
          <w:tcPr>
            <w:tcW w:w="2551" w:type="pct"/>
            <w:tcBorders>
              <w:top w:val="nil"/>
              <w:left w:val="nil"/>
              <w:right w:val="nil"/>
            </w:tcBorders>
            <w:shd w:val="clear" w:color="auto" w:fill="auto"/>
            <w:noWrap/>
            <w:vAlign w:val="bottom"/>
            <w:hideMark/>
          </w:tcPr>
          <w:p w14:paraId="0EC0A488"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1996</w:t>
            </w:r>
          </w:p>
        </w:tc>
        <w:tc>
          <w:tcPr>
            <w:tcW w:w="439" w:type="pct"/>
            <w:tcBorders>
              <w:top w:val="nil"/>
              <w:left w:val="nil"/>
              <w:bottom w:val="nil"/>
              <w:right w:val="nil"/>
            </w:tcBorders>
            <w:shd w:val="clear" w:color="auto" w:fill="auto"/>
            <w:noWrap/>
            <w:vAlign w:val="bottom"/>
            <w:hideMark/>
          </w:tcPr>
          <w:p w14:paraId="0F74A211"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3,069</w:t>
            </w:r>
          </w:p>
        </w:tc>
        <w:tc>
          <w:tcPr>
            <w:tcW w:w="488" w:type="pct"/>
            <w:tcBorders>
              <w:top w:val="nil"/>
              <w:left w:val="nil"/>
              <w:bottom w:val="nil"/>
              <w:right w:val="nil"/>
            </w:tcBorders>
            <w:shd w:val="clear" w:color="auto" w:fill="auto"/>
            <w:noWrap/>
            <w:vAlign w:val="bottom"/>
            <w:hideMark/>
          </w:tcPr>
          <w:p w14:paraId="087A238C"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4.26</w:t>
            </w:r>
          </w:p>
        </w:tc>
        <w:tc>
          <w:tcPr>
            <w:tcW w:w="119" w:type="pct"/>
            <w:tcBorders>
              <w:top w:val="nil"/>
              <w:left w:val="nil"/>
              <w:right w:val="nil"/>
            </w:tcBorders>
            <w:shd w:val="clear" w:color="auto" w:fill="auto"/>
            <w:noWrap/>
            <w:vAlign w:val="bottom"/>
            <w:hideMark/>
          </w:tcPr>
          <w:p w14:paraId="50B25C45"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658A958F"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BOXES</w:t>
            </w:r>
          </w:p>
        </w:tc>
        <w:tc>
          <w:tcPr>
            <w:tcW w:w="380" w:type="pct"/>
            <w:tcBorders>
              <w:top w:val="nil"/>
              <w:left w:val="nil"/>
              <w:bottom w:val="nil"/>
              <w:right w:val="nil"/>
            </w:tcBorders>
            <w:shd w:val="clear" w:color="auto" w:fill="auto"/>
            <w:noWrap/>
            <w:vAlign w:val="bottom"/>
            <w:hideMark/>
          </w:tcPr>
          <w:p w14:paraId="10988EA1"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277</w:t>
            </w:r>
          </w:p>
        </w:tc>
        <w:tc>
          <w:tcPr>
            <w:tcW w:w="489" w:type="pct"/>
            <w:tcBorders>
              <w:top w:val="nil"/>
              <w:left w:val="nil"/>
              <w:bottom w:val="nil"/>
              <w:right w:val="nil"/>
            </w:tcBorders>
            <w:shd w:val="clear" w:color="auto" w:fill="auto"/>
            <w:noWrap/>
            <w:vAlign w:val="bottom"/>
            <w:hideMark/>
          </w:tcPr>
          <w:p w14:paraId="47A47DBF"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0.38</w:t>
            </w:r>
          </w:p>
        </w:tc>
      </w:tr>
      <w:tr w:rsidR="006F4FAD" w:rsidRPr="00D23517" w14:paraId="44C0D717" w14:textId="77777777" w:rsidTr="008D5265">
        <w:trPr>
          <w:trHeight w:val="276"/>
        </w:trPr>
        <w:tc>
          <w:tcPr>
            <w:tcW w:w="2551" w:type="pct"/>
            <w:tcBorders>
              <w:top w:val="nil"/>
              <w:left w:val="nil"/>
              <w:right w:val="nil"/>
            </w:tcBorders>
            <w:shd w:val="clear" w:color="auto" w:fill="auto"/>
            <w:noWrap/>
            <w:vAlign w:val="bottom"/>
            <w:hideMark/>
          </w:tcPr>
          <w:p w14:paraId="130D4DF2"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1997</w:t>
            </w:r>
          </w:p>
        </w:tc>
        <w:tc>
          <w:tcPr>
            <w:tcW w:w="439" w:type="pct"/>
            <w:tcBorders>
              <w:top w:val="nil"/>
              <w:left w:val="nil"/>
              <w:bottom w:val="nil"/>
              <w:right w:val="nil"/>
            </w:tcBorders>
            <w:shd w:val="clear" w:color="auto" w:fill="auto"/>
            <w:noWrap/>
            <w:vAlign w:val="bottom"/>
            <w:hideMark/>
          </w:tcPr>
          <w:p w14:paraId="0073FAF5"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3,312</w:t>
            </w:r>
          </w:p>
        </w:tc>
        <w:tc>
          <w:tcPr>
            <w:tcW w:w="488" w:type="pct"/>
            <w:tcBorders>
              <w:top w:val="nil"/>
              <w:left w:val="nil"/>
              <w:bottom w:val="nil"/>
              <w:right w:val="nil"/>
            </w:tcBorders>
            <w:shd w:val="clear" w:color="auto" w:fill="auto"/>
            <w:noWrap/>
            <w:vAlign w:val="bottom"/>
            <w:hideMark/>
          </w:tcPr>
          <w:p w14:paraId="7C6F4BC3"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4.59</w:t>
            </w:r>
          </w:p>
        </w:tc>
        <w:tc>
          <w:tcPr>
            <w:tcW w:w="119" w:type="pct"/>
            <w:tcBorders>
              <w:top w:val="nil"/>
              <w:left w:val="nil"/>
              <w:right w:val="nil"/>
            </w:tcBorders>
            <w:shd w:val="clear" w:color="auto" w:fill="auto"/>
            <w:noWrap/>
            <w:vAlign w:val="bottom"/>
            <w:hideMark/>
          </w:tcPr>
          <w:p w14:paraId="54BA71F9"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0FB345B0"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BUSSV</w:t>
            </w:r>
          </w:p>
        </w:tc>
        <w:tc>
          <w:tcPr>
            <w:tcW w:w="380" w:type="pct"/>
            <w:tcBorders>
              <w:top w:val="nil"/>
              <w:left w:val="nil"/>
              <w:bottom w:val="nil"/>
              <w:right w:val="nil"/>
            </w:tcBorders>
            <w:shd w:val="clear" w:color="auto" w:fill="auto"/>
            <w:noWrap/>
            <w:vAlign w:val="bottom"/>
            <w:hideMark/>
          </w:tcPr>
          <w:p w14:paraId="6B851773"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9,634</w:t>
            </w:r>
          </w:p>
        </w:tc>
        <w:tc>
          <w:tcPr>
            <w:tcW w:w="489" w:type="pct"/>
            <w:tcBorders>
              <w:top w:val="nil"/>
              <w:left w:val="nil"/>
              <w:bottom w:val="nil"/>
              <w:right w:val="nil"/>
            </w:tcBorders>
            <w:shd w:val="clear" w:color="auto" w:fill="auto"/>
            <w:noWrap/>
            <w:vAlign w:val="bottom"/>
            <w:hideMark/>
          </w:tcPr>
          <w:p w14:paraId="6BE17E8D"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13.36</w:t>
            </w:r>
          </w:p>
        </w:tc>
      </w:tr>
      <w:tr w:rsidR="006F4FAD" w:rsidRPr="00D23517" w14:paraId="227944F9" w14:textId="77777777" w:rsidTr="008D5265">
        <w:trPr>
          <w:trHeight w:val="276"/>
        </w:trPr>
        <w:tc>
          <w:tcPr>
            <w:tcW w:w="2551" w:type="pct"/>
            <w:tcBorders>
              <w:top w:val="nil"/>
              <w:left w:val="nil"/>
              <w:right w:val="nil"/>
            </w:tcBorders>
            <w:shd w:val="clear" w:color="auto" w:fill="auto"/>
            <w:noWrap/>
            <w:vAlign w:val="bottom"/>
            <w:hideMark/>
          </w:tcPr>
          <w:p w14:paraId="35086E8A"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1998</w:t>
            </w:r>
          </w:p>
        </w:tc>
        <w:tc>
          <w:tcPr>
            <w:tcW w:w="439" w:type="pct"/>
            <w:tcBorders>
              <w:top w:val="nil"/>
              <w:left w:val="nil"/>
              <w:bottom w:val="nil"/>
              <w:right w:val="nil"/>
            </w:tcBorders>
            <w:shd w:val="clear" w:color="auto" w:fill="auto"/>
            <w:noWrap/>
            <w:vAlign w:val="bottom"/>
            <w:hideMark/>
          </w:tcPr>
          <w:p w14:paraId="1F856E2A"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3,330</w:t>
            </w:r>
          </w:p>
        </w:tc>
        <w:tc>
          <w:tcPr>
            <w:tcW w:w="488" w:type="pct"/>
            <w:tcBorders>
              <w:top w:val="nil"/>
              <w:left w:val="nil"/>
              <w:bottom w:val="nil"/>
              <w:right w:val="nil"/>
            </w:tcBorders>
            <w:shd w:val="clear" w:color="auto" w:fill="auto"/>
            <w:noWrap/>
            <w:vAlign w:val="bottom"/>
            <w:hideMark/>
          </w:tcPr>
          <w:p w14:paraId="5CE0066A"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4.62</w:t>
            </w:r>
          </w:p>
        </w:tc>
        <w:tc>
          <w:tcPr>
            <w:tcW w:w="119" w:type="pct"/>
            <w:tcBorders>
              <w:top w:val="nil"/>
              <w:left w:val="nil"/>
              <w:right w:val="nil"/>
            </w:tcBorders>
            <w:shd w:val="clear" w:color="auto" w:fill="auto"/>
            <w:noWrap/>
            <w:vAlign w:val="bottom"/>
            <w:hideMark/>
          </w:tcPr>
          <w:p w14:paraId="19630373"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06881EAF"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CHEM</w:t>
            </w:r>
          </w:p>
        </w:tc>
        <w:tc>
          <w:tcPr>
            <w:tcW w:w="380" w:type="pct"/>
            <w:tcBorders>
              <w:top w:val="nil"/>
              <w:left w:val="nil"/>
              <w:bottom w:val="nil"/>
              <w:right w:val="nil"/>
            </w:tcBorders>
            <w:shd w:val="clear" w:color="auto" w:fill="auto"/>
            <w:noWrap/>
            <w:vAlign w:val="bottom"/>
            <w:hideMark/>
          </w:tcPr>
          <w:p w14:paraId="2F0DD320"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1,805</w:t>
            </w:r>
          </w:p>
        </w:tc>
        <w:tc>
          <w:tcPr>
            <w:tcW w:w="489" w:type="pct"/>
            <w:tcBorders>
              <w:top w:val="nil"/>
              <w:left w:val="nil"/>
              <w:bottom w:val="nil"/>
              <w:right w:val="nil"/>
            </w:tcBorders>
            <w:shd w:val="clear" w:color="auto" w:fill="auto"/>
            <w:noWrap/>
            <w:vAlign w:val="bottom"/>
            <w:hideMark/>
          </w:tcPr>
          <w:p w14:paraId="40694B44"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2.5</w:t>
            </w:r>
          </w:p>
        </w:tc>
      </w:tr>
      <w:tr w:rsidR="006F4FAD" w:rsidRPr="00D23517" w14:paraId="78D5F510" w14:textId="77777777" w:rsidTr="008D5265">
        <w:trPr>
          <w:trHeight w:val="276"/>
        </w:trPr>
        <w:tc>
          <w:tcPr>
            <w:tcW w:w="2551" w:type="pct"/>
            <w:tcBorders>
              <w:top w:val="nil"/>
              <w:left w:val="nil"/>
              <w:right w:val="nil"/>
            </w:tcBorders>
            <w:shd w:val="clear" w:color="auto" w:fill="auto"/>
            <w:noWrap/>
            <w:vAlign w:val="bottom"/>
            <w:hideMark/>
          </w:tcPr>
          <w:p w14:paraId="2157D30F"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1999</w:t>
            </w:r>
          </w:p>
        </w:tc>
        <w:tc>
          <w:tcPr>
            <w:tcW w:w="439" w:type="pct"/>
            <w:tcBorders>
              <w:top w:val="nil"/>
              <w:left w:val="nil"/>
              <w:bottom w:val="nil"/>
              <w:right w:val="nil"/>
            </w:tcBorders>
            <w:shd w:val="clear" w:color="auto" w:fill="auto"/>
            <w:noWrap/>
            <w:vAlign w:val="bottom"/>
            <w:hideMark/>
          </w:tcPr>
          <w:p w14:paraId="4148AEAE"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3,236</w:t>
            </w:r>
          </w:p>
        </w:tc>
        <w:tc>
          <w:tcPr>
            <w:tcW w:w="488" w:type="pct"/>
            <w:tcBorders>
              <w:top w:val="nil"/>
              <w:left w:val="nil"/>
              <w:bottom w:val="nil"/>
              <w:right w:val="nil"/>
            </w:tcBorders>
            <w:shd w:val="clear" w:color="auto" w:fill="auto"/>
            <w:noWrap/>
            <w:vAlign w:val="bottom"/>
            <w:hideMark/>
          </w:tcPr>
          <w:p w14:paraId="1C6226F3"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4.49</w:t>
            </w:r>
          </w:p>
        </w:tc>
        <w:tc>
          <w:tcPr>
            <w:tcW w:w="119" w:type="pct"/>
            <w:tcBorders>
              <w:top w:val="nil"/>
              <w:left w:val="nil"/>
              <w:right w:val="nil"/>
            </w:tcBorders>
            <w:shd w:val="clear" w:color="auto" w:fill="auto"/>
            <w:noWrap/>
            <w:vAlign w:val="bottom"/>
            <w:hideMark/>
          </w:tcPr>
          <w:p w14:paraId="7C7CF4AB"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60C32D65"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CHIPS</w:t>
            </w:r>
          </w:p>
        </w:tc>
        <w:tc>
          <w:tcPr>
            <w:tcW w:w="380" w:type="pct"/>
            <w:tcBorders>
              <w:top w:val="nil"/>
              <w:left w:val="nil"/>
              <w:bottom w:val="nil"/>
              <w:right w:val="nil"/>
            </w:tcBorders>
            <w:shd w:val="clear" w:color="auto" w:fill="auto"/>
            <w:noWrap/>
            <w:vAlign w:val="bottom"/>
            <w:hideMark/>
          </w:tcPr>
          <w:p w14:paraId="3AB15D79"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5,638</w:t>
            </w:r>
          </w:p>
        </w:tc>
        <w:tc>
          <w:tcPr>
            <w:tcW w:w="489" w:type="pct"/>
            <w:tcBorders>
              <w:top w:val="nil"/>
              <w:left w:val="nil"/>
              <w:bottom w:val="nil"/>
              <w:right w:val="nil"/>
            </w:tcBorders>
            <w:shd w:val="clear" w:color="auto" w:fill="auto"/>
            <w:noWrap/>
            <w:vAlign w:val="bottom"/>
            <w:hideMark/>
          </w:tcPr>
          <w:p w14:paraId="415BC65F"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7.82</w:t>
            </w:r>
          </w:p>
        </w:tc>
      </w:tr>
      <w:tr w:rsidR="006F4FAD" w:rsidRPr="00D23517" w14:paraId="75BBD293" w14:textId="77777777" w:rsidTr="008D5265">
        <w:trPr>
          <w:trHeight w:val="276"/>
        </w:trPr>
        <w:tc>
          <w:tcPr>
            <w:tcW w:w="2551" w:type="pct"/>
            <w:tcBorders>
              <w:top w:val="nil"/>
              <w:left w:val="nil"/>
              <w:right w:val="nil"/>
            </w:tcBorders>
            <w:shd w:val="clear" w:color="auto" w:fill="auto"/>
            <w:noWrap/>
            <w:vAlign w:val="bottom"/>
            <w:hideMark/>
          </w:tcPr>
          <w:p w14:paraId="43275CC0"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2000</w:t>
            </w:r>
          </w:p>
        </w:tc>
        <w:tc>
          <w:tcPr>
            <w:tcW w:w="439" w:type="pct"/>
            <w:tcBorders>
              <w:top w:val="nil"/>
              <w:left w:val="nil"/>
              <w:bottom w:val="nil"/>
              <w:right w:val="nil"/>
            </w:tcBorders>
            <w:shd w:val="clear" w:color="auto" w:fill="auto"/>
            <w:noWrap/>
            <w:vAlign w:val="bottom"/>
            <w:hideMark/>
          </w:tcPr>
          <w:p w14:paraId="581E07FE"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3,161</w:t>
            </w:r>
          </w:p>
        </w:tc>
        <w:tc>
          <w:tcPr>
            <w:tcW w:w="488" w:type="pct"/>
            <w:tcBorders>
              <w:top w:val="nil"/>
              <w:left w:val="nil"/>
              <w:bottom w:val="nil"/>
              <w:right w:val="nil"/>
            </w:tcBorders>
            <w:shd w:val="clear" w:color="auto" w:fill="auto"/>
            <w:noWrap/>
            <w:vAlign w:val="bottom"/>
            <w:hideMark/>
          </w:tcPr>
          <w:p w14:paraId="132577BD"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4.38</w:t>
            </w:r>
          </w:p>
        </w:tc>
        <w:tc>
          <w:tcPr>
            <w:tcW w:w="119" w:type="pct"/>
            <w:tcBorders>
              <w:top w:val="nil"/>
              <w:left w:val="nil"/>
              <w:right w:val="nil"/>
            </w:tcBorders>
            <w:shd w:val="clear" w:color="auto" w:fill="auto"/>
            <w:noWrap/>
            <w:vAlign w:val="bottom"/>
            <w:hideMark/>
          </w:tcPr>
          <w:p w14:paraId="1F6F46AF"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0AF763D2"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CLTHS</w:t>
            </w:r>
          </w:p>
        </w:tc>
        <w:tc>
          <w:tcPr>
            <w:tcW w:w="380" w:type="pct"/>
            <w:tcBorders>
              <w:top w:val="nil"/>
              <w:left w:val="nil"/>
              <w:bottom w:val="nil"/>
              <w:right w:val="nil"/>
            </w:tcBorders>
            <w:shd w:val="clear" w:color="auto" w:fill="auto"/>
            <w:noWrap/>
            <w:vAlign w:val="bottom"/>
            <w:hideMark/>
          </w:tcPr>
          <w:p w14:paraId="4FBD2443"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1,172</w:t>
            </w:r>
          </w:p>
        </w:tc>
        <w:tc>
          <w:tcPr>
            <w:tcW w:w="489" w:type="pct"/>
            <w:tcBorders>
              <w:top w:val="nil"/>
              <w:left w:val="nil"/>
              <w:bottom w:val="nil"/>
              <w:right w:val="nil"/>
            </w:tcBorders>
            <w:shd w:val="clear" w:color="auto" w:fill="auto"/>
            <w:noWrap/>
            <w:vAlign w:val="bottom"/>
            <w:hideMark/>
          </w:tcPr>
          <w:p w14:paraId="2625084A"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1.63</w:t>
            </w:r>
          </w:p>
        </w:tc>
      </w:tr>
      <w:tr w:rsidR="006F4FAD" w:rsidRPr="00D23517" w14:paraId="53680FDE" w14:textId="77777777" w:rsidTr="008D5265">
        <w:trPr>
          <w:trHeight w:val="276"/>
        </w:trPr>
        <w:tc>
          <w:tcPr>
            <w:tcW w:w="2551" w:type="pct"/>
            <w:tcBorders>
              <w:top w:val="nil"/>
              <w:left w:val="nil"/>
              <w:right w:val="nil"/>
            </w:tcBorders>
            <w:shd w:val="clear" w:color="auto" w:fill="auto"/>
            <w:noWrap/>
            <w:vAlign w:val="bottom"/>
            <w:hideMark/>
          </w:tcPr>
          <w:p w14:paraId="418A4D7C"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2001</w:t>
            </w:r>
          </w:p>
        </w:tc>
        <w:tc>
          <w:tcPr>
            <w:tcW w:w="439" w:type="pct"/>
            <w:tcBorders>
              <w:top w:val="nil"/>
              <w:left w:val="nil"/>
              <w:bottom w:val="nil"/>
              <w:right w:val="nil"/>
            </w:tcBorders>
            <w:shd w:val="clear" w:color="auto" w:fill="auto"/>
            <w:noWrap/>
            <w:vAlign w:val="bottom"/>
            <w:hideMark/>
          </w:tcPr>
          <w:p w14:paraId="71CB6017"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3,095</w:t>
            </w:r>
          </w:p>
        </w:tc>
        <w:tc>
          <w:tcPr>
            <w:tcW w:w="488" w:type="pct"/>
            <w:tcBorders>
              <w:top w:val="nil"/>
              <w:left w:val="nil"/>
              <w:bottom w:val="nil"/>
              <w:right w:val="nil"/>
            </w:tcBorders>
            <w:shd w:val="clear" w:color="auto" w:fill="auto"/>
            <w:noWrap/>
            <w:vAlign w:val="bottom"/>
            <w:hideMark/>
          </w:tcPr>
          <w:p w14:paraId="22324E97"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4.29</w:t>
            </w:r>
          </w:p>
        </w:tc>
        <w:tc>
          <w:tcPr>
            <w:tcW w:w="119" w:type="pct"/>
            <w:tcBorders>
              <w:top w:val="nil"/>
              <w:left w:val="nil"/>
              <w:right w:val="nil"/>
            </w:tcBorders>
            <w:shd w:val="clear" w:color="auto" w:fill="auto"/>
            <w:noWrap/>
            <w:vAlign w:val="bottom"/>
            <w:hideMark/>
          </w:tcPr>
          <w:p w14:paraId="7EFDB09F"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656DC5AF"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CNSTR</w:t>
            </w:r>
          </w:p>
        </w:tc>
        <w:tc>
          <w:tcPr>
            <w:tcW w:w="380" w:type="pct"/>
            <w:tcBorders>
              <w:top w:val="nil"/>
              <w:left w:val="nil"/>
              <w:bottom w:val="nil"/>
              <w:right w:val="nil"/>
            </w:tcBorders>
            <w:shd w:val="clear" w:color="auto" w:fill="auto"/>
            <w:noWrap/>
            <w:vAlign w:val="bottom"/>
            <w:hideMark/>
          </w:tcPr>
          <w:p w14:paraId="3F45C994"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960</w:t>
            </w:r>
          </w:p>
        </w:tc>
        <w:tc>
          <w:tcPr>
            <w:tcW w:w="489" w:type="pct"/>
            <w:tcBorders>
              <w:top w:val="nil"/>
              <w:left w:val="nil"/>
              <w:bottom w:val="nil"/>
              <w:right w:val="nil"/>
            </w:tcBorders>
            <w:shd w:val="clear" w:color="auto" w:fill="auto"/>
            <w:noWrap/>
            <w:vAlign w:val="bottom"/>
            <w:hideMark/>
          </w:tcPr>
          <w:p w14:paraId="73530808"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1.33</w:t>
            </w:r>
          </w:p>
        </w:tc>
      </w:tr>
      <w:tr w:rsidR="006F4FAD" w:rsidRPr="00D23517" w14:paraId="155918C4" w14:textId="77777777" w:rsidTr="008D5265">
        <w:trPr>
          <w:trHeight w:val="276"/>
        </w:trPr>
        <w:tc>
          <w:tcPr>
            <w:tcW w:w="2551" w:type="pct"/>
            <w:tcBorders>
              <w:top w:val="nil"/>
              <w:left w:val="nil"/>
              <w:right w:val="nil"/>
            </w:tcBorders>
            <w:shd w:val="clear" w:color="auto" w:fill="auto"/>
            <w:noWrap/>
            <w:vAlign w:val="bottom"/>
            <w:hideMark/>
          </w:tcPr>
          <w:p w14:paraId="5A35A651"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2002</w:t>
            </w:r>
          </w:p>
        </w:tc>
        <w:tc>
          <w:tcPr>
            <w:tcW w:w="439" w:type="pct"/>
            <w:tcBorders>
              <w:top w:val="nil"/>
              <w:left w:val="nil"/>
              <w:bottom w:val="nil"/>
              <w:right w:val="nil"/>
            </w:tcBorders>
            <w:shd w:val="clear" w:color="auto" w:fill="auto"/>
            <w:noWrap/>
            <w:vAlign w:val="bottom"/>
            <w:hideMark/>
          </w:tcPr>
          <w:p w14:paraId="573A5621"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2,944</w:t>
            </w:r>
          </w:p>
        </w:tc>
        <w:tc>
          <w:tcPr>
            <w:tcW w:w="488" w:type="pct"/>
            <w:tcBorders>
              <w:top w:val="nil"/>
              <w:left w:val="nil"/>
              <w:bottom w:val="nil"/>
              <w:right w:val="nil"/>
            </w:tcBorders>
            <w:shd w:val="clear" w:color="auto" w:fill="auto"/>
            <w:noWrap/>
            <w:vAlign w:val="bottom"/>
            <w:hideMark/>
          </w:tcPr>
          <w:p w14:paraId="74070E9F"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4.08</w:t>
            </w:r>
          </w:p>
        </w:tc>
        <w:tc>
          <w:tcPr>
            <w:tcW w:w="119" w:type="pct"/>
            <w:tcBorders>
              <w:top w:val="nil"/>
              <w:left w:val="nil"/>
              <w:right w:val="nil"/>
            </w:tcBorders>
            <w:shd w:val="clear" w:color="auto" w:fill="auto"/>
            <w:noWrap/>
            <w:vAlign w:val="bottom"/>
            <w:hideMark/>
          </w:tcPr>
          <w:p w14:paraId="4DC8D369"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2C63417B"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COAL</w:t>
            </w:r>
          </w:p>
        </w:tc>
        <w:tc>
          <w:tcPr>
            <w:tcW w:w="380" w:type="pct"/>
            <w:tcBorders>
              <w:top w:val="nil"/>
              <w:left w:val="nil"/>
              <w:bottom w:val="nil"/>
              <w:right w:val="nil"/>
            </w:tcBorders>
            <w:shd w:val="clear" w:color="auto" w:fill="auto"/>
            <w:noWrap/>
            <w:vAlign w:val="bottom"/>
            <w:hideMark/>
          </w:tcPr>
          <w:p w14:paraId="76D3D975"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133</w:t>
            </w:r>
          </w:p>
        </w:tc>
        <w:tc>
          <w:tcPr>
            <w:tcW w:w="489" w:type="pct"/>
            <w:tcBorders>
              <w:top w:val="nil"/>
              <w:left w:val="nil"/>
              <w:bottom w:val="nil"/>
              <w:right w:val="nil"/>
            </w:tcBorders>
            <w:shd w:val="clear" w:color="auto" w:fill="auto"/>
            <w:noWrap/>
            <w:vAlign w:val="bottom"/>
            <w:hideMark/>
          </w:tcPr>
          <w:p w14:paraId="384A4C2C"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0.18</w:t>
            </w:r>
          </w:p>
        </w:tc>
      </w:tr>
      <w:tr w:rsidR="006F4FAD" w:rsidRPr="00D23517" w14:paraId="4258DCCF" w14:textId="77777777" w:rsidTr="008D5265">
        <w:trPr>
          <w:trHeight w:val="276"/>
        </w:trPr>
        <w:tc>
          <w:tcPr>
            <w:tcW w:w="2551" w:type="pct"/>
            <w:tcBorders>
              <w:top w:val="nil"/>
              <w:left w:val="nil"/>
              <w:right w:val="nil"/>
            </w:tcBorders>
            <w:shd w:val="clear" w:color="auto" w:fill="auto"/>
            <w:noWrap/>
            <w:vAlign w:val="bottom"/>
            <w:hideMark/>
          </w:tcPr>
          <w:p w14:paraId="1617D672"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2003</w:t>
            </w:r>
          </w:p>
        </w:tc>
        <w:tc>
          <w:tcPr>
            <w:tcW w:w="439" w:type="pct"/>
            <w:tcBorders>
              <w:top w:val="nil"/>
              <w:left w:val="nil"/>
              <w:bottom w:val="nil"/>
              <w:right w:val="nil"/>
            </w:tcBorders>
            <w:shd w:val="clear" w:color="auto" w:fill="auto"/>
            <w:noWrap/>
            <w:vAlign w:val="bottom"/>
            <w:hideMark/>
          </w:tcPr>
          <w:p w14:paraId="2B8A9295"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2,854</w:t>
            </w:r>
          </w:p>
        </w:tc>
        <w:tc>
          <w:tcPr>
            <w:tcW w:w="488" w:type="pct"/>
            <w:tcBorders>
              <w:top w:val="nil"/>
              <w:left w:val="nil"/>
              <w:bottom w:val="nil"/>
              <w:right w:val="nil"/>
            </w:tcBorders>
            <w:shd w:val="clear" w:color="auto" w:fill="auto"/>
            <w:noWrap/>
            <w:vAlign w:val="bottom"/>
            <w:hideMark/>
          </w:tcPr>
          <w:p w14:paraId="7E261652"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3.96</w:t>
            </w:r>
          </w:p>
        </w:tc>
        <w:tc>
          <w:tcPr>
            <w:tcW w:w="119" w:type="pct"/>
            <w:tcBorders>
              <w:top w:val="nil"/>
              <w:left w:val="nil"/>
              <w:right w:val="nil"/>
            </w:tcBorders>
            <w:shd w:val="clear" w:color="auto" w:fill="auto"/>
            <w:noWrap/>
            <w:vAlign w:val="bottom"/>
            <w:hideMark/>
          </w:tcPr>
          <w:p w14:paraId="163350D6"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49B0DDC2"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COMPS</w:t>
            </w:r>
          </w:p>
        </w:tc>
        <w:tc>
          <w:tcPr>
            <w:tcW w:w="380" w:type="pct"/>
            <w:tcBorders>
              <w:top w:val="nil"/>
              <w:left w:val="nil"/>
              <w:bottom w:val="nil"/>
              <w:right w:val="nil"/>
            </w:tcBorders>
            <w:shd w:val="clear" w:color="auto" w:fill="auto"/>
            <w:noWrap/>
            <w:vAlign w:val="bottom"/>
            <w:hideMark/>
          </w:tcPr>
          <w:p w14:paraId="21384846"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3,410</w:t>
            </w:r>
          </w:p>
        </w:tc>
        <w:tc>
          <w:tcPr>
            <w:tcW w:w="489" w:type="pct"/>
            <w:tcBorders>
              <w:top w:val="nil"/>
              <w:left w:val="nil"/>
              <w:bottom w:val="nil"/>
              <w:right w:val="nil"/>
            </w:tcBorders>
            <w:shd w:val="clear" w:color="auto" w:fill="auto"/>
            <w:noWrap/>
            <w:vAlign w:val="bottom"/>
            <w:hideMark/>
          </w:tcPr>
          <w:p w14:paraId="07397562"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4.73</w:t>
            </w:r>
          </w:p>
        </w:tc>
      </w:tr>
      <w:tr w:rsidR="006F4FAD" w:rsidRPr="00D23517" w14:paraId="126A6C82" w14:textId="77777777" w:rsidTr="008D5265">
        <w:trPr>
          <w:trHeight w:val="276"/>
        </w:trPr>
        <w:tc>
          <w:tcPr>
            <w:tcW w:w="2551" w:type="pct"/>
            <w:tcBorders>
              <w:top w:val="nil"/>
              <w:left w:val="nil"/>
              <w:right w:val="nil"/>
            </w:tcBorders>
            <w:shd w:val="clear" w:color="auto" w:fill="auto"/>
            <w:noWrap/>
            <w:vAlign w:val="bottom"/>
            <w:hideMark/>
          </w:tcPr>
          <w:p w14:paraId="661BD17B"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2004</w:t>
            </w:r>
          </w:p>
        </w:tc>
        <w:tc>
          <w:tcPr>
            <w:tcW w:w="439" w:type="pct"/>
            <w:tcBorders>
              <w:top w:val="nil"/>
              <w:left w:val="nil"/>
              <w:bottom w:val="nil"/>
              <w:right w:val="nil"/>
            </w:tcBorders>
            <w:shd w:val="clear" w:color="auto" w:fill="auto"/>
            <w:noWrap/>
            <w:vAlign w:val="bottom"/>
            <w:hideMark/>
          </w:tcPr>
          <w:p w14:paraId="5440452F"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2,795</w:t>
            </w:r>
          </w:p>
        </w:tc>
        <w:tc>
          <w:tcPr>
            <w:tcW w:w="488" w:type="pct"/>
            <w:tcBorders>
              <w:top w:val="nil"/>
              <w:left w:val="nil"/>
              <w:bottom w:val="nil"/>
              <w:right w:val="nil"/>
            </w:tcBorders>
            <w:shd w:val="clear" w:color="auto" w:fill="auto"/>
            <w:noWrap/>
            <w:vAlign w:val="bottom"/>
            <w:hideMark/>
          </w:tcPr>
          <w:p w14:paraId="40AAEC53"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3.88</w:t>
            </w:r>
          </w:p>
        </w:tc>
        <w:tc>
          <w:tcPr>
            <w:tcW w:w="119" w:type="pct"/>
            <w:tcBorders>
              <w:top w:val="nil"/>
              <w:left w:val="nil"/>
              <w:right w:val="nil"/>
            </w:tcBorders>
            <w:shd w:val="clear" w:color="auto" w:fill="auto"/>
            <w:noWrap/>
            <w:vAlign w:val="bottom"/>
            <w:hideMark/>
          </w:tcPr>
          <w:p w14:paraId="7838F43B"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3BFE7199"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DRUGS</w:t>
            </w:r>
          </w:p>
        </w:tc>
        <w:tc>
          <w:tcPr>
            <w:tcW w:w="380" w:type="pct"/>
            <w:tcBorders>
              <w:top w:val="nil"/>
              <w:left w:val="nil"/>
              <w:bottom w:val="nil"/>
              <w:right w:val="nil"/>
            </w:tcBorders>
            <w:shd w:val="clear" w:color="auto" w:fill="auto"/>
            <w:noWrap/>
            <w:vAlign w:val="bottom"/>
            <w:hideMark/>
          </w:tcPr>
          <w:p w14:paraId="2B58BF4B"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3,939</w:t>
            </w:r>
          </w:p>
        </w:tc>
        <w:tc>
          <w:tcPr>
            <w:tcW w:w="489" w:type="pct"/>
            <w:tcBorders>
              <w:top w:val="nil"/>
              <w:left w:val="nil"/>
              <w:bottom w:val="nil"/>
              <w:right w:val="nil"/>
            </w:tcBorders>
            <w:shd w:val="clear" w:color="auto" w:fill="auto"/>
            <w:noWrap/>
            <w:vAlign w:val="bottom"/>
            <w:hideMark/>
          </w:tcPr>
          <w:p w14:paraId="06AF6961"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5.46</w:t>
            </w:r>
          </w:p>
        </w:tc>
      </w:tr>
      <w:tr w:rsidR="006F4FAD" w:rsidRPr="00D23517" w14:paraId="77D1B72E" w14:textId="77777777" w:rsidTr="008D5265">
        <w:trPr>
          <w:trHeight w:val="276"/>
        </w:trPr>
        <w:tc>
          <w:tcPr>
            <w:tcW w:w="2551" w:type="pct"/>
            <w:tcBorders>
              <w:top w:val="nil"/>
              <w:left w:val="nil"/>
              <w:right w:val="nil"/>
            </w:tcBorders>
            <w:shd w:val="clear" w:color="auto" w:fill="auto"/>
            <w:noWrap/>
            <w:vAlign w:val="bottom"/>
            <w:hideMark/>
          </w:tcPr>
          <w:p w14:paraId="17D16888"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2005</w:t>
            </w:r>
          </w:p>
        </w:tc>
        <w:tc>
          <w:tcPr>
            <w:tcW w:w="439" w:type="pct"/>
            <w:tcBorders>
              <w:top w:val="nil"/>
              <w:left w:val="nil"/>
              <w:bottom w:val="nil"/>
              <w:right w:val="nil"/>
            </w:tcBorders>
            <w:shd w:val="clear" w:color="auto" w:fill="auto"/>
            <w:noWrap/>
            <w:vAlign w:val="bottom"/>
            <w:hideMark/>
          </w:tcPr>
          <w:p w14:paraId="57A3F0D0"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2,743</w:t>
            </w:r>
          </w:p>
        </w:tc>
        <w:tc>
          <w:tcPr>
            <w:tcW w:w="488" w:type="pct"/>
            <w:tcBorders>
              <w:top w:val="nil"/>
              <w:left w:val="nil"/>
              <w:bottom w:val="nil"/>
              <w:right w:val="nil"/>
            </w:tcBorders>
            <w:shd w:val="clear" w:color="auto" w:fill="auto"/>
            <w:noWrap/>
            <w:vAlign w:val="bottom"/>
            <w:hideMark/>
          </w:tcPr>
          <w:p w14:paraId="475A395F"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3.8</w:t>
            </w:r>
          </w:p>
        </w:tc>
        <w:tc>
          <w:tcPr>
            <w:tcW w:w="119" w:type="pct"/>
            <w:tcBorders>
              <w:top w:val="nil"/>
              <w:left w:val="nil"/>
              <w:right w:val="nil"/>
            </w:tcBorders>
            <w:shd w:val="clear" w:color="auto" w:fill="auto"/>
            <w:noWrap/>
            <w:vAlign w:val="bottom"/>
            <w:hideMark/>
          </w:tcPr>
          <w:p w14:paraId="6B57DB3C"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248271F4"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ELCEQ</w:t>
            </w:r>
          </w:p>
        </w:tc>
        <w:tc>
          <w:tcPr>
            <w:tcW w:w="380" w:type="pct"/>
            <w:tcBorders>
              <w:top w:val="nil"/>
              <w:left w:val="nil"/>
              <w:bottom w:val="nil"/>
              <w:right w:val="nil"/>
            </w:tcBorders>
            <w:shd w:val="clear" w:color="auto" w:fill="auto"/>
            <w:noWrap/>
            <w:vAlign w:val="bottom"/>
            <w:hideMark/>
          </w:tcPr>
          <w:p w14:paraId="3B5A5982"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1,212</w:t>
            </w:r>
          </w:p>
        </w:tc>
        <w:tc>
          <w:tcPr>
            <w:tcW w:w="489" w:type="pct"/>
            <w:tcBorders>
              <w:top w:val="nil"/>
              <w:left w:val="nil"/>
              <w:bottom w:val="nil"/>
              <w:right w:val="nil"/>
            </w:tcBorders>
            <w:shd w:val="clear" w:color="auto" w:fill="auto"/>
            <w:noWrap/>
            <w:vAlign w:val="bottom"/>
            <w:hideMark/>
          </w:tcPr>
          <w:p w14:paraId="1428AF17"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1.68</w:t>
            </w:r>
          </w:p>
        </w:tc>
      </w:tr>
      <w:tr w:rsidR="006F4FAD" w:rsidRPr="00D23517" w14:paraId="31F4FAFB" w14:textId="77777777" w:rsidTr="008D5265">
        <w:trPr>
          <w:trHeight w:val="276"/>
        </w:trPr>
        <w:tc>
          <w:tcPr>
            <w:tcW w:w="2551" w:type="pct"/>
            <w:tcBorders>
              <w:top w:val="nil"/>
              <w:left w:val="nil"/>
              <w:right w:val="nil"/>
            </w:tcBorders>
            <w:shd w:val="clear" w:color="auto" w:fill="auto"/>
            <w:noWrap/>
            <w:vAlign w:val="bottom"/>
            <w:hideMark/>
          </w:tcPr>
          <w:p w14:paraId="436D57E5"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2006</w:t>
            </w:r>
          </w:p>
        </w:tc>
        <w:tc>
          <w:tcPr>
            <w:tcW w:w="439" w:type="pct"/>
            <w:tcBorders>
              <w:top w:val="nil"/>
              <w:left w:val="nil"/>
              <w:bottom w:val="nil"/>
              <w:right w:val="nil"/>
            </w:tcBorders>
            <w:shd w:val="clear" w:color="auto" w:fill="auto"/>
            <w:noWrap/>
            <w:vAlign w:val="bottom"/>
            <w:hideMark/>
          </w:tcPr>
          <w:p w14:paraId="54D1D384"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2,721</w:t>
            </w:r>
          </w:p>
        </w:tc>
        <w:tc>
          <w:tcPr>
            <w:tcW w:w="488" w:type="pct"/>
            <w:tcBorders>
              <w:top w:val="nil"/>
              <w:left w:val="nil"/>
              <w:bottom w:val="nil"/>
              <w:right w:val="nil"/>
            </w:tcBorders>
            <w:shd w:val="clear" w:color="auto" w:fill="auto"/>
            <w:noWrap/>
            <w:vAlign w:val="bottom"/>
            <w:hideMark/>
          </w:tcPr>
          <w:p w14:paraId="10AC5B4D"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3.77</w:t>
            </w:r>
          </w:p>
        </w:tc>
        <w:tc>
          <w:tcPr>
            <w:tcW w:w="119" w:type="pct"/>
            <w:tcBorders>
              <w:top w:val="nil"/>
              <w:left w:val="nil"/>
              <w:right w:val="nil"/>
            </w:tcBorders>
            <w:shd w:val="clear" w:color="auto" w:fill="auto"/>
            <w:noWrap/>
            <w:vAlign w:val="bottom"/>
            <w:hideMark/>
          </w:tcPr>
          <w:p w14:paraId="3F37657A"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4B3CBE41"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FABPR</w:t>
            </w:r>
          </w:p>
        </w:tc>
        <w:tc>
          <w:tcPr>
            <w:tcW w:w="380" w:type="pct"/>
            <w:tcBorders>
              <w:top w:val="nil"/>
              <w:left w:val="nil"/>
              <w:bottom w:val="nil"/>
              <w:right w:val="nil"/>
            </w:tcBorders>
            <w:shd w:val="clear" w:color="auto" w:fill="auto"/>
            <w:noWrap/>
            <w:vAlign w:val="bottom"/>
            <w:hideMark/>
          </w:tcPr>
          <w:p w14:paraId="745BA1A5"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314</w:t>
            </w:r>
          </w:p>
        </w:tc>
        <w:tc>
          <w:tcPr>
            <w:tcW w:w="489" w:type="pct"/>
            <w:tcBorders>
              <w:top w:val="nil"/>
              <w:left w:val="nil"/>
              <w:bottom w:val="nil"/>
              <w:right w:val="nil"/>
            </w:tcBorders>
            <w:shd w:val="clear" w:color="auto" w:fill="auto"/>
            <w:noWrap/>
            <w:vAlign w:val="bottom"/>
            <w:hideMark/>
          </w:tcPr>
          <w:p w14:paraId="7A553591"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0.44</w:t>
            </w:r>
          </w:p>
        </w:tc>
      </w:tr>
      <w:tr w:rsidR="006F4FAD" w:rsidRPr="00D23517" w14:paraId="0496AC06" w14:textId="77777777" w:rsidTr="008D5265">
        <w:trPr>
          <w:trHeight w:val="276"/>
        </w:trPr>
        <w:tc>
          <w:tcPr>
            <w:tcW w:w="2551" w:type="pct"/>
            <w:tcBorders>
              <w:top w:val="nil"/>
              <w:left w:val="nil"/>
              <w:right w:val="nil"/>
            </w:tcBorders>
            <w:shd w:val="clear" w:color="auto" w:fill="auto"/>
            <w:noWrap/>
            <w:vAlign w:val="bottom"/>
            <w:hideMark/>
          </w:tcPr>
          <w:p w14:paraId="1E4D3A0A"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2007</w:t>
            </w:r>
          </w:p>
        </w:tc>
        <w:tc>
          <w:tcPr>
            <w:tcW w:w="439" w:type="pct"/>
            <w:tcBorders>
              <w:top w:val="nil"/>
              <w:left w:val="nil"/>
              <w:bottom w:val="nil"/>
              <w:right w:val="nil"/>
            </w:tcBorders>
            <w:shd w:val="clear" w:color="auto" w:fill="auto"/>
            <w:noWrap/>
            <w:vAlign w:val="bottom"/>
            <w:hideMark/>
          </w:tcPr>
          <w:p w14:paraId="13B856B8"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2,629</w:t>
            </w:r>
          </w:p>
        </w:tc>
        <w:tc>
          <w:tcPr>
            <w:tcW w:w="488" w:type="pct"/>
            <w:tcBorders>
              <w:top w:val="nil"/>
              <w:left w:val="nil"/>
              <w:bottom w:val="nil"/>
              <w:right w:val="nil"/>
            </w:tcBorders>
            <w:shd w:val="clear" w:color="auto" w:fill="auto"/>
            <w:noWrap/>
            <w:vAlign w:val="bottom"/>
            <w:hideMark/>
          </w:tcPr>
          <w:p w14:paraId="21E39674"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3.65</w:t>
            </w:r>
          </w:p>
        </w:tc>
        <w:tc>
          <w:tcPr>
            <w:tcW w:w="119" w:type="pct"/>
            <w:tcBorders>
              <w:top w:val="nil"/>
              <w:left w:val="nil"/>
              <w:right w:val="nil"/>
            </w:tcBorders>
            <w:shd w:val="clear" w:color="auto" w:fill="auto"/>
            <w:noWrap/>
            <w:vAlign w:val="bottom"/>
            <w:hideMark/>
          </w:tcPr>
          <w:p w14:paraId="330FB02A"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7BE614CB"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FOOD</w:t>
            </w:r>
          </w:p>
        </w:tc>
        <w:tc>
          <w:tcPr>
            <w:tcW w:w="380" w:type="pct"/>
            <w:tcBorders>
              <w:top w:val="nil"/>
              <w:left w:val="nil"/>
              <w:bottom w:val="nil"/>
              <w:right w:val="nil"/>
            </w:tcBorders>
            <w:shd w:val="clear" w:color="auto" w:fill="auto"/>
            <w:noWrap/>
            <w:vAlign w:val="bottom"/>
            <w:hideMark/>
          </w:tcPr>
          <w:p w14:paraId="44B8B245"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1,472</w:t>
            </w:r>
          </w:p>
        </w:tc>
        <w:tc>
          <w:tcPr>
            <w:tcW w:w="489" w:type="pct"/>
            <w:tcBorders>
              <w:top w:val="nil"/>
              <w:left w:val="nil"/>
              <w:bottom w:val="nil"/>
              <w:right w:val="nil"/>
            </w:tcBorders>
            <w:shd w:val="clear" w:color="auto" w:fill="auto"/>
            <w:noWrap/>
            <w:vAlign w:val="bottom"/>
            <w:hideMark/>
          </w:tcPr>
          <w:p w14:paraId="7C9BEB16"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2.04</w:t>
            </w:r>
          </w:p>
        </w:tc>
      </w:tr>
      <w:tr w:rsidR="006F4FAD" w:rsidRPr="00D23517" w14:paraId="14072242" w14:textId="77777777" w:rsidTr="008D5265">
        <w:trPr>
          <w:trHeight w:val="276"/>
        </w:trPr>
        <w:tc>
          <w:tcPr>
            <w:tcW w:w="2551" w:type="pct"/>
            <w:tcBorders>
              <w:top w:val="nil"/>
              <w:left w:val="nil"/>
              <w:right w:val="nil"/>
            </w:tcBorders>
            <w:shd w:val="clear" w:color="auto" w:fill="auto"/>
            <w:noWrap/>
            <w:vAlign w:val="bottom"/>
            <w:hideMark/>
          </w:tcPr>
          <w:p w14:paraId="23520D91"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2008</w:t>
            </w:r>
          </w:p>
        </w:tc>
        <w:tc>
          <w:tcPr>
            <w:tcW w:w="439" w:type="pct"/>
            <w:tcBorders>
              <w:top w:val="nil"/>
              <w:left w:val="nil"/>
              <w:bottom w:val="nil"/>
              <w:right w:val="nil"/>
            </w:tcBorders>
            <w:shd w:val="clear" w:color="auto" w:fill="auto"/>
            <w:noWrap/>
            <w:vAlign w:val="bottom"/>
            <w:hideMark/>
          </w:tcPr>
          <w:p w14:paraId="1DDF2DAC"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2,617</w:t>
            </w:r>
          </w:p>
        </w:tc>
        <w:tc>
          <w:tcPr>
            <w:tcW w:w="488" w:type="pct"/>
            <w:tcBorders>
              <w:top w:val="nil"/>
              <w:left w:val="nil"/>
              <w:bottom w:val="nil"/>
              <w:right w:val="nil"/>
            </w:tcBorders>
            <w:shd w:val="clear" w:color="auto" w:fill="auto"/>
            <w:noWrap/>
            <w:vAlign w:val="bottom"/>
            <w:hideMark/>
          </w:tcPr>
          <w:p w14:paraId="15E7E997"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3.63</w:t>
            </w:r>
          </w:p>
        </w:tc>
        <w:tc>
          <w:tcPr>
            <w:tcW w:w="119" w:type="pct"/>
            <w:tcBorders>
              <w:top w:val="nil"/>
              <w:left w:val="nil"/>
              <w:right w:val="nil"/>
            </w:tcBorders>
            <w:shd w:val="clear" w:color="auto" w:fill="auto"/>
            <w:noWrap/>
            <w:vAlign w:val="bottom"/>
            <w:hideMark/>
          </w:tcPr>
          <w:p w14:paraId="7CF911FB"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7A33B900"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FUN</w:t>
            </w:r>
          </w:p>
        </w:tc>
        <w:tc>
          <w:tcPr>
            <w:tcW w:w="380" w:type="pct"/>
            <w:tcBorders>
              <w:top w:val="nil"/>
              <w:left w:val="nil"/>
              <w:bottom w:val="nil"/>
              <w:right w:val="nil"/>
            </w:tcBorders>
            <w:shd w:val="clear" w:color="auto" w:fill="auto"/>
            <w:noWrap/>
            <w:vAlign w:val="bottom"/>
            <w:hideMark/>
          </w:tcPr>
          <w:p w14:paraId="2D4D27B7"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1,187</w:t>
            </w:r>
          </w:p>
        </w:tc>
        <w:tc>
          <w:tcPr>
            <w:tcW w:w="489" w:type="pct"/>
            <w:tcBorders>
              <w:top w:val="nil"/>
              <w:left w:val="nil"/>
              <w:bottom w:val="nil"/>
              <w:right w:val="nil"/>
            </w:tcBorders>
            <w:shd w:val="clear" w:color="auto" w:fill="auto"/>
            <w:noWrap/>
            <w:vAlign w:val="bottom"/>
            <w:hideMark/>
          </w:tcPr>
          <w:p w14:paraId="03F974EC"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1.65</w:t>
            </w:r>
          </w:p>
        </w:tc>
      </w:tr>
      <w:tr w:rsidR="006F4FAD" w:rsidRPr="00D23517" w14:paraId="180850F1" w14:textId="77777777" w:rsidTr="008D5265">
        <w:trPr>
          <w:trHeight w:val="276"/>
        </w:trPr>
        <w:tc>
          <w:tcPr>
            <w:tcW w:w="2551" w:type="pct"/>
            <w:tcBorders>
              <w:top w:val="nil"/>
              <w:left w:val="nil"/>
              <w:right w:val="nil"/>
            </w:tcBorders>
            <w:shd w:val="clear" w:color="auto" w:fill="auto"/>
            <w:noWrap/>
            <w:vAlign w:val="bottom"/>
            <w:hideMark/>
          </w:tcPr>
          <w:p w14:paraId="70B9EB01"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2009</w:t>
            </w:r>
          </w:p>
        </w:tc>
        <w:tc>
          <w:tcPr>
            <w:tcW w:w="439" w:type="pct"/>
            <w:tcBorders>
              <w:top w:val="nil"/>
              <w:left w:val="nil"/>
              <w:bottom w:val="nil"/>
              <w:right w:val="nil"/>
            </w:tcBorders>
            <w:shd w:val="clear" w:color="auto" w:fill="auto"/>
            <w:noWrap/>
            <w:vAlign w:val="bottom"/>
            <w:hideMark/>
          </w:tcPr>
          <w:p w14:paraId="27798BF0"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2,520</w:t>
            </w:r>
          </w:p>
        </w:tc>
        <w:tc>
          <w:tcPr>
            <w:tcW w:w="488" w:type="pct"/>
            <w:tcBorders>
              <w:top w:val="nil"/>
              <w:left w:val="nil"/>
              <w:bottom w:val="nil"/>
              <w:right w:val="nil"/>
            </w:tcBorders>
            <w:shd w:val="clear" w:color="auto" w:fill="auto"/>
            <w:noWrap/>
            <w:vAlign w:val="bottom"/>
            <w:hideMark/>
          </w:tcPr>
          <w:p w14:paraId="7CFA325A"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3.5</w:t>
            </w:r>
          </w:p>
        </w:tc>
        <w:tc>
          <w:tcPr>
            <w:tcW w:w="119" w:type="pct"/>
            <w:tcBorders>
              <w:top w:val="nil"/>
              <w:left w:val="nil"/>
              <w:right w:val="nil"/>
            </w:tcBorders>
            <w:shd w:val="clear" w:color="auto" w:fill="auto"/>
            <w:noWrap/>
            <w:vAlign w:val="bottom"/>
            <w:hideMark/>
          </w:tcPr>
          <w:p w14:paraId="256AA16E"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06BFC0D2"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GOLD</w:t>
            </w:r>
          </w:p>
        </w:tc>
        <w:tc>
          <w:tcPr>
            <w:tcW w:w="380" w:type="pct"/>
            <w:tcBorders>
              <w:top w:val="nil"/>
              <w:left w:val="nil"/>
              <w:bottom w:val="nil"/>
              <w:right w:val="nil"/>
            </w:tcBorders>
            <w:shd w:val="clear" w:color="auto" w:fill="auto"/>
            <w:noWrap/>
            <w:vAlign w:val="bottom"/>
            <w:hideMark/>
          </w:tcPr>
          <w:p w14:paraId="0554F330"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650</w:t>
            </w:r>
          </w:p>
        </w:tc>
        <w:tc>
          <w:tcPr>
            <w:tcW w:w="489" w:type="pct"/>
            <w:tcBorders>
              <w:top w:val="nil"/>
              <w:left w:val="nil"/>
              <w:bottom w:val="nil"/>
              <w:right w:val="nil"/>
            </w:tcBorders>
            <w:shd w:val="clear" w:color="auto" w:fill="auto"/>
            <w:noWrap/>
            <w:vAlign w:val="bottom"/>
            <w:hideMark/>
          </w:tcPr>
          <w:p w14:paraId="27022313"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0.9</w:t>
            </w:r>
          </w:p>
        </w:tc>
      </w:tr>
      <w:tr w:rsidR="006F4FAD" w:rsidRPr="00D23517" w14:paraId="701F4D5A" w14:textId="77777777" w:rsidTr="008D5265">
        <w:trPr>
          <w:trHeight w:val="276"/>
        </w:trPr>
        <w:tc>
          <w:tcPr>
            <w:tcW w:w="2551" w:type="pct"/>
            <w:tcBorders>
              <w:top w:val="nil"/>
              <w:left w:val="nil"/>
              <w:right w:val="nil"/>
            </w:tcBorders>
            <w:shd w:val="clear" w:color="auto" w:fill="auto"/>
            <w:noWrap/>
            <w:vAlign w:val="bottom"/>
            <w:hideMark/>
          </w:tcPr>
          <w:p w14:paraId="1215FA81"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2010</w:t>
            </w:r>
          </w:p>
        </w:tc>
        <w:tc>
          <w:tcPr>
            <w:tcW w:w="439" w:type="pct"/>
            <w:tcBorders>
              <w:top w:val="nil"/>
              <w:left w:val="nil"/>
              <w:bottom w:val="nil"/>
              <w:right w:val="nil"/>
            </w:tcBorders>
            <w:shd w:val="clear" w:color="auto" w:fill="auto"/>
            <w:noWrap/>
            <w:vAlign w:val="bottom"/>
            <w:hideMark/>
          </w:tcPr>
          <w:p w14:paraId="7037EF3E"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2,456</w:t>
            </w:r>
          </w:p>
        </w:tc>
        <w:tc>
          <w:tcPr>
            <w:tcW w:w="488" w:type="pct"/>
            <w:tcBorders>
              <w:top w:val="nil"/>
              <w:left w:val="nil"/>
              <w:bottom w:val="nil"/>
              <w:right w:val="nil"/>
            </w:tcBorders>
            <w:shd w:val="clear" w:color="auto" w:fill="auto"/>
            <w:noWrap/>
            <w:vAlign w:val="bottom"/>
            <w:hideMark/>
          </w:tcPr>
          <w:p w14:paraId="2CE20932"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3.41</w:t>
            </w:r>
          </w:p>
        </w:tc>
        <w:tc>
          <w:tcPr>
            <w:tcW w:w="119" w:type="pct"/>
            <w:tcBorders>
              <w:top w:val="nil"/>
              <w:left w:val="nil"/>
              <w:right w:val="nil"/>
            </w:tcBorders>
            <w:shd w:val="clear" w:color="auto" w:fill="auto"/>
            <w:noWrap/>
            <w:vAlign w:val="bottom"/>
            <w:hideMark/>
          </w:tcPr>
          <w:p w14:paraId="76879DC0"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4BBBBFBE"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GUNS</w:t>
            </w:r>
          </w:p>
        </w:tc>
        <w:tc>
          <w:tcPr>
            <w:tcW w:w="380" w:type="pct"/>
            <w:tcBorders>
              <w:top w:val="nil"/>
              <w:left w:val="nil"/>
              <w:bottom w:val="nil"/>
              <w:right w:val="nil"/>
            </w:tcBorders>
            <w:shd w:val="clear" w:color="auto" w:fill="auto"/>
            <w:noWrap/>
            <w:vAlign w:val="bottom"/>
            <w:hideMark/>
          </w:tcPr>
          <w:p w14:paraId="7CB7B290"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128</w:t>
            </w:r>
          </w:p>
        </w:tc>
        <w:tc>
          <w:tcPr>
            <w:tcW w:w="489" w:type="pct"/>
            <w:tcBorders>
              <w:top w:val="nil"/>
              <w:left w:val="nil"/>
              <w:bottom w:val="nil"/>
              <w:right w:val="nil"/>
            </w:tcBorders>
            <w:shd w:val="clear" w:color="auto" w:fill="auto"/>
            <w:noWrap/>
            <w:vAlign w:val="bottom"/>
            <w:hideMark/>
          </w:tcPr>
          <w:p w14:paraId="2E4A36A6"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0.18</w:t>
            </w:r>
          </w:p>
        </w:tc>
      </w:tr>
      <w:tr w:rsidR="006F4FAD" w:rsidRPr="00D23517" w14:paraId="7179972B" w14:textId="77777777" w:rsidTr="008D5265">
        <w:trPr>
          <w:trHeight w:val="276"/>
        </w:trPr>
        <w:tc>
          <w:tcPr>
            <w:tcW w:w="2551" w:type="pct"/>
            <w:tcBorders>
              <w:top w:val="nil"/>
              <w:left w:val="nil"/>
              <w:right w:val="nil"/>
            </w:tcBorders>
            <w:shd w:val="clear" w:color="auto" w:fill="auto"/>
            <w:noWrap/>
            <w:vAlign w:val="bottom"/>
            <w:hideMark/>
          </w:tcPr>
          <w:p w14:paraId="7BE767BC"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2011</w:t>
            </w:r>
          </w:p>
        </w:tc>
        <w:tc>
          <w:tcPr>
            <w:tcW w:w="439" w:type="pct"/>
            <w:tcBorders>
              <w:top w:val="nil"/>
              <w:left w:val="nil"/>
              <w:bottom w:val="nil"/>
              <w:right w:val="nil"/>
            </w:tcBorders>
            <w:shd w:val="clear" w:color="auto" w:fill="auto"/>
            <w:noWrap/>
            <w:vAlign w:val="bottom"/>
            <w:hideMark/>
          </w:tcPr>
          <w:p w14:paraId="778382D1"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2,435</w:t>
            </w:r>
          </w:p>
        </w:tc>
        <w:tc>
          <w:tcPr>
            <w:tcW w:w="488" w:type="pct"/>
            <w:tcBorders>
              <w:top w:val="nil"/>
              <w:left w:val="nil"/>
              <w:bottom w:val="nil"/>
              <w:right w:val="nil"/>
            </w:tcBorders>
            <w:shd w:val="clear" w:color="auto" w:fill="auto"/>
            <w:noWrap/>
            <w:vAlign w:val="bottom"/>
            <w:hideMark/>
          </w:tcPr>
          <w:p w14:paraId="0B3E7EF2"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3.38</w:t>
            </w:r>
          </w:p>
        </w:tc>
        <w:tc>
          <w:tcPr>
            <w:tcW w:w="119" w:type="pct"/>
            <w:tcBorders>
              <w:top w:val="nil"/>
              <w:left w:val="nil"/>
              <w:right w:val="nil"/>
            </w:tcBorders>
            <w:shd w:val="clear" w:color="auto" w:fill="auto"/>
            <w:noWrap/>
            <w:vAlign w:val="bottom"/>
            <w:hideMark/>
          </w:tcPr>
          <w:p w14:paraId="7798B67E"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389E02E6"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HLTH</w:t>
            </w:r>
          </w:p>
        </w:tc>
        <w:tc>
          <w:tcPr>
            <w:tcW w:w="380" w:type="pct"/>
            <w:tcBorders>
              <w:top w:val="nil"/>
              <w:left w:val="nil"/>
              <w:bottom w:val="nil"/>
              <w:right w:val="nil"/>
            </w:tcBorders>
            <w:shd w:val="clear" w:color="auto" w:fill="auto"/>
            <w:noWrap/>
            <w:vAlign w:val="bottom"/>
            <w:hideMark/>
          </w:tcPr>
          <w:p w14:paraId="20E2069A"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1,436</w:t>
            </w:r>
          </w:p>
        </w:tc>
        <w:tc>
          <w:tcPr>
            <w:tcW w:w="489" w:type="pct"/>
            <w:tcBorders>
              <w:top w:val="nil"/>
              <w:left w:val="nil"/>
              <w:bottom w:val="nil"/>
              <w:right w:val="nil"/>
            </w:tcBorders>
            <w:shd w:val="clear" w:color="auto" w:fill="auto"/>
            <w:noWrap/>
            <w:vAlign w:val="bottom"/>
            <w:hideMark/>
          </w:tcPr>
          <w:p w14:paraId="1A23FBA5"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1.99</w:t>
            </w:r>
          </w:p>
        </w:tc>
      </w:tr>
      <w:tr w:rsidR="006F4FAD" w:rsidRPr="00D23517" w14:paraId="144C9606" w14:textId="77777777" w:rsidTr="008D5265">
        <w:trPr>
          <w:trHeight w:val="276"/>
        </w:trPr>
        <w:tc>
          <w:tcPr>
            <w:tcW w:w="2551" w:type="pct"/>
            <w:tcBorders>
              <w:top w:val="nil"/>
              <w:left w:val="nil"/>
              <w:right w:val="nil"/>
            </w:tcBorders>
            <w:shd w:val="clear" w:color="auto" w:fill="auto"/>
            <w:noWrap/>
            <w:vAlign w:val="bottom"/>
            <w:hideMark/>
          </w:tcPr>
          <w:p w14:paraId="60A94F98"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2012</w:t>
            </w:r>
          </w:p>
        </w:tc>
        <w:tc>
          <w:tcPr>
            <w:tcW w:w="439" w:type="pct"/>
            <w:tcBorders>
              <w:top w:val="nil"/>
              <w:left w:val="nil"/>
              <w:bottom w:val="nil"/>
              <w:right w:val="nil"/>
            </w:tcBorders>
            <w:shd w:val="clear" w:color="auto" w:fill="auto"/>
            <w:noWrap/>
            <w:vAlign w:val="bottom"/>
            <w:hideMark/>
          </w:tcPr>
          <w:p w14:paraId="5A5F678A"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2,431</w:t>
            </w:r>
          </w:p>
        </w:tc>
        <w:tc>
          <w:tcPr>
            <w:tcW w:w="488" w:type="pct"/>
            <w:tcBorders>
              <w:top w:val="nil"/>
              <w:left w:val="nil"/>
              <w:bottom w:val="nil"/>
              <w:right w:val="nil"/>
            </w:tcBorders>
            <w:shd w:val="clear" w:color="auto" w:fill="auto"/>
            <w:noWrap/>
            <w:vAlign w:val="bottom"/>
            <w:hideMark/>
          </w:tcPr>
          <w:p w14:paraId="1913F380"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3.37</w:t>
            </w:r>
          </w:p>
        </w:tc>
        <w:tc>
          <w:tcPr>
            <w:tcW w:w="119" w:type="pct"/>
            <w:tcBorders>
              <w:top w:val="nil"/>
              <w:left w:val="nil"/>
              <w:right w:val="nil"/>
            </w:tcBorders>
            <w:shd w:val="clear" w:color="auto" w:fill="auto"/>
            <w:noWrap/>
            <w:vAlign w:val="bottom"/>
            <w:hideMark/>
          </w:tcPr>
          <w:p w14:paraId="2D712B3A"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69940C9C"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HSHLD</w:t>
            </w:r>
          </w:p>
        </w:tc>
        <w:tc>
          <w:tcPr>
            <w:tcW w:w="380" w:type="pct"/>
            <w:tcBorders>
              <w:top w:val="nil"/>
              <w:left w:val="nil"/>
              <w:bottom w:val="nil"/>
              <w:right w:val="nil"/>
            </w:tcBorders>
            <w:shd w:val="clear" w:color="auto" w:fill="auto"/>
            <w:noWrap/>
            <w:vAlign w:val="bottom"/>
            <w:hideMark/>
          </w:tcPr>
          <w:p w14:paraId="6FB4B3E1"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1,555</w:t>
            </w:r>
          </w:p>
        </w:tc>
        <w:tc>
          <w:tcPr>
            <w:tcW w:w="489" w:type="pct"/>
            <w:tcBorders>
              <w:top w:val="nil"/>
              <w:left w:val="nil"/>
              <w:bottom w:val="nil"/>
              <w:right w:val="nil"/>
            </w:tcBorders>
            <w:shd w:val="clear" w:color="auto" w:fill="auto"/>
            <w:noWrap/>
            <w:vAlign w:val="bottom"/>
            <w:hideMark/>
          </w:tcPr>
          <w:p w14:paraId="0265BE92"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2.16</w:t>
            </w:r>
          </w:p>
        </w:tc>
      </w:tr>
      <w:tr w:rsidR="006F4FAD" w:rsidRPr="00D23517" w14:paraId="6C97E510" w14:textId="77777777" w:rsidTr="008D5265">
        <w:trPr>
          <w:trHeight w:val="276"/>
        </w:trPr>
        <w:tc>
          <w:tcPr>
            <w:tcW w:w="2551" w:type="pct"/>
            <w:tcBorders>
              <w:top w:val="nil"/>
              <w:left w:val="nil"/>
              <w:right w:val="nil"/>
            </w:tcBorders>
            <w:shd w:val="clear" w:color="auto" w:fill="auto"/>
            <w:noWrap/>
            <w:vAlign w:val="bottom"/>
            <w:hideMark/>
          </w:tcPr>
          <w:p w14:paraId="59241363"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2013</w:t>
            </w:r>
          </w:p>
        </w:tc>
        <w:tc>
          <w:tcPr>
            <w:tcW w:w="439" w:type="pct"/>
            <w:tcBorders>
              <w:top w:val="nil"/>
              <w:left w:val="nil"/>
              <w:bottom w:val="nil"/>
              <w:right w:val="nil"/>
            </w:tcBorders>
            <w:shd w:val="clear" w:color="auto" w:fill="auto"/>
            <w:noWrap/>
            <w:vAlign w:val="bottom"/>
            <w:hideMark/>
          </w:tcPr>
          <w:p w14:paraId="58089814"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2,411</w:t>
            </w:r>
          </w:p>
        </w:tc>
        <w:tc>
          <w:tcPr>
            <w:tcW w:w="488" w:type="pct"/>
            <w:tcBorders>
              <w:top w:val="nil"/>
              <w:left w:val="nil"/>
              <w:bottom w:val="nil"/>
              <w:right w:val="nil"/>
            </w:tcBorders>
            <w:shd w:val="clear" w:color="auto" w:fill="auto"/>
            <w:noWrap/>
            <w:vAlign w:val="bottom"/>
            <w:hideMark/>
          </w:tcPr>
          <w:p w14:paraId="5CBF0C4F"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3.34</w:t>
            </w:r>
          </w:p>
        </w:tc>
        <w:tc>
          <w:tcPr>
            <w:tcW w:w="119" w:type="pct"/>
            <w:tcBorders>
              <w:top w:val="nil"/>
              <w:left w:val="nil"/>
              <w:right w:val="nil"/>
            </w:tcBorders>
            <w:shd w:val="clear" w:color="auto" w:fill="auto"/>
            <w:noWrap/>
            <w:vAlign w:val="bottom"/>
            <w:hideMark/>
          </w:tcPr>
          <w:p w14:paraId="284812C2"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70047111"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LABEQ</w:t>
            </w:r>
          </w:p>
        </w:tc>
        <w:tc>
          <w:tcPr>
            <w:tcW w:w="380" w:type="pct"/>
            <w:tcBorders>
              <w:top w:val="nil"/>
              <w:left w:val="nil"/>
              <w:bottom w:val="nil"/>
              <w:right w:val="nil"/>
            </w:tcBorders>
            <w:shd w:val="clear" w:color="auto" w:fill="auto"/>
            <w:noWrap/>
            <w:vAlign w:val="bottom"/>
            <w:hideMark/>
          </w:tcPr>
          <w:p w14:paraId="75729C26"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2,073</w:t>
            </w:r>
          </w:p>
        </w:tc>
        <w:tc>
          <w:tcPr>
            <w:tcW w:w="489" w:type="pct"/>
            <w:tcBorders>
              <w:top w:val="nil"/>
              <w:left w:val="nil"/>
              <w:bottom w:val="nil"/>
              <w:right w:val="nil"/>
            </w:tcBorders>
            <w:shd w:val="clear" w:color="auto" w:fill="auto"/>
            <w:noWrap/>
            <w:vAlign w:val="bottom"/>
            <w:hideMark/>
          </w:tcPr>
          <w:p w14:paraId="48DD4B20"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2.88</w:t>
            </w:r>
          </w:p>
        </w:tc>
      </w:tr>
      <w:tr w:rsidR="006F4FAD" w:rsidRPr="00D23517" w14:paraId="7F0738B1" w14:textId="77777777" w:rsidTr="008D5265">
        <w:trPr>
          <w:trHeight w:val="276"/>
        </w:trPr>
        <w:tc>
          <w:tcPr>
            <w:tcW w:w="2551" w:type="pct"/>
            <w:tcBorders>
              <w:top w:val="nil"/>
              <w:left w:val="nil"/>
              <w:right w:val="nil"/>
            </w:tcBorders>
            <w:shd w:val="clear" w:color="auto" w:fill="auto"/>
            <w:noWrap/>
            <w:vAlign w:val="bottom"/>
            <w:hideMark/>
          </w:tcPr>
          <w:p w14:paraId="1A3B79DF"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2014</w:t>
            </w:r>
          </w:p>
        </w:tc>
        <w:tc>
          <w:tcPr>
            <w:tcW w:w="439" w:type="pct"/>
            <w:tcBorders>
              <w:top w:val="nil"/>
              <w:left w:val="nil"/>
              <w:bottom w:val="nil"/>
              <w:right w:val="nil"/>
            </w:tcBorders>
            <w:shd w:val="clear" w:color="auto" w:fill="auto"/>
            <w:noWrap/>
            <w:vAlign w:val="bottom"/>
            <w:hideMark/>
          </w:tcPr>
          <w:p w14:paraId="76BF1894"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2,473</w:t>
            </w:r>
          </w:p>
        </w:tc>
        <w:tc>
          <w:tcPr>
            <w:tcW w:w="488" w:type="pct"/>
            <w:tcBorders>
              <w:top w:val="nil"/>
              <w:left w:val="nil"/>
              <w:bottom w:val="nil"/>
              <w:right w:val="nil"/>
            </w:tcBorders>
            <w:shd w:val="clear" w:color="auto" w:fill="auto"/>
            <w:noWrap/>
            <w:vAlign w:val="bottom"/>
            <w:hideMark/>
          </w:tcPr>
          <w:p w14:paraId="1C1EEB4A"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3.43</w:t>
            </w:r>
          </w:p>
        </w:tc>
        <w:tc>
          <w:tcPr>
            <w:tcW w:w="119" w:type="pct"/>
            <w:tcBorders>
              <w:top w:val="nil"/>
              <w:left w:val="nil"/>
              <w:right w:val="nil"/>
            </w:tcBorders>
            <w:shd w:val="clear" w:color="auto" w:fill="auto"/>
            <w:noWrap/>
            <w:vAlign w:val="bottom"/>
            <w:hideMark/>
          </w:tcPr>
          <w:p w14:paraId="693543BB"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3B745292"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MACH</w:t>
            </w:r>
          </w:p>
        </w:tc>
        <w:tc>
          <w:tcPr>
            <w:tcW w:w="380" w:type="pct"/>
            <w:tcBorders>
              <w:top w:val="nil"/>
              <w:left w:val="nil"/>
              <w:bottom w:val="nil"/>
              <w:right w:val="nil"/>
            </w:tcBorders>
            <w:shd w:val="clear" w:color="auto" w:fill="auto"/>
            <w:noWrap/>
            <w:vAlign w:val="bottom"/>
            <w:hideMark/>
          </w:tcPr>
          <w:p w14:paraId="78908B9E"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3,237</w:t>
            </w:r>
          </w:p>
        </w:tc>
        <w:tc>
          <w:tcPr>
            <w:tcW w:w="489" w:type="pct"/>
            <w:tcBorders>
              <w:top w:val="nil"/>
              <w:left w:val="nil"/>
              <w:bottom w:val="nil"/>
              <w:right w:val="nil"/>
            </w:tcBorders>
            <w:shd w:val="clear" w:color="auto" w:fill="auto"/>
            <w:noWrap/>
            <w:vAlign w:val="bottom"/>
            <w:hideMark/>
          </w:tcPr>
          <w:p w14:paraId="5C4931C5"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4.49</w:t>
            </w:r>
          </w:p>
        </w:tc>
      </w:tr>
      <w:tr w:rsidR="006F4FAD" w:rsidRPr="00D23517" w14:paraId="374B256B" w14:textId="77777777" w:rsidTr="008D5265">
        <w:trPr>
          <w:trHeight w:val="276"/>
        </w:trPr>
        <w:tc>
          <w:tcPr>
            <w:tcW w:w="2551" w:type="pct"/>
            <w:tcBorders>
              <w:top w:val="nil"/>
              <w:left w:val="nil"/>
              <w:right w:val="nil"/>
            </w:tcBorders>
            <w:shd w:val="clear" w:color="auto" w:fill="auto"/>
            <w:noWrap/>
            <w:vAlign w:val="bottom"/>
            <w:hideMark/>
          </w:tcPr>
          <w:p w14:paraId="5316CE3E"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2015</w:t>
            </w:r>
          </w:p>
        </w:tc>
        <w:tc>
          <w:tcPr>
            <w:tcW w:w="439" w:type="pct"/>
            <w:tcBorders>
              <w:top w:val="nil"/>
              <w:left w:val="nil"/>
              <w:bottom w:val="nil"/>
              <w:right w:val="nil"/>
            </w:tcBorders>
            <w:shd w:val="clear" w:color="auto" w:fill="auto"/>
            <w:noWrap/>
            <w:vAlign w:val="bottom"/>
            <w:hideMark/>
          </w:tcPr>
          <w:p w14:paraId="2CF308C0"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2,577</w:t>
            </w:r>
          </w:p>
        </w:tc>
        <w:tc>
          <w:tcPr>
            <w:tcW w:w="488" w:type="pct"/>
            <w:tcBorders>
              <w:top w:val="nil"/>
              <w:left w:val="nil"/>
              <w:bottom w:val="nil"/>
              <w:right w:val="nil"/>
            </w:tcBorders>
            <w:shd w:val="clear" w:color="auto" w:fill="auto"/>
            <w:noWrap/>
            <w:vAlign w:val="bottom"/>
            <w:hideMark/>
          </w:tcPr>
          <w:p w14:paraId="02A37AA1"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3.57</w:t>
            </w:r>
          </w:p>
        </w:tc>
        <w:tc>
          <w:tcPr>
            <w:tcW w:w="119" w:type="pct"/>
            <w:tcBorders>
              <w:top w:val="nil"/>
              <w:left w:val="nil"/>
              <w:right w:val="nil"/>
            </w:tcBorders>
            <w:shd w:val="clear" w:color="auto" w:fill="auto"/>
            <w:noWrap/>
            <w:vAlign w:val="bottom"/>
            <w:hideMark/>
          </w:tcPr>
          <w:p w14:paraId="54A433E6"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3A67EE5A"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MEALS</w:t>
            </w:r>
          </w:p>
        </w:tc>
        <w:tc>
          <w:tcPr>
            <w:tcW w:w="380" w:type="pct"/>
            <w:tcBorders>
              <w:top w:val="nil"/>
              <w:left w:val="nil"/>
              <w:bottom w:val="nil"/>
              <w:right w:val="nil"/>
            </w:tcBorders>
            <w:shd w:val="clear" w:color="auto" w:fill="auto"/>
            <w:noWrap/>
            <w:vAlign w:val="bottom"/>
            <w:hideMark/>
          </w:tcPr>
          <w:p w14:paraId="402FBD79"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1,503</w:t>
            </w:r>
          </w:p>
        </w:tc>
        <w:tc>
          <w:tcPr>
            <w:tcW w:w="489" w:type="pct"/>
            <w:tcBorders>
              <w:top w:val="nil"/>
              <w:left w:val="nil"/>
              <w:bottom w:val="nil"/>
              <w:right w:val="nil"/>
            </w:tcBorders>
            <w:shd w:val="clear" w:color="auto" w:fill="auto"/>
            <w:noWrap/>
            <w:vAlign w:val="bottom"/>
            <w:hideMark/>
          </w:tcPr>
          <w:p w14:paraId="0284AF71"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2.08</w:t>
            </w:r>
          </w:p>
        </w:tc>
      </w:tr>
      <w:tr w:rsidR="006F4FAD" w:rsidRPr="00D23517" w14:paraId="424DC736" w14:textId="77777777" w:rsidTr="008D5265">
        <w:trPr>
          <w:trHeight w:val="276"/>
        </w:trPr>
        <w:tc>
          <w:tcPr>
            <w:tcW w:w="2551" w:type="pct"/>
            <w:tcBorders>
              <w:top w:val="nil"/>
              <w:left w:val="nil"/>
              <w:right w:val="nil"/>
            </w:tcBorders>
            <w:shd w:val="clear" w:color="auto" w:fill="auto"/>
            <w:noWrap/>
            <w:vAlign w:val="bottom"/>
            <w:hideMark/>
          </w:tcPr>
          <w:p w14:paraId="58E74985"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2016</w:t>
            </w:r>
          </w:p>
        </w:tc>
        <w:tc>
          <w:tcPr>
            <w:tcW w:w="439" w:type="pct"/>
            <w:tcBorders>
              <w:top w:val="nil"/>
              <w:left w:val="nil"/>
              <w:bottom w:val="nil"/>
              <w:right w:val="nil"/>
            </w:tcBorders>
            <w:shd w:val="clear" w:color="auto" w:fill="auto"/>
            <w:noWrap/>
            <w:vAlign w:val="bottom"/>
            <w:hideMark/>
          </w:tcPr>
          <w:p w14:paraId="3BFC6762"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u w:val="single"/>
              </w:rPr>
              <w:t>2,233</w:t>
            </w:r>
          </w:p>
        </w:tc>
        <w:tc>
          <w:tcPr>
            <w:tcW w:w="488" w:type="pct"/>
            <w:tcBorders>
              <w:top w:val="nil"/>
              <w:left w:val="nil"/>
              <w:bottom w:val="nil"/>
              <w:right w:val="nil"/>
            </w:tcBorders>
            <w:shd w:val="clear" w:color="auto" w:fill="auto"/>
            <w:noWrap/>
            <w:vAlign w:val="bottom"/>
            <w:hideMark/>
          </w:tcPr>
          <w:p w14:paraId="5D16DBF0"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u w:val="single"/>
              </w:rPr>
              <w:t>3.1</w:t>
            </w:r>
          </w:p>
        </w:tc>
        <w:tc>
          <w:tcPr>
            <w:tcW w:w="119" w:type="pct"/>
            <w:tcBorders>
              <w:top w:val="nil"/>
              <w:left w:val="nil"/>
              <w:right w:val="nil"/>
            </w:tcBorders>
            <w:shd w:val="clear" w:color="auto" w:fill="auto"/>
            <w:noWrap/>
            <w:vAlign w:val="bottom"/>
            <w:hideMark/>
          </w:tcPr>
          <w:p w14:paraId="51006F03"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18AFA45A"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MEDEQ</w:t>
            </w:r>
          </w:p>
        </w:tc>
        <w:tc>
          <w:tcPr>
            <w:tcW w:w="380" w:type="pct"/>
            <w:tcBorders>
              <w:top w:val="nil"/>
              <w:left w:val="nil"/>
              <w:bottom w:val="nil"/>
              <w:right w:val="nil"/>
            </w:tcBorders>
            <w:shd w:val="clear" w:color="auto" w:fill="auto"/>
            <w:noWrap/>
            <w:vAlign w:val="bottom"/>
            <w:hideMark/>
          </w:tcPr>
          <w:p w14:paraId="2540D781"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3,014</w:t>
            </w:r>
          </w:p>
        </w:tc>
        <w:tc>
          <w:tcPr>
            <w:tcW w:w="489" w:type="pct"/>
            <w:tcBorders>
              <w:top w:val="nil"/>
              <w:left w:val="nil"/>
              <w:bottom w:val="nil"/>
              <w:right w:val="nil"/>
            </w:tcBorders>
            <w:shd w:val="clear" w:color="auto" w:fill="auto"/>
            <w:noWrap/>
            <w:vAlign w:val="bottom"/>
            <w:hideMark/>
          </w:tcPr>
          <w:p w14:paraId="43983C4A"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4.18</w:t>
            </w:r>
          </w:p>
        </w:tc>
      </w:tr>
      <w:tr w:rsidR="006F4FAD" w:rsidRPr="00D23517" w14:paraId="7113D09B" w14:textId="77777777" w:rsidTr="008D5265">
        <w:trPr>
          <w:trHeight w:val="276"/>
        </w:trPr>
        <w:tc>
          <w:tcPr>
            <w:tcW w:w="2551" w:type="pct"/>
            <w:tcBorders>
              <w:top w:val="nil"/>
              <w:left w:val="nil"/>
              <w:right w:val="nil"/>
            </w:tcBorders>
            <w:shd w:val="clear" w:color="auto" w:fill="auto"/>
            <w:noWrap/>
            <w:vAlign w:val="bottom"/>
            <w:hideMark/>
          </w:tcPr>
          <w:p w14:paraId="3CE044C6"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Total</w:t>
            </w:r>
          </w:p>
        </w:tc>
        <w:tc>
          <w:tcPr>
            <w:tcW w:w="439" w:type="pct"/>
            <w:tcBorders>
              <w:top w:val="nil"/>
              <w:left w:val="nil"/>
              <w:bottom w:val="nil"/>
              <w:right w:val="nil"/>
            </w:tcBorders>
            <w:shd w:val="clear" w:color="auto" w:fill="auto"/>
            <w:noWrap/>
            <w:vAlign w:val="bottom"/>
            <w:hideMark/>
          </w:tcPr>
          <w:p w14:paraId="02BB37D3"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72,100</w:t>
            </w:r>
          </w:p>
        </w:tc>
        <w:tc>
          <w:tcPr>
            <w:tcW w:w="488" w:type="pct"/>
            <w:tcBorders>
              <w:top w:val="nil"/>
              <w:left w:val="nil"/>
              <w:bottom w:val="nil"/>
              <w:right w:val="nil"/>
            </w:tcBorders>
            <w:shd w:val="clear" w:color="auto" w:fill="auto"/>
            <w:noWrap/>
            <w:vAlign w:val="bottom"/>
            <w:hideMark/>
          </w:tcPr>
          <w:p w14:paraId="63594F99"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100</w:t>
            </w:r>
          </w:p>
        </w:tc>
        <w:tc>
          <w:tcPr>
            <w:tcW w:w="119" w:type="pct"/>
            <w:tcBorders>
              <w:top w:val="nil"/>
              <w:left w:val="nil"/>
              <w:right w:val="nil"/>
            </w:tcBorders>
            <w:shd w:val="clear" w:color="auto" w:fill="auto"/>
            <w:noWrap/>
            <w:vAlign w:val="bottom"/>
            <w:hideMark/>
          </w:tcPr>
          <w:p w14:paraId="744F9864"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2C96362E"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MINES</w:t>
            </w:r>
          </w:p>
        </w:tc>
        <w:tc>
          <w:tcPr>
            <w:tcW w:w="380" w:type="pct"/>
            <w:tcBorders>
              <w:top w:val="nil"/>
              <w:left w:val="nil"/>
              <w:bottom w:val="nil"/>
              <w:right w:val="nil"/>
            </w:tcBorders>
            <w:shd w:val="clear" w:color="auto" w:fill="auto"/>
            <w:noWrap/>
            <w:vAlign w:val="bottom"/>
            <w:hideMark/>
          </w:tcPr>
          <w:p w14:paraId="19A9544F"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454</w:t>
            </w:r>
          </w:p>
        </w:tc>
        <w:tc>
          <w:tcPr>
            <w:tcW w:w="489" w:type="pct"/>
            <w:tcBorders>
              <w:top w:val="nil"/>
              <w:left w:val="nil"/>
              <w:bottom w:val="nil"/>
              <w:right w:val="nil"/>
            </w:tcBorders>
            <w:shd w:val="clear" w:color="auto" w:fill="auto"/>
            <w:noWrap/>
            <w:vAlign w:val="bottom"/>
            <w:hideMark/>
          </w:tcPr>
          <w:p w14:paraId="10142D20"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0.63</w:t>
            </w:r>
          </w:p>
        </w:tc>
      </w:tr>
      <w:tr w:rsidR="006F4FAD" w:rsidRPr="00D23517" w14:paraId="1007080B" w14:textId="77777777" w:rsidTr="008D5265">
        <w:trPr>
          <w:trHeight w:val="276"/>
        </w:trPr>
        <w:tc>
          <w:tcPr>
            <w:tcW w:w="2551" w:type="pct"/>
            <w:tcBorders>
              <w:top w:val="nil"/>
              <w:left w:val="nil"/>
              <w:right w:val="nil"/>
            </w:tcBorders>
            <w:shd w:val="clear" w:color="auto" w:fill="auto"/>
            <w:noWrap/>
            <w:vAlign w:val="bottom"/>
            <w:hideMark/>
          </w:tcPr>
          <w:p w14:paraId="2036BC0D"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p>
        </w:tc>
        <w:tc>
          <w:tcPr>
            <w:tcW w:w="439" w:type="pct"/>
            <w:tcBorders>
              <w:top w:val="nil"/>
              <w:left w:val="nil"/>
              <w:right w:val="nil"/>
            </w:tcBorders>
            <w:shd w:val="clear" w:color="auto" w:fill="auto"/>
            <w:noWrap/>
            <w:vAlign w:val="bottom"/>
            <w:hideMark/>
          </w:tcPr>
          <w:p w14:paraId="6ED90E5E"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488" w:type="pct"/>
            <w:tcBorders>
              <w:top w:val="nil"/>
              <w:left w:val="nil"/>
              <w:right w:val="nil"/>
            </w:tcBorders>
            <w:shd w:val="clear" w:color="auto" w:fill="auto"/>
            <w:noWrap/>
            <w:vAlign w:val="bottom"/>
            <w:hideMark/>
          </w:tcPr>
          <w:p w14:paraId="18092F93"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119" w:type="pct"/>
            <w:tcBorders>
              <w:top w:val="nil"/>
              <w:left w:val="nil"/>
              <w:right w:val="nil"/>
            </w:tcBorders>
            <w:shd w:val="clear" w:color="auto" w:fill="auto"/>
            <w:noWrap/>
            <w:vAlign w:val="bottom"/>
            <w:hideMark/>
          </w:tcPr>
          <w:p w14:paraId="3372E4F5"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59C65A94"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OIL</w:t>
            </w:r>
          </w:p>
        </w:tc>
        <w:tc>
          <w:tcPr>
            <w:tcW w:w="380" w:type="pct"/>
            <w:tcBorders>
              <w:top w:val="nil"/>
              <w:left w:val="nil"/>
              <w:bottom w:val="nil"/>
              <w:right w:val="nil"/>
            </w:tcBorders>
            <w:shd w:val="clear" w:color="auto" w:fill="auto"/>
            <w:noWrap/>
            <w:vAlign w:val="bottom"/>
            <w:hideMark/>
          </w:tcPr>
          <w:p w14:paraId="298DB5DC"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3,440</w:t>
            </w:r>
          </w:p>
        </w:tc>
        <w:tc>
          <w:tcPr>
            <w:tcW w:w="489" w:type="pct"/>
            <w:tcBorders>
              <w:top w:val="nil"/>
              <w:left w:val="nil"/>
              <w:bottom w:val="nil"/>
              <w:right w:val="nil"/>
            </w:tcBorders>
            <w:shd w:val="clear" w:color="auto" w:fill="auto"/>
            <w:noWrap/>
            <w:vAlign w:val="bottom"/>
            <w:hideMark/>
          </w:tcPr>
          <w:p w14:paraId="3C868772"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4.77</w:t>
            </w:r>
          </w:p>
        </w:tc>
      </w:tr>
      <w:tr w:rsidR="006F4FAD" w:rsidRPr="00D23517" w14:paraId="10596D03" w14:textId="77777777" w:rsidTr="008D5265">
        <w:trPr>
          <w:trHeight w:val="276"/>
        </w:trPr>
        <w:tc>
          <w:tcPr>
            <w:tcW w:w="2551" w:type="pct"/>
            <w:tcBorders>
              <w:top w:val="nil"/>
              <w:left w:val="nil"/>
              <w:right w:val="nil"/>
            </w:tcBorders>
            <w:shd w:val="clear" w:color="auto" w:fill="auto"/>
            <w:noWrap/>
            <w:vAlign w:val="bottom"/>
            <w:hideMark/>
          </w:tcPr>
          <w:p w14:paraId="78CC497C"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p>
        </w:tc>
        <w:tc>
          <w:tcPr>
            <w:tcW w:w="439" w:type="pct"/>
            <w:tcBorders>
              <w:top w:val="nil"/>
              <w:left w:val="nil"/>
              <w:right w:val="nil"/>
            </w:tcBorders>
            <w:shd w:val="clear" w:color="auto" w:fill="auto"/>
            <w:noWrap/>
            <w:vAlign w:val="bottom"/>
            <w:hideMark/>
          </w:tcPr>
          <w:p w14:paraId="502C22CA"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488" w:type="pct"/>
            <w:tcBorders>
              <w:top w:val="nil"/>
              <w:left w:val="nil"/>
              <w:right w:val="nil"/>
            </w:tcBorders>
            <w:shd w:val="clear" w:color="auto" w:fill="auto"/>
            <w:noWrap/>
            <w:vAlign w:val="bottom"/>
            <w:hideMark/>
          </w:tcPr>
          <w:p w14:paraId="483F8C41"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119" w:type="pct"/>
            <w:tcBorders>
              <w:top w:val="nil"/>
              <w:left w:val="nil"/>
              <w:right w:val="nil"/>
            </w:tcBorders>
            <w:shd w:val="clear" w:color="auto" w:fill="auto"/>
            <w:noWrap/>
            <w:vAlign w:val="bottom"/>
            <w:hideMark/>
          </w:tcPr>
          <w:p w14:paraId="48F47088"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648DDFDB"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PAPER</w:t>
            </w:r>
          </w:p>
        </w:tc>
        <w:tc>
          <w:tcPr>
            <w:tcW w:w="380" w:type="pct"/>
            <w:tcBorders>
              <w:top w:val="nil"/>
              <w:left w:val="nil"/>
              <w:bottom w:val="nil"/>
              <w:right w:val="nil"/>
            </w:tcBorders>
            <w:shd w:val="clear" w:color="auto" w:fill="auto"/>
            <w:noWrap/>
            <w:vAlign w:val="bottom"/>
            <w:hideMark/>
          </w:tcPr>
          <w:p w14:paraId="31D1B538"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1,133</w:t>
            </w:r>
          </w:p>
        </w:tc>
        <w:tc>
          <w:tcPr>
            <w:tcW w:w="489" w:type="pct"/>
            <w:tcBorders>
              <w:top w:val="nil"/>
              <w:left w:val="nil"/>
              <w:bottom w:val="nil"/>
              <w:right w:val="nil"/>
            </w:tcBorders>
            <w:shd w:val="clear" w:color="auto" w:fill="auto"/>
            <w:noWrap/>
            <w:vAlign w:val="bottom"/>
            <w:hideMark/>
          </w:tcPr>
          <w:p w14:paraId="5521E4F5"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1.57</w:t>
            </w:r>
          </w:p>
        </w:tc>
      </w:tr>
      <w:tr w:rsidR="006F4FAD" w:rsidRPr="00D23517" w14:paraId="39FF483B" w14:textId="77777777" w:rsidTr="008D5265">
        <w:trPr>
          <w:trHeight w:val="276"/>
        </w:trPr>
        <w:tc>
          <w:tcPr>
            <w:tcW w:w="2551" w:type="pct"/>
            <w:tcBorders>
              <w:top w:val="nil"/>
              <w:left w:val="nil"/>
              <w:right w:val="nil"/>
            </w:tcBorders>
            <w:shd w:val="clear" w:color="auto" w:fill="auto"/>
            <w:noWrap/>
            <w:vAlign w:val="bottom"/>
            <w:hideMark/>
          </w:tcPr>
          <w:p w14:paraId="51B7D60B"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p>
        </w:tc>
        <w:tc>
          <w:tcPr>
            <w:tcW w:w="439" w:type="pct"/>
            <w:tcBorders>
              <w:top w:val="nil"/>
              <w:left w:val="nil"/>
              <w:right w:val="nil"/>
            </w:tcBorders>
            <w:shd w:val="clear" w:color="auto" w:fill="auto"/>
            <w:noWrap/>
            <w:vAlign w:val="bottom"/>
            <w:hideMark/>
          </w:tcPr>
          <w:p w14:paraId="149B488E"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488" w:type="pct"/>
            <w:tcBorders>
              <w:top w:val="nil"/>
              <w:left w:val="nil"/>
              <w:right w:val="nil"/>
            </w:tcBorders>
            <w:shd w:val="clear" w:color="auto" w:fill="auto"/>
            <w:noWrap/>
            <w:vAlign w:val="bottom"/>
            <w:hideMark/>
          </w:tcPr>
          <w:p w14:paraId="243B19EC"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119" w:type="pct"/>
            <w:tcBorders>
              <w:top w:val="nil"/>
              <w:left w:val="nil"/>
              <w:right w:val="nil"/>
            </w:tcBorders>
            <w:shd w:val="clear" w:color="auto" w:fill="auto"/>
            <w:noWrap/>
            <w:vAlign w:val="bottom"/>
            <w:hideMark/>
          </w:tcPr>
          <w:p w14:paraId="0A5E3E44"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5C876DC6"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PERSV</w:t>
            </w:r>
          </w:p>
        </w:tc>
        <w:tc>
          <w:tcPr>
            <w:tcW w:w="380" w:type="pct"/>
            <w:tcBorders>
              <w:top w:val="nil"/>
              <w:left w:val="nil"/>
              <w:bottom w:val="nil"/>
              <w:right w:val="nil"/>
            </w:tcBorders>
            <w:shd w:val="clear" w:color="auto" w:fill="auto"/>
            <w:noWrap/>
            <w:vAlign w:val="bottom"/>
            <w:hideMark/>
          </w:tcPr>
          <w:p w14:paraId="528B322D"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945</w:t>
            </w:r>
          </w:p>
        </w:tc>
        <w:tc>
          <w:tcPr>
            <w:tcW w:w="489" w:type="pct"/>
            <w:tcBorders>
              <w:top w:val="nil"/>
              <w:left w:val="nil"/>
              <w:bottom w:val="nil"/>
              <w:right w:val="nil"/>
            </w:tcBorders>
            <w:shd w:val="clear" w:color="auto" w:fill="auto"/>
            <w:noWrap/>
            <w:vAlign w:val="bottom"/>
            <w:hideMark/>
          </w:tcPr>
          <w:p w14:paraId="4110BBBE"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1.31</w:t>
            </w:r>
          </w:p>
        </w:tc>
      </w:tr>
      <w:tr w:rsidR="006F4FAD" w:rsidRPr="00D23517" w14:paraId="06D8B50C" w14:textId="77777777" w:rsidTr="008D5265">
        <w:trPr>
          <w:trHeight w:val="276"/>
        </w:trPr>
        <w:tc>
          <w:tcPr>
            <w:tcW w:w="2551" w:type="pct"/>
            <w:tcBorders>
              <w:top w:val="nil"/>
              <w:left w:val="nil"/>
              <w:right w:val="nil"/>
            </w:tcBorders>
            <w:shd w:val="clear" w:color="auto" w:fill="auto"/>
            <w:noWrap/>
            <w:vAlign w:val="bottom"/>
            <w:hideMark/>
          </w:tcPr>
          <w:p w14:paraId="1182E1F8"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p>
        </w:tc>
        <w:tc>
          <w:tcPr>
            <w:tcW w:w="439" w:type="pct"/>
            <w:tcBorders>
              <w:top w:val="nil"/>
              <w:left w:val="nil"/>
              <w:right w:val="nil"/>
            </w:tcBorders>
            <w:shd w:val="clear" w:color="auto" w:fill="auto"/>
            <w:noWrap/>
            <w:vAlign w:val="bottom"/>
            <w:hideMark/>
          </w:tcPr>
          <w:p w14:paraId="65239519"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488" w:type="pct"/>
            <w:tcBorders>
              <w:top w:val="nil"/>
              <w:left w:val="nil"/>
              <w:right w:val="nil"/>
            </w:tcBorders>
            <w:shd w:val="clear" w:color="auto" w:fill="auto"/>
            <w:noWrap/>
            <w:vAlign w:val="bottom"/>
            <w:hideMark/>
          </w:tcPr>
          <w:p w14:paraId="211BCE27"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119" w:type="pct"/>
            <w:tcBorders>
              <w:top w:val="nil"/>
              <w:left w:val="nil"/>
              <w:right w:val="nil"/>
            </w:tcBorders>
            <w:shd w:val="clear" w:color="auto" w:fill="auto"/>
            <w:noWrap/>
            <w:vAlign w:val="bottom"/>
            <w:hideMark/>
          </w:tcPr>
          <w:p w14:paraId="42C0817D"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6E3471A6"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RTAIL</w:t>
            </w:r>
          </w:p>
        </w:tc>
        <w:tc>
          <w:tcPr>
            <w:tcW w:w="380" w:type="pct"/>
            <w:tcBorders>
              <w:top w:val="nil"/>
              <w:left w:val="nil"/>
              <w:bottom w:val="nil"/>
              <w:right w:val="nil"/>
            </w:tcBorders>
            <w:shd w:val="clear" w:color="auto" w:fill="auto"/>
            <w:noWrap/>
            <w:vAlign w:val="bottom"/>
            <w:hideMark/>
          </w:tcPr>
          <w:p w14:paraId="6CF8D3F4"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4,456</w:t>
            </w:r>
          </w:p>
        </w:tc>
        <w:tc>
          <w:tcPr>
            <w:tcW w:w="489" w:type="pct"/>
            <w:tcBorders>
              <w:top w:val="nil"/>
              <w:left w:val="nil"/>
              <w:bottom w:val="nil"/>
              <w:right w:val="nil"/>
            </w:tcBorders>
            <w:shd w:val="clear" w:color="auto" w:fill="auto"/>
            <w:noWrap/>
            <w:vAlign w:val="bottom"/>
            <w:hideMark/>
          </w:tcPr>
          <w:p w14:paraId="20E83227"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6.18</w:t>
            </w:r>
          </w:p>
        </w:tc>
      </w:tr>
      <w:tr w:rsidR="006F4FAD" w:rsidRPr="00D23517" w14:paraId="2E5471D1" w14:textId="77777777" w:rsidTr="008D5265">
        <w:trPr>
          <w:trHeight w:val="276"/>
        </w:trPr>
        <w:tc>
          <w:tcPr>
            <w:tcW w:w="2551" w:type="pct"/>
            <w:tcBorders>
              <w:top w:val="nil"/>
              <w:left w:val="nil"/>
              <w:right w:val="nil"/>
            </w:tcBorders>
            <w:shd w:val="clear" w:color="auto" w:fill="auto"/>
            <w:noWrap/>
            <w:vAlign w:val="bottom"/>
            <w:hideMark/>
          </w:tcPr>
          <w:p w14:paraId="42A64DA6"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p>
        </w:tc>
        <w:tc>
          <w:tcPr>
            <w:tcW w:w="439" w:type="pct"/>
            <w:tcBorders>
              <w:top w:val="nil"/>
              <w:left w:val="nil"/>
              <w:right w:val="nil"/>
            </w:tcBorders>
            <w:shd w:val="clear" w:color="auto" w:fill="auto"/>
            <w:noWrap/>
            <w:vAlign w:val="bottom"/>
            <w:hideMark/>
          </w:tcPr>
          <w:p w14:paraId="00FDAD4E"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488" w:type="pct"/>
            <w:tcBorders>
              <w:top w:val="nil"/>
              <w:left w:val="nil"/>
              <w:right w:val="nil"/>
            </w:tcBorders>
            <w:shd w:val="clear" w:color="auto" w:fill="auto"/>
            <w:noWrap/>
            <w:vAlign w:val="bottom"/>
            <w:hideMark/>
          </w:tcPr>
          <w:p w14:paraId="1EEE2E34"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119" w:type="pct"/>
            <w:tcBorders>
              <w:top w:val="nil"/>
              <w:left w:val="nil"/>
              <w:right w:val="nil"/>
            </w:tcBorders>
            <w:shd w:val="clear" w:color="auto" w:fill="auto"/>
            <w:noWrap/>
            <w:vAlign w:val="bottom"/>
            <w:hideMark/>
          </w:tcPr>
          <w:p w14:paraId="326F4275"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71553F01"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RUBBR</w:t>
            </w:r>
          </w:p>
        </w:tc>
        <w:tc>
          <w:tcPr>
            <w:tcW w:w="380" w:type="pct"/>
            <w:tcBorders>
              <w:top w:val="nil"/>
              <w:left w:val="nil"/>
              <w:bottom w:val="nil"/>
              <w:right w:val="nil"/>
            </w:tcBorders>
            <w:shd w:val="clear" w:color="auto" w:fill="auto"/>
            <w:noWrap/>
            <w:vAlign w:val="bottom"/>
            <w:hideMark/>
          </w:tcPr>
          <w:p w14:paraId="6E5F1045"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748</w:t>
            </w:r>
          </w:p>
        </w:tc>
        <w:tc>
          <w:tcPr>
            <w:tcW w:w="489" w:type="pct"/>
            <w:tcBorders>
              <w:top w:val="nil"/>
              <w:left w:val="nil"/>
              <w:bottom w:val="nil"/>
              <w:right w:val="nil"/>
            </w:tcBorders>
            <w:shd w:val="clear" w:color="auto" w:fill="auto"/>
            <w:noWrap/>
            <w:vAlign w:val="bottom"/>
            <w:hideMark/>
          </w:tcPr>
          <w:p w14:paraId="500015E2"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1.04</w:t>
            </w:r>
          </w:p>
        </w:tc>
      </w:tr>
      <w:tr w:rsidR="006F4FAD" w:rsidRPr="00D23517" w14:paraId="37CB53C7" w14:textId="77777777" w:rsidTr="008D5265">
        <w:trPr>
          <w:trHeight w:val="276"/>
        </w:trPr>
        <w:tc>
          <w:tcPr>
            <w:tcW w:w="2551" w:type="pct"/>
            <w:tcBorders>
              <w:top w:val="nil"/>
              <w:left w:val="nil"/>
              <w:right w:val="nil"/>
            </w:tcBorders>
            <w:shd w:val="clear" w:color="auto" w:fill="auto"/>
            <w:noWrap/>
            <w:vAlign w:val="bottom"/>
            <w:hideMark/>
          </w:tcPr>
          <w:p w14:paraId="789F3C49"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p>
        </w:tc>
        <w:tc>
          <w:tcPr>
            <w:tcW w:w="439" w:type="pct"/>
            <w:tcBorders>
              <w:top w:val="nil"/>
              <w:left w:val="nil"/>
              <w:right w:val="nil"/>
            </w:tcBorders>
            <w:shd w:val="clear" w:color="auto" w:fill="auto"/>
            <w:noWrap/>
            <w:vAlign w:val="bottom"/>
            <w:hideMark/>
          </w:tcPr>
          <w:p w14:paraId="0FD8A2CD"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488" w:type="pct"/>
            <w:tcBorders>
              <w:top w:val="nil"/>
              <w:left w:val="nil"/>
              <w:right w:val="nil"/>
            </w:tcBorders>
            <w:shd w:val="clear" w:color="auto" w:fill="auto"/>
            <w:noWrap/>
            <w:vAlign w:val="bottom"/>
            <w:hideMark/>
          </w:tcPr>
          <w:p w14:paraId="04EA43B4"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119" w:type="pct"/>
            <w:tcBorders>
              <w:top w:val="nil"/>
              <w:left w:val="nil"/>
              <w:right w:val="nil"/>
            </w:tcBorders>
            <w:shd w:val="clear" w:color="auto" w:fill="auto"/>
            <w:noWrap/>
            <w:vAlign w:val="bottom"/>
            <w:hideMark/>
          </w:tcPr>
          <w:p w14:paraId="2A3410D5"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2A7676F3"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SHIPS</w:t>
            </w:r>
          </w:p>
        </w:tc>
        <w:tc>
          <w:tcPr>
            <w:tcW w:w="380" w:type="pct"/>
            <w:tcBorders>
              <w:top w:val="nil"/>
              <w:left w:val="nil"/>
              <w:bottom w:val="nil"/>
              <w:right w:val="nil"/>
            </w:tcBorders>
            <w:shd w:val="clear" w:color="auto" w:fill="auto"/>
            <w:noWrap/>
            <w:vAlign w:val="bottom"/>
            <w:hideMark/>
          </w:tcPr>
          <w:p w14:paraId="1DBE0B44"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193</w:t>
            </w:r>
          </w:p>
        </w:tc>
        <w:tc>
          <w:tcPr>
            <w:tcW w:w="489" w:type="pct"/>
            <w:tcBorders>
              <w:top w:val="nil"/>
              <w:left w:val="nil"/>
              <w:bottom w:val="nil"/>
              <w:right w:val="nil"/>
            </w:tcBorders>
            <w:shd w:val="clear" w:color="auto" w:fill="auto"/>
            <w:noWrap/>
            <w:vAlign w:val="bottom"/>
            <w:hideMark/>
          </w:tcPr>
          <w:p w14:paraId="1EC2F204"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0.27</w:t>
            </w:r>
          </w:p>
        </w:tc>
      </w:tr>
      <w:tr w:rsidR="006F4FAD" w:rsidRPr="00D23517" w14:paraId="09A4B846" w14:textId="77777777" w:rsidTr="008D5265">
        <w:trPr>
          <w:trHeight w:val="276"/>
        </w:trPr>
        <w:tc>
          <w:tcPr>
            <w:tcW w:w="2551" w:type="pct"/>
            <w:tcBorders>
              <w:top w:val="nil"/>
              <w:left w:val="nil"/>
              <w:right w:val="nil"/>
            </w:tcBorders>
            <w:shd w:val="clear" w:color="auto" w:fill="auto"/>
            <w:noWrap/>
            <w:vAlign w:val="bottom"/>
            <w:hideMark/>
          </w:tcPr>
          <w:p w14:paraId="0E59C858"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p>
        </w:tc>
        <w:tc>
          <w:tcPr>
            <w:tcW w:w="439" w:type="pct"/>
            <w:tcBorders>
              <w:top w:val="nil"/>
              <w:left w:val="nil"/>
              <w:right w:val="nil"/>
            </w:tcBorders>
            <w:shd w:val="clear" w:color="auto" w:fill="auto"/>
            <w:noWrap/>
            <w:vAlign w:val="bottom"/>
            <w:hideMark/>
          </w:tcPr>
          <w:p w14:paraId="2567A3A6"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488" w:type="pct"/>
            <w:tcBorders>
              <w:top w:val="nil"/>
              <w:left w:val="nil"/>
              <w:right w:val="nil"/>
            </w:tcBorders>
            <w:shd w:val="clear" w:color="auto" w:fill="auto"/>
            <w:noWrap/>
            <w:vAlign w:val="bottom"/>
            <w:hideMark/>
          </w:tcPr>
          <w:p w14:paraId="13FDDC51"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119" w:type="pct"/>
            <w:tcBorders>
              <w:top w:val="nil"/>
              <w:left w:val="nil"/>
              <w:right w:val="nil"/>
            </w:tcBorders>
            <w:shd w:val="clear" w:color="auto" w:fill="auto"/>
            <w:noWrap/>
            <w:vAlign w:val="bottom"/>
            <w:hideMark/>
          </w:tcPr>
          <w:p w14:paraId="0CF9CE12"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66633651"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SMOKE</w:t>
            </w:r>
          </w:p>
        </w:tc>
        <w:tc>
          <w:tcPr>
            <w:tcW w:w="380" w:type="pct"/>
            <w:tcBorders>
              <w:top w:val="nil"/>
              <w:left w:val="nil"/>
              <w:bottom w:val="nil"/>
              <w:right w:val="nil"/>
            </w:tcBorders>
            <w:shd w:val="clear" w:color="auto" w:fill="auto"/>
            <w:noWrap/>
            <w:vAlign w:val="bottom"/>
            <w:hideMark/>
          </w:tcPr>
          <w:p w14:paraId="0727C0F5"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101</w:t>
            </w:r>
          </w:p>
        </w:tc>
        <w:tc>
          <w:tcPr>
            <w:tcW w:w="489" w:type="pct"/>
            <w:tcBorders>
              <w:top w:val="nil"/>
              <w:left w:val="nil"/>
              <w:bottom w:val="nil"/>
              <w:right w:val="nil"/>
            </w:tcBorders>
            <w:shd w:val="clear" w:color="auto" w:fill="auto"/>
            <w:noWrap/>
            <w:vAlign w:val="bottom"/>
            <w:hideMark/>
          </w:tcPr>
          <w:p w14:paraId="1B223054"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0.14</w:t>
            </w:r>
          </w:p>
        </w:tc>
      </w:tr>
      <w:tr w:rsidR="006F4FAD" w:rsidRPr="00D23517" w14:paraId="368767E4" w14:textId="77777777" w:rsidTr="008D5265">
        <w:trPr>
          <w:trHeight w:val="276"/>
        </w:trPr>
        <w:tc>
          <w:tcPr>
            <w:tcW w:w="2551" w:type="pct"/>
            <w:tcBorders>
              <w:top w:val="nil"/>
              <w:left w:val="nil"/>
              <w:right w:val="nil"/>
            </w:tcBorders>
            <w:shd w:val="clear" w:color="auto" w:fill="auto"/>
            <w:noWrap/>
            <w:vAlign w:val="bottom"/>
            <w:hideMark/>
          </w:tcPr>
          <w:p w14:paraId="0F3DF9EC"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p>
        </w:tc>
        <w:tc>
          <w:tcPr>
            <w:tcW w:w="439" w:type="pct"/>
            <w:tcBorders>
              <w:top w:val="nil"/>
              <w:left w:val="nil"/>
              <w:right w:val="nil"/>
            </w:tcBorders>
            <w:shd w:val="clear" w:color="auto" w:fill="auto"/>
            <w:noWrap/>
            <w:vAlign w:val="bottom"/>
            <w:hideMark/>
          </w:tcPr>
          <w:p w14:paraId="57A997D1"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488" w:type="pct"/>
            <w:tcBorders>
              <w:top w:val="nil"/>
              <w:left w:val="nil"/>
              <w:right w:val="nil"/>
            </w:tcBorders>
            <w:shd w:val="clear" w:color="auto" w:fill="auto"/>
            <w:noWrap/>
            <w:vAlign w:val="bottom"/>
            <w:hideMark/>
          </w:tcPr>
          <w:p w14:paraId="203218E6"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119" w:type="pct"/>
            <w:tcBorders>
              <w:top w:val="nil"/>
              <w:left w:val="nil"/>
              <w:right w:val="nil"/>
            </w:tcBorders>
            <w:shd w:val="clear" w:color="auto" w:fill="auto"/>
            <w:noWrap/>
            <w:vAlign w:val="bottom"/>
            <w:hideMark/>
          </w:tcPr>
          <w:p w14:paraId="3CF1FF94"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2AE6AA4E"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SODA</w:t>
            </w:r>
          </w:p>
        </w:tc>
        <w:tc>
          <w:tcPr>
            <w:tcW w:w="380" w:type="pct"/>
            <w:tcBorders>
              <w:top w:val="nil"/>
              <w:left w:val="nil"/>
              <w:bottom w:val="nil"/>
              <w:right w:val="nil"/>
            </w:tcBorders>
            <w:shd w:val="clear" w:color="auto" w:fill="auto"/>
            <w:noWrap/>
            <w:vAlign w:val="bottom"/>
            <w:hideMark/>
          </w:tcPr>
          <w:p w14:paraId="6E204E7F"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218</w:t>
            </w:r>
          </w:p>
        </w:tc>
        <w:tc>
          <w:tcPr>
            <w:tcW w:w="489" w:type="pct"/>
            <w:tcBorders>
              <w:top w:val="nil"/>
              <w:left w:val="nil"/>
              <w:bottom w:val="nil"/>
              <w:right w:val="nil"/>
            </w:tcBorders>
            <w:shd w:val="clear" w:color="auto" w:fill="auto"/>
            <w:noWrap/>
            <w:vAlign w:val="bottom"/>
            <w:hideMark/>
          </w:tcPr>
          <w:p w14:paraId="68704802"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0.3</w:t>
            </w:r>
          </w:p>
        </w:tc>
      </w:tr>
      <w:tr w:rsidR="006F4FAD" w:rsidRPr="00D23517" w14:paraId="6D7DED48" w14:textId="77777777" w:rsidTr="008D5265">
        <w:trPr>
          <w:trHeight w:val="276"/>
        </w:trPr>
        <w:tc>
          <w:tcPr>
            <w:tcW w:w="2551" w:type="pct"/>
            <w:tcBorders>
              <w:top w:val="nil"/>
              <w:left w:val="nil"/>
              <w:right w:val="nil"/>
            </w:tcBorders>
            <w:shd w:val="clear" w:color="auto" w:fill="auto"/>
            <w:noWrap/>
            <w:vAlign w:val="bottom"/>
            <w:hideMark/>
          </w:tcPr>
          <w:p w14:paraId="03A976A4"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p>
        </w:tc>
        <w:tc>
          <w:tcPr>
            <w:tcW w:w="439" w:type="pct"/>
            <w:tcBorders>
              <w:top w:val="nil"/>
              <w:left w:val="nil"/>
              <w:right w:val="nil"/>
            </w:tcBorders>
            <w:shd w:val="clear" w:color="auto" w:fill="auto"/>
            <w:noWrap/>
            <w:vAlign w:val="bottom"/>
            <w:hideMark/>
          </w:tcPr>
          <w:p w14:paraId="173918C5"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488" w:type="pct"/>
            <w:tcBorders>
              <w:top w:val="nil"/>
              <w:left w:val="nil"/>
              <w:right w:val="nil"/>
            </w:tcBorders>
            <w:shd w:val="clear" w:color="auto" w:fill="auto"/>
            <w:noWrap/>
            <w:vAlign w:val="bottom"/>
            <w:hideMark/>
          </w:tcPr>
          <w:p w14:paraId="0477F0F9"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119" w:type="pct"/>
            <w:tcBorders>
              <w:top w:val="nil"/>
              <w:left w:val="nil"/>
              <w:right w:val="nil"/>
            </w:tcBorders>
            <w:shd w:val="clear" w:color="auto" w:fill="auto"/>
            <w:noWrap/>
            <w:vAlign w:val="bottom"/>
            <w:hideMark/>
          </w:tcPr>
          <w:p w14:paraId="086424CD"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04E483A0"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STEEL</w:t>
            </w:r>
          </w:p>
        </w:tc>
        <w:tc>
          <w:tcPr>
            <w:tcW w:w="380" w:type="pct"/>
            <w:tcBorders>
              <w:top w:val="nil"/>
              <w:left w:val="nil"/>
              <w:bottom w:val="nil"/>
              <w:right w:val="nil"/>
            </w:tcBorders>
            <w:shd w:val="clear" w:color="auto" w:fill="auto"/>
            <w:noWrap/>
            <w:vAlign w:val="bottom"/>
            <w:hideMark/>
          </w:tcPr>
          <w:p w14:paraId="4D9A389D"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1,338</w:t>
            </w:r>
          </w:p>
        </w:tc>
        <w:tc>
          <w:tcPr>
            <w:tcW w:w="489" w:type="pct"/>
            <w:tcBorders>
              <w:top w:val="nil"/>
              <w:left w:val="nil"/>
              <w:bottom w:val="nil"/>
              <w:right w:val="nil"/>
            </w:tcBorders>
            <w:shd w:val="clear" w:color="auto" w:fill="auto"/>
            <w:noWrap/>
            <w:vAlign w:val="bottom"/>
            <w:hideMark/>
          </w:tcPr>
          <w:p w14:paraId="307AAE50"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1.86</w:t>
            </w:r>
          </w:p>
        </w:tc>
      </w:tr>
      <w:tr w:rsidR="006F4FAD" w:rsidRPr="00D23517" w14:paraId="74AC4B38" w14:textId="77777777" w:rsidTr="008D5265">
        <w:trPr>
          <w:trHeight w:val="276"/>
        </w:trPr>
        <w:tc>
          <w:tcPr>
            <w:tcW w:w="2551" w:type="pct"/>
            <w:tcBorders>
              <w:top w:val="nil"/>
              <w:left w:val="nil"/>
              <w:right w:val="nil"/>
            </w:tcBorders>
            <w:shd w:val="clear" w:color="auto" w:fill="auto"/>
            <w:noWrap/>
            <w:vAlign w:val="bottom"/>
            <w:hideMark/>
          </w:tcPr>
          <w:p w14:paraId="1304C22B"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p>
        </w:tc>
        <w:tc>
          <w:tcPr>
            <w:tcW w:w="439" w:type="pct"/>
            <w:tcBorders>
              <w:top w:val="nil"/>
              <w:left w:val="nil"/>
              <w:right w:val="nil"/>
            </w:tcBorders>
            <w:shd w:val="clear" w:color="auto" w:fill="auto"/>
            <w:noWrap/>
            <w:vAlign w:val="bottom"/>
            <w:hideMark/>
          </w:tcPr>
          <w:p w14:paraId="3899AB63"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488" w:type="pct"/>
            <w:tcBorders>
              <w:top w:val="nil"/>
              <w:left w:val="nil"/>
              <w:right w:val="nil"/>
            </w:tcBorders>
            <w:shd w:val="clear" w:color="auto" w:fill="auto"/>
            <w:noWrap/>
            <w:vAlign w:val="bottom"/>
            <w:hideMark/>
          </w:tcPr>
          <w:p w14:paraId="7A50BE8B"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119" w:type="pct"/>
            <w:tcBorders>
              <w:top w:val="nil"/>
              <w:left w:val="nil"/>
              <w:right w:val="nil"/>
            </w:tcBorders>
            <w:shd w:val="clear" w:color="auto" w:fill="auto"/>
            <w:noWrap/>
            <w:vAlign w:val="bottom"/>
            <w:hideMark/>
          </w:tcPr>
          <w:p w14:paraId="06AAC293"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5FF7406A"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TELCM</w:t>
            </w:r>
          </w:p>
        </w:tc>
        <w:tc>
          <w:tcPr>
            <w:tcW w:w="380" w:type="pct"/>
            <w:tcBorders>
              <w:top w:val="nil"/>
              <w:left w:val="nil"/>
              <w:bottom w:val="nil"/>
              <w:right w:val="nil"/>
            </w:tcBorders>
            <w:shd w:val="clear" w:color="auto" w:fill="auto"/>
            <w:noWrap/>
            <w:vAlign w:val="bottom"/>
            <w:hideMark/>
          </w:tcPr>
          <w:p w14:paraId="2B6F197F"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2,551</w:t>
            </w:r>
          </w:p>
        </w:tc>
        <w:tc>
          <w:tcPr>
            <w:tcW w:w="489" w:type="pct"/>
            <w:tcBorders>
              <w:top w:val="nil"/>
              <w:left w:val="nil"/>
              <w:bottom w:val="nil"/>
              <w:right w:val="nil"/>
            </w:tcBorders>
            <w:shd w:val="clear" w:color="auto" w:fill="auto"/>
            <w:noWrap/>
            <w:vAlign w:val="bottom"/>
            <w:hideMark/>
          </w:tcPr>
          <w:p w14:paraId="6031E1B2"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3.54</w:t>
            </w:r>
          </w:p>
        </w:tc>
      </w:tr>
      <w:tr w:rsidR="006F4FAD" w:rsidRPr="00D23517" w14:paraId="06A445E3" w14:textId="77777777" w:rsidTr="008D5265">
        <w:trPr>
          <w:trHeight w:val="276"/>
        </w:trPr>
        <w:tc>
          <w:tcPr>
            <w:tcW w:w="2551" w:type="pct"/>
            <w:tcBorders>
              <w:top w:val="nil"/>
              <w:left w:val="nil"/>
              <w:right w:val="nil"/>
            </w:tcBorders>
            <w:shd w:val="clear" w:color="auto" w:fill="auto"/>
            <w:noWrap/>
            <w:vAlign w:val="bottom"/>
            <w:hideMark/>
          </w:tcPr>
          <w:p w14:paraId="10CE9038"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p>
        </w:tc>
        <w:tc>
          <w:tcPr>
            <w:tcW w:w="439" w:type="pct"/>
            <w:tcBorders>
              <w:top w:val="nil"/>
              <w:left w:val="nil"/>
              <w:right w:val="nil"/>
            </w:tcBorders>
            <w:shd w:val="clear" w:color="auto" w:fill="auto"/>
            <w:noWrap/>
            <w:vAlign w:val="bottom"/>
            <w:hideMark/>
          </w:tcPr>
          <w:p w14:paraId="5F7F64F8"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488" w:type="pct"/>
            <w:tcBorders>
              <w:top w:val="nil"/>
              <w:left w:val="nil"/>
              <w:right w:val="nil"/>
            </w:tcBorders>
            <w:shd w:val="clear" w:color="auto" w:fill="auto"/>
            <w:noWrap/>
            <w:vAlign w:val="bottom"/>
            <w:hideMark/>
          </w:tcPr>
          <w:p w14:paraId="355179E0"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119" w:type="pct"/>
            <w:tcBorders>
              <w:top w:val="nil"/>
              <w:left w:val="nil"/>
              <w:right w:val="nil"/>
            </w:tcBorders>
            <w:shd w:val="clear" w:color="auto" w:fill="auto"/>
            <w:noWrap/>
            <w:vAlign w:val="bottom"/>
            <w:hideMark/>
          </w:tcPr>
          <w:p w14:paraId="11BD62EA"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29886B00"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TOYS</w:t>
            </w:r>
          </w:p>
        </w:tc>
        <w:tc>
          <w:tcPr>
            <w:tcW w:w="380" w:type="pct"/>
            <w:tcBorders>
              <w:top w:val="nil"/>
              <w:left w:val="nil"/>
              <w:bottom w:val="nil"/>
              <w:right w:val="nil"/>
            </w:tcBorders>
            <w:shd w:val="clear" w:color="auto" w:fill="auto"/>
            <w:noWrap/>
            <w:vAlign w:val="bottom"/>
            <w:hideMark/>
          </w:tcPr>
          <w:p w14:paraId="717D971E"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635</w:t>
            </w:r>
          </w:p>
        </w:tc>
        <w:tc>
          <w:tcPr>
            <w:tcW w:w="489" w:type="pct"/>
            <w:tcBorders>
              <w:top w:val="nil"/>
              <w:left w:val="nil"/>
              <w:bottom w:val="nil"/>
              <w:right w:val="nil"/>
            </w:tcBorders>
            <w:shd w:val="clear" w:color="auto" w:fill="auto"/>
            <w:noWrap/>
            <w:vAlign w:val="bottom"/>
            <w:hideMark/>
          </w:tcPr>
          <w:p w14:paraId="7A1B5BF9"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0.88</w:t>
            </w:r>
          </w:p>
        </w:tc>
      </w:tr>
      <w:tr w:rsidR="006F4FAD" w:rsidRPr="00D23517" w14:paraId="0163D213" w14:textId="77777777" w:rsidTr="008D5265">
        <w:trPr>
          <w:trHeight w:val="276"/>
        </w:trPr>
        <w:tc>
          <w:tcPr>
            <w:tcW w:w="2551" w:type="pct"/>
            <w:tcBorders>
              <w:top w:val="nil"/>
              <w:left w:val="nil"/>
              <w:right w:val="nil"/>
            </w:tcBorders>
            <w:shd w:val="clear" w:color="auto" w:fill="auto"/>
            <w:noWrap/>
            <w:vAlign w:val="bottom"/>
            <w:hideMark/>
          </w:tcPr>
          <w:p w14:paraId="6719D4A1"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p>
        </w:tc>
        <w:tc>
          <w:tcPr>
            <w:tcW w:w="439" w:type="pct"/>
            <w:tcBorders>
              <w:top w:val="nil"/>
              <w:left w:val="nil"/>
              <w:right w:val="nil"/>
            </w:tcBorders>
            <w:shd w:val="clear" w:color="auto" w:fill="auto"/>
            <w:noWrap/>
            <w:vAlign w:val="bottom"/>
            <w:hideMark/>
          </w:tcPr>
          <w:p w14:paraId="64FF030C"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488" w:type="pct"/>
            <w:tcBorders>
              <w:top w:val="nil"/>
              <w:left w:val="nil"/>
              <w:right w:val="nil"/>
            </w:tcBorders>
            <w:shd w:val="clear" w:color="auto" w:fill="auto"/>
            <w:noWrap/>
            <w:vAlign w:val="bottom"/>
            <w:hideMark/>
          </w:tcPr>
          <w:p w14:paraId="2624C60B"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119" w:type="pct"/>
            <w:tcBorders>
              <w:top w:val="nil"/>
              <w:left w:val="nil"/>
              <w:right w:val="nil"/>
            </w:tcBorders>
            <w:shd w:val="clear" w:color="auto" w:fill="auto"/>
            <w:noWrap/>
            <w:vAlign w:val="bottom"/>
            <w:hideMark/>
          </w:tcPr>
          <w:p w14:paraId="6BCE4FF0"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64DD9003"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TRANS</w:t>
            </w:r>
          </w:p>
        </w:tc>
        <w:tc>
          <w:tcPr>
            <w:tcW w:w="380" w:type="pct"/>
            <w:tcBorders>
              <w:top w:val="nil"/>
              <w:left w:val="nil"/>
              <w:bottom w:val="nil"/>
              <w:right w:val="nil"/>
            </w:tcBorders>
            <w:shd w:val="clear" w:color="auto" w:fill="auto"/>
            <w:noWrap/>
            <w:vAlign w:val="bottom"/>
            <w:hideMark/>
          </w:tcPr>
          <w:p w14:paraId="22EABD9A"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2,314</w:t>
            </w:r>
          </w:p>
        </w:tc>
        <w:tc>
          <w:tcPr>
            <w:tcW w:w="489" w:type="pct"/>
            <w:tcBorders>
              <w:top w:val="nil"/>
              <w:left w:val="nil"/>
              <w:bottom w:val="nil"/>
              <w:right w:val="nil"/>
            </w:tcBorders>
            <w:shd w:val="clear" w:color="auto" w:fill="auto"/>
            <w:noWrap/>
            <w:vAlign w:val="bottom"/>
            <w:hideMark/>
          </w:tcPr>
          <w:p w14:paraId="22786FC0"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3.21</w:t>
            </w:r>
          </w:p>
        </w:tc>
      </w:tr>
      <w:tr w:rsidR="006F4FAD" w:rsidRPr="00D23517" w14:paraId="4A81ABA1" w14:textId="77777777" w:rsidTr="008D5265">
        <w:trPr>
          <w:trHeight w:val="276"/>
        </w:trPr>
        <w:tc>
          <w:tcPr>
            <w:tcW w:w="2551" w:type="pct"/>
            <w:tcBorders>
              <w:top w:val="nil"/>
              <w:left w:val="nil"/>
              <w:right w:val="nil"/>
            </w:tcBorders>
            <w:shd w:val="clear" w:color="auto" w:fill="auto"/>
            <w:noWrap/>
            <w:vAlign w:val="bottom"/>
            <w:hideMark/>
          </w:tcPr>
          <w:p w14:paraId="6D7ED4A7"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p>
        </w:tc>
        <w:tc>
          <w:tcPr>
            <w:tcW w:w="439" w:type="pct"/>
            <w:tcBorders>
              <w:top w:val="nil"/>
              <w:left w:val="nil"/>
              <w:right w:val="nil"/>
            </w:tcBorders>
            <w:shd w:val="clear" w:color="auto" w:fill="auto"/>
            <w:noWrap/>
            <w:vAlign w:val="bottom"/>
            <w:hideMark/>
          </w:tcPr>
          <w:p w14:paraId="35B0FBE3"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488" w:type="pct"/>
            <w:tcBorders>
              <w:top w:val="nil"/>
              <w:left w:val="nil"/>
              <w:right w:val="nil"/>
            </w:tcBorders>
            <w:shd w:val="clear" w:color="auto" w:fill="auto"/>
            <w:noWrap/>
            <w:vAlign w:val="bottom"/>
            <w:hideMark/>
          </w:tcPr>
          <w:p w14:paraId="61BC0429"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119" w:type="pct"/>
            <w:tcBorders>
              <w:top w:val="nil"/>
              <w:left w:val="nil"/>
              <w:right w:val="nil"/>
            </w:tcBorders>
            <w:shd w:val="clear" w:color="auto" w:fill="auto"/>
            <w:noWrap/>
            <w:vAlign w:val="bottom"/>
            <w:hideMark/>
          </w:tcPr>
          <w:p w14:paraId="04F88ACA"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4DF11E74"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TXTLS</w:t>
            </w:r>
          </w:p>
        </w:tc>
        <w:tc>
          <w:tcPr>
            <w:tcW w:w="380" w:type="pct"/>
            <w:tcBorders>
              <w:top w:val="nil"/>
              <w:left w:val="nil"/>
              <w:bottom w:val="nil"/>
              <w:right w:val="nil"/>
            </w:tcBorders>
            <w:shd w:val="clear" w:color="auto" w:fill="auto"/>
            <w:noWrap/>
            <w:vAlign w:val="bottom"/>
            <w:hideMark/>
          </w:tcPr>
          <w:p w14:paraId="362A3563"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451</w:t>
            </w:r>
          </w:p>
        </w:tc>
        <w:tc>
          <w:tcPr>
            <w:tcW w:w="489" w:type="pct"/>
            <w:tcBorders>
              <w:top w:val="nil"/>
              <w:left w:val="nil"/>
              <w:bottom w:val="nil"/>
              <w:right w:val="nil"/>
            </w:tcBorders>
            <w:shd w:val="clear" w:color="auto" w:fill="auto"/>
            <w:noWrap/>
            <w:vAlign w:val="bottom"/>
            <w:hideMark/>
          </w:tcPr>
          <w:p w14:paraId="0C4EEA5D"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0.63</w:t>
            </w:r>
          </w:p>
        </w:tc>
      </w:tr>
      <w:tr w:rsidR="006F4FAD" w:rsidRPr="00D23517" w14:paraId="65F40E43" w14:textId="77777777" w:rsidTr="008D5265">
        <w:trPr>
          <w:trHeight w:val="276"/>
        </w:trPr>
        <w:tc>
          <w:tcPr>
            <w:tcW w:w="2551" w:type="pct"/>
            <w:tcBorders>
              <w:top w:val="nil"/>
              <w:left w:val="nil"/>
              <w:right w:val="nil"/>
            </w:tcBorders>
            <w:shd w:val="clear" w:color="auto" w:fill="auto"/>
            <w:noWrap/>
            <w:vAlign w:val="bottom"/>
            <w:hideMark/>
          </w:tcPr>
          <w:p w14:paraId="6BA22204"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p>
        </w:tc>
        <w:tc>
          <w:tcPr>
            <w:tcW w:w="439" w:type="pct"/>
            <w:tcBorders>
              <w:top w:val="nil"/>
              <w:left w:val="nil"/>
              <w:right w:val="nil"/>
            </w:tcBorders>
            <w:shd w:val="clear" w:color="auto" w:fill="auto"/>
            <w:noWrap/>
            <w:vAlign w:val="bottom"/>
            <w:hideMark/>
          </w:tcPr>
          <w:p w14:paraId="45FFEE30"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488" w:type="pct"/>
            <w:tcBorders>
              <w:top w:val="nil"/>
              <w:left w:val="nil"/>
              <w:right w:val="nil"/>
            </w:tcBorders>
            <w:shd w:val="clear" w:color="auto" w:fill="auto"/>
            <w:noWrap/>
            <w:vAlign w:val="bottom"/>
            <w:hideMark/>
          </w:tcPr>
          <w:p w14:paraId="06616F4C"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119" w:type="pct"/>
            <w:tcBorders>
              <w:top w:val="nil"/>
              <w:left w:val="nil"/>
              <w:right w:val="nil"/>
            </w:tcBorders>
            <w:shd w:val="clear" w:color="auto" w:fill="auto"/>
            <w:noWrap/>
            <w:vAlign w:val="bottom"/>
            <w:hideMark/>
          </w:tcPr>
          <w:p w14:paraId="62F77180"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right w:val="nil"/>
            </w:tcBorders>
            <w:shd w:val="clear" w:color="auto" w:fill="auto"/>
            <w:noWrap/>
            <w:vAlign w:val="bottom"/>
            <w:hideMark/>
          </w:tcPr>
          <w:p w14:paraId="49CA32DC"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WHLSL</w:t>
            </w:r>
          </w:p>
        </w:tc>
        <w:tc>
          <w:tcPr>
            <w:tcW w:w="380" w:type="pct"/>
            <w:tcBorders>
              <w:top w:val="nil"/>
              <w:left w:val="nil"/>
              <w:right w:val="nil"/>
            </w:tcBorders>
            <w:shd w:val="clear" w:color="auto" w:fill="auto"/>
            <w:noWrap/>
            <w:vAlign w:val="bottom"/>
            <w:hideMark/>
          </w:tcPr>
          <w:p w14:paraId="6D0E0952"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2,925</w:t>
            </w:r>
          </w:p>
        </w:tc>
        <w:tc>
          <w:tcPr>
            <w:tcW w:w="489" w:type="pct"/>
            <w:tcBorders>
              <w:top w:val="nil"/>
              <w:left w:val="nil"/>
              <w:right w:val="nil"/>
            </w:tcBorders>
            <w:shd w:val="clear" w:color="auto" w:fill="auto"/>
            <w:noWrap/>
            <w:vAlign w:val="bottom"/>
            <w:hideMark/>
          </w:tcPr>
          <w:p w14:paraId="4E88821A"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4.06</w:t>
            </w:r>
          </w:p>
        </w:tc>
      </w:tr>
      <w:tr w:rsidR="006F4FAD" w:rsidRPr="00D23517" w14:paraId="7F5F34D1" w14:textId="77777777" w:rsidTr="008D5265">
        <w:trPr>
          <w:trHeight w:val="276"/>
        </w:trPr>
        <w:tc>
          <w:tcPr>
            <w:tcW w:w="2551" w:type="pct"/>
            <w:tcBorders>
              <w:top w:val="nil"/>
              <w:left w:val="nil"/>
              <w:bottom w:val="single" w:sz="4" w:space="0" w:color="auto"/>
              <w:right w:val="nil"/>
            </w:tcBorders>
            <w:shd w:val="clear" w:color="auto" w:fill="auto"/>
            <w:noWrap/>
            <w:vAlign w:val="bottom"/>
            <w:hideMark/>
          </w:tcPr>
          <w:p w14:paraId="5ED412FB"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p>
        </w:tc>
        <w:tc>
          <w:tcPr>
            <w:tcW w:w="439" w:type="pct"/>
            <w:tcBorders>
              <w:top w:val="nil"/>
              <w:left w:val="nil"/>
              <w:bottom w:val="single" w:sz="4" w:space="0" w:color="auto"/>
              <w:right w:val="nil"/>
            </w:tcBorders>
            <w:shd w:val="clear" w:color="auto" w:fill="auto"/>
            <w:noWrap/>
            <w:vAlign w:val="bottom"/>
            <w:hideMark/>
          </w:tcPr>
          <w:p w14:paraId="08E8FD94"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488" w:type="pct"/>
            <w:tcBorders>
              <w:top w:val="nil"/>
              <w:left w:val="nil"/>
              <w:bottom w:val="single" w:sz="4" w:space="0" w:color="auto"/>
              <w:right w:val="nil"/>
            </w:tcBorders>
            <w:shd w:val="clear" w:color="auto" w:fill="auto"/>
            <w:noWrap/>
            <w:vAlign w:val="bottom"/>
            <w:hideMark/>
          </w:tcPr>
          <w:p w14:paraId="6D54DACC"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119" w:type="pct"/>
            <w:tcBorders>
              <w:top w:val="nil"/>
              <w:left w:val="nil"/>
              <w:bottom w:val="single" w:sz="4" w:space="0" w:color="auto"/>
              <w:right w:val="nil"/>
            </w:tcBorders>
            <w:shd w:val="clear" w:color="auto" w:fill="auto"/>
            <w:noWrap/>
            <w:vAlign w:val="bottom"/>
            <w:hideMark/>
          </w:tcPr>
          <w:p w14:paraId="6B5AC19D"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34" w:type="pct"/>
            <w:tcBorders>
              <w:top w:val="nil"/>
              <w:left w:val="nil"/>
              <w:bottom w:val="single" w:sz="4" w:space="0" w:color="auto"/>
              <w:right w:val="nil"/>
            </w:tcBorders>
            <w:shd w:val="clear" w:color="auto" w:fill="auto"/>
            <w:noWrap/>
            <w:vAlign w:val="bottom"/>
            <w:hideMark/>
          </w:tcPr>
          <w:p w14:paraId="13C28778"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OTHER</w:t>
            </w:r>
          </w:p>
        </w:tc>
        <w:tc>
          <w:tcPr>
            <w:tcW w:w="380" w:type="pct"/>
            <w:tcBorders>
              <w:top w:val="nil"/>
              <w:left w:val="nil"/>
              <w:bottom w:val="single" w:sz="4" w:space="0" w:color="auto"/>
              <w:right w:val="nil"/>
            </w:tcBorders>
            <w:shd w:val="clear" w:color="auto" w:fill="auto"/>
            <w:noWrap/>
            <w:vAlign w:val="bottom"/>
            <w:hideMark/>
          </w:tcPr>
          <w:p w14:paraId="28D3BB92"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650</w:t>
            </w:r>
          </w:p>
        </w:tc>
        <w:tc>
          <w:tcPr>
            <w:tcW w:w="489" w:type="pct"/>
            <w:tcBorders>
              <w:top w:val="nil"/>
              <w:left w:val="nil"/>
              <w:bottom w:val="single" w:sz="4" w:space="0" w:color="auto"/>
              <w:right w:val="nil"/>
            </w:tcBorders>
            <w:shd w:val="clear" w:color="auto" w:fill="auto"/>
            <w:noWrap/>
            <w:vAlign w:val="bottom"/>
            <w:hideMark/>
          </w:tcPr>
          <w:p w14:paraId="5DCF939F"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0.9</w:t>
            </w:r>
          </w:p>
        </w:tc>
      </w:tr>
    </w:tbl>
    <w:p w14:paraId="1EDDC657" w14:textId="78B8B063" w:rsidR="005B2468" w:rsidRPr="00D23517" w:rsidRDefault="001734AA" w:rsidP="00982C8F">
      <w:pPr>
        <w:spacing w:after="0" w:line="240" w:lineRule="auto"/>
        <w:rPr>
          <w:rFonts w:ascii="Times New Roman" w:eastAsia="Times New Roman" w:hAnsi="Times New Roman" w:cs="Times New Roman"/>
          <w:i/>
          <w:iCs/>
          <w:color w:val="000000"/>
          <w:sz w:val="24"/>
          <w:szCs w:val="24"/>
        </w:rPr>
      </w:pPr>
      <w:r>
        <w:br w:type="page"/>
      </w:r>
      <w:r w:rsidR="004F0457" w:rsidRPr="00D23517">
        <w:rPr>
          <w:rFonts w:ascii="Times New Roman" w:hAnsi="Times New Roman" w:cs="Times New Roman"/>
          <w:b/>
          <w:sz w:val="24"/>
          <w:szCs w:val="24"/>
        </w:rPr>
        <w:lastRenderedPageBreak/>
        <w:t xml:space="preserve">Table 2: </w:t>
      </w:r>
      <w:r w:rsidR="005B2468" w:rsidRPr="00D23517">
        <w:rPr>
          <w:rFonts w:ascii="Times New Roman" w:hAnsi="Times New Roman" w:cs="Times New Roman"/>
          <w:b/>
          <w:sz w:val="24"/>
          <w:szCs w:val="24"/>
        </w:rPr>
        <w:t xml:space="preserve">Summary </w:t>
      </w:r>
      <w:r w:rsidR="00AC74B2" w:rsidRPr="00D23517">
        <w:rPr>
          <w:rFonts w:ascii="Times New Roman" w:hAnsi="Times New Roman" w:cs="Times New Roman"/>
          <w:b/>
          <w:sz w:val="24"/>
          <w:szCs w:val="24"/>
        </w:rPr>
        <w:t>statistics</w:t>
      </w:r>
    </w:p>
    <w:tbl>
      <w:tblPr>
        <w:tblW w:w="9270" w:type="dxa"/>
        <w:tblLayout w:type="fixed"/>
        <w:tblLook w:val="04A0" w:firstRow="1" w:lastRow="0" w:firstColumn="1" w:lastColumn="0" w:noHBand="0" w:noVBand="1"/>
      </w:tblPr>
      <w:tblGrid>
        <w:gridCol w:w="1890"/>
        <w:gridCol w:w="990"/>
        <w:gridCol w:w="1080"/>
        <w:gridCol w:w="1620"/>
        <w:gridCol w:w="1620"/>
        <w:gridCol w:w="2070"/>
      </w:tblGrid>
      <w:tr w:rsidR="006F4FAD" w:rsidRPr="00D23517" w14:paraId="3483F14D" w14:textId="77777777" w:rsidTr="00102195">
        <w:trPr>
          <w:trHeight w:val="20"/>
        </w:trPr>
        <w:tc>
          <w:tcPr>
            <w:tcW w:w="1890" w:type="dxa"/>
            <w:tcBorders>
              <w:top w:val="single" w:sz="4" w:space="0" w:color="auto"/>
              <w:left w:val="nil"/>
              <w:bottom w:val="single" w:sz="4" w:space="0" w:color="auto"/>
              <w:right w:val="nil"/>
            </w:tcBorders>
            <w:shd w:val="clear" w:color="auto" w:fill="auto"/>
            <w:noWrap/>
            <w:vAlign w:val="bottom"/>
            <w:hideMark/>
          </w:tcPr>
          <w:p w14:paraId="5565F9A4" w14:textId="77777777" w:rsidR="006F4FAD" w:rsidRPr="00D23517" w:rsidRDefault="006F4FAD" w:rsidP="00A1062B">
            <w:pPr>
              <w:spacing w:after="0" w:line="240" w:lineRule="auto"/>
              <w:contextualSpacing/>
              <w:jc w:val="both"/>
              <w:rPr>
                <w:rFonts w:ascii="Times New Roman" w:eastAsia="Times New Roman" w:hAnsi="Times New Roman" w:cs="Times New Roman"/>
                <w:b/>
                <w:bCs/>
                <w:i/>
                <w:iCs/>
                <w:color w:val="000000"/>
                <w:sz w:val="20"/>
                <w:szCs w:val="20"/>
              </w:rPr>
            </w:pPr>
            <w:r w:rsidRPr="00D23517">
              <w:rPr>
                <w:rFonts w:ascii="Times New Roman" w:eastAsia="Times New Roman" w:hAnsi="Times New Roman" w:cs="Times New Roman"/>
                <w:b/>
                <w:bCs/>
                <w:i/>
                <w:iCs/>
                <w:color w:val="000000"/>
                <w:sz w:val="20"/>
                <w:szCs w:val="20"/>
              </w:rPr>
              <w:t>Variables</w:t>
            </w:r>
          </w:p>
        </w:tc>
        <w:tc>
          <w:tcPr>
            <w:tcW w:w="990" w:type="dxa"/>
            <w:tcBorders>
              <w:top w:val="single" w:sz="4" w:space="0" w:color="auto"/>
              <w:left w:val="nil"/>
              <w:bottom w:val="single" w:sz="4" w:space="0" w:color="auto"/>
              <w:right w:val="nil"/>
            </w:tcBorders>
            <w:shd w:val="clear" w:color="auto" w:fill="auto"/>
            <w:noWrap/>
            <w:vAlign w:val="bottom"/>
            <w:hideMark/>
          </w:tcPr>
          <w:p w14:paraId="4426EA23" w14:textId="77777777" w:rsidR="006F4FAD" w:rsidRPr="00D23517" w:rsidRDefault="006F4FAD" w:rsidP="00A1062B">
            <w:pPr>
              <w:spacing w:after="0" w:line="240" w:lineRule="auto"/>
              <w:contextualSpacing/>
              <w:jc w:val="both"/>
              <w:rPr>
                <w:rFonts w:ascii="Times New Roman" w:eastAsia="Times New Roman" w:hAnsi="Times New Roman" w:cs="Times New Roman"/>
                <w:b/>
                <w:bCs/>
                <w:i/>
                <w:iCs/>
                <w:color w:val="000000"/>
                <w:sz w:val="20"/>
                <w:szCs w:val="20"/>
              </w:rPr>
            </w:pPr>
            <w:r w:rsidRPr="00D23517">
              <w:rPr>
                <w:rFonts w:ascii="Times New Roman" w:eastAsia="Times New Roman" w:hAnsi="Times New Roman" w:cs="Times New Roman"/>
                <w:b/>
                <w:bCs/>
                <w:i/>
                <w:iCs/>
                <w:color w:val="000000"/>
                <w:sz w:val="20"/>
                <w:szCs w:val="20"/>
              </w:rPr>
              <w:t>Mean</w:t>
            </w:r>
          </w:p>
        </w:tc>
        <w:tc>
          <w:tcPr>
            <w:tcW w:w="1080" w:type="dxa"/>
            <w:tcBorders>
              <w:top w:val="single" w:sz="4" w:space="0" w:color="auto"/>
              <w:left w:val="nil"/>
              <w:bottom w:val="single" w:sz="4" w:space="0" w:color="auto"/>
              <w:right w:val="nil"/>
            </w:tcBorders>
            <w:shd w:val="clear" w:color="auto" w:fill="auto"/>
            <w:noWrap/>
            <w:vAlign w:val="bottom"/>
            <w:hideMark/>
          </w:tcPr>
          <w:p w14:paraId="23F10739" w14:textId="77777777" w:rsidR="006F4FAD" w:rsidRPr="00D23517" w:rsidRDefault="006F4FAD" w:rsidP="00A1062B">
            <w:pPr>
              <w:spacing w:after="0" w:line="240" w:lineRule="auto"/>
              <w:contextualSpacing/>
              <w:jc w:val="both"/>
              <w:rPr>
                <w:rFonts w:ascii="Times New Roman" w:eastAsia="Times New Roman" w:hAnsi="Times New Roman" w:cs="Times New Roman"/>
                <w:b/>
                <w:bCs/>
                <w:i/>
                <w:iCs/>
                <w:color w:val="000000"/>
                <w:sz w:val="20"/>
                <w:szCs w:val="20"/>
              </w:rPr>
            </w:pPr>
            <w:r w:rsidRPr="00D23517">
              <w:rPr>
                <w:rFonts w:ascii="Times New Roman" w:eastAsia="Times New Roman" w:hAnsi="Times New Roman" w:cs="Times New Roman"/>
                <w:b/>
                <w:bCs/>
                <w:i/>
                <w:iCs/>
                <w:color w:val="000000"/>
                <w:sz w:val="20"/>
                <w:szCs w:val="20"/>
              </w:rPr>
              <w:t>Median</w:t>
            </w:r>
          </w:p>
        </w:tc>
        <w:tc>
          <w:tcPr>
            <w:tcW w:w="1620" w:type="dxa"/>
            <w:tcBorders>
              <w:top w:val="single" w:sz="4" w:space="0" w:color="auto"/>
              <w:left w:val="nil"/>
              <w:bottom w:val="single" w:sz="4" w:space="0" w:color="auto"/>
              <w:right w:val="nil"/>
            </w:tcBorders>
            <w:shd w:val="clear" w:color="auto" w:fill="auto"/>
            <w:noWrap/>
            <w:vAlign w:val="bottom"/>
            <w:hideMark/>
          </w:tcPr>
          <w:p w14:paraId="70AEEC9F" w14:textId="77777777" w:rsidR="006F4FAD" w:rsidRPr="00D23517" w:rsidRDefault="006F4FAD" w:rsidP="00A1062B">
            <w:pPr>
              <w:spacing w:after="0" w:line="240" w:lineRule="auto"/>
              <w:contextualSpacing/>
              <w:jc w:val="both"/>
              <w:rPr>
                <w:rFonts w:ascii="Times New Roman" w:eastAsia="Times New Roman" w:hAnsi="Times New Roman" w:cs="Times New Roman"/>
                <w:b/>
                <w:bCs/>
                <w:i/>
                <w:iCs/>
                <w:color w:val="000000"/>
                <w:sz w:val="20"/>
                <w:szCs w:val="20"/>
              </w:rPr>
            </w:pPr>
            <w:r w:rsidRPr="00D23517">
              <w:rPr>
                <w:rFonts w:ascii="Times New Roman" w:eastAsia="Times New Roman" w:hAnsi="Times New Roman" w:cs="Times New Roman"/>
                <w:b/>
                <w:bCs/>
                <w:i/>
                <w:iCs/>
                <w:color w:val="000000"/>
                <w:sz w:val="20"/>
                <w:szCs w:val="20"/>
              </w:rPr>
              <w:t>25th percentile</w:t>
            </w:r>
          </w:p>
        </w:tc>
        <w:tc>
          <w:tcPr>
            <w:tcW w:w="1620" w:type="dxa"/>
            <w:tcBorders>
              <w:top w:val="single" w:sz="4" w:space="0" w:color="auto"/>
              <w:left w:val="nil"/>
              <w:bottom w:val="single" w:sz="4" w:space="0" w:color="auto"/>
              <w:right w:val="nil"/>
            </w:tcBorders>
            <w:shd w:val="clear" w:color="auto" w:fill="auto"/>
            <w:noWrap/>
            <w:vAlign w:val="bottom"/>
            <w:hideMark/>
          </w:tcPr>
          <w:p w14:paraId="01B88494" w14:textId="77777777" w:rsidR="006F4FAD" w:rsidRPr="00D23517" w:rsidRDefault="006F4FAD" w:rsidP="00A1062B">
            <w:pPr>
              <w:spacing w:after="0" w:line="240" w:lineRule="auto"/>
              <w:contextualSpacing/>
              <w:jc w:val="both"/>
              <w:rPr>
                <w:rFonts w:ascii="Times New Roman" w:eastAsia="Times New Roman" w:hAnsi="Times New Roman" w:cs="Times New Roman"/>
                <w:b/>
                <w:bCs/>
                <w:i/>
                <w:iCs/>
                <w:color w:val="000000"/>
                <w:sz w:val="20"/>
                <w:szCs w:val="20"/>
              </w:rPr>
            </w:pPr>
            <w:r w:rsidRPr="00D23517">
              <w:rPr>
                <w:rFonts w:ascii="Times New Roman" w:eastAsia="Times New Roman" w:hAnsi="Times New Roman" w:cs="Times New Roman"/>
                <w:b/>
                <w:bCs/>
                <w:i/>
                <w:iCs/>
                <w:color w:val="000000"/>
                <w:sz w:val="20"/>
                <w:szCs w:val="20"/>
              </w:rPr>
              <w:t>75th percentile</w:t>
            </w:r>
          </w:p>
        </w:tc>
        <w:tc>
          <w:tcPr>
            <w:tcW w:w="2070" w:type="dxa"/>
            <w:tcBorders>
              <w:top w:val="single" w:sz="4" w:space="0" w:color="auto"/>
              <w:left w:val="nil"/>
              <w:bottom w:val="single" w:sz="4" w:space="0" w:color="auto"/>
              <w:right w:val="nil"/>
            </w:tcBorders>
            <w:shd w:val="clear" w:color="auto" w:fill="auto"/>
            <w:noWrap/>
            <w:vAlign w:val="bottom"/>
            <w:hideMark/>
          </w:tcPr>
          <w:p w14:paraId="1EC2DC23" w14:textId="77777777" w:rsidR="006F4FAD" w:rsidRPr="00D23517" w:rsidRDefault="006F4FAD" w:rsidP="00A1062B">
            <w:pPr>
              <w:spacing w:after="0" w:line="240" w:lineRule="auto"/>
              <w:contextualSpacing/>
              <w:jc w:val="both"/>
              <w:rPr>
                <w:rFonts w:ascii="Times New Roman" w:eastAsia="Times New Roman" w:hAnsi="Times New Roman" w:cs="Times New Roman"/>
                <w:b/>
                <w:bCs/>
                <w:i/>
                <w:iCs/>
                <w:color w:val="000000"/>
                <w:sz w:val="20"/>
                <w:szCs w:val="20"/>
              </w:rPr>
            </w:pPr>
            <w:r w:rsidRPr="00D23517">
              <w:rPr>
                <w:rFonts w:ascii="Times New Roman" w:eastAsia="Times New Roman" w:hAnsi="Times New Roman" w:cs="Times New Roman"/>
                <w:b/>
                <w:bCs/>
                <w:i/>
                <w:iCs/>
                <w:color w:val="000000"/>
                <w:sz w:val="20"/>
                <w:szCs w:val="20"/>
              </w:rPr>
              <w:t>Standard deviation</w:t>
            </w:r>
          </w:p>
        </w:tc>
      </w:tr>
      <w:tr w:rsidR="006F4FAD" w:rsidRPr="00D23517" w14:paraId="2A52353D" w14:textId="77777777" w:rsidTr="00102195">
        <w:trPr>
          <w:trHeight w:val="288"/>
        </w:trPr>
        <w:tc>
          <w:tcPr>
            <w:tcW w:w="1890" w:type="dxa"/>
            <w:tcBorders>
              <w:top w:val="nil"/>
              <w:left w:val="nil"/>
              <w:bottom w:val="nil"/>
              <w:right w:val="nil"/>
            </w:tcBorders>
            <w:shd w:val="clear" w:color="auto" w:fill="auto"/>
            <w:noWrap/>
            <w:vAlign w:val="bottom"/>
            <w:hideMark/>
          </w:tcPr>
          <w:p w14:paraId="44CCE57F"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ROAVOL</w:t>
            </w:r>
          </w:p>
        </w:tc>
        <w:tc>
          <w:tcPr>
            <w:tcW w:w="990" w:type="dxa"/>
            <w:tcBorders>
              <w:top w:val="nil"/>
              <w:left w:val="nil"/>
              <w:bottom w:val="nil"/>
              <w:right w:val="nil"/>
            </w:tcBorders>
            <w:shd w:val="clear" w:color="auto" w:fill="auto"/>
            <w:noWrap/>
            <w:vAlign w:val="bottom"/>
            <w:hideMark/>
          </w:tcPr>
          <w:p w14:paraId="038D20C4"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0.087</w:t>
            </w:r>
          </w:p>
        </w:tc>
        <w:tc>
          <w:tcPr>
            <w:tcW w:w="1080" w:type="dxa"/>
            <w:tcBorders>
              <w:top w:val="nil"/>
              <w:left w:val="nil"/>
              <w:bottom w:val="nil"/>
              <w:right w:val="nil"/>
            </w:tcBorders>
            <w:shd w:val="clear" w:color="auto" w:fill="auto"/>
            <w:noWrap/>
            <w:vAlign w:val="bottom"/>
            <w:hideMark/>
          </w:tcPr>
          <w:p w14:paraId="582EBAB2"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0.043</w:t>
            </w:r>
          </w:p>
        </w:tc>
        <w:tc>
          <w:tcPr>
            <w:tcW w:w="1620" w:type="dxa"/>
            <w:tcBorders>
              <w:top w:val="nil"/>
              <w:left w:val="nil"/>
              <w:bottom w:val="nil"/>
              <w:right w:val="nil"/>
            </w:tcBorders>
            <w:shd w:val="clear" w:color="auto" w:fill="auto"/>
            <w:noWrap/>
            <w:vAlign w:val="bottom"/>
            <w:hideMark/>
          </w:tcPr>
          <w:p w14:paraId="13BD210C"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0.021</w:t>
            </w:r>
          </w:p>
        </w:tc>
        <w:tc>
          <w:tcPr>
            <w:tcW w:w="1620" w:type="dxa"/>
            <w:tcBorders>
              <w:top w:val="nil"/>
              <w:left w:val="nil"/>
              <w:bottom w:val="nil"/>
              <w:right w:val="nil"/>
            </w:tcBorders>
            <w:shd w:val="clear" w:color="auto" w:fill="auto"/>
            <w:noWrap/>
            <w:vAlign w:val="bottom"/>
            <w:hideMark/>
          </w:tcPr>
          <w:p w14:paraId="59A98FCA"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0.097</w:t>
            </w:r>
          </w:p>
        </w:tc>
        <w:tc>
          <w:tcPr>
            <w:tcW w:w="2070" w:type="dxa"/>
            <w:tcBorders>
              <w:top w:val="nil"/>
              <w:left w:val="nil"/>
              <w:bottom w:val="nil"/>
              <w:right w:val="nil"/>
            </w:tcBorders>
            <w:shd w:val="clear" w:color="auto" w:fill="auto"/>
            <w:noWrap/>
            <w:vAlign w:val="bottom"/>
            <w:hideMark/>
          </w:tcPr>
          <w:p w14:paraId="58FE2EB2"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0.126</w:t>
            </w:r>
          </w:p>
        </w:tc>
      </w:tr>
      <w:tr w:rsidR="006F4FAD" w:rsidRPr="00D23517" w14:paraId="2BEA6D73" w14:textId="77777777" w:rsidTr="00102195">
        <w:trPr>
          <w:trHeight w:val="288"/>
        </w:trPr>
        <w:tc>
          <w:tcPr>
            <w:tcW w:w="1890" w:type="dxa"/>
            <w:tcBorders>
              <w:top w:val="nil"/>
              <w:left w:val="nil"/>
              <w:bottom w:val="nil"/>
              <w:right w:val="nil"/>
            </w:tcBorders>
            <w:shd w:val="clear" w:color="auto" w:fill="auto"/>
            <w:noWrap/>
            <w:vAlign w:val="bottom"/>
            <w:hideMark/>
          </w:tcPr>
          <w:p w14:paraId="2ED11F15"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TOTRISK</w:t>
            </w:r>
          </w:p>
        </w:tc>
        <w:tc>
          <w:tcPr>
            <w:tcW w:w="990" w:type="dxa"/>
            <w:tcBorders>
              <w:top w:val="nil"/>
              <w:left w:val="nil"/>
              <w:bottom w:val="nil"/>
              <w:right w:val="nil"/>
            </w:tcBorders>
            <w:shd w:val="clear" w:color="auto" w:fill="auto"/>
            <w:noWrap/>
            <w:vAlign w:val="bottom"/>
            <w:hideMark/>
          </w:tcPr>
          <w:p w14:paraId="27A22BC4"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0.581</w:t>
            </w:r>
          </w:p>
        </w:tc>
        <w:tc>
          <w:tcPr>
            <w:tcW w:w="1080" w:type="dxa"/>
            <w:tcBorders>
              <w:top w:val="nil"/>
              <w:left w:val="nil"/>
              <w:bottom w:val="nil"/>
              <w:right w:val="nil"/>
            </w:tcBorders>
            <w:shd w:val="clear" w:color="auto" w:fill="auto"/>
            <w:noWrap/>
            <w:vAlign w:val="bottom"/>
            <w:hideMark/>
          </w:tcPr>
          <w:p w14:paraId="1375CE74"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0.493</w:t>
            </w:r>
          </w:p>
        </w:tc>
        <w:tc>
          <w:tcPr>
            <w:tcW w:w="1620" w:type="dxa"/>
            <w:tcBorders>
              <w:top w:val="nil"/>
              <w:left w:val="nil"/>
              <w:bottom w:val="nil"/>
              <w:right w:val="nil"/>
            </w:tcBorders>
            <w:shd w:val="clear" w:color="auto" w:fill="auto"/>
            <w:noWrap/>
            <w:vAlign w:val="bottom"/>
            <w:hideMark/>
          </w:tcPr>
          <w:p w14:paraId="297E0039"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0.344</w:t>
            </w:r>
          </w:p>
        </w:tc>
        <w:tc>
          <w:tcPr>
            <w:tcW w:w="1620" w:type="dxa"/>
            <w:tcBorders>
              <w:top w:val="nil"/>
              <w:left w:val="nil"/>
              <w:bottom w:val="nil"/>
              <w:right w:val="nil"/>
            </w:tcBorders>
            <w:shd w:val="clear" w:color="auto" w:fill="auto"/>
            <w:noWrap/>
            <w:vAlign w:val="bottom"/>
            <w:hideMark/>
          </w:tcPr>
          <w:p w14:paraId="61DB5A81"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0.717</w:t>
            </w:r>
          </w:p>
        </w:tc>
        <w:tc>
          <w:tcPr>
            <w:tcW w:w="2070" w:type="dxa"/>
            <w:tcBorders>
              <w:top w:val="nil"/>
              <w:left w:val="nil"/>
              <w:bottom w:val="nil"/>
              <w:right w:val="nil"/>
            </w:tcBorders>
            <w:shd w:val="clear" w:color="auto" w:fill="auto"/>
            <w:noWrap/>
            <w:vAlign w:val="bottom"/>
            <w:hideMark/>
          </w:tcPr>
          <w:p w14:paraId="372BF1DD"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0.336</w:t>
            </w:r>
          </w:p>
        </w:tc>
      </w:tr>
      <w:tr w:rsidR="006F4FAD" w:rsidRPr="00D23517" w14:paraId="5BE88567" w14:textId="77777777" w:rsidTr="00102195">
        <w:trPr>
          <w:trHeight w:val="288"/>
        </w:trPr>
        <w:tc>
          <w:tcPr>
            <w:tcW w:w="1890" w:type="dxa"/>
            <w:tcBorders>
              <w:top w:val="nil"/>
              <w:left w:val="nil"/>
              <w:bottom w:val="nil"/>
              <w:right w:val="nil"/>
            </w:tcBorders>
            <w:shd w:val="clear" w:color="auto" w:fill="auto"/>
            <w:noWrap/>
            <w:vAlign w:val="bottom"/>
            <w:hideMark/>
          </w:tcPr>
          <w:p w14:paraId="5B75972A"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IDIORISK</w:t>
            </w:r>
          </w:p>
        </w:tc>
        <w:tc>
          <w:tcPr>
            <w:tcW w:w="990" w:type="dxa"/>
            <w:tcBorders>
              <w:top w:val="nil"/>
              <w:left w:val="nil"/>
              <w:bottom w:val="nil"/>
              <w:right w:val="nil"/>
            </w:tcBorders>
            <w:shd w:val="clear" w:color="auto" w:fill="auto"/>
            <w:noWrap/>
            <w:vAlign w:val="bottom"/>
            <w:hideMark/>
          </w:tcPr>
          <w:p w14:paraId="4934FD8D"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0.535</w:t>
            </w:r>
          </w:p>
        </w:tc>
        <w:tc>
          <w:tcPr>
            <w:tcW w:w="1080" w:type="dxa"/>
            <w:tcBorders>
              <w:top w:val="nil"/>
              <w:left w:val="nil"/>
              <w:bottom w:val="nil"/>
              <w:right w:val="nil"/>
            </w:tcBorders>
            <w:shd w:val="clear" w:color="auto" w:fill="auto"/>
            <w:noWrap/>
            <w:vAlign w:val="bottom"/>
            <w:hideMark/>
          </w:tcPr>
          <w:p w14:paraId="10EFD527"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0.445</w:t>
            </w:r>
          </w:p>
        </w:tc>
        <w:tc>
          <w:tcPr>
            <w:tcW w:w="1620" w:type="dxa"/>
            <w:tcBorders>
              <w:top w:val="nil"/>
              <w:left w:val="nil"/>
              <w:bottom w:val="nil"/>
              <w:right w:val="nil"/>
            </w:tcBorders>
            <w:shd w:val="clear" w:color="auto" w:fill="auto"/>
            <w:noWrap/>
            <w:vAlign w:val="bottom"/>
            <w:hideMark/>
          </w:tcPr>
          <w:p w14:paraId="5BD10538"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0.300</w:t>
            </w:r>
          </w:p>
        </w:tc>
        <w:tc>
          <w:tcPr>
            <w:tcW w:w="1620" w:type="dxa"/>
            <w:tcBorders>
              <w:top w:val="nil"/>
              <w:left w:val="nil"/>
              <w:bottom w:val="nil"/>
              <w:right w:val="nil"/>
            </w:tcBorders>
            <w:shd w:val="clear" w:color="auto" w:fill="auto"/>
            <w:noWrap/>
            <w:vAlign w:val="bottom"/>
            <w:hideMark/>
          </w:tcPr>
          <w:p w14:paraId="7CC21D31"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0.669</w:t>
            </w:r>
          </w:p>
        </w:tc>
        <w:tc>
          <w:tcPr>
            <w:tcW w:w="2070" w:type="dxa"/>
            <w:tcBorders>
              <w:top w:val="nil"/>
              <w:left w:val="nil"/>
              <w:bottom w:val="nil"/>
              <w:right w:val="nil"/>
            </w:tcBorders>
            <w:shd w:val="clear" w:color="auto" w:fill="auto"/>
            <w:noWrap/>
            <w:vAlign w:val="bottom"/>
            <w:hideMark/>
          </w:tcPr>
          <w:p w14:paraId="3DE6D790"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0.335</w:t>
            </w:r>
          </w:p>
        </w:tc>
      </w:tr>
      <w:tr w:rsidR="006F4FAD" w:rsidRPr="00D23517" w14:paraId="444ADEB3" w14:textId="77777777" w:rsidTr="00102195">
        <w:trPr>
          <w:trHeight w:val="288"/>
        </w:trPr>
        <w:tc>
          <w:tcPr>
            <w:tcW w:w="1890" w:type="dxa"/>
            <w:tcBorders>
              <w:top w:val="nil"/>
              <w:left w:val="nil"/>
              <w:bottom w:val="nil"/>
              <w:right w:val="nil"/>
            </w:tcBorders>
            <w:shd w:val="clear" w:color="auto" w:fill="auto"/>
            <w:noWrap/>
            <w:vAlign w:val="bottom"/>
            <w:hideMark/>
          </w:tcPr>
          <w:p w14:paraId="0252B54F"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NCSKEW</w:t>
            </w:r>
          </w:p>
        </w:tc>
        <w:tc>
          <w:tcPr>
            <w:tcW w:w="990" w:type="dxa"/>
            <w:tcBorders>
              <w:top w:val="nil"/>
              <w:left w:val="nil"/>
              <w:bottom w:val="nil"/>
              <w:right w:val="nil"/>
            </w:tcBorders>
            <w:shd w:val="clear" w:color="auto" w:fill="auto"/>
            <w:noWrap/>
            <w:vAlign w:val="bottom"/>
            <w:hideMark/>
          </w:tcPr>
          <w:p w14:paraId="3A0258F6"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-0.093</w:t>
            </w:r>
          </w:p>
        </w:tc>
        <w:tc>
          <w:tcPr>
            <w:tcW w:w="1080" w:type="dxa"/>
            <w:tcBorders>
              <w:top w:val="nil"/>
              <w:left w:val="nil"/>
              <w:bottom w:val="nil"/>
              <w:right w:val="nil"/>
            </w:tcBorders>
            <w:shd w:val="clear" w:color="auto" w:fill="auto"/>
            <w:noWrap/>
            <w:vAlign w:val="bottom"/>
            <w:hideMark/>
          </w:tcPr>
          <w:p w14:paraId="071BB73B"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-0.116</w:t>
            </w:r>
          </w:p>
        </w:tc>
        <w:tc>
          <w:tcPr>
            <w:tcW w:w="1620" w:type="dxa"/>
            <w:tcBorders>
              <w:top w:val="nil"/>
              <w:left w:val="nil"/>
              <w:bottom w:val="nil"/>
              <w:right w:val="nil"/>
            </w:tcBorders>
            <w:shd w:val="clear" w:color="auto" w:fill="auto"/>
            <w:noWrap/>
            <w:vAlign w:val="bottom"/>
            <w:hideMark/>
          </w:tcPr>
          <w:p w14:paraId="4D50FF17"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-0.538</w:t>
            </w:r>
          </w:p>
        </w:tc>
        <w:tc>
          <w:tcPr>
            <w:tcW w:w="1620" w:type="dxa"/>
            <w:tcBorders>
              <w:top w:val="nil"/>
              <w:left w:val="nil"/>
              <w:bottom w:val="nil"/>
              <w:right w:val="nil"/>
            </w:tcBorders>
            <w:shd w:val="clear" w:color="auto" w:fill="auto"/>
            <w:noWrap/>
            <w:vAlign w:val="bottom"/>
            <w:hideMark/>
          </w:tcPr>
          <w:p w14:paraId="3756F916"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0.309</w:t>
            </w:r>
          </w:p>
        </w:tc>
        <w:tc>
          <w:tcPr>
            <w:tcW w:w="2070" w:type="dxa"/>
            <w:tcBorders>
              <w:top w:val="nil"/>
              <w:left w:val="nil"/>
              <w:bottom w:val="nil"/>
              <w:right w:val="nil"/>
            </w:tcBorders>
            <w:shd w:val="clear" w:color="auto" w:fill="auto"/>
            <w:noWrap/>
            <w:vAlign w:val="bottom"/>
            <w:hideMark/>
          </w:tcPr>
          <w:p w14:paraId="1E9E91C4"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0.846</w:t>
            </w:r>
          </w:p>
        </w:tc>
      </w:tr>
      <w:tr w:rsidR="006F4FAD" w:rsidRPr="00D23517" w14:paraId="1D923ED9" w14:textId="77777777" w:rsidTr="00102195">
        <w:trPr>
          <w:trHeight w:val="288"/>
        </w:trPr>
        <w:tc>
          <w:tcPr>
            <w:tcW w:w="1890" w:type="dxa"/>
            <w:tcBorders>
              <w:top w:val="nil"/>
              <w:left w:val="nil"/>
              <w:bottom w:val="nil"/>
              <w:right w:val="nil"/>
            </w:tcBorders>
            <w:shd w:val="clear" w:color="auto" w:fill="auto"/>
            <w:noWrap/>
            <w:vAlign w:val="bottom"/>
            <w:hideMark/>
          </w:tcPr>
          <w:p w14:paraId="074E5258"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DUVOL</w:t>
            </w:r>
          </w:p>
        </w:tc>
        <w:tc>
          <w:tcPr>
            <w:tcW w:w="990" w:type="dxa"/>
            <w:tcBorders>
              <w:top w:val="nil"/>
              <w:left w:val="nil"/>
              <w:bottom w:val="nil"/>
              <w:right w:val="nil"/>
            </w:tcBorders>
            <w:shd w:val="clear" w:color="auto" w:fill="auto"/>
            <w:noWrap/>
            <w:vAlign w:val="bottom"/>
            <w:hideMark/>
          </w:tcPr>
          <w:p w14:paraId="62B9C139"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-0.098</w:t>
            </w:r>
          </w:p>
        </w:tc>
        <w:tc>
          <w:tcPr>
            <w:tcW w:w="1080" w:type="dxa"/>
            <w:tcBorders>
              <w:top w:val="nil"/>
              <w:left w:val="nil"/>
              <w:bottom w:val="nil"/>
              <w:right w:val="nil"/>
            </w:tcBorders>
            <w:shd w:val="clear" w:color="auto" w:fill="auto"/>
            <w:noWrap/>
            <w:vAlign w:val="bottom"/>
            <w:hideMark/>
          </w:tcPr>
          <w:p w14:paraId="0B369DF3"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-0.094</w:t>
            </w:r>
          </w:p>
        </w:tc>
        <w:tc>
          <w:tcPr>
            <w:tcW w:w="1620" w:type="dxa"/>
            <w:tcBorders>
              <w:top w:val="nil"/>
              <w:left w:val="nil"/>
              <w:bottom w:val="nil"/>
              <w:right w:val="nil"/>
            </w:tcBorders>
            <w:shd w:val="clear" w:color="auto" w:fill="auto"/>
            <w:noWrap/>
            <w:vAlign w:val="bottom"/>
            <w:hideMark/>
          </w:tcPr>
          <w:p w14:paraId="49561884"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-0.420</w:t>
            </w:r>
          </w:p>
        </w:tc>
        <w:tc>
          <w:tcPr>
            <w:tcW w:w="1620" w:type="dxa"/>
            <w:tcBorders>
              <w:top w:val="nil"/>
              <w:left w:val="nil"/>
              <w:bottom w:val="nil"/>
              <w:right w:val="nil"/>
            </w:tcBorders>
            <w:shd w:val="clear" w:color="auto" w:fill="auto"/>
            <w:noWrap/>
            <w:vAlign w:val="bottom"/>
            <w:hideMark/>
          </w:tcPr>
          <w:p w14:paraId="06F7645C"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0.222</w:t>
            </w:r>
          </w:p>
        </w:tc>
        <w:tc>
          <w:tcPr>
            <w:tcW w:w="2070" w:type="dxa"/>
            <w:tcBorders>
              <w:top w:val="nil"/>
              <w:left w:val="nil"/>
              <w:bottom w:val="nil"/>
              <w:right w:val="nil"/>
            </w:tcBorders>
            <w:shd w:val="clear" w:color="auto" w:fill="auto"/>
            <w:noWrap/>
            <w:vAlign w:val="bottom"/>
            <w:hideMark/>
          </w:tcPr>
          <w:p w14:paraId="5BD1E02E"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0.513</w:t>
            </w:r>
          </w:p>
        </w:tc>
      </w:tr>
      <w:tr w:rsidR="006F4FAD" w:rsidRPr="00D23517" w14:paraId="193E53D5" w14:textId="77777777" w:rsidTr="00102195">
        <w:trPr>
          <w:trHeight w:val="288"/>
        </w:trPr>
        <w:tc>
          <w:tcPr>
            <w:tcW w:w="1890" w:type="dxa"/>
            <w:tcBorders>
              <w:top w:val="nil"/>
              <w:left w:val="nil"/>
              <w:bottom w:val="nil"/>
              <w:right w:val="nil"/>
            </w:tcBorders>
            <w:shd w:val="clear" w:color="auto" w:fill="auto"/>
            <w:noWrap/>
            <w:vAlign w:val="bottom"/>
            <w:hideMark/>
          </w:tcPr>
          <w:p w14:paraId="0E81C129"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COUNT</w:t>
            </w:r>
          </w:p>
        </w:tc>
        <w:tc>
          <w:tcPr>
            <w:tcW w:w="990" w:type="dxa"/>
            <w:tcBorders>
              <w:top w:val="nil"/>
              <w:left w:val="nil"/>
              <w:bottom w:val="nil"/>
              <w:right w:val="nil"/>
            </w:tcBorders>
            <w:shd w:val="clear" w:color="auto" w:fill="auto"/>
            <w:noWrap/>
            <w:vAlign w:val="bottom"/>
            <w:hideMark/>
          </w:tcPr>
          <w:p w14:paraId="22DBE975"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-0.030</w:t>
            </w:r>
          </w:p>
        </w:tc>
        <w:tc>
          <w:tcPr>
            <w:tcW w:w="1080" w:type="dxa"/>
            <w:tcBorders>
              <w:top w:val="nil"/>
              <w:left w:val="nil"/>
              <w:bottom w:val="nil"/>
              <w:right w:val="nil"/>
            </w:tcBorders>
            <w:shd w:val="clear" w:color="auto" w:fill="auto"/>
            <w:noWrap/>
            <w:vAlign w:val="bottom"/>
            <w:hideMark/>
          </w:tcPr>
          <w:p w14:paraId="699803BF"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0.000</w:t>
            </w:r>
          </w:p>
        </w:tc>
        <w:tc>
          <w:tcPr>
            <w:tcW w:w="1620" w:type="dxa"/>
            <w:tcBorders>
              <w:top w:val="nil"/>
              <w:left w:val="nil"/>
              <w:bottom w:val="nil"/>
              <w:right w:val="nil"/>
            </w:tcBorders>
            <w:shd w:val="clear" w:color="auto" w:fill="auto"/>
            <w:noWrap/>
            <w:vAlign w:val="bottom"/>
            <w:hideMark/>
          </w:tcPr>
          <w:p w14:paraId="07D492DA"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0.000</w:t>
            </w:r>
          </w:p>
        </w:tc>
        <w:tc>
          <w:tcPr>
            <w:tcW w:w="1620" w:type="dxa"/>
            <w:tcBorders>
              <w:top w:val="nil"/>
              <w:left w:val="nil"/>
              <w:bottom w:val="nil"/>
              <w:right w:val="nil"/>
            </w:tcBorders>
            <w:shd w:val="clear" w:color="auto" w:fill="auto"/>
            <w:noWrap/>
            <w:vAlign w:val="bottom"/>
            <w:hideMark/>
          </w:tcPr>
          <w:p w14:paraId="01126E38"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0.000</w:t>
            </w:r>
          </w:p>
        </w:tc>
        <w:tc>
          <w:tcPr>
            <w:tcW w:w="2070" w:type="dxa"/>
            <w:tcBorders>
              <w:top w:val="nil"/>
              <w:left w:val="nil"/>
              <w:bottom w:val="nil"/>
              <w:right w:val="nil"/>
            </w:tcBorders>
            <w:shd w:val="clear" w:color="auto" w:fill="auto"/>
            <w:noWrap/>
            <w:vAlign w:val="bottom"/>
            <w:hideMark/>
          </w:tcPr>
          <w:p w14:paraId="3B1B1696"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0.645</w:t>
            </w:r>
          </w:p>
        </w:tc>
      </w:tr>
      <w:tr w:rsidR="006F4FAD" w:rsidRPr="00D23517" w14:paraId="5B958379" w14:textId="77777777" w:rsidTr="00102195">
        <w:trPr>
          <w:trHeight w:val="288"/>
        </w:trPr>
        <w:tc>
          <w:tcPr>
            <w:tcW w:w="1890" w:type="dxa"/>
            <w:tcBorders>
              <w:top w:val="nil"/>
              <w:left w:val="nil"/>
              <w:bottom w:val="nil"/>
              <w:right w:val="nil"/>
            </w:tcBorders>
            <w:shd w:val="clear" w:color="auto" w:fill="auto"/>
            <w:noWrap/>
            <w:vAlign w:val="bottom"/>
            <w:hideMark/>
          </w:tcPr>
          <w:p w14:paraId="0722E16F"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NONOPERINC</w:t>
            </w:r>
          </w:p>
        </w:tc>
        <w:tc>
          <w:tcPr>
            <w:tcW w:w="990" w:type="dxa"/>
            <w:tcBorders>
              <w:top w:val="nil"/>
              <w:left w:val="nil"/>
              <w:bottom w:val="nil"/>
              <w:right w:val="nil"/>
            </w:tcBorders>
            <w:shd w:val="clear" w:color="auto" w:fill="auto"/>
            <w:noWrap/>
            <w:vAlign w:val="bottom"/>
            <w:hideMark/>
          </w:tcPr>
          <w:p w14:paraId="602F04A3"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0.008</w:t>
            </w:r>
          </w:p>
        </w:tc>
        <w:tc>
          <w:tcPr>
            <w:tcW w:w="1080" w:type="dxa"/>
            <w:tcBorders>
              <w:top w:val="nil"/>
              <w:left w:val="nil"/>
              <w:bottom w:val="nil"/>
              <w:right w:val="nil"/>
            </w:tcBorders>
            <w:shd w:val="clear" w:color="auto" w:fill="auto"/>
            <w:noWrap/>
            <w:vAlign w:val="bottom"/>
            <w:hideMark/>
          </w:tcPr>
          <w:p w14:paraId="06D1CC97"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0.004</w:t>
            </w:r>
          </w:p>
        </w:tc>
        <w:tc>
          <w:tcPr>
            <w:tcW w:w="1620" w:type="dxa"/>
            <w:tcBorders>
              <w:top w:val="nil"/>
              <w:left w:val="nil"/>
              <w:bottom w:val="nil"/>
              <w:right w:val="nil"/>
            </w:tcBorders>
            <w:shd w:val="clear" w:color="auto" w:fill="auto"/>
            <w:noWrap/>
            <w:vAlign w:val="bottom"/>
            <w:hideMark/>
          </w:tcPr>
          <w:p w14:paraId="39A27B7F"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0.000</w:t>
            </w:r>
          </w:p>
        </w:tc>
        <w:tc>
          <w:tcPr>
            <w:tcW w:w="1620" w:type="dxa"/>
            <w:tcBorders>
              <w:top w:val="nil"/>
              <w:left w:val="nil"/>
              <w:bottom w:val="nil"/>
              <w:right w:val="nil"/>
            </w:tcBorders>
            <w:shd w:val="clear" w:color="auto" w:fill="auto"/>
            <w:noWrap/>
            <w:vAlign w:val="bottom"/>
            <w:hideMark/>
          </w:tcPr>
          <w:p w14:paraId="29688B48"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0.013</w:t>
            </w:r>
          </w:p>
        </w:tc>
        <w:tc>
          <w:tcPr>
            <w:tcW w:w="2070" w:type="dxa"/>
            <w:tcBorders>
              <w:top w:val="nil"/>
              <w:left w:val="nil"/>
              <w:bottom w:val="nil"/>
              <w:right w:val="nil"/>
            </w:tcBorders>
            <w:shd w:val="clear" w:color="auto" w:fill="auto"/>
            <w:noWrap/>
            <w:vAlign w:val="bottom"/>
            <w:hideMark/>
          </w:tcPr>
          <w:p w14:paraId="2AB42253"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0.017</w:t>
            </w:r>
          </w:p>
        </w:tc>
      </w:tr>
      <w:tr w:rsidR="006F4FAD" w:rsidRPr="00D23517" w14:paraId="7AB152E9" w14:textId="77777777" w:rsidTr="00102195">
        <w:trPr>
          <w:trHeight w:val="288"/>
        </w:trPr>
        <w:tc>
          <w:tcPr>
            <w:tcW w:w="1890" w:type="dxa"/>
            <w:tcBorders>
              <w:top w:val="nil"/>
              <w:left w:val="nil"/>
              <w:bottom w:val="nil"/>
              <w:right w:val="nil"/>
            </w:tcBorders>
            <w:shd w:val="clear" w:color="auto" w:fill="auto"/>
            <w:noWrap/>
            <w:vAlign w:val="bottom"/>
            <w:hideMark/>
          </w:tcPr>
          <w:p w14:paraId="11E19113"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OPERINC</w:t>
            </w:r>
          </w:p>
        </w:tc>
        <w:tc>
          <w:tcPr>
            <w:tcW w:w="990" w:type="dxa"/>
            <w:tcBorders>
              <w:top w:val="nil"/>
              <w:left w:val="nil"/>
              <w:bottom w:val="nil"/>
              <w:right w:val="nil"/>
            </w:tcBorders>
            <w:shd w:val="clear" w:color="auto" w:fill="auto"/>
            <w:noWrap/>
            <w:vAlign w:val="bottom"/>
            <w:hideMark/>
          </w:tcPr>
          <w:p w14:paraId="158750C2"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0.038</w:t>
            </w:r>
          </w:p>
        </w:tc>
        <w:tc>
          <w:tcPr>
            <w:tcW w:w="1080" w:type="dxa"/>
            <w:tcBorders>
              <w:top w:val="nil"/>
              <w:left w:val="nil"/>
              <w:bottom w:val="nil"/>
              <w:right w:val="nil"/>
            </w:tcBorders>
            <w:shd w:val="clear" w:color="auto" w:fill="auto"/>
            <w:noWrap/>
            <w:vAlign w:val="bottom"/>
            <w:hideMark/>
          </w:tcPr>
          <w:p w14:paraId="0331E791"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0.072</w:t>
            </w:r>
          </w:p>
        </w:tc>
        <w:tc>
          <w:tcPr>
            <w:tcW w:w="1620" w:type="dxa"/>
            <w:tcBorders>
              <w:top w:val="nil"/>
              <w:left w:val="nil"/>
              <w:bottom w:val="nil"/>
              <w:right w:val="nil"/>
            </w:tcBorders>
            <w:shd w:val="clear" w:color="auto" w:fill="auto"/>
            <w:noWrap/>
            <w:vAlign w:val="bottom"/>
            <w:hideMark/>
          </w:tcPr>
          <w:p w14:paraId="2C8D44EC"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0.011</w:t>
            </w:r>
          </w:p>
        </w:tc>
        <w:tc>
          <w:tcPr>
            <w:tcW w:w="1620" w:type="dxa"/>
            <w:tcBorders>
              <w:top w:val="nil"/>
              <w:left w:val="nil"/>
              <w:bottom w:val="nil"/>
              <w:right w:val="nil"/>
            </w:tcBorders>
            <w:shd w:val="clear" w:color="auto" w:fill="auto"/>
            <w:noWrap/>
            <w:vAlign w:val="bottom"/>
            <w:hideMark/>
          </w:tcPr>
          <w:p w14:paraId="4299E1C3"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0.123</w:t>
            </w:r>
          </w:p>
        </w:tc>
        <w:tc>
          <w:tcPr>
            <w:tcW w:w="2070" w:type="dxa"/>
            <w:tcBorders>
              <w:top w:val="nil"/>
              <w:left w:val="nil"/>
              <w:bottom w:val="nil"/>
              <w:right w:val="nil"/>
            </w:tcBorders>
            <w:shd w:val="clear" w:color="auto" w:fill="auto"/>
            <w:noWrap/>
            <w:vAlign w:val="bottom"/>
            <w:hideMark/>
          </w:tcPr>
          <w:p w14:paraId="2476C005"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0.176</w:t>
            </w:r>
          </w:p>
        </w:tc>
      </w:tr>
      <w:tr w:rsidR="006F4FAD" w:rsidRPr="00D23517" w14:paraId="42B668E9" w14:textId="77777777" w:rsidTr="00102195">
        <w:trPr>
          <w:trHeight w:val="288"/>
        </w:trPr>
        <w:tc>
          <w:tcPr>
            <w:tcW w:w="1890" w:type="dxa"/>
            <w:tcBorders>
              <w:top w:val="nil"/>
              <w:left w:val="nil"/>
              <w:bottom w:val="nil"/>
              <w:right w:val="nil"/>
            </w:tcBorders>
            <w:shd w:val="clear" w:color="auto" w:fill="auto"/>
            <w:noWrap/>
            <w:vAlign w:val="bottom"/>
            <w:hideMark/>
          </w:tcPr>
          <w:p w14:paraId="7FC69F57"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LNAT</w:t>
            </w:r>
          </w:p>
        </w:tc>
        <w:tc>
          <w:tcPr>
            <w:tcW w:w="990" w:type="dxa"/>
            <w:tcBorders>
              <w:top w:val="nil"/>
              <w:left w:val="nil"/>
              <w:bottom w:val="nil"/>
              <w:right w:val="nil"/>
            </w:tcBorders>
            <w:shd w:val="clear" w:color="auto" w:fill="auto"/>
            <w:noWrap/>
            <w:vAlign w:val="bottom"/>
            <w:hideMark/>
          </w:tcPr>
          <w:p w14:paraId="01DBBFA0"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5.829</w:t>
            </w:r>
          </w:p>
        </w:tc>
        <w:tc>
          <w:tcPr>
            <w:tcW w:w="1080" w:type="dxa"/>
            <w:tcBorders>
              <w:top w:val="nil"/>
              <w:left w:val="nil"/>
              <w:bottom w:val="nil"/>
              <w:right w:val="nil"/>
            </w:tcBorders>
            <w:shd w:val="clear" w:color="auto" w:fill="auto"/>
            <w:noWrap/>
            <w:vAlign w:val="bottom"/>
            <w:hideMark/>
          </w:tcPr>
          <w:p w14:paraId="665309B5"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5.671</w:t>
            </w:r>
          </w:p>
        </w:tc>
        <w:tc>
          <w:tcPr>
            <w:tcW w:w="1620" w:type="dxa"/>
            <w:tcBorders>
              <w:top w:val="nil"/>
              <w:left w:val="nil"/>
              <w:bottom w:val="nil"/>
              <w:right w:val="nil"/>
            </w:tcBorders>
            <w:shd w:val="clear" w:color="auto" w:fill="auto"/>
            <w:noWrap/>
            <w:vAlign w:val="bottom"/>
            <w:hideMark/>
          </w:tcPr>
          <w:p w14:paraId="1AA84185"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4.306</w:t>
            </w:r>
          </w:p>
        </w:tc>
        <w:tc>
          <w:tcPr>
            <w:tcW w:w="1620" w:type="dxa"/>
            <w:tcBorders>
              <w:top w:val="nil"/>
              <w:left w:val="nil"/>
              <w:bottom w:val="nil"/>
              <w:right w:val="nil"/>
            </w:tcBorders>
            <w:shd w:val="clear" w:color="auto" w:fill="auto"/>
            <w:noWrap/>
            <w:vAlign w:val="bottom"/>
            <w:hideMark/>
          </w:tcPr>
          <w:p w14:paraId="43E650DA"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7.210</w:t>
            </w:r>
          </w:p>
        </w:tc>
        <w:tc>
          <w:tcPr>
            <w:tcW w:w="2070" w:type="dxa"/>
            <w:tcBorders>
              <w:top w:val="nil"/>
              <w:left w:val="nil"/>
              <w:bottom w:val="nil"/>
              <w:right w:val="nil"/>
            </w:tcBorders>
            <w:shd w:val="clear" w:color="auto" w:fill="auto"/>
            <w:noWrap/>
            <w:vAlign w:val="bottom"/>
            <w:hideMark/>
          </w:tcPr>
          <w:p w14:paraId="75B8843F"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2.100</w:t>
            </w:r>
          </w:p>
        </w:tc>
      </w:tr>
      <w:tr w:rsidR="006F4FAD" w:rsidRPr="00D23517" w14:paraId="4E23336B" w14:textId="77777777" w:rsidTr="00102195">
        <w:trPr>
          <w:trHeight w:val="288"/>
        </w:trPr>
        <w:tc>
          <w:tcPr>
            <w:tcW w:w="1890" w:type="dxa"/>
            <w:tcBorders>
              <w:top w:val="nil"/>
              <w:left w:val="nil"/>
              <w:bottom w:val="nil"/>
              <w:right w:val="nil"/>
            </w:tcBorders>
            <w:shd w:val="clear" w:color="auto" w:fill="auto"/>
            <w:noWrap/>
            <w:vAlign w:val="bottom"/>
            <w:hideMark/>
          </w:tcPr>
          <w:p w14:paraId="6AE38E94"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DEBT</w:t>
            </w:r>
          </w:p>
        </w:tc>
        <w:tc>
          <w:tcPr>
            <w:tcW w:w="990" w:type="dxa"/>
            <w:tcBorders>
              <w:top w:val="nil"/>
              <w:left w:val="nil"/>
              <w:bottom w:val="nil"/>
              <w:right w:val="nil"/>
            </w:tcBorders>
            <w:shd w:val="clear" w:color="auto" w:fill="auto"/>
            <w:noWrap/>
            <w:vAlign w:val="bottom"/>
            <w:hideMark/>
          </w:tcPr>
          <w:p w14:paraId="36E1BF19"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0.172</w:t>
            </w:r>
          </w:p>
        </w:tc>
        <w:tc>
          <w:tcPr>
            <w:tcW w:w="1080" w:type="dxa"/>
            <w:tcBorders>
              <w:top w:val="nil"/>
              <w:left w:val="nil"/>
              <w:bottom w:val="nil"/>
              <w:right w:val="nil"/>
            </w:tcBorders>
            <w:shd w:val="clear" w:color="auto" w:fill="auto"/>
            <w:noWrap/>
            <w:vAlign w:val="bottom"/>
            <w:hideMark/>
          </w:tcPr>
          <w:p w14:paraId="0D6CFB53"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0.119</w:t>
            </w:r>
          </w:p>
        </w:tc>
        <w:tc>
          <w:tcPr>
            <w:tcW w:w="1620" w:type="dxa"/>
            <w:tcBorders>
              <w:top w:val="nil"/>
              <w:left w:val="nil"/>
              <w:bottom w:val="nil"/>
              <w:right w:val="nil"/>
            </w:tcBorders>
            <w:shd w:val="clear" w:color="auto" w:fill="auto"/>
            <w:noWrap/>
            <w:vAlign w:val="bottom"/>
            <w:hideMark/>
          </w:tcPr>
          <w:p w14:paraId="28F25F71"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0.002</w:t>
            </w:r>
          </w:p>
        </w:tc>
        <w:tc>
          <w:tcPr>
            <w:tcW w:w="1620" w:type="dxa"/>
            <w:tcBorders>
              <w:top w:val="nil"/>
              <w:left w:val="nil"/>
              <w:bottom w:val="nil"/>
              <w:right w:val="nil"/>
            </w:tcBorders>
            <w:shd w:val="clear" w:color="auto" w:fill="auto"/>
            <w:noWrap/>
            <w:vAlign w:val="bottom"/>
            <w:hideMark/>
          </w:tcPr>
          <w:p w14:paraId="7544460B"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0.278</w:t>
            </w:r>
          </w:p>
        </w:tc>
        <w:tc>
          <w:tcPr>
            <w:tcW w:w="2070" w:type="dxa"/>
            <w:tcBorders>
              <w:top w:val="nil"/>
              <w:left w:val="nil"/>
              <w:bottom w:val="nil"/>
              <w:right w:val="nil"/>
            </w:tcBorders>
            <w:shd w:val="clear" w:color="auto" w:fill="auto"/>
            <w:noWrap/>
            <w:vAlign w:val="bottom"/>
            <w:hideMark/>
          </w:tcPr>
          <w:p w14:paraId="57400596"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0.189</w:t>
            </w:r>
          </w:p>
        </w:tc>
      </w:tr>
      <w:tr w:rsidR="006F4FAD" w:rsidRPr="00D23517" w14:paraId="70A0DFCF" w14:textId="77777777" w:rsidTr="00102195">
        <w:trPr>
          <w:trHeight w:val="288"/>
        </w:trPr>
        <w:tc>
          <w:tcPr>
            <w:tcW w:w="1890" w:type="dxa"/>
            <w:tcBorders>
              <w:top w:val="nil"/>
              <w:left w:val="nil"/>
              <w:bottom w:val="nil"/>
              <w:right w:val="nil"/>
            </w:tcBorders>
            <w:shd w:val="clear" w:color="auto" w:fill="auto"/>
            <w:noWrap/>
            <w:vAlign w:val="bottom"/>
            <w:hideMark/>
          </w:tcPr>
          <w:p w14:paraId="3778673D"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XRD</w:t>
            </w:r>
          </w:p>
        </w:tc>
        <w:tc>
          <w:tcPr>
            <w:tcW w:w="990" w:type="dxa"/>
            <w:tcBorders>
              <w:top w:val="nil"/>
              <w:left w:val="nil"/>
              <w:bottom w:val="nil"/>
              <w:right w:val="nil"/>
            </w:tcBorders>
            <w:shd w:val="clear" w:color="auto" w:fill="auto"/>
            <w:noWrap/>
            <w:vAlign w:val="bottom"/>
            <w:hideMark/>
          </w:tcPr>
          <w:p w14:paraId="211D610F"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0.050</w:t>
            </w:r>
          </w:p>
        </w:tc>
        <w:tc>
          <w:tcPr>
            <w:tcW w:w="1080" w:type="dxa"/>
            <w:tcBorders>
              <w:top w:val="nil"/>
              <w:left w:val="nil"/>
              <w:bottom w:val="nil"/>
              <w:right w:val="nil"/>
            </w:tcBorders>
            <w:shd w:val="clear" w:color="auto" w:fill="auto"/>
            <w:noWrap/>
            <w:vAlign w:val="bottom"/>
            <w:hideMark/>
          </w:tcPr>
          <w:p w14:paraId="7F214460"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0.003</w:t>
            </w:r>
          </w:p>
        </w:tc>
        <w:tc>
          <w:tcPr>
            <w:tcW w:w="1620" w:type="dxa"/>
            <w:tcBorders>
              <w:top w:val="nil"/>
              <w:left w:val="nil"/>
              <w:bottom w:val="nil"/>
              <w:right w:val="nil"/>
            </w:tcBorders>
            <w:shd w:val="clear" w:color="auto" w:fill="auto"/>
            <w:noWrap/>
            <w:vAlign w:val="bottom"/>
            <w:hideMark/>
          </w:tcPr>
          <w:p w14:paraId="3A492577"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0.000</w:t>
            </w:r>
          </w:p>
        </w:tc>
        <w:tc>
          <w:tcPr>
            <w:tcW w:w="1620" w:type="dxa"/>
            <w:tcBorders>
              <w:top w:val="nil"/>
              <w:left w:val="nil"/>
              <w:bottom w:val="nil"/>
              <w:right w:val="nil"/>
            </w:tcBorders>
            <w:shd w:val="clear" w:color="auto" w:fill="auto"/>
            <w:noWrap/>
            <w:vAlign w:val="bottom"/>
            <w:hideMark/>
          </w:tcPr>
          <w:p w14:paraId="232F132F"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0.059</w:t>
            </w:r>
          </w:p>
        </w:tc>
        <w:tc>
          <w:tcPr>
            <w:tcW w:w="2070" w:type="dxa"/>
            <w:tcBorders>
              <w:top w:val="nil"/>
              <w:left w:val="nil"/>
              <w:bottom w:val="nil"/>
              <w:right w:val="nil"/>
            </w:tcBorders>
            <w:shd w:val="clear" w:color="auto" w:fill="auto"/>
            <w:noWrap/>
            <w:vAlign w:val="bottom"/>
            <w:hideMark/>
          </w:tcPr>
          <w:p w14:paraId="5FFFBA74"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0.106</w:t>
            </w:r>
          </w:p>
        </w:tc>
      </w:tr>
      <w:tr w:rsidR="006F4FAD" w:rsidRPr="00D23517" w14:paraId="2FC44BB2" w14:textId="77777777" w:rsidTr="00102195">
        <w:trPr>
          <w:trHeight w:val="288"/>
        </w:trPr>
        <w:tc>
          <w:tcPr>
            <w:tcW w:w="1890" w:type="dxa"/>
            <w:tcBorders>
              <w:top w:val="nil"/>
              <w:left w:val="nil"/>
              <w:bottom w:val="nil"/>
              <w:right w:val="nil"/>
            </w:tcBorders>
            <w:shd w:val="clear" w:color="auto" w:fill="auto"/>
            <w:noWrap/>
            <w:vAlign w:val="bottom"/>
            <w:hideMark/>
          </w:tcPr>
          <w:p w14:paraId="66B70913"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XAD</w:t>
            </w:r>
          </w:p>
        </w:tc>
        <w:tc>
          <w:tcPr>
            <w:tcW w:w="990" w:type="dxa"/>
            <w:tcBorders>
              <w:top w:val="nil"/>
              <w:left w:val="nil"/>
              <w:bottom w:val="nil"/>
              <w:right w:val="nil"/>
            </w:tcBorders>
            <w:shd w:val="clear" w:color="auto" w:fill="auto"/>
            <w:noWrap/>
            <w:vAlign w:val="bottom"/>
            <w:hideMark/>
          </w:tcPr>
          <w:p w14:paraId="16E407EE"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0.014</w:t>
            </w:r>
          </w:p>
        </w:tc>
        <w:tc>
          <w:tcPr>
            <w:tcW w:w="1080" w:type="dxa"/>
            <w:tcBorders>
              <w:top w:val="nil"/>
              <w:left w:val="nil"/>
              <w:bottom w:val="nil"/>
              <w:right w:val="nil"/>
            </w:tcBorders>
            <w:shd w:val="clear" w:color="auto" w:fill="auto"/>
            <w:noWrap/>
            <w:vAlign w:val="bottom"/>
            <w:hideMark/>
          </w:tcPr>
          <w:p w14:paraId="4510E9C3"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0.000</w:t>
            </w:r>
          </w:p>
        </w:tc>
        <w:tc>
          <w:tcPr>
            <w:tcW w:w="1620" w:type="dxa"/>
            <w:tcBorders>
              <w:top w:val="nil"/>
              <w:left w:val="nil"/>
              <w:bottom w:val="nil"/>
              <w:right w:val="nil"/>
            </w:tcBorders>
            <w:shd w:val="clear" w:color="auto" w:fill="auto"/>
            <w:noWrap/>
            <w:vAlign w:val="bottom"/>
            <w:hideMark/>
          </w:tcPr>
          <w:p w14:paraId="34E4AF70"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0.000</w:t>
            </w:r>
          </w:p>
        </w:tc>
        <w:tc>
          <w:tcPr>
            <w:tcW w:w="1620" w:type="dxa"/>
            <w:tcBorders>
              <w:top w:val="nil"/>
              <w:left w:val="nil"/>
              <w:bottom w:val="nil"/>
              <w:right w:val="nil"/>
            </w:tcBorders>
            <w:shd w:val="clear" w:color="auto" w:fill="auto"/>
            <w:noWrap/>
            <w:vAlign w:val="bottom"/>
            <w:hideMark/>
          </w:tcPr>
          <w:p w14:paraId="442B2E1C"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0.007</w:t>
            </w:r>
          </w:p>
        </w:tc>
        <w:tc>
          <w:tcPr>
            <w:tcW w:w="2070" w:type="dxa"/>
            <w:tcBorders>
              <w:top w:val="nil"/>
              <w:left w:val="nil"/>
              <w:bottom w:val="nil"/>
              <w:right w:val="nil"/>
            </w:tcBorders>
            <w:shd w:val="clear" w:color="auto" w:fill="auto"/>
            <w:noWrap/>
            <w:vAlign w:val="bottom"/>
            <w:hideMark/>
          </w:tcPr>
          <w:p w14:paraId="4794BA85"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0.048</w:t>
            </w:r>
          </w:p>
        </w:tc>
      </w:tr>
      <w:tr w:rsidR="006F4FAD" w:rsidRPr="00D23517" w14:paraId="420C8C87" w14:textId="77777777" w:rsidTr="00102195">
        <w:trPr>
          <w:trHeight w:val="288"/>
        </w:trPr>
        <w:tc>
          <w:tcPr>
            <w:tcW w:w="1890" w:type="dxa"/>
            <w:tcBorders>
              <w:top w:val="nil"/>
              <w:left w:val="nil"/>
              <w:bottom w:val="nil"/>
              <w:right w:val="nil"/>
            </w:tcBorders>
            <w:shd w:val="clear" w:color="auto" w:fill="auto"/>
            <w:noWrap/>
            <w:vAlign w:val="bottom"/>
            <w:hideMark/>
          </w:tcPr>
          <w:p w14:paraId="1898BB2A"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MKTCON</w:t>
            </w:r>
          </w:p>
        </w:tc>
        <w:tc>
          <w:tcPr>
            <w:tcW w:w="990" w:type="dxa"/>
            <w:tcBorders>
              <w:top w:val="nil"/>
              <w:left w:val="nil"/>
              <w:bottom w:val="nil"/>
              <w:right w:val="nil"/>
            </w:tcBorders>
            <w:shd w:val="clear" w:color="auto" w:fill="auto"/>
            <w:noWrap/>
            <w:vAlign w:val="bottom"/>
            <w:hideMark/>
          </w:tcPr>
          <w:p w14:paraId="36510962"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0.111</w:t>
            </w:r>
          </w:p>
        </w:tc>
        <w:tc>
          <w:tcPr>
            <w:tcW w:w="1080" w:type="dxa"/>
            <w:tcBorders>
              <w:top w:val="nil"/>
              <w:left w:val="nil"/>
              <w:bottom w:val="nil"/>
              <w:right w:val="nil"/>
            </w:tcBorders>
            <w:shd w:val="clear" w:color="auto" w:fill="auto"/>
            <w:noWrap/>
            <w:vAlign w:val="bottom"/>
            <w:hideMark/>
          </w:tcPr>
          <w:p w14:paraId="5DE1C73F"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0.078</w:t>
            </w:r>
          </w:p>
        </w:tc>
        <w:tc>
          <w:tcPr>
            <w:tcW w:w="1620" w:type="dxa"/>
            <w:tcBorders>
              <w:top w:val="nil"/>
              <w:left w:val="nil"/>
              <w:bottom w:val="nil"/>
              <w:right w:val="nil"/>
            </w:tcBorders>
            <w:shd w:val="clear" w:color="auto" w:fill="auto"/>
            <w:noWrap/>
            <w:vAlign w:val="bottom"/>
            <w:hideMark/>
          </w:tcPr>
          <w:p w14:paraId="39A5A323"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0.060</w:t>
            </w:r>
          </w:p>
        </w:tc>
        <w:tc>
          <w:tcPr>
            <w:tcW w:w="1620" w:type="dxa"/>
            <w:tcBorders>
              <w:top w:val="nil"/>
              <w:left w:val="nil"/>
              <w:bottom w:val="nil"/>
              <w:right w:val="nil"/>
            </w:tcBorders>
            <w:shd w:val="clear" w:color="auto" w:fill="auto"/>
            <w:noWrap/>
            <w:vAlign w:val="bottom"/>
            <w:hideMark/>
          </w:tcPr>
          <w:p w14:paraId="22705B18"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0.116</w:t>
            </w:r>
          </w:p>
        </w:tc>
        <w:tc>
          <w:tcPr>
            <w:tcW w:w="2070" w:type="dxa"/>
            <w:tcBorders>
              <w:top w:val="nil"/>
              <w:left w:val="nil"/>
              <w:bottom w:val="nil"/>
              <w:right w:val="nil"/>
            </w:tcBorders>
            <w:shd w:val="clear" w:color="auto" w:fill="auto"/>
            <w:noWrap/>
            <w:vAlign w:val="bottom"/>
            <w:hideMark/>
          </w:tcPr>
          <w:p w14:paraId="4B637857"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0.101</w:t>
            </w:r>
          </w:p>
        </w:tc>
      </w:tr>
      <w:tr w:rsidR="006F4FAD" w:rsidRPr="00D23517" w14:paraId="7DF1A5DE" w14:textId="77777777" w:rsidTr="00102195">
        <w:trPr>
          <w:trHeight w:val="288"/>
        </w:trPr>
        <w:tc>
          <w:tcPr>
            <w:tcW w:w="1890" w:type="dxa"/>
            <w:tcBorders>
              <w:top w:val="nil"/>
              <w:left w:val="nil"/>
              <w:bottom w:val="nil"/>
              <w:right w:val="nil"/>
            </w:tcBorders>
            <w:shd w:val="clear" w:color="auto" w:fill="auto"/>
            <w:noWrap/>
            <w:vAlign w:val="bottom"/>
            <w:hideMark/>
          </w:tcPr>
          <w:p w14:paraId="7677F899"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INSTOWN_TRA</w:t>
            </w:r>
          </w:p>
        </w:tc>
        <w:tc>
          <w:tcPr>
            <w:tcW w:w="990" w:type="dxa"/>
            <w:tcBorders>
              <w:top w:val="nil"/>
              <w:left w:val="nil"/>
              <w:bottom w:val="nil"/>
              <w:right w:val="nil"/>
            </w:tcBorders>
            <w:shd w:val="clear" w:color="auto" w:fill="auto"/>
            <w:noWrap/>
            <w:vAlign w:val="bottom"/>
          </w:tcPr>
          <w:p w14:paraId="7388F273"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0.107</w:t>
            </w:r>
          </w:p>
        </w:tc>
        <w:tc>
          <w:tcPr>
            <w:tcW w:w="1080" w:type="dxa"/>
            <w:tcBorders>
              <w:top w:val="nil"/>
              <w:left w:val="nil"/>
              <w:bottom w:val="nil"/>
              <w:right w:val="nil"/>
            </w:tcBorders>
            <w:shd w:val="clear" w:color="auto" w:fill="auto"/>
            <w:noWrap/>
            <w:vAlign w:val="bottom"/>
          </w:tcPr>
          <w:p w14:paraId="67CA2321"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0.070</w:t>
            </w:r>
          </w:p>
        </w:tc>
        <w:tc>
          <w:tcPr>
            <w:tcW w:w="1620" w:type="dxa"/>
            <w:tcBorders>
              <w:top w:val="nil"/>
              <w:left w:val="nil"/>
              <w:bottom w:val="nil"/>
              <w:right w:val="nil"/>
            </w:tcBorders>
            <w:shd w:val="clear" w:color="auto" w:fill="auto"/>
            <w:noWrap/>
            <w:vAlign w:val="bottom"/>
          </w:tcPr>
          <w:p w14:paraId="50B2A4D8"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0.011</w:t>
            </w:r>
          </w:p>
        </w:tc>
        <w:tc>
          <w:tcPr>
            <w:tcW w:w="1620" w:type="dxa"/>
            <w:tcBorders>
              <w:top w:val="nil"/>
              <w:left w:val="nil"/>
              <w:bottom w:val="nil"/>
              <w:right w:val="nil"/>
            </w:tcBorders>
            <w:shd w:val="clear" w:color="auto" w:fill="auto"/>
            <w:noWrap/>
            <w:vAlign w:val="bottom"/>
          </w:tcPr>
          <w:p w14:paraId="706AD5F9"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0.164</w:t>
            </w:r>
          </w:p>
        </w:tc>
        <w:tc>
          <w:tcPr>
            <w:tcW w:w="2070" w:type="dxa"/>
            <w:tcBorders>
              <w:top w:val="nil"/>
              <w:left w:val="nil"/>
              <w:bottom w:val="nil"/>
              <w:right w:val="nil"/>
            </w:tcBorders>
            <w:shd w:val="clear" w:color="auto" w:fill="auto"/>
            <w:noWrap/>
            <w:vAlign w:val="bottom"/>
          </w:tcPr>
          <w:p w14:paraId="4D9F93B0"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0.120</w:t>
            </w:r>
          </w:p>
        </w:tc>
      </w:tr>
      <w:tr w:rsidR="006F4FAD" w:rsidRPr="00D23517" w14:paraId="02D63B65" w14:textId="77777777" w:rsidTr="00102195">
        <w:trPr>
          <w:trHeight w:val="288"/>
        </w:trPr>
        <w:tc>
          <w:tcPr>
            <w:tcW w:w="1890" w:type="dxa"/>
            <w:tcBorders>
              <w:top w:val="nil"/>
              <w:left w:val="nil"/>
              <w:bottom w:val="nil"/>
              <w:right w:val="nil"/>
            </w:tcBorders>
            <w:shd w:val="clear" w:color="auto" w:fill="auto"/>
            <w:noWrap/>
            <w:vAlign w:val="bottom"/>
          </w:tcPr>
          <w:p w14:paraId="3A753B2C"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INSTOWN_QIX</w:t>
            </w:r>
          </w:p>
        </w:tc>
        <w:tc>
          <w:tcPr>
            <w:tcW w:w="990" w:type="dxa"/>
            <w:tcBorders>
              <w:top w:val="nil"/>
              <w:left w:val="nil"/>
              <w:bottom w:val="nil"/>
              <w:right w:val="nil"/>
            </w:tcBorders>
            <w:shd w:val="clear" w:color="auto" w:fill="auto"/>
            <w:noWrap/>
            <w:vAlign w:val="bottom"/>
          </w:tcPr>
          <w:p w14:paraId="3E6BD4D6" w14:textId="77777777" w:rsidR="006F4FAD" w:rsidRPr="00D23517" w:rsidRDefault="006F4FAD"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0.249</w:t>
            </w:r>
          </w:p>
        </w:tc>
        <w:tc>
          <w:tcPr>
            <w:tcW w:w="1080" w:type="dxa"/>
            <w:tcBorders>
              <w:top w:val="nil"/>
              <w:left w:val="nil"/>
              <w:bottom w:val="nil"/>
              <w:right w:val="nil"/>
            </w:tcBorders>
            <w:shd w:val="clear" w:color="auto" w:fill="auto"/>
            <w:noWrap/>
            <w:vAlign w:val="bottom"/>
          </w:tcPr>
          <w:p w14:paraId="49D0E504" w14:textId="77777777" w:rsidR="006F4FAD" w:rsidRPr="00D23517" w:rsidRDefault="006F4FAD"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0.188</w:t>
            </w:r>
          </w:p>
        </w:tc>
        <w:tc>
          <w:tcPr>
            <w:tcW w:w="1620" w:type="dxa"/>
            <w:tcBorders>
              <w:top w:val="nil"/>
              <w:left w:val="nil"/>
              <w:bottom w:val="nil"/>
              <w:right w:val="nil"/>
            </w:tcBorders>
            <w:shd w:val="clear" w:color="auto" w:fill="auto"/>
            <w:noWrap/>
            <w:vAlign w:val="bottom"/>
          </w:tcPr>
          <w:p w14:paraId="6DEEAB09" w14:textId="77777777" w:rsidR="006F4FAD" w:rsidRPr="00D23517" w:rsidRDefault="006F4FAD"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0.049</w:t>
            </w:r>
          </w:p>
        </w:tc>
        <w:tc>
          <w:tcPr>
            <w:tcW w:w="1620" w:type="dxa"/>
            <w:tcBorders>
              <w:top w:val="nil"/>
              <w:left w:val="nil"/>
              <w:bottom w:val="nil"/>
              <w:right w:val="nil"/>
            </w:tcBorders>
            <w:shd w:val="clear" w:color="auto" w:fill="auto"/>
            <w:noWrap/>
            <w:vAlign w:val="bottom"/>
          </w:tcPr>
          <w:p w14:paraId="78245747" w14:textId="77777777" w:rsidR="006F4FAD" w:rsidRPr="00D23517" w:rsidRDefault="006F4FAD"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0.399</w:t>
            </w:r>
          </w:p>
        </w:tc>
        <w:tc>
          <w:tcPr>
            <w:tcW w:w="2070" w:type="dxa"/>
            <w:tcBorders>
              <w:top w:val="nil"/>
              <w:left w:val="nil"/>
              <w:bottom w:val="nil"/>
              <w:right w:val="nil"/>
            </w:tcBorders>
            <w:shd w:val="clear" w:color="auto" w:fill="auto"/>
            <w:noWrap/>
            <w:vAlign w:val="bottom"/>
          </w:tcPr>
          <w:p w14:paraId="253524EC" w14:textId="77777777" w:rsidR="006F4FAD" w:rsidRPr="00D23517" w:rsidRDefault="006F4FAD"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0.235</w:t>
            </w:r>
          </w:p>
        </w:tc>
      </w:tr>
      <w:tr w:rsidR="006F4FAD" w:rsidRPr="00D23517" w14:paraId="2C4B6C8F" w14:textId="77777777" w:rsidTr="00102195">
        <w:trPr>
          <w:trHeight w:val="288"/>
        </w:trPr>
        <w:tc>
          <w:tcPr>
            <w:tcW w:w="1890" w:type="dxa"/>
            <w:tcBorders>
              <w:top w:val="nil"/>
              <w:left w:val="nil"/>
              <w:bottom w:val="nil"/>
              <w:right w:val="nil"/>
            </w:tcBorders>
            <w:shd w:val="clear" w:color="auto" w:fill="auto"/>
            <w:noWrap/>
            <w:vAlign w:val="bottom"/>
          </w:tcPr>
          <w:p w14:paraId="6FB13402"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INSTOWN_DED</w:t>
            </w:r>
          </w:p>
        </w:tc>
        <w:tc>
          <w:tcPr>
            <w:tcW w:w="990" w:type="dxa"/>
            <w:tcBorders>
              <w:top w:val="nil"/>
              <w:left w:val="nil"/>
              <w:bottom w:val="nil"/>
              <w:right w:val="nil"/>
            </w:tcBorders>
            <w:shd w:val="clear" w:color="auto" w:fill="auto"/>
            <w:noWrap/>
            <w:vAlign w:val="bottom"/>
          </w:tcPr>
          <w:p w14:paraId="7C2511E8"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0.058</w:t>
            </w:r>
          </w:p>
        </w:tc>
        <w:tc>
          <w:tcPr>
            <w:tcW w:w="1080" w:type="dxa"/>
            <w:tcBorders>
              <w:top w:val="nil"/>
              <w:left w:val="nil"/>
              <w:bottom w:val="nil"/>
              <w:right w:val="nil"/>
            </w:tcBorders>
            <w:shd w:val="clear" w:color="auto" w:fill="auto"/>
            <w:noWrap/>
            <w:vAlign w:val="bottom"/>
          </w:tcPr>
          <w:p w14:paraId="352CF8AD"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0.011</w:t>
            </w:r>
          </w:p>
        </w:tc>
        <w:tc>
          <w:tcPr>
            <w:tcW w:w="1620" w:type="dxa"/>
            <w:tcBorders>
              <w:top w:val="nil"/>
              <w:left w:val="nil"/>
              <w:bottom w:val="nil"/>
              <w:right w:val="nil"/>
            </w:tcBorders>
            <w:shd w:val="clear" w:color="auto" w:fill="auto"/>
            <w:noWrap/>
            <w:vAlign w:val="bottom"/>
          </w:tcPr>
          <w:p w14:paraId="194CE762"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0.000</w:t>
            </w:r>
          </w:p>
        </w:tc>
        <w:tc>
          <w:tcPr>
            <w:tcW w:w="1620" w:type="dxa"/>
            <w:tcBorders>
              <w:top w:val="nil"/>
              <w:left w:val="nil"/>
              <w:bottom w:val="nil"/>
              <w:right w:val="nil"/>
            </w:tcBorders>
            <w:shd w:val="clear" w:color="auto" w:fill="auto"/>
            <w:noWrap/>
            <w:vAlign w:val="bottom"/>
          </w:tcPr>
          <w:p w14:paraId="3655489C"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0.085</w:t>
            </w:r>
          </w:p>
        </w:tc>
        <w:tc>
          <w:tcPr>
            <w:tcW w:w="2070" w:type="dxa"/>
            <w:tcBorders>
              <w:top w:val="nil"/>
              <w:left w:val="nil"/>
              <w:bottom w:val="nil"/>
              <w:right w:val="nil"/>
            </w:tcBorders>
            <w:shd w:val="clear" w:color="auto" w:fill="auto"/>
            <w:noWrap/>
            <w:vAlign w:val="bottom"/>
          </w:tcPr>
          <w:p w14:paraId="00CF5062"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0.093</w:t>
            </w:r>
          </w:p>
        </w:tc>
      </w:tr>
      <w:tr w:rsidR="006F4FAD" w:rsidRPr="00D23517" w14:paraId="6650B843" w14:textId="77777777" w:rsidTr="00102195">
        <w:trPr>
          <w:trHeight w:val="288"/>
        </w:trPr>
        <w:tc>
          <w:tcPr>
            <w:tcW w:w="1890" w:type="dxa"/>
            <w:tcBorders>
              <w:top w:val="nil"/>
              <w:left w:val="nil"/>
              <w:bottom w:val="nil"/>
              <w:right w:val="nil"/>
            </w:tcBorders>
            <w:shd w:val="clear" w:color="auto" w:fill="auto"/>
            <w:noWrap/>
            <w:vAlign w:val="bottom"/>
          </w:tcPr>
          <w:p w14:paraId="64908330"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SKILL</w:t>
            </w:r>
          </w:p>
        </w:tc>
        <w:tc>
          <w:tcPr>
            <w:tcW w:w="990" w:type="dxa"/>
            <w:tcBorders>
              <w:top w:val="nil"/>
              <w:left w:val="nil"/>
              <w:bottom w:val="nil"/>
              <w:right w:val="nil"/>
            </w:tcBorders>
            <w:shd w:val="clear" w:color="auto" w:fill="auto"/>
            <w:noWrap/>
            <w:vAlign w:val="bottom"/>
          </w:tcPr>
          <w:p w14:paraId="1705BA98"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0.265</w:t>
            </w:r>
          </w:p>
        </w:tc>
        <w:tc>
          <w:tcPr>
            <w:tcW w:w="1080" w:type="dxa"/>
            <w:tcBorders>
              <w:top w:val="nil"/>
              <w:left w:val="nil"/>
              <w:bottom w:val="nil"/>
              <w:right w:val="nil"/>
            </w:tcBorders>
            <w:shd w:val="clear" w:color="auto" w:fill="auto"/>
            <w:noWrap/>
            <w:vAlign w:val="bottom"/>
          </w:tcPr>
          <w:p w14:paraId="51D41576"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0.000</w:t>
            </w:r>
          </w:p>
        </w:tc>
        <w:tc>
          <w:tcPr>
            <w:tcW w:w="1620" w:type="dxa"/>
            <w:tcBorders>
              <w:top w:val="nil"/>
              <w:left w:val="nil"/>
              <w:bottom w:val="nil"/>
              <w:right w:val="nil"/>
            </w:tcBorders>
            <w:shd w:val="clear" w:color="auto" w:fill="auto"/>
            <w:noWrap/>
            <w:vAlign w:val="bottom"/>
          </w:tcPr>
          <w:p w14:paraId="50482B34"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0.000</w:t>
            </w:r>
          </w:p>
        </w:tc>
        <w:tc>
          <w:tcPr>
            <w:tcW w:w="1620" w:type="dxa"/>
            <w:tcBorders>
              <w:top w:val="nil"/>
              <w:left w:val="nil"/>
              <w:bottom w:val="nil"/>
              <w:right w:val="nil"/>
            </w:tcBorders>
            <w:shd w:val="clear" w:color="auto" w:fill="auto"/>
            <w:noWrap/>
            <w:vAlign w:val="bottom"/>
          </w:tcPr>
          <w:p w14:paraId="7BAE53D6"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1.000</w:t>
            </w:r>
          </w:p>
        </w:tc>
        <w:tc>
          <w:tcPr>
            <w:tcW w:w="2070" w:type="dxa"/>
            <w:tcBorders>
              <w:top w:val="nil"/>
              <w:left w:val="nil"/>
              <w:bottom w:val="nil"/>
              <w:right w:val="nil"/>
            </w:tcBorders>
            <w:shd w:val="clear" w:color="auto" w:fill="auto"/>
            <w:noWrap/>
            <w:vAlign w:val="bottom"/>
          </w:tcPr>
          <w:p w14:paraId="69D332CC"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0.442</w:t>
            </w:r>
          </w:p>
        </w:tc>
      </w:tr>
      <w:tr w:rsidR="006F4FAD" w:rsidRPr="00D23517" w14:paraId="4B5DD61F" w14:textId="77777777" w:rsidTr="00102195">
        <w:trPr>
          <w:trHeight w:val="288"/>
        </w:trPr>
        <w:tc>
          <w:tcPr>
            <w:tcW w:w="1890" w:type="dxa"/>
            <w:tcBorders>
              <w:top w:val="nil"/>
              <w:left w:val="nil"/>
              <w:bottom w:val="nil"/>
              <w:right w:val="nil"/>
            </w:tcBorders>
            <w:shd w:val="clear" w:color="auto" w:fill="auto"/>
            <w:noWrap/>
            <w:vAlign w:val="bottom"/>
            <w:hideMark/>
          </w:tcPr>
          <w:p w14:paraId="41B9E1B8"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TURNOVER</w:t>
            </w:r>
          </w:p>
        </w:tc>
        <w:tc>
          <w:tcPr>
            <w:tcW w:w="990" w:type="dxa"/>
            <w:tcBorders>
              <w:top w:val="nil"/>
              <w:left w:val="nil"/>
              <w:bottom w:val="nil"/>
              <w:right w:val="nil"/>
            </w:tcBorders>
            <w:shd w:val="clear" w:color="auto" w:fill="auto"/>
            <w:noWrap/>
            <w:vAlign w:val="bottom"/>
            <w:hideMark/>
          </w:tcPr>
          <w:p w14:paraId="13152198"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13.696</w:t>
            </w:r>
          </w:p>
        </w:tc>
        <w:tc>
          <w:tcPr>
            <w:tcW w:w="1080" w:type="dxa"/>
            <w:tcBorders>
              <w:top w:val="nil"/>
              <w:left w:val="nil"/>
              <w:bottom w:val="nil"/>
              <w:right w:val="nil"/>
            </w:tcBorders>
            <w:shd w:val="clear" w:color="auto" w:fill="auto"/>
            <w:noWrap/>
            <w:vAlign w:val="bottom"/>
            <w:hideMark/>
          </w:tcPr>
          <w:p w14:paraId="2CB67E37"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13.833</w:t>
            </w:r>
          </w:p>
        </w:tc>
        <w:tc>
          <w:tcPr>
            <w:tcW w:w="1620" w:type="dxa"/>
            <w:tcBorders>
              <w:top w:val="nil"/>
              <w:left w:val="nil"/>
              <w:bottom w:val="nil"/>
              <w:right w:val="nil"/>
            </w:tcBorders>
            <w:shd w:val="clear" w:color="auto" w:fill="auto"/>
            <w:noWrap/>
            <w:vAlign w:val="bottom"/>
            <w:hideMark/>
          </w:tcPr>
          <w:p w14:paraId="7014CE15"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13.006</w:t>
            </w:r>
          </w:p>
        </w:tc>
        <w:tc>
          <w:tcPr>
            <w:tcW w:w="1620" w:type="dxa"/>
            <w:tcBorders>
              <w:top w:val="nil"/>
              <w:left w:val="nil"/>
              <w:bottom w:val="nil"/>
              <w:right w:val="nil"/>
            </w:tcBorders>
            <w:shd w:val="clear" w:color="auto" w:fill="auto"/>
            <w:noWrap/>
            <w:vAlign w:val="bottom"/>
            <w:hideMark/>
          </w:tcPr>
          <w:p w14:paraId="6932EE1E"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14.550</w:t>
            </w:r>
          </w:p>
        </w:tc>
        <w:tc>
          <w:tcPr>
            <w:tcW w:w="2070" w:type="dxa"/>
            <w:tcBorders>
              <w:top w:val="nil"/>
              <w:left w:val="nil"/>
              <w:bottom w:val="nil"/>
              <w:right w:val="nil"/>
            </w:tcBorders>
            <w:shd w:val="clear" w:color="auto" w:fill="auto"/>
            <w:noWrap/>
            <w:vAlign w:val="bottom"/>
            <w:hideMark/>
          </w:tcPr>
          <w:p w14:paraId="61E5E3B7"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1.198</w:t>
            </w:r>
          </w:p>
        </w:tc>
      </w:tr>
      <w:tr w:rsidR="006F4FAD" w:rsidRPr="00D23517" w14:paraId="4E54788D" w14:textId="77777777" w:rsidTr="00102195">
        <w:trPr>
          <w:trHeight w:val="288"/>
        </w:trPr>
        <w:tc>
          <w:tcPr>
            <w:tcW w:w="1890" w:type="dxa"/>
            <w:tcBorders>
              <w:top w:val="nil"/>
              <w:left w:val="nil"/>
              <w:bottom w:val="nil"/>
              <w:right w:val="nil"/>
            </w:tcBorders>
            <w:shd w:val="clear" w:color="auto" w:fill="auto"/>
            <w:noWrap/>
            <w:vAlign w:val="bottom"/>
            <w:hideMark/>
          </w:tcPr>
          <w:p w14:paraId="69EC39A7"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MKBK</w:t>
            </w:r>
          </w:p>
        </w:tc>
        <w:tc>
          <w:tcPr>
            <w:tcW w:w="990" w:type="dxa"/>
            <w:tcBorders>
              <w:top w:val="nil"/>
              <w:left w:val="nil"/>
              <w:bottom w:val="nil"/>
              <w:right w:val="nil"/>
            </w:tcBorders>
            <w:shd w:val="clear" w:color="auto" w:fill="auto"/>
            <w:noWrap/>
            <w:vAlign w:val="bottom"/>
            <w:hideMark/>
          </w:tcPr>
          <w:p w14:paraId="266CA611"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2.978</w:t>
            </w:r>
          </w:p>
        </w:tc>
        <w:tc>
          <w:tcPr>
            <w:tcW w:w="1080" w:type="dxa"/>
            <w:tcBorders>
              <w:top w:val="nil"/>
              <w:left w:val="nil"/>
              <w:bottom w:val="nil"/>
              <w:right w:val="nil"/>
            </w:tcBorders>
            <w:shd w:val="clear" w:color="auto" w:fill="auto"/>
            <w:noWrap/>
            <w:vAlign w:val="bottom"/>
            <w:hideMark/>
          </w:tcPr>
          <w:p w14:paraId="312BB152"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2.017</w:t>
            </w:r>
          </w:p>
        </w:tc>
        <w:tc>
          <w:tcPr>
            <w:tcW w:w="1620" w:type="dxa"/>
            <w:tcBorders>
              <w:top w:val="nil"/>
              <w:left w:val="nil"/>
              <w:bottom w:val="nil"/>
              <w:right w:val="nil"/>
            </w:tcBorders>
            <w:shd w:val="clear" w:color="auto" w:fill="auto"/>
            <w:noWrap/>
            <w:vAlign w:val="bottom"/>
            <w:hideMark/>
          </w:tcPr>
          <w:p w14:paraId="743E53C7"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1.192</w:t>
            </w:r>
          </w:p>
        </w:tc>
        <w:tc>
          <w:tcPr>
            <w:tcW w:w="1620" w:type="dxa"/>
            <w:tcBorders>
              <w:top w:val="nil"/>
              <w:left w:val="nil"/>
              <w:bottom w:val="nil"/>
              <w:right w:val="nil"/>
            </w:tcBorders>
            <w:shd w:val="clear" w:color="auto" w:fill="auto"/>
            <w:noWrap/>
            <w:vAlign w:val="bottom"/>
            <w:hideMark/>
          </w:tcPr>
          <w:p w14:paraId="1620F3F4"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3.513</w:t>
            </w:r>
          </w:p>
        </w:tc>
        <w:tc>
          <w:tcPr>
            <w:tcW w:w="2070" w:type="dxa"/>
            <w:tcBorders>
              <w:top w:val="nil"/>
              <w:left w:val="nil"/>
              <w:bottom w:val="nil"/>
              <w:right w:val="nil"/>
            </w:tcBorders>
            <w:shd w:val="clear" w:color="auto" w:fill="auto"/>
            <w:noWrap/>
            <w:vAlign w:val="bottom"/>
            <w:hideMark/>
          </w:tcPr>
          <w:p w14:paraId="093B9875"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3.804</w:t>
            </w:r>
          </w:p>
        </w:tc>
      </w:tr>
      <w:tr w:rsidR="006F4FAD" w:rsidRPr="00D23517" w14:paraId="69E45A4E" w14:textId="77777777" w:rsidTr="00102195">
        <w:trPr>
          <w:trHeight w:val="288"/>
        </w:trPr>
        <w:tc>
          <w:tcPr>
            <w:tcW w:w="1890" w:type="dxa"/>
            <w:tcBorders>
              <w:top w:val="nil"/>
              <w:left w:val="nil"/>
              <w:bottom w:val="nil"/>
              <w:right w:val="nil"/>
            </w:tcBorders>
            <w:shd w:val="clear" w:color="auto" w:fill="auto"/>
            <w:noWrap/>
            <w:vAlign w:val="bottom"/>
            <w:hideMark/>
          </w:tcPr>
          <w:p w14:paraId="19A18DF8"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RET</w:t>
            </w:r>
          </w:p>
        </w:tc>
        <w:tc>
          <w:tcPr>
            <w:tcW w:w="990" w:type="dxa"/>
            <w:tcBorders>
              <w:top w:val="nil"/>
              <w:left w:val="nil"/>
              <w:bottom w:val="nil"/>
              <w:right w:val="nil"/>
            </w:tcBorders>
            <w:shd w:val="clear" w:color="auto" w:fill="auto"/>
            <w:noWrap/>
            <w:vAlign w:val="bottom"/>
            <w:hideMark/>
          </w:tcPr>
          <w:p w14:paraId="65D02747"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0.000</w:t>
            </w:r>
          </w:p>
        </w:tc>
        <w:tc>
          <w:tcPr>
            <w:tcW w:w="1080" w:type="dxa"/>
            <w:tcBorders>
              <w:top w:val="nil"/>
              <w:left w:val="nil"/>
              <w:bottom w:val="nil"/>
              <w:right w:val="nil"/>
            </w:tcBorders>
            <w:shd w:val="clear" w:color="auto" w:fill="auto"/>
            <w:noWrap/>
            <w:vAlign w:val="bottom"/>
            <w:hideMark/>
          </w:tcPr>
          <w:p w14:paraId="7D7FB3DE"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0.000</w:t>
            </w:r>
          </w:p>
        </w:tc>
        <w:tc>
          <w:tcPr>
            <w:tcW w:w="1620" w:type="dxa"/>
            <w:tcBorders>
              <w:top w:val="nil"/>
              <w:left w:val="nil"/>
              <w:bottom w:val="nil"/>
              <w:right w:val="nil"/>
            </w:tcBorders>
            <w:shd w:val="clear" w:color="auto" w:fill="auto"/>
            <w:noWrap/>
            <w:vAlign w:val="bottom"/>
            <w:hideMark/>
          </w:tcPr>
          <w:p w14:paraId="27244D20"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0.000</w:t>
            </w:r>
          </w:p>
        </w:tc>
        <w:tc>
          <w:tcPr>
            <w:tcW w:w="1620" w:type="dxa"/>
            <w:tcBorders>
              <w:top w:val="nil"/>
              <w:left w:val="nil"/>
              <w:bottom w:val="nil"/>
              <w:right w:val="nil"/>
            </w:tcBorders>
            <w:shd w:val="clear" w:color="auto" w:fill="auto"/>
            <w:noWrap/>
            <w:vAlign w:val="bottom"/>
            <w:hideMark/>
          </w:tcPr>
          <w:p w14:paraId="36AF99AB"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0.000</w:t>
            </w:r>
          </w:p>
        </w:tc>
        <w:tc>
          <w:tcPr>
            <w:tcW w:w="2070" w:type="dxa"/>
            <w:tcBorders>
              <w:top w:val="nil"/>
              <w:left w:val="nil"/>
              <w:bottom w:val="nil"/>
              <w:right w:val="nil"/>
            </w:tcBorders>
            <w:shd w:val="clear" w:color="auto" w:fill="auto"/>
            <w:noWrap/>
            <w:vAlign w:val="bottom"/>
            <w:hideMark/>
          </w:tcPr>
          <w:p w14:paraId="09A7152F"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0.000</w:t>
            </w:r>
          </w:p>
        </w:tc>
      </w:tr>
      <w:tr w:rsidR="006F4FAD" w:rsidRPr="00D23517" w14:paraId="624C6600" w14:textId="77777777" w:rsidTr="00102195">
        <w:trPr>
          <w:trHeight w:val="288"/>
        </w:trPr>
        <w:tc>
          <w:tcPr>
            <w:tcW w:w="1890" w:type="dxa"/>
            <w:tcBorders>
              <w:top w:val="nil"/>
              <w:left w:val="nil"/>
              <w:bottom w:val="nil"/>
              <w:right w:val="nil"/>
            </w:tcBorders>
            <w:shd w:val="clear" w:color="auto" w:fill="auto"/>
            <w:noWrap/>
            <w:vAlign w:val="bottom"/>
            <w:hideMark/>
          </w:tcPr>
          <w:p w14:paraId="78693EF2"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SIGMAN</w:t>
            </w:r>
          </w:p>
        </w:tc>
        <w:tc>
          <w:tcPr>
            <w:tcW w:w="990" w:type="dxa"/>
            <w:tcBorders>
              <w:top w:val="nil"/>
              <w:left w:val="nil"/>
              <w:bottom w:val="nil"/>
              <w:right w:val="nil"/>
            </w:tcBorders>
            <w:shd w:val="clear" w:color="auto" w:fill="auto"/>
            <w:noWrap/>
            <w:vAlign w:val="bottom"/>
            <w:hideMark/>
          </w:tcPr>
          <w:p w14:paraId="78A0B73B"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0.012</w:t>
            </w:r>
          </w:p>
        </w:tc>
        <w:tc>
          <w:tcPr>
            <w:tcW w:w="1080" w:type="dxa"/>
            <w:tcBorders>
              <w:top w:val="nil"/>
              <w:left w:val="nil"/>
              <w:bottom w:val="nil"/>
              <w:right w:val="nil"/>
            </w:tcBorders>
            <w:shd w:val="clear" w:color="auto" w:fill="auto"/>
            <w:noWrap/>
            <w:vAlign w:val="bottom"/>
            <w:hideMark/>
          </w:tcPr>
          <w:p w14:paraId="48A2533C"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0.011</w:t>
            </w:r>
          </w:p>
        </w:tc>
        <w:tc>
          <w:tcPr>
            <w:tcW w:w="1620" w:type="dxa"/>
            <w:tcBorders>
              <w:top w:val="nil"/>
              <w:left w:val="nil"/>
              <w:bottom w:val="nil"/>
              <w:right w:val="nil"/>
            </w:tcBorders>
            <w:shd w:val="clear" w:color="auto" w:fill="auto"/>
            <w:noWrap/>
            <w:vAlign w:val="bottom"/>
            <w:hideMark/>
          </w:tcPr>
          <w:p w14:paraId="166007EE"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0.007</w:t>
            </w:r>
          </w:p>
        </w:tc>
        <w:tc>
          <w:tcPr>
            <w:tcW w:w="1620" w:type="dxa"/>
            <w:tcBorders>
              <w:top w:val="nil"/>
              <w:left w:val="nil"/>
              <w:bottom w:val="nil"/>
              <w:right w:val="nil"/>
            </w:tcBorders>
            <w:shd w:val="clear" w:color="auto" w:fill="auto"/>
            <w:noWrap/>
            <w:vAlign w:val="bottom"/>
            <w:hideMark/>
          </w:tcPr>
          <w:p w14:paraId="7D1CF4D9"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0.015</w:t>
            </w:r>
          </w:p>
        </w:tc>
        <w:tc>
          <w:tcPr>
            <w:tcW w:w="2070" w:type="dxa"/>
            <w:tcBorders>
              <w:top w:val="nil"/>
              <w:left w:val="nil"/>
              <w:bottom w:val="nil"/>
              <w:right w:val="nil"/>
            </w:tcBorders>
            <w:shd w:val="clear" w:color="auto" w:fill="auto"/>
            <w:noWrap/>
            <w:vAlign w:val="bottom"/>
            <w:hideMark/>
          </w:tcPr>
          <w:p w14:paraId="5AEA1C4C"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0.006</w:t>
            </w:r>
          </w:p>
        </w:tc>
      </w:tr>
      <w:tr w:rsidR="006F4FAD" w:rsidRPr="00D23517" w14:paraId="266E3E61" w14:textId="77777777" w:rsidTr="00102195">
        <w:trPr>
          <w:trHeight w:val="288"/>
        </w:trPr>
        <w:tc>
          <w:tcPr>
            <w:tcW w:w="1890" w:type="dxa"/>
            <w:tcBorders>
              <w:top w:val="nil"/>
              <w:left w:val="nil"/>
              <w:bottom w:val="nil"/>
              <w:right w:val="nil"/>
            </w:tcBorders>
            <w:shd w:val="clear" w:color="auto" w:fill="auto"/>
            <w:noWrap/>
            <w:vAlign w:val="bottom"/>
            <w:hideMark/>
          </w:tcPr>
          <w:p w14:paraId="27F1F866"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DTURN</w:t>
            </w:r>
          </w:p>
        </w:tc>
        <w:tc>
          <w:tcPr>
            <w:tcW w:w="990" w:type="dxa"/>
            <w:tcBorders>
              <w:top w:val="nil"/>
              <w:left w:val="nil"/>
              <w:bottom w:val="nil"/>
              <w:right w:val="nil"/>
            </w:tcBorders>
            <w:shd w:val="clear" w:color="auto" w:fill="auto"/>
            <w:noWrap/>
            <w:vAlign w:val="bottom"/>
            <w:hideMark/>
          </w:tcPr>
          <w:p w14:paraId="08D33833"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0.007</w:t>
            </w:r>
          </w:p>
        </w:tc>
        <w:tc>
          <w:tcPr>
            <w:tcW w:w="1080" w:type="dxa"/>
            <w:tcBorders>
              <w:top w:val="nil"/>
              <w:left w:val="nil"/>
              <w:bottom w:val="nil"/>
              <w:right w:val="nil"/>
            </w:tcBorders>
            <w:shd w:val="clear" w:color="auto" w:fill="auto"/>
            <w:noWrap/>
            <w:vAlign w:val="bottom"/>
            <w:hideMark/>
          </w:tcPr>
          <w:p w14:paraId="2A1FB985"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0.005</w:t>
            </w:r>
          </w:p>
        </w:tc>
        <w:tc>
          <w:tcPr>
            <w:tcW w:w="1620" w:type="dxa"/>
            <w:tcBorders>
              <w:top w:val="nil"/>
              <w:left w:val="nil"/>
              <w:bottom w:val="nil"/>
              <w:right w:val="nil"/>
            </w:tcBorders>
            <w:shd w:val="clear" w:color="auto" w:fill="auto"/>
            <w:noWrap/>
            <w:vAlign w:val="bottom"/>
            <w:hideMark/>
          </w:tcPr>
          <w:p w14:paraId="1E1CF79D"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0.002</w:t>
            </w:r>
          </w:p>
        </w:tc>
        <w:tc>
          <w:tcPr>
            <w:tcW w:w="1620" w:type="dxa"/>
            <w:tcBorders>
              <w:top w:val="nil"/>
              <w:left w:val="nil"/>
              <w:bottom w:val="nil"/>
              <w:right w:val="nil"/>
            </w:tcBorders>
            <w:shd w:val="clear" w:color="auto" w:fill="auto"/>
            <w:noWrap/>
            <w:vAlign w:val="bottom"/>
            <w:hideMark/>
          </w:tcPr>
          <w:p w14:paraId="585402C6"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0.009</w:t>
            </w:r>
          </w:p>
        </w:tc>
        <w:tc>
          <w:tcPr>
            <w:tcW w:w="2070" w:type="dxa"/>
            <w:tcBorders>
              <w:top w:val="nil"/>
              <w:left w:val="nil"/>
              <w:bottom w:val="nil"/>
              <w:right w:val="nil"/>
            </w:tcBorders>
            <w:shd w:val="clear" w:color="auto" w:fill="auto"/>
            <w:noWrap/>
            <w:vAlign w:val="bottom"/>
            <w:hideMark/>
          </w:tcPr>
          <w:p w14:paraId="29FB3D5F"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0.008</w:t>
            </w:r>
          </w:p>
        </w:tc>
      </w:tr>
      <w:tr w:rsidR="006F4FAD" w:rsidRPr="00D23517" w14:paraId="2A493192" w14:textId="77777777" w:rsidTr="00102195">
        <w:trPr>
          <w:trHeight w:val="288"/>
        </w:trPr>
        <w:tc>
          <w:tcPr>
            <w:tcW w:w="1890" w:type="dxa"/>
            <w:tcBorders>
              <w:top w:val="nil"/>
              <w:left w:val="nil"/>
              <w:right w:val="nil"/>
            </w:tcBorders>
            <w:shd w:val="clear" w:color="auto" w:fill="auto"/>
            <w:noWrap/>
            <w:vAlign w:val="bottom"/>
            <w:hideMark/>
          </w:tcPr>
          <w:p w14:paraId="6E5BD30C"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DISACC</w:t>
            </w:r>
          </w:p>
        </w:tc>
        <w:tc>
          <w:tcPr>
            <w:tcW w:w="990" w:type="dxa"/>
            <w:tcBorders>
              <w:top w:val="nil"/>
              <w:left w:val="nil"/>
              <w:right w:val="nil"/>
            </w:tcBorders>
            <w:shd w:val="clear" w:color="auto" w:fill="auto"/>
            <w:noWrap/>
            <w:vAlign w:val="bottom"/>
            <w:hideMark/>
          </w:tcPr>
          <w:p w14:paraId="53BC5BF5"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0.043</w:t>
            </w:r>
          </w:p>
        </w:tc>
        <w:tc>
          <w:tcPr>
            <w:tcW w:w="1080" w:type="dxa"/>
            <w:tcBorders>
              <w:top w:val="nil"/>
              <w:left w:val="nil"/>
              <w:right w:val="nil"/>
            </w:tcBorders>
            <w:shd w:val="clear" w:color="auto" w:fill="auto"/>
            <w:noWrap/>
            <w:vAlign w:val="bottom"/>
            <w:hideMark/>
          </w:tcPr>
          <w:p w14:paraId="7C20B5B8"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0.032</w:t>
            </w:r>
          </w:p>
        </w:tc>
        <w:tc>
          <w:tcPr>
            <w:tcW w:w="1620" w:type="dxa"/>
            <w:tcBorders>
              <w:top w:val="nil"/>
              <w:left w:val="nil"/>
              <w:right w:val="nil"/>
            </w:tcBorders>
            <w:shd w:val="clear" w:color="auto" w:fill="auto"/>
            <w:noWrap/>
            <w:vAlign w:val="bottom"/>
            <w:hideMark/>
          </w:tcPr>
          <w:p w14:paraId="0DE84D61"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-0.025</w:t>
            </w:r>
          </w:p>
        </w:tc>
        <w:tc>
          <w:tcPr>
            <w:tcW w:w="1620" w:type="dxa"/>
            <w:tcBorders>
              <w:top w:val="nil"/>
              <w:left w:val="nil"/>
              <w:right w:val="nil"/>
            </w:tcBorders>
            <w:shd w:val="clear" w:color="auto" w:fill="auto"/>
            <w:noWrap/>
            <w:vAlign w:val="bottom"/>
            <w:hideMark/>
          </w:tcPr>
          <w:p w14:paraId="23ED4DB1"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0.103</w:t>
            </w:r>
          </w:p>
        </w:tc>
        <w:tc>
          <w:tcPr>
            <w:tcW w:w="2070" w:type="dxa"/>
            <w:tcBorders>
              <w:top w:val="nil"/>
              <w:left w:val="nil"/>
              <w:right w:val="nil"/>
            </w:tcBorders>
            <w:shd w:val="clear" w:color="auto" w:fill="auto"/>
            <w:noWrap/>
            <w:vAlign w:val="bottom"/>
            <w:hideMark/>
          </w:tcPr>
          <w:p w14:paraId="61CA55C4"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0.146</w:t>
            </w:r>
          </w:p>
        </w:tc>
      </w:tr>
      <w:tr w:rsidR="006F4FAD" w:rsidRPr="00D23517" w14:paraId="3AB2CF3D" w14:textId="77777777" w:rsidTr="00102195">
        <w:trPr>
          <w:trHeight w:val="288"/>
        </w:trPr>
        <w:tc>
          <w:tcPr>
            <w:tcW w:w="1890" w:type="dxa"/>
            <w:tcBorders>
              <w:top w:val="nil"/>
              <w:left w:val="nil"/>
              <w:bottom w:val="single" w:sz="4" w:space="0" w:color="auto"/>
              <w:right w:val="nil"/>
            </w:tcBorders>
            <w:shd w:val="clear" w:color="auto" w:fill="auto"/>
            <w:noWrap/>
            <w:vAlign w:val="bottom"/>
          </w:tcPr>
          <w:p w14:paraId="54FF810F"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REALEM</w:t>
            </w:r>
          </w:p>
        </w:tc>
        <w:tc>
          <w:tcPr>
            <w:tcW w:w="990" w:type="dxa"/>
            <w:tcBorders>
              <w:top w:val="nil"/>
              <w:left w:val="nil"/>
              <w:bottom w:val="single" w:sz="4" w:space="0" w:color="auto"/>
              <w:right w:val="nil"/>
            </w:tcBorders>
            <w:shd w:val="clear" w:color="auto" w:fill="auto"/>
            <w:noWrap/>
            <w:vAlign w:val="bottom"/>
          </w:tcPr>
          <w:p w14:paraId="6907002D"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0.021</w:t>
            </w:r>
          </w:p>
        </w:tc>
        <w:tc>
          <w:tcPr>
            <w:tcW w:w="1080" w:type="dxa"/>
            <w:tcBorders>
              <w:top w:val="nil"/>
              <w:left w:val="nil"/>
              <w:bottom w:val="single" w:sz="4" w:space="0" w:color="auto"/>
              <w:right w:val="nil"/>
            </w:tcBorders>
            <w:shd w:val="clear" w:color="auto" w:fill="auto"/>
            <w:noWrap/>
            <w:vAlign w:val="bottom"/>
          </w:tcPr>
          <w:p w14:paraId="4C9EB57C"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0.051</w:t>
            </w:r>
          </w:p>
        </w:tc>
        <w:tc>
          <w:tcPr>
            <w:tcW w:w="1620" w:type="dxa"/>
            <w:tcBorders>
              <w:top w:val="nil"/>
              <w:left w:val="nil"/>
              <w:bottom w:val="single" w:sz="4" w:space="0" w:color="auto"/>
              <w:right w:val="nil"/>
            </w:tcBorders>
            <w:shd w:val="clear" w:color="auto" w:fill="auto"/>
            <w:noWrap/>
            <w:vAlign w:val="bottom"/>
          </w:tcPr>
          <w:p w14:paraId="7FA5288A"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-0.110</w:t>
            </w:r>
          </w:p>
        </w:tc>
        <w:tc>
          <w:tcPr>
            <w:tcW w:w="1620" w:type="dxa"/>
            <w:tcBorders>
              <w:top w:val="nil"/>
              <w:left w:val="nil"/>
              <w:bottom w:val="single" w:sz="4" w:space="0" w:color="auto"/>
              <w:right w:val="nil"/>
            </w:tcBorders>
            <w:shd w:val="clear" w:color="auto" w:fill="auto"/>
            <w:noWrap/>
            <w:vAlign w:val="bottom"/>
          </w:tcPr>
          <w:p w14:paraId="7E1135CF"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0.210</w:t>
            </w:r>
          </w:p>
        </w:tc>
        <w:tc>
          <w:tcPr>
            <w:tcW w:w="2070" w:type="dxa"/>
            <w:tcBorders>
              <w:top w:val="nil"/>
              <w:left w:val="nil"/>
              <w:bottom w:val="single" w:sz="4" w:space="0" w:color="auto"/>
              <w:right w:val="nil"/>
            </w:tcBorders>
            <w:shd w:val="clear" w:color="auto" w:fill="auto"/>
            <w:noWrap/>
            <w:vAlign w:val="bottom"/>
          </w:tcPr>
          <w:p w14:paraId="754A33D1"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0.354</w:t>
            </w:r>
          </w:p>
        </w:tc>
      </w:tr>
    </w:tbl>
    <w:p w14:paraId="6A8C7CAF" w14:textId="44FEA5FC" w:rsidR="007F706E" w:rsidRPr="00D23517" w:rsidRDefault="009B6F98" w:rsidP="00A1062B">
      <w:pPr>
        <w:jc w:val="both"/>
        <w:rPr>
          <w:rFonts w:ascii="Times New Roman" w:hAnsi="Times New Roman" w:cs="Times New Roman"/>
          <w:sz w:val="20"/>
          <w:szCs w:val="20"/>
        </w:rPr>
      </w:pPr>
      <w:r w:rsidRPr="00D23517">
        <w:rPr>
          <w:rFonts w:ascii="Times New Roman" w:hAnsi="Times New Roman" w:cs="Times New Roman"/>
          <w:sz w:val="20"/>
          <w:szCs w:val="20"/>
        </w:rPr>
        <w:t>Note</w:t>
      </w:r>
      <w:r w:rsidR="00982C8F" w:rsidRPr="00D23517">
        <w:rPr>
          <w:rFonts w:ascii="Times New Roman" w:hAnsi="Times New Roman" w:cs="Times New Roman"/>
          <w:sz w:val="20"/>
          <w:szCs w:val="20"/>
        </w:rPr>
        <w:t xml:space="preserve">: This table presents summary statistics for the sample. </w:t>
      </w:r>
      <w:r w:rsidR="00982C8F" w:rsidRPr="00D23517">
        <w:rPr>
          <w:rFonts w:ascii="Times New Roman" w:hAnsi="Times New Roman" w:cs="Times New Roman"/>
          <w:i/>
          <w:sz w:val="20"/>
          <w:szCs w:val="20"/>
        </w:rPr>
        <w:t>ROAVOL</w:t>
      </w:r>
      <w:r w:rsidR="00982C8F" w:rsidRPr="00D23517" w:rsidDel="0029323E">
        <w:rPr>
          <w:rFonts w:ascii="Times New Roman" w:hAnsi="Times New Roman" w:cs="Times New Roman"/>
          <w:sz w:val="20"/>
          <w:szCs w:val="20"/>
        </w:rPr>
        <w:t xml:space="preserve"> </w:t>
      </w:r>
      <w:r w:rsidR="00982C8F" w:rsidRPr="00D23517">
        <w:rPr>
          <w:rFonts w:ascii="Times New Roman" w:hAnsi="Times New Roman" w:cs="Times New Roman"/>
          <w:sz w:val="20"/>
          <w:szCs w:val="20"/>
        </w:rPr>
        <w:t xml:space="preserve">is the standard deviation of income before extraordinary items to assets ratios over </w:t>
      </w:r>
      <w:r w:rsidR="00DF69D2" w:rsidRPr="00D23517">
        <w:rPr>
          <w:rFonts w:ascii="Times New Roman" w:hAnsi="Times New Roman" w:cs="Times New Roman"/>
          <w:sz w:val="20"/>
          <w:szCs w:val="20"/>
        </w:rPr>
        <w:t xml:space="preserve">five </w:t>
      </w:r>
      <w:r w:rsidR="00982C8F" w:rsidRPr="00D23517">
        <w:rPr>
          <w:rFonts w:ascii="Times New Roman" w:hAnsi="Times New Roman" w:cs="Times New Roman"/>
          <w:sz w:val="20"/>
          <w:szCs w:val="20"/>
        </w:rPr>
        <w:t xml:space="preserve">years (from year -4 to the current fiscal year). </w:t>
      </w:r>
      <w:r w:rsidR="00982C8F" w:rsidRPr="00D23517">
        <w:rPr>
          <w:rFonts w:ascii="Times New Roman" w:hAnsi="Times New Roman" w:cs="Times New Roman"/>
          <w:i/>
          <w:sz w:val="20"/>
          <w:szCs w:val="20"/>
        </w:rPr>
        <w:t xml:space="preserve">TOTRISK </w:t>
      </w:r>
      <w:r w:rsidR="00982C8F" w:rsidRPr="00D23517">
        <w:rPr>
          <w:rFonts w:ascii="Times New Roman" w:hAnsi="Times New Roman" w:cs="Times New Roman"/>
          <w:sz w:val="20"/>
          <w:szCs w:val="20"/>
        </w:rPr>
        <w:t>is</w:t>
      </w:r>
      <w:r w:rsidR="00982C8F" w:rsidRPr="00D23517">
        <w:rPr>
          <w:rFonts w:ascii="Times New Roman" w:hAnsi="Times New Roman" w:cs="Times New Roman"/>
          <w:i/>
          <w:sz w:val="20"/>
          <w:szCs w:val="20"/>
        </w:rPr>
        <w:t xml:space="preserve"> </w:t>
      </w:r>
      <w:r w:rsidR="00982C8F" w:rsidRPr="00D23517">
        <w:rPr>
          <w:rFonts w:ascii="Times New Roman" w:hAnsi="Times New Roman" w:cs="Times New Roman"/>
          <w:sz w:val="20"/>
          <w:szCs w:val="20"/>
        </w:rPr>
        <w:t xml:space="preserve">the annualized standard deviation of the daily stock returns in the year. </w:t>
      </w:r>
      <w:r w:rsidR="00982C8F" w:rsidRPr="00D23517">
        <w:rPr>
          <w:rFonts w:ascii="Times New Roman" w:hAnsi="Times New Roman" w:cs="Times New Roman"/>
          <w:i/>
          <w:sz w:val="20"/>
          <w:szCs w:val="20"/>
        </w:rPr>
        <w:t xml:space="preserve">IDIORISK </w:t>
      </w:r>
      <w:r w:rsidR="00982C8F" w:rsidRPr="00D23517">
        <w:rPr>
          <w:rFonts w:ascii="Times New Roman" w:hAnsi="Times New Roman" w:cs="Times New Roman"/>
          <w:sz w:val="20"/>
          <w:szCs w:val="20"/>
        </w:rPr>
        <w:t>is</w:t>
      </w:r>
      <w:r w:rsidR="00982C8F" w:rsidRPr="00D23517">
        <w:rPr>
          <w:rFonts w:ascii="Times New Roman" w:hAnsi="Times New Roman" w:cs="Times New Roman"/>
          <w:i/>
          <w:sz w:val="20"/>
          <w:szCs w:val="20"/>
        </w:rPr>
        <w:t xml:space="preserve"> </w:t>
      </w:r>
      <w:r w:rsidR="00982C8F" w:rsidRPr="00D23517">
        <w:rPr>
          <w:rFonts w:ascii="Times New Roman" w:hAnsi="Times New Roman" w:cs="Times New Roman"/>
          <w:sz w:val="20"/>
          <w:szCs w:val="20"/>
        </w:rPr>
        <w:t xml:space="preserve">the annualized standard deviation of the residuals from the </w:t>
      </w:r>
      <w:proofErr w:type="spellStart"/>
      <w:r w:rsidR="00982C8F" w:rsidRPr="00D23517">
        <w:rPr>
          <w:rFonts w:ascii="Times New Roman" w:hAnsi="Times New Roman" w:cs="Times New Roman"/>
          <w:sz w:val="20"/>
          <w:szCs w:val="20"/>
        </w:rPr>
        <w:t>Fama</w:t>
      </w:r>
      <w:proofErr w:type="spellEnd"/>
      <w:r w:rsidR="00982C8F" w:rsidRPr="00D23517">
        <w:rPr>
          <w:rFonts w:ascii="Times New Roman" w:hAnsi="Times New Roman" w:cs="Times New Roman"/>
          <w:sz w:val="20"/>
          <w:szCs w:val="20"/>
        </w:rPr>
        <w:t xml:space="preserve">-French 4-factor model using stock daily returns in the year. </w:t>
      </w:r>
      <w:r w:rsidR="00982C8F" w:rsidRPr="00D23517">
        <w:rPr>
          <w:rFonts w:ascii="Times New Roman" w:hAnsi="Times New Roman" w:cs="Times New Roman"/>
          <w:i/>
          <w:sz w:val="20"/>
          <w:szCs w:val="20"/>
        </w:rPr>
        <w:t xml:space="preserve">NCSKEW </w:t>
      </w:r>
      <w:r w:rsidR="00982C8F" w:rsidRPr="00D23517">
        <w:rPr>
          <w:rFonts w:ascii="Times New Roman" w:hAnsi="Times New Roman" w:cs="Times New Roman"/>
          <w:sz w:val="20"/>
          <w:szCs w:val="20"/>
        </w:rPr>
        <w:t>is</w:t>
      </w:r>
      <w:r w:rsidR="00982C8F" w:rsidRPr="00D23517">
        <w:rPr>
          <w:rFonts w:ascii="Times New Roman" w:hAnsi="Times New Roman" w:cs="Times New Roman"/>
          <w:i/>
          <w:sz w:val="20"/>
          <w:szCs w:val="20"/>
        </w:rPr>
        <w:t xml:space="preserve"> </w:t>
      </w:r>
      <w:r w:rsidR="00982C8F" w:rsidRPr="00D23517">
        <w:rPr>
          <w:rFonts w:ascii="Times New Roman" w:hAnsi="Times New Roman" w:cs="Times New Roman"/>
          <w:iCs/>
          <w:sz w:val="20"/>
          <w:szCs w:val="20"/>
        </w:rPr>
        <w:t xml:space="preserve">the </w:t>
      </w:r>
      <w:r w:rsidR="00982C8F" w:rsidRPr="00D23517">
        <w:rPr>
          <w:rFonts w:ascii="Times New Roman" w:hAnsi="Times New Roman" w:cs="Times New Roman"/>
          <w:sz w:val="20"/>
          <w:szCs w:val="20"/>
        </w:rPr>
        <w:t xml:space="preserve">negative conditional skewness of firm-specific weekly return, calculated as the negative third central moment of firm-specific weekly returns divided by the cubed standard deviation of firm-specific weekly returns. </w:t>
      </w:r>
      <w:r w:rsidR="00982C8F" w:rsidRPr="00D23517">
        <w:rPr>
          <w:rFonts w:ascii="Times New Roman" w:eastAsiaTheme="minorEastAsia" w:hAnsi="Times New Roman" w:cs="Times New Roman"/>
          <w:i/>
          <w:sz w:val="20"/>
          <w:szCs w:val="20"/>
        </w:rPr>
        <w:t xml:space="preserve">DUVOL </w:t>
      </w:r>
      <w:r w:rsidR="00982C8F" w:rsidRPr="00D23517">
        <w:rPr>
          <w:rFonts w:ascii="Times New Roman" w:eastAsiaTheme="minorEastAsia" w:hAnsi="Times New Roman" w:cs="Times New Roman"/>
          <w:sz w:val="20"/>
          <w:szCs w:val="20"/>
        </w:rPr>
        <w:t>is</w:t>
      </w:r>
      <w:r w:rsidR="00982C8F" w:rsidRPr="00D23517">
        <w:rPr>
          <w:rFonts w:ascii="Times New Roman" w:eastAsiaTheme="minorEastAsia" w:hAnsi="Times New Roman" w:cs="Times New Roman"/>
          <w:i/>
          <w:sz w:val="20"/>
          <w:szCs w:val="20"/>
        </w:rPr>
        <w:t xml:space="preserve"> </w:t>
      </w:r>
      <w:r w:rsidR="00982C8F" w:rsidRPr="00D23517">
        <w:rPr>
          <w:rFonts w:ascii="Times New Roman" w:eastAsiaTheme="minorEastAsia" w:hAnsi="Times New Roman" w:cs="Times New Roman"/>
          <w:sz w:val="20"/>
          <w:szCs w:val="20"/>
        </w:rPr>
        <w:t xml:space="preserve">the log of the ratio of the standard deviation on down weeks to the standard deviation on up weeks. </w:t>
      </w:r>
      <w:r w:rsidR="00982C8F" w:rsidRPr="00D23517">
        <w:rPr>
          <w:rFonts w:ascii="Times New Roman" w:hAnsi="Times New Roman" w:cs="Times New Roman"/>
          <w:i/>
          <w:sz w:val="20"/>
          <w:szCs w:val="20"/>
        </w:rPr>
        <w:t xml:space="preserve">COUNT </w:t>
      </w:r>
      <w:r w:rsidR="00982C8F" w:rsidRPr="00D23517">
        <w:rPr>
          <w:rFonts w:ascii="Times New Roman" w:hAnsi="Times New Roman" w:cs="Times New Roman"/>
          <w:sz w:val="20"/>
          <w:szCs w:val="20"/>
        </w:rPr>
        <w:t>is</w:t>
      </w:r>
      <w:r w:rsidR="00982C8F" w:rsidRPr="00D23517">
        <w:rPr>
          <w:rFonts w:ascii="Times New Roman" w:hAnsi="Times New Roman" w:cs="Times New Roman"/>
          <w:i/>
          <w:sz w:val="20"/>
          <w:szCs w:val="20"/>
        </w:rPr>
        <w:t xml:space="preserve"> </w:t>
      </w:r>
      <w:r w:rsidR="00982C8F" w:rsidRPr="00D23517">
        <w:rPr>
          <w:rFonts w:ascii="Times New Roman" w:hAnsi="Times New Roman" w:cs="Times New Roman"/>
          <w:iCs/>
          <w:sz w:val="20"/>
          <w:szCs w:val="20"/>
        </w:rPr>
        <w:t>the</w:t>
      </w:r>
      <w:r w:rsidR="00982C8F" w:rsidRPr="00D23517">
        <w:rPr>
          <w:rFonts w:ascii="Times New Roman" w:hAnsi="Times New Roman" w:cs="Times New Roman"/>
          <w:i/>
          <w:sz w:val="20"/>
          <w:szCs w:val="20"/>
        </w:rPr>
        <w:t xml:space="preserve"> </w:t>
      </w:r>
      <w:r w:rsidR="00982C8F" w:rsidRPr="00D23517">
        <w:rPr>
          <w:rFonts w:ascii="Times New Roman" w:hAnsi="Times New Roman" w:cs="Times New Roman"/>
          <w:sz w:val="20"/>
          <w:szCs w:val="20"/>
        </w:rPr>
        <w:t xml:space="preserve">number of crashes minus the number of jumps over the fiscal year. </w:t>
      </w:r>
      <w:r w:rsidR="00982C8F" w:rsidRPr="00D23517">
        <w:rPr>
          <w:rFonts w:ascii="Times New Roman" w:eastAsia="Times New Roman" w:hAnsi="Times New Roman" w:cs="Times New Roman"/>
          <w:i/>
          <w:color w:val="000000"/>
          <w:sz w:val="20"/>
          <w:szCs w:val="20"/>
        </w:rPr>
        <w:t xml:space="preserve">NONOPERINC </w:t>
      </w:r>
      <w:r w:rsidR="00982C8F" w:rsidRPr="00D23517">
        <w:rPr>
          <w:rFonts w:ascii="Times New Roman" w:eastAsia="Times New Roman" w:hAnsi="Times New Roman" w:cs="Times New Roman"/>
          <w:color w:val="000000"/>
          <w:sz w:val="20"/>
          <w:szCs w:val="20"/>
        </w:rPr>
        <w:t>is</w:t>
      </w:r>
      <w:r w:rsidR="00982C8F" w:rsidRPr="00D23517">
        <w:rPr>
          <w:rFonts w:ascii="Times New Roman" w:eastAsia="Times New Roman" w:hAnsi="Times New Roman" w:cs="Times New Roman"/>
          <w:i/>
          <w:color w:val="000000"/>
          <w:sz w:val="20"/>
          <w:szCs w:val="20"/>
        </w:rPr>
        <w:t xml:space="preserve"> </w:t>
      </w:r>
      <w:r w:rsidR="00982C8F" w:rsidRPr="00D23517">
        <w:rPr>
          <w:rFonts w:ascii="Times New Roman" w:hAnsi="Times New Roman" w:cs="Times New Roman"/>
          <w:iCs/>
          <w:sz w:val="20"/>
          <w:szCs w:val="20"/>
        </w:rPr>
        <w:t>the</w:t>
      </w:r>
      <w:r w:rsidR="00982C8F" w:rsidRPr="00D23517">
        <w:rPr>
          <w:rFonts w:ascii="Times New Roman" w:hAnsi="Times New Roman" w:cs="Times New Roman"/>
          <w:sz w:val="20"/>
          <w:szCs w:val="20"/>
        </w:rPr>
        <w:t xml:space="preserve"> ratio of non-operating earnings to assets at the end of the fiscal year. </w:t>
      </w:r>
      <w:r w:rsidR="00982C8F" w:rsidRPr="00D23517">
        <w:rPr>
          <w:rFonts w:ascii="Times New Roman" w:hAnsi="Times New Roman" w:cs="Times New Roman"/>
          <w:i/>
          <w:sz w:val="20"/>
          <w:szCs w:val="20"/>
        </w:rPr>
        <w:t xml:space="preserve">OPERINC is </w:t>
      </w:r>
      <w:r w:rsidR="00982C8F" w:rsidRPr="00D23517">
        <w:rPr>
          <w:rFonts w:ascii="Times New Roman" w:hAnsi="Times New Roman" w:cs="Times New Roman"/>
          <w:iCs/>
          <w:sz w:val="20"/>
          <w:szCs w:val="20"/>
        </w:rPr>
        <w:t>the</w:t>
      </w:r>
      <w:r w:rsidR="00982C8F" w:rsidRPr="00D23517">
        <w:rPr>
          <w:rFonts w:ascii="Times New Roman" w:hAnsi="Times New Roman" w:cs="Times New Roman"/>
          <w:sz w:val="20"/>
          <w:szCs w:val="20"/>
        </w:rPr>
        <w:t xml:space="preserve"> ratio of operating earnings to assets at the end of the fiscal year. </w:t>
      </w:r>
      <w:r w:rsidR="00982C8F" w:rsidRPr="00D23517">
        <w:rPr>
          <w:rFonts w:ascii="Times New Roman" w:eastAsia="Times New Roman" w:hAnsi="Times New Roman" w:cs="Times New Roman"/>
          <w:i/>
          <w:iCs/>
          <w:color w:val="000000"/>
          <w:sz w:val="20"/>
          <w:szCs w:val="20"/>
        </w:rPr>
        <w:t xml:space="preserve">LNAT </w:t>
      </w:r>
      <w:r w:rsidR="00982C8F" w:rsidRPr="00D23517">
        <w:rPr>
          <w:rFonts w:ascii="Times New Roman" w:eastAsia="Times New Roman" w:hAnsi="Times New Roman" w:cs="Times New Roman"/>
          <w:iCs/>
          <w:color w:val="000000"/>
          <w:sz w:val="20"/>
          <w:szCs w:val="20"/>
        </w:rPr>
        <w:t>is</w:t>
      </w:r>
      <w:r w:rsidR="00982C8F" w:rsidRPr="00D23517">
        <w:rPr>
          <w:rFonts w:ascii="Times New Roman" w:eastAsia="Times New Roman" w:hAnsi="Times New Roman" w:cs="Times New Roman"/>
          <w:i/>
          <w:iCs/>
          <w:color w:val="000000"/>
          <w:sz w:val="20"/>
          <w:szCs w:val="20"/>
        </w:rPr>
        <w:t xml:space="preserve"> </w:t>
      </w:r>
      <w:r w:rsidR="00982C8F" w:rsidRPr="00D23517">
        <w:rPr>
          <w:rFonts w:ascii="Times New Roman" w:hAnsi="Times New Roman" w:cs="Times New Roman"/>
          <w:sz w:val="20"/>
          <w:szCs w:val="20"/>
        </w:rPr>
        <w:t xml:space="preserve">the natural log of total assets at the end of the fiscal year. </w:t>
      </w:r>
      <w:r w:rsidR="00982C8F" w:rsidRPr="00D23517">
        <w:rPr>
          <w:rFonts w:ascii="Times New Roman" w:hAnsi="Times New Roman" w:cs="Times New Roman"/>
          <w:i/>
          <w:sz w:val="20"/>
          <w:szCs w:val="20"/>
        </w:rPr>
        <w:t>DEBT</w:t>
      </w:r>
      <w:r w:rsidR="0092549A">
        <w:rPr>
          <w:rFonts w:ascii="Times New Roman" w:hAnsi="Times New Roman" w:cs="Times New Roman"/>
          <w:i/>
          <w:sz w:val="20"/>
          <w:szCs w:val="20"/>
        </w:rPr>
        <w:t>/</w:t>
      </w:r>
      <w:r w:rsidR="0092549A" w:rsidRPr="00D23517">
        <w:rPr>
          <w:rFonts w:ascii="Times New Roman" w:hAnsi="Times New Roman" w:cs="Times New Roman"/>
          <w:i/>
          <w:sz w:val="20"/>
          <w:szCs w:val="20"/>
        </w:rPr>
        <w:t>XRD</w:t>
      </w:r>
      <w:r w:rsidR="0092549A">
        <w:rPr>
          <w:rFonts w:ascii="Times New Roman" w:hAnsi="Times New Roman" w:cs="Times New Roman"/>
          <w:i/>
          <w:sz w:val="20"/>
          <w:szCs w:val="20"/>
        </w:rPr>
        <w:t>/</w:t>
      </w:r>
      <w:r w:rsidR="0092549A" w:rsidRPr="00D23517">
        <w:rPr>
          <w:rFonts w:ascii="Times New Roman" w:hAnsi="Times New Roman" w:cs="Times New Roman"/>
          <w:i/>
          <w:sz w:val="20"/>
          <w:szCs w:val="20"/>
        </w:rPr>
        <w:t>XAD</w:t>
      </w:r>
      <w:r w:rsidR="00982C8F" w:rsidRPr="00D23517">
        <w:rPr>
          <w:rFonts w:ascii="Times New Roman" w:hAnsi="Times New Roman" w:cs="Times New Roman"/>
          <w:i/>
          <w:sz w:val="20"/>
          <w:szCs w:val="20"/>
        </w:rPr>
        <w:t xml:space="preserve"> </w:t>
      </w:r>
      <w:r w:rsidR="00982C8F" w:rsidRPr="00D23517">
        <w:rPr>
          <w:rFonts w:ascii="Times New Roman" w:hAnsi="Times New Roman" w:cs="Times New Roman"/>
          <w:sz w:val="20"/>
          <w:szCs w:val="20"/>
        </w:rPr>
        <w:t>is</w:t>
      </w:r>
      <w:r w:rsidR="00982C8F" w:rsidRPr="00D23517">
        <w:rPr>
          <w:rFonts w:ascii="Times New Roman" w:hAnsi="Times New Roman" w:cs="Times New Roman"/>
          <w:i/>
          <w:sz w:val="20"/>
          <w:szCs w:val="20"/>
        </w:rPr>
        <w:t xml:space="preserve"> </w:t>
      </w:r>
      <w:r w:rsidR="00982C8F" w:rsidRPr="00D23517">
        <w:rPr>
          <w:rFonts w:ascii="Times New Roman" w:hAnsi="Times New Roman" w:cs="Times New Roman"/>
          <w:sz w:val="20"/>
          <w:szCs w:val="20"/>
        </w:rPr>
        <w:t>the ratio of long-term debt</w:t>
      </w:r>
      <w:r w:rsidR="00EA5ECC">
        <w:rPr>
          <w:rFonts w:ascii="Times New Roman" w:hAnsi="Times New Roman" w:cs="Times New Roman"/>
          <w:sz w:val="20"/>
          <w:szCs w:val="20"/>
        </w:rPr>
        <w:t>/</w:t>
      </w:r>
      <w:r w:rsidR="00EA5ECC" w:rsidRPr="00D23517">
        <w:rPr>
          <w:rFonts w:ascii="Times New Roman" w:hAnsi="Times New Roman" w:cs="Times New Roman"/>
          <w:sz w:val="20"/>
          <w:szCs w:val="20"/>
        </w:rPr>
        <w:t>R&amp;D expenditure</w:t>
      </w:r>
      <w:r w:rsidR="00EA5ECC">
        <w:rPr>
          <w:rFonts w:ascii="Times New Roman" w:hAnsi="Times New Roman" w:cs="Times New Roman"/>
          <w:sz w:val="20"/>
          <w:szCs w:val="20"/>
        </w:rPr>
        <w:t>/</w:t>
      </w:r>
      <w:r w:rsidR="00EA5ECC" w:rsidRPr="00D23517">
        <w:rPr>
          <w:rFonts w:ascii="Times New Roman" w:hAnsi="Times New Roman" w:cs="Times New Roman"/>
          <w:sz w:val="20"/>
          <w:szCs w:val="20"/>
        </w:rPr>
        <w:t xml:space="preserve">advertising expenditure </w:t>
      </w:r>
      <w:r w:rsidR="00982C8F" w:rsidRPr="00D23517">
        <w:rPr>
          <w:rFonts w:ascii="Times New Roman" w:hAnsi="Times New Roman" w:cs="Times New Roman"/>
          <w:sz w:val="20"/>
          <w:szCs w:val="20"/>
        </w:rPr>
        <w:t xml:space="preserve">to total assets at the end of the fiscal year. </w:t>
      </w:r>
      <w:r w:rsidR="00982C8F" w:rsidRPr="00D23517">
        <w:rPr>
          <w:rFonts w:ascii="Times New Roman" w:hAnsi="Times New Roman" w:cs="Times New Roman"/>
          <w:i/>
          <w:sz w:val="20"/>
          <w:szCs w:val="20"/>
        </w:rPr>
        <w:t xml:space="preserve">MKTCON </w:t>
      </w:r>
      <w:r w:rsidR="00982C8F" w:rsidRPr="00D23517">
        <w:rPr>
          <w:rFonts w:ascii="Times New Roman" w:hAnsi="Times New Roman" w:cs="Times New Roman"/>
          <w:sz w:val="20"/>
          <w:szCs w:val="20"/>
        </w:rPr>
        <w:t>is</w:t>
      </w:r>
      <w:r w:rsidR="00982C8F" w:rsidRPr="00D23517">
        <w:rPr>
          <w:rFonts w:ascii="Times New Roman" w:hAnsi="Times New Roman" w:cs="Times New Roman"/>
          <w:i/>
          <w:sz w:val="20"/>
          <w:szCs w:val="20"/>
        </w:rPr>
        <w:t xml:space="preserve"> </w:t>
      </w:r>
      <w:r w:rsidR="00982C8F" w:rsidRPr="00D23517">
        <w:rPr>
          <w:rFonts w:ascii="Times New Roman" w:hAnsi="Times New Roman" w:cs="Times New Roman"/>
          <w:sz w:val="20"/>
          <w:szCs w:val="20"/>
        </w:rPr>
        <w:t xml:space="preserve">the Herfindahl sales-based industry concentration index. </w:t>
      </w:r>
      <w:r w:rsidR="00982C8F" w:rsidRPr="00D23517">
        <w:rPr>
          <w:rFonts w:ascii="Times New Roman" w:eastAsia="Times New Roman" w:hAnsi="Times New Roman" w:cs="Times New Roman"/>
          <w:i/>
          <w:color w:val="000000"/>
          <w:sz w:val="20"/>
          <w:szCs w:val="20"/>
        </w:rPr>
        <w:t xml:space="preserve">INSTOWN_TRAN/INSTOWN_QIX/INSTOWN_DED </w:t>
      </w:r>
      <w:r w:rsidR="00982C8F" w:rsidRPr="00D23517">
        <w:rPr>
          <w:rFonts w:ascii="Times New Roman" w:eastAsia="Times New Roman" w:hAnsi="Times New Roman" w:cs="Times New Roman"/>
          <w:color w:val="000000"/>
          <w:sz w:val="20"/>
          <w:szCs w:val="20"/>
        </w:rPr>
        <w:t>is</w:t>
      </w:r>
      <w:r w:rsidR="00982C8F" w:rsidRPr="00D23517">
        <w:rPr>
          <w:rFonts w:ascii="Times New Roman" w:eastAsia="Times New Roman" w:hAnsi="Times New Roman" w:cs="Times New Roman"/>
          <w:i/>
          <w:color w:val="000000"/>
          <w:sz w:val="20"/>
          <w:szCs w:val="20"/>
        </w:rPr>
        <w:t xml:space="preserve"> </w:t>
      </w:r>
      <w:r w:rsidR="00982C8F" w:rsidRPr="00D23517">
        <w:rPr>
          <w:rFonts w:ascii="Times New Roman" w:hAnsi="Times New Roman" w:cs="Times New Roman"/>
          <w:sz w:val="20"/>
          <w:szCs w:val="20"/>
        </w:rPr>
        <w:t xml:space="preserve">the percentage of firm shares held by transient institutional owners/quasi-index institutional owners/dedicated institutional owners. </w:t>
      </w:r>
      <w:r w:rsidR="00982C8F" w:rsidRPr="00D11CA0">
        <w:rPr>
          <w:rFonts w:ascii="Times New Roman" w:hAnsi="Times New Roman" w:cs="Times New Roman"/>
          <w:i/>
          <w:sz w:val="20"/>
          <w:szCs w:val="20"/>
        </w:rPr>
        <w:t>SKILL</w:t>
      </w:r>
      <w:r w:rsidR="00982C8F" w:rsidRPr="00F15FF6">
        <w:rPr>
          <w:rFonts w:ascii="Times New Roman" w:hAnsi="Times New Roman" w:cs="Times New Roman"/>
          <w:sz w:val="20"/>
          <w:szCs w:val="20"/>
        </w:rPr>
        <w:t xml:space="preserve"> is</w:t>
      </w:r>
      <w:r w:rsidR="00982C8F" w:rsidRPr="00D23517">
        <w:rPr>
          <w:rFonts w:ascii="Times New Roman" w:hAnsi="Times New Roman" w:cs="Times New Roman"/>
          <w:i/>
          <w:sz w:val="20"/>
          <w:szCs w:val="20"/>
        </w:rPr>
        <w:t xml:space="preserve"> </w:t>
      </w:r>
      <w:r w:rsidR="00982C8F" w:rsidRPr="00D23517">
        <w:rPr>
          <w:rFonts w:ascii="Times New Roman" w:hAnsi="Times New Roman" w:cs="Times New Roman"/>
          <w:iCs/>
          <w:sz w:val="20"/>
          <w:szCs w:val="20"/>
        </w:rPr>
        <w:t>a</w:t>
      </w:r>
      <w:r w:rsidR="00982C8F" w:rsidRPr="00D23517">
        <w:rPr>
          <w:rFonts w:ascii="Times New Roman" w:hAnsi="Times New Roman" w:cs="Times New Roman"/>
          <w:sz w:val="20"/>
          <w:szCs w:val="20"/>
        </w:rPr>
        <w:t xml:space="preserve"> dummy variable </w:t>
      </w:r>
      <w:r w:rsidR="00D11CA0">
        <w:rPr>
          <w:rFonts w:ascii="Times New Roman" w:hAnsi="Times New Roman" w:cs="Times New Roman"/>
          <w:sz w:val="20"/>
          <w:szCs w:val="20"/>
        </w:rPr>
        <w:t xml:space="preserve">that equals 1 </w:t>
      </w:r>
      <w:r w:rsidR="00982C8F" w:rsidRPr="00D23517">
        <w:rPr>
          <w:rFonts w:ascii="Times New Roman" w:hAnsi="Times New Roman" w:cs="Times New Roman"/>
          <w:sz w:val="20"/>
          <w:szCs w:val="20"/>
        </w:rPr>
        <w:t>for firms with managerial ability</w:t>
      </w:r>
      <w:r w:rsidR="00E97357">
        <w:rPr>
          <w:rFonts w:ascii="Times New Roman" w:hAnsi="Times New Roman" w:cs="Times New Roman"/>
          <w:sz w:val="20"/>
          <w:szCs w:val="20"/>
        </w:rPr>
        <w:t xml:space="preserve"> scores</w:t>
      </w:r>
      <w:r w:rsidR="00982C8F" w:rsidRPr="00D23517">
        <w:rPr>
          <w:rFonts w:ascii="Times New Roman" w:hAnsi="Times New Roman" w:cs="Times New Roman"/>
          <w:sz w:val="20"/>
          <w:szCs w:val="20"/>
        </w:rPr>
        <w:t xml:space="preserve"> above the industry median managerial </w:t>
      </w:r>
      <w:r w:rsidR="00982C8F" w:rsidRPr="00E97357">
        <w:rPr>
          <w:rFonts w:ascii="Times New Roman" w:hAnsi="Times New Roman" w:cs="Times New Roman"/>
          <w:iCs/>
          <w:sz w:val="20"/>
          <w:szCs w:val="20"/>
        </w:rPr>
        <w:t>ability</w:t>
      </w:r>
      <w:r w:rsidR="00E97357">
        <w:rPr>
          <w:rFonts w:ascii="Times New Roman" w:hAnsi="Times New Roman" w:cs="Times New Roman"/>
          <w:iCs/>
          <w:sz w:val="20"/>
          <w:szCs w:val="20"/>
        </w:rPr>
        <w:t xml:space="preserve"> scores</w:t>
      </w:r>
      <w:r w:rsidR="00E97357" w:rsidRPr="00E97357">
        <w:rPr>
          <w:rFonts w:ascii="Times New Roman" w:hAnsi="Times New Roman" w:cs="Times New Roman"/>
          <w:iCs/>
          <w:sz w:val="20"/>
          <w:szCs w:val="20"/>
        </w:rPr>
        <w:t xml:space="preserve"> </w:t>
      </w:r>
      <w:r w:rsidR="00E97357" w:rsidRPr="004C1989">
        <w:rPr>
          <w:rFonts w:ascii="Times New Roman" w:hAnsi="Times New Roman" w:cs="Times New Roman"/>
          <w:iCs/>
          <w:sz w:val="20"/>
          <w:szCs w:val="20"/>
        </w:rPr>
        <w:t xml:space="preserve">in the </w:t>
      </w:r>
      <w:r w:rsidR="00E97357">
        <w:rPr>
          <w:rFonts w:ascii="Times New Roman" w:hAnsi="Times New Roman" w:cs="Times New Roman"/>
          <w:iCs/>
          <w:sz w:val="20"/>
          <w:szCs w:val="20"/>
        </w:rPr>
        <w:t>p</w:t>
      </w:r>
      <w:r w:rsidR="00E97357" w:rsidRPr="004C1989">
        <w:rPr>
          <w:rFonts w:ascii="Times New Roman" w:hAnsi="Times New Roman" w:cs="Times New Roman"/>
          <w:iCs/>
          <w:sz w:val="20"/>
          <w:szCs w:val="20"/>
        </w:rPr>
        <w:t>ast three years</w:t>
      </w:r>
      <w:r w:rsidR="00D11CA0">
        <w:rPr>
          <w:rFonts w:ascii="Times New Roman" w:hAnsi="Times New Roman" w:cs="Times New Roman"/>
          <w:sz w:val="20"/>
          <w:szCs w:val="20"/>
        </w:rPr>
        <w:t>, and 0 otherwise</w:t>
      </w:r>
      <w:r w:rsidR="00982C8F" w:rsidRPr="00D23517">
        <w:rPr>
          <w:rFonts w:ascii="Times New Roman" w:hAnsi="Times New Roman" w:cs="Times New Roman"/>
          <w:sz w:val="20"/>
          <w:szCs w:val="20"/>
        </w:rPr>
        <w:t xml:space="preserve">. </w:t>
      </w:r>
      <w:r w:rsidR="00982C8F" w:rsidRPr="00D23517">
        <w:rPr>
          <w:rFonts w:ascii="Times New Roman" w:hAnsi="Times New Roman" w:cs="Times New Roman"/>
          <w:i/>
          <w:sz w:val="20"/>
          <w:szCs w:val="20"/>
        </w:rPr>
        <w:t xml:space="preserve">TURNOVER </w:t>
      </w:r>
      <w:r w:rsidR="00982C8F" w:rsidRPr="00D23517">
        <w:rPr>
          <w:rFonts w:ascii="Times New Roman" w:hAnsi="Times New Roman" w:cs="Times New Roman"/>
          <w:sz w:val="20"/>
          <w:szCs w:val="20"/>
        </w:rPr>
        <w:t>is</w:t>
      </w:r>
      <w:r w:rsidR="00982C8F" w:rsidRPr="00D23517">
        <w:rPr>
          <w:rFonts w:ascii="Times New Roman" w:hAnsi="Times New Roman" w:cs="Times New Roman"/>
          <w:i/>
          <w:sz w:val="20"/>
          <w:szCs w:val="20"/>
        </w:rPr>
        <w:t xml:space="preserve"> </w:t>
      </w:r>
      <w:r w:rsidR="00982C8F" w:rsidRPr="00D23517">
        <w:rPr>
          <w:rFonts w:ascii="Times New Roman" w:hAnsi="Times New Roman" w:cs="Times New Roman"/>
          <w:sz w:val="20"/>
          <w:szCs w:val="20"/>
        </w:rPr>
        <w:t xml:space="preserve">the natural log of the ratio of total number of shares traded to the number of shares outstanding in the year. </w:t>
      </w:r>
      <w:r w:rsidR="00982C8F" w:rsidRPr="00D23517">
        <w:rPr>
          <w:rFonts w:ascii="Times New Roman" w:eastAsia="Times New Roman" w:hAnsi="Times New Roman" w:cs="Times New Roman"/>
          <w:i/>
          <w:color w:val="000000"/>
          <w:sz w:val="20"/>
          <w:szCs w:val="20"/>
        </w:rPr>
        <w:t xml:space="preserve">MKBK </w:t>
      </w:r>
      <w:r w:rsidR="00982C8F" w:rsidRPr="00F15FF6">
        <w:rPr>
          <w:rFonts w:ascii="Times New Roman" w:hAnsi="Times New Roman" w:cs="Times New Roman"/>
          <w:sz w:val="20"/>
          <w:szCs w:val="20"/>
        </w:rPr>
        <w:t>is</w:t>
      </w:r>
      <w:r w:rsidR="00982C8F" w:rsidRPr="00D23517">
        <w:rPr>
          <w:rFonts w:ascii="Times New Roman" w:eastAsia="Times New Roman" w:hAnsi="Times New Roman" w:cs="Times New Roman"/>
          <w:i/>
          <w:color w:val="000000"/>
          <w:sz w:val="20"/>
          <w:szCs w:val="20"/>
        </w:rPr>
        <w:t xml:space="preserve"> </w:t>
      </w:r>
      <w:r w:rsidR="00982C8F" w:rsidRPr="00D23517">
        <w:rPr>
          <w:rFonts w:ascii="Times New Roman" w:hAnsi="Times New Roman" w:cs="Times New Roman"/>
          <w:sz w:val="20"/>
          <w:szCs w:val="20"/>
        </w:rPr>
        <w:t xml:space="preserve">market-to-book ratio at the end of the fiscal year. </w:t>
      </w:r>
      <w:r w:rsidR="00982C8F" w:rsidRPr="00D23517">
        <w:rPr>
          <w:rFonts w:ascii="Times New Roman" w:hAnsi="Times New Roman" w:cs="Times New Roman"/>
          <w:i/>
          <w:sz w:val="20"/>
          <w:szCs w:val="20"/>
        </w:rPr>
        <w:t xml:space="preserve">RET </w:t>
      </w:r>
      <w:r w:rsidR="00982C8F" w:rsidRPr="00D23517">
        <w:rPr>
          <w:rFonts w:ascii="Times New Roman" w:hAnsi="Times New Roman" w:cs="Times New Roman"/>
          <w:sz w:val="20"/>
          <w:szCs w:val="20"/>
        </w:rPr>
        <w:t>is</w:t>
      </w:r>
      <w:r w:rsidR="00982C8F" w:rsidRPr="00D23517">
        <w:rPr>
          <w:rFonts w:ascii="Times New Roman" w:hAnsi="Times New Roman" w:cs="Times New Roman"/>
          <w:i/>
          <w:sz w:val="20"/>
          <w:szCs w:val="20"/>
        </w:rPr>
        <w:t xml:space="preserve"> </w:t>
      </w:r>
      <w:r w:rsidR="00982C8F" w:rsidRPr="00D23517">
        <w:rPr>
          <w:rFonts w:ascii="Times New Roman" w:hAnsi="Times New Roman" w:cs="Times New Roman"/>
          <w:sz w:val="20"/>
          <w:szCs w:val="20"/>
        </w:rPr>
        <w:t xml:space="preserve">the average of the firm-specific weekly return over the preceding fiscal year. </w:t>
      </w:r>
      <w:r w:rsidR="00982C8F" w:rsidRPr="00D23517">
        <w:rPr>
          <w:rFonts w:ascii="Times New Roman" w:hAnsi="Times New Roman" w:cs="Times New Roman"/>
          <w:i/>
          <w:sz w:val="20"/>
          <w:szCs w:val="20"/>
        </w:rPr>
        <w:t>SIGMA</w:t>
      </w:r>
      <w:r w:rsidR="00982C8F" w:rsidRPr="00D23517">
        <w:rPr>
          <w:rFonts w:ascii="Times New Roman" w:hAnsi="Times New Roman" w:cs="Times New Roman"/>
          <w:sz w:val="20"/>
          <w:szCs w:val="20"/>
        </w:rPr>
        <w:t xml:space="preserve"> is the standard deviation of the firm-specific weekly return over the preceding fiscal year. </w:t>
      </w:r>
      <w:r w:rsidR="00982C8F" w:rsidRPr="00D23517">
        <w:rPr>
          <w:rFonts w:ascii="Times New Roman" w:hAnsi="Times New Roman" w:cs="Times New Roman"/>
          <w:i/>
          <w:sz w:val="20"/>
          <w:szCs w:val="20"/>
        </w:rPr>
        <w:t xml:space="preserve">DTURN </w:t>
      </w:r>
      <w:r w:rsidR="00982C8F" w:rsidRPr="00D23517">
        <w:rPr>
          <w:rFonts w:ascii="Times New Roman" w:hAnsi="Times New Roman" w:cs="Times New Roman"/>
          <w:sz w:val="20"/>
          <w:szCs w:val="20"/>
        </w:rPr>
        <w:t xml:space="preserve">is the difference between average monthly turnover over fiscal year t-1 and the prior fiscal year’s average monthly turnover. </w:t>
      </w:r>
      <w:r w:rsidR="00982C8F" w:rsidRPr="00D23517">
        <w:rPr>
          <w:rFonts w:ascii="Times New Roman" w:hAnsi="Times New Roman" w:cs="Times New Roman"/>
          <w:i/>
          <w:sz w:val="20"/>
          <w:szCs w:val="20"/>
        </w:rPr>
        <w:t xml:space="preserve">DISACC </w:t>
      </w:r>
      <w:r w:rsidR="00982C8F" w:rsidRPr="00D23517">
        <w:rPr>
          <w:rFonts w:ascii="Times New Roman" w:hAnsi="Times New Roman" w:cs="Times New Roman"/>
          <w:sz w:val="20"/>
          <w:szCs w:val="20"/>
        </w:rPr>
        <w:t>is</w:t>
      </w:r>
      <w:r w:rsidR="00982C8F" w:rsidRPr="00D23517">
        <w:rPr>
          <w:rFonts w:ascii="Times New Roman" w:hAnsi="Times New Roman" w:cs="Times New Roman"/>
          <w:i/>
          <w:sz w:val="20"/>
          <w:szCs w:val="20"/>
        </w:rPr>
        <w:t xml:space="preserve"> </w:t>
      </w:r>
      <w:r w:rsidR="00982C8F" w:rsidRPr="00D23517">
        <w:rPr>
          <w:rFonts w:ascii="Times New Roman" w:hAnsi="Times New Roman" w:cs="Times New Roman"/>
          <w:iCs/>
          <w:sz w:val="20"/>
          <w:szCs w:val="20"/>
        </w:rPr>
        <w:t xml:space="preserve">the abnormal discretionary accruals. </w:t>
      </w:r>
      <w:r w:rsidR="00982C8F" w:rsidRPr="00D23517">
        <w:rPr>
          <w:rFonts w:ascii="Times New Roman" w:hAnsi="Times New Roman" w:cs="Times New Roman"/>
          <w:i/>
          <w:sz w:val="20"/>
          <w:szCs w:val="20"/>
        </w:rPr>
        <w:t xml:space="preserve">REALEM </w:t>
      </w:r>
      <w:r w:rsidR="00982C8F" w:rsidRPr="00D23517">
        <w:rPr>
          <w:rFonts w:ascii="Times New Roman" w:hAnsi="Times New Roman" w:cs="Times New Roman"/>
          <w:sz w:val="20"/>
          <w:szCs w:val="20"/>
        </w:rPr>
        <w:t>is</w:t>
      </w:r>
      <w:r w:rsidR="00982C8F" w:rsidRPr="00D23517">
        <w:rPr>
          <w:rFonts w:ascii="Times New Roman" w:hAnsi="Times New Roman" w:cs="Times New Roman"/>
          <w:i/>
          <w:sz w:val="20"/>
          <w:szCs w:val="20"/>
        </w:rPr>
        <w:t xml:space="preserve"> </w:t>
      </w:r>
      <w:r w:rsidR="00982C8F" w:rsidRPr="00D23517">
        <w:rPr>
          <w:rFonts w:ascii="Times New Roman" w:hAnsi="Times New Roman" w:cs="Times New Roman"/>
          <w:sz w:val="20"/>
          <w:szCs w:val="20"/>
        </w:rPr>
        <w:t>the sum of abnormal production cost, abnormal discretionary expenditures</w:t>
      </w:r>
      <w:r w:rsidR="00D17B82">
        <w:rPr>
          <w:rFonts w:ascii="Times New Roman" w:hAnsi="Times New Roman" w:cs="Times New Roman"/>
          <w:sz w:val="20"/>
          <w:szCs w:val="20"/>
        </w:rPr>
        <w:t>,</w:t>
      </w:r>
      <w:r w:rsidR="00982C8F" w:rsidRPr="00D23517">
        <w:rPr>
          <w:rFonts w:ascii="Times New Roman" w:hAnsi="Times New Roman" w:cs="Times New Roman"/>
          <w:sz w:val="20"/>
          <w:szCs w:val="20"/>
        </w:rPr>
        <w:t xml:space="preserve"> and abnormal operating cash flows.</w:t>
      </w:r>
      <w:r w:rsidR="007F706E" w:rsidRPr="00D23517">
        <w:rPr>
          <w:rFonts w:ascii="Times New Roman" w:hAnsi="Times New Roman" w:cs="Times New Roman"/>
          <w:sz w:val="20"/>
          <w:szCs w:val="20"/>
        </w:rPr>
        <w:br w:type="page"/>
      </w:r>
    </w:p>
    <w:p w14:paraId="532D1747" w14:textId="74C81F00" w:rsidR="007F706E" w:rsidRPr="00D23517" w:rsidRDefault="00982C8F" w:rsidP="00A1062B">
      <w:pPr>
        <w:spacing w:after="0" w:line="240" w:lineRule="auto"/>
        <w:jc w:val="both"/>
        <w:rPr>
          <w:rFonts w:ascii="Times New Roman" w:hAnsi="Times New Roman" w:cs="Times New Roman"/>
          <w:b/>
          <w:sz w:val="24"/>
          <w:szCs w:val="24"/>
        </w:rPr>
      </w:pPr>
      <w:r w:rsidRPr="00D23517">
        <w:rPr>
          <w:rFonts w:ascii="Times New Roman" w:hAnsi="Times New Roman" w:cs="Times New Roman"/>
          <w:b/>
          <w:sz w:val="24"/>
          <w:szCs w:val="24"/>
        </w:rPr>
        <w:lastRenderedPageBreak/>
        <w:t xml:space="preserve">Table 3: </w:t>
      </w:r>
      <w:r w:rsidR="007F706E" w:rsidRPr="00D23517">
        <w:rPr>
          <w:rFonts w:ascii="Times New Roman" w:eastAsia="Times New Roman" w:hAnsi="Times New Roman" w:cs="Times New Roman"/>
          <w:b/>
          <w:color w:val="000000"/>
          <w:sz w:val="24"/>
          <w:szCs w:val="24"/>
        </w:rPr>
        <w:t xml:space="preserve">The </w:t>
      </w:r>
      <w:r w:rsidR="00AC74B2" w:rsidRPr="00D23517">
        <w:rPr>
          <w:rFonts w:ascii="Times New Roman" w:eastAsia="Times New Roman" w:hAnsi="Times New Roman" w:cs="Times New Roman"/>
          <w:b/>
          <w:color w:val="000000"/>
          <w:sz w:val="24"/>
          <w:szCs w:val="24"/>
        </w:rPr>
        <w:t xml:space="preserve">relation </w:t>
      </w:r>
      <w:r w:rsidR="007F706E" w:rsidRPr="00D23517">
        <w:rPr>
          <w:rFonts w:ascii="Times New Roman" w:eastAsia="Times New Roman" w:hAnsi="Times New Roman" w:cs="Times New Roman"/>
          <w:b/>
          <w:color w:val="000000"/>
          <w:sz w:val="24"/>
          <w:szCs w:val="24"/>
        </w:rPr>
        <w:t xml:space="preserve">between </w:t>
      </w:r>
      <w:r w:rsidR="00AC74B2" w:rsidRPr="00D23517">
        <w:rPr>
          <w:rFonts w:ascii="Times New Roman" w:eastAsia="Times New Roman" w:hAnsi="Times New Roman" w:cs="Times New Roman"/>
          <w:b/>
          <w:color w:val="000000"/>
          <w:sz w:val="24"/>
          <w:szCs w:val="24"/>
        </w:rPr>
        <w:t>non</w:t>
      </w:r>
      <w:r w:rsidR="007F706E" w:rsidRPr="00D23517">
        <w:rPr>
          <w:rFonts w:ascii="Times New Roman" w:eastAsia="Times New Roman" w:hAnsi="Times New Roman" w:cs="Times New Roman"/>
          <w:b/>
          <w:color w:val="000000"/>
          <w:sz w:val="24"/>
          <w:szCs w:val="24"/>
        </w:rPr>
        <w:t>-</w:t>
      </w:r>
      <w:r w:rsidR="00AC74B2" w:rsidRPr="00D23517">
        <w:rPr>
          <w:rFonts w:ascii="Times New Roman" w:eastAsia="Times New Roman" w:hAnsi="Times New Roman" w:cs="Times New Roman"/>
          <w:b/>
          <w:color w:val="000000"/>
          <w:sz w:val="24"/>
          <w:szCs w:val="24"/>
        </w:rPr>
        <w:t xml:space="preserve">operating income </w:t>
      </w:r>
      <w:r w:rsidR="007F706E" w:rsidRPr="00D23517">
        <w:rPr>
          <w:rFonts w:ascii="Times New Roman" w:eastAsia="Times New Roman" w:hAnsi="Times New Roman" w:cs="Times New Roman"/>
          <w:b/>
          <w:color w:val="000000"/>
          <w:sz w:val="24"/>
          <w:szCs w:val="24"/>
        </w:rPr>
        <w:t xml:space="preserve">and ROA </w:t>
      </w:r>
      <w:r w:rsidR="00AC74B2" w:rsidRPr="00D23517">
        <w:rPr>
          <w:rFonts w:ascii="Times New Roman" w:eastAsia="Times New Roman" w:hAnsi="Times New Roman" w:cs="Times New Roman"/>
          <w:b/>
          <w:color w:val="000000"/>
          <w:sz w:val="24"/>
          <w:szCs w:val="24"/>
        </w:rPr>
        <w:t>volatility</w:t>
      </w:r>
      <w:r w:rsidR="00AC74B2" w:rsidRPr="00D23517" w:rsidDel="007F706E">
        <w:rPr>
          <w:rFonts w:ascii="Times New Roman" w:hAnsi="Times New Roman" w:cs="Times New Roman"/>
          <w:sz w:val="24"/>
          <w:szCs w:val="24"/>
        </w:rPr>
        <w:t xml:space="preserve"> </w:t>
      </w:r>
    </w:p>
    <w:tbl>
      <w:tblPr>
        <w:tblW w:w="9360" w:type="dxa"/>
        <w:tblLayout w:type="fixed"/>
        <w:tblLook w:val="04A0" w:firstRow="1" w:lastRow="0" w:firstColumn="1" w:lastColumn="0" w:noHBand="0" w:noVBand="1"/>
      </w:tblPr>
      <w:tblGrid>
        <w:gridCol w:w="2458"/>
        <w:gridCol w:w="2421"/>
        <w:gridCol w:w="2504"/>
        <w:gridCol w:w="1977"/>
      </w:tblGrid>
      <w:tr w:rsidR="006F4FAD" w:rsidRPr="00D23517" w14:paraId="2CFB97E2" w14:textId="77777777" w:rsidTr="00102195">
        <w:trPr>
          <w:trHeight w:val="288"/>
        </w:trPr>
        <w:tc>
          <w:tcPr>
            <w:tcW w:w="2458" w:type="dxa"/>
            <w:tcBorders>
              <w:top w:val="single" w:sz="4" w:space="0" w:color="auto"/>
              <w:left w:val="nil"/>
              <w:bottom w:val="single" w:sz="4" w:space="0" w:color="auto"/>
              <w:right w:val="nil"/>
            </w:tcBorders>
            <w:shd w:val="clear" w:color="auto" w:fill="auto"/>
            <w:noWrap/>
            <w:vAlign w:val="bottom"/>
            <w:hideMark/>
          </w:tcPr>
          <w:p w14:paraId="10446035" w14:textId="77777777" w:rsidR="006F4FAD" w:rsidRPr="00D23517" w:rsidRDefault="006F4FAD" w:rsidP="00A1062B">
            <w:pPr>
              <w:spacing w:after="0" w:line="240" w:lineRule="auto"/>
              <w:contextualSpacing/>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Variables</w:t>
            </w:r>
          </w:p>
        </w:tc>
        <w:tc>
          <w:tcPr>
            <w:tcW w:w="2421" w:type="dxa"/>
            <w:tcBorders>
              <w:top w:val="single" w:sz="4" w:space="0" w:color="auto"/>
              <w:left w:val="nil"/>
              <w:bottom w:val="single" w:sz="4" w:space="0" w:color="auto"/>
              <w:right w:val="nil"/>
            </w:tcBorders>
            <w:shd w:val="clear" w:color="auto" w:fill="auto"/>
            <w:noWrap/>
            <w:vAlign w:val="bottom"/>
            <w:hideMark/>
          </w:tcPr>
          <w:p w14:paraId="2A2B9B23" w14:textId="77777777" w:rsidR="006F4FAD" w:rsidRPr="00D23517" w:rsidRDefault="006F4FAD" w:rsidP="00A1062B">
            <w:pPr>
              <w:spacing w:after="0" w:line="240" w:lineRule="auto"/>
              <w:contextualSpacing/>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Panel A – OLS</w:t>
            </w:r>
          </w:p>
        </w:tc>
        <w:tc>
          <w:tcPr>
            <w:tcW w:w="2504" w:type="dxa"/>
            <w:tcBorders>
              <w:top w:val="single" w:sz="4" w:space="0" w:color="auto"/>
              <w:left w:val="nil"/>
              <w:bottom w:val="single" w:sz="4" w:space="0" w:color="auto"/>
              <w:right w:val="nil"/>
            </w:tcBorders>
            <w:shd w:val="clear" w:color="auto" w:fill="auto"/>
            <w:noWrap/>
            <w:vAlign w:val="bottom"/>
            <w:hideMark/>
          </w:tcPr>
          <w:p w14:paraId="65EB44EF" w14:textId="77777777" w:rsidR="006F4FAD" w:rsidRPr="00D23517" w:rsidRDefault="006F4FAD" w:rsidP="00A1062B">
            <w:pPr>
              <w:spacing w:after="0" w:line="240" w:lineRule="auto"/>
              <w:contextualSpacing/>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Panel B - FE</w:t>
            </w:r>
          </w:p>
        </w:tc>
        <w:tc>
          <w:tcPr>
            <w:tcW w:w="1977" w:type="dxa"/>
            <w:tcBorders>
              <w:top w:val="single" w:sz="4" w:space="0" w:color="auto"/>
              <w:left w:val="nil"/>
              <w:bottom w:val="single" w:sz="4" w:space="0" w:color="auto"/>
              <w:right w:val="nil"/>
            </w:tcBorders>
            <w:shd w:val="clear" w:color="auto" w:fill="auto"/>
            <w:noWrap/>
            <w:vAlign w:val="bottom"/>
            <w:hideMark/>
          </w:tcPr>
          <w:p w14:paraId="0DC08002" w14:textId="77777777" w:rsidR="006F4FAD" w:rsidRPr="00D23517" w:rsidRDefault="006F4FAD" w:rsidP="00A1062B">
            <w:pPr>
              <w:spacing w:after="0" w:line="240" w:lineRule="auto"/>
              <w:contextualSpacing/>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Panel C - FGLS</w:t>
            </w:r>
          </w:p>
        </w:tc>
      </w:tr>
      <w:tr w:rsidR="006F4FAD" w:rsidRPr="00D23517" w14:paraId="69EA6B94" w14:textId="77777777" w:rsidTr="00102195">
        <w:trPr>
          <w:trHeight w:val="276"/>
        </w:trPr>
        <w:tc>
          <w:tcPr>
            <w:tcW w:w="2458" w:type="dxa"/>
            <w:tcBorders>
              <w:top w:val="single" w:sz="4" w:space="0" w:color="auto"/>
              <w:left w:val="nil"/>
              <w:bottom w:val="nil"/>
              <w:right w:val="nil"/>
            </w:tcBorders>
            <w:shd w:val="clear" w:color="auto" w:fill="auto"/>
            <w:noWrap/>
            <w:vAlign w:val="bottom"/>
            <w:hideMark/>
          </w:tcPr>
          <w:p w14:paraId="4AFE73B2" w14:textId="77777777" w:rsidR="006F4FAD" w:rsidRPr="00D23517" w:rsidRDefault="006F4FAD" w:rsidP="00A1062B">
            <w:pPr>
              <w:spacing w:after="0" w:line="240" w:lineRule="auto"/>
              <w:contextualSpacing/>
              <w:jc w:val="both"/>
              <w:rPr>
                <w:rFonts w:ascii="Times New Roman" w:eastAsia="Times New Roman" w:hAnsi="Times New Roman" w:cs="Times New Roman"/>
                <w:i/>
                <w:iCs/>
                <w:color w:val="000000"/>
                <w:sz w:val="20"/>
                <w:szCs w:val="20"/>
              </w:rPr>
            </w:pPr>
            <w:r w:rsidRPr="00D23517">
              <w:rPr>
                <w:rFonts w:ascii="Times New Roman" w:eastAsia="Times New Roman" w:hAnsi="Times New Roman" w:cs="Times New Roman"/>
                <w:i/>
                <w:iCs/>
                <w:color w:val="000000"/>
                <w:sz w:val="20"/>
                <w:szCs w:val="20"/>
              </w:rPr>
              <w:t>NONOPERINC</w:t>
            </w:r>
          </w:p>
        </w:tc>
        <w:tc>
          <w:tcPr>
            <w:tcW w:w="2421" w:type="dxa"/>
            <w:tcBorders>
              <w:top w:val="nil"/>
              <w:left w:val="nil"/>
              <w:bottom w:val="nil"/>
              <w:right w:val="nil"/>
            </w:tcBorders>
            <w:shd w:val="clear" w:color="auto" w:fill="auto"/>
            <w:noWrap/>
            <w:vAlign w:val="bottom"/>
          </w:tcPr>
          <w:p w14:paraId="1EA94F27"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-0.017</w:t>
            </w:r>
          </w:p>
        </w:tc>
        <w:tc>
          <w:tcPr>
            <w:tcW w:w="2504" w:type="dxa"/>
            <w:tcBorders>
              <w:top w:val="nil"/>
              <w:left w:val="nil"/>
              <w:bottom w:val="nil"/>
              <w:right w:val="nil"/>
            </w:tcBorders>
            <w:shd w:val="clear" w:color="auto" w:fill="auto"/>
            <w:noWrap/>
            <w:vAlign w:val="bottom"/>
            <w:hideMark/>
          </w:tcPr>
          <w:p w14:paraId="604E5CB0"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-0.010</w:t>
            </w:r>
          </w:p>
        </w:tc>
        <w:tc>
          <w:tcPr>
            <w:tcW w:w="1977" w:type="dxa"/>
            <w:tcBorders>
              <w:top w:val="nil"/>
              <w:left w:val="nil"/>
              <w:bottom w:val="nil"/>
              <w:right w:val="nil"/>
            </w:tcBorders>
            <w:shd w:val="clear" w:color="auto" w:fill="auto"/>
            <w:noWrap/>
            <w:vAlign w:val="bottom"/>
          </w:tcPr>
          <w:p w14:paraId="3946BDC1"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-0.008</w:t>
            </w:r>
          </w:p>
        </w:tc>
      </w:tr>
      <w:tr w:rsidR="006F4FAD" w:rsidRPr="00D23517" w14:paraId="38BE1A1B" w14:textId="77777777" w:rsidTr="00102195">
        <w:trPr>
          <w:trHeight w:val="276"/>
        </w:trPr>
        <w:tc>
          <w:tcPr>
            <w:tcW w:w="2458" w:type="dxa"/>
            <w:tcBorders>
              <w:top w:val="nil"/>
              <w:left w:val="nil"/>
              <w:bottom w:val="nil"/>
              <w:right w:val="nil"/>
            </w:tcBorders>
            <w:shd w:val="clear" w:color="auto" w:fill="auto"/>
            <w:noWrap/>
            <w:vAlign w:val="bottom"/>
            <w:hideMark/>
          </w:tcPr>
          <w:p w14:paraId="612DFE21"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p>
        </w:tc>
        <w:tc>
          <w:tcPr>
            <w:tcW w:w="2421" w:type="dxa"/>
            <w:tcBorders>
              <w:top w:val="nil"/>
              <w:left w:val="nil"/>
              <w:bottom w:val="nil"/>
              <w:right w:val="nil"/>
            </w:tcBorders>
            <w:shd w:val="clear" w:color="auto" w:fill="auto"/>
            <w:noWrap/>
            <w:vAlign w:val="bottom"/>
          </w:tcPr>
          <w:p w14:paraId="3C7B315F"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(-2.976***)</w:t>
            </w:r>
          </w:p>
        </w:tc>
        <w:tc>
          <w:tcPr>
            <w:tcW w:w="2504" w:type="dxa"/>
            <w:tcBorders>
              <w:top w:val="nil"/>
              <w:left w:val="nil"/>
              <w:bottom w:val="nil"/>
              <w:right w:val="nil"/>
            </w:tcBorders>
            <w:shd w:val="clear" w:color="auto" w:fill="auto"/>
            <w:noWrap/>
            <w:vAlign w:val="bottom"/>
            <w:hideMark/>
          </w:tcPr>
          <w:p w14:paraId="5D21ED3D"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(-1.987**)</w:t>
            </w:r>
          </w:p>
        </w:tc>
        <w:tc>
          <w:tcPr>
            <w:tcW w:w="1977" w:type="dxa"/>
            <w:tcBorders>
              <w:top w:val="nil"/>
              <w:left w:val="nil"/>
              <w:bottom w:val="nil"/>
              <w:right w:val="nil"/>
            </w:tcBorders>
            <w:shd w:val="clear" w:color="auto" w:fill="auto"/>
            <w:noWrap/>
            <w:vAlign w:val="bottom"/>
          </w:tcPr>
          <w:p w14:paraId="7997344B"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(-8.700***)</w:t>
            </w:r>
          </w:p>
        </w:tc>
      </w:tr>
      <w:tr w:rsidR="006F4FAD" w:rsidRPr="00D23517" w14:paraId="44969B02" w14:textId="77777777" w:rsidTr="00102195">
        <w:trPr>
          <w:trHeight w:val="276"/>
        </w:trPr>
        <w:tc>
          <w:tcPr>
            <w:tcW w:w="2458" w:type="dxa"/>
            <w:tcBorders>
              <w:top w:val="nil"/>
              <w:left w:val="nil"/>
              <w:bottom w:val="nil"/>
              <w:right w:val="nil"/>
            </w:tcBorders>
            <w:shd w:val="clear" w:color="auto" w:fill="auto"/>
            <w:noWrap/>
            <w:vAlign w:val="bottom"/>
            <w:hideMark/>
          </w:tcPr>
          <w:p w14:paraId="6FFC5732" w14:textId="77777777" w:rsidR="006F4FAD" w:rsidRPr="00D23517" w:rsidRDefault="006F4FAD" w:rsidP="00A1062B">
            <w:pPr>
              <w:spacing w:after="0" w:line="240" w:lineRule="auto"/>
              <w:contextualSpacing/>
              <w:jc w:val="both"/>
              <w:rPr>
                <w:rFonts w:ascii="Times New Roman" w:eastAsia="Times New Roman" w:hAnsi="Times New Roman" w:cs="Times New Roman"/>
                <w:i/>
                <w:iCs/>
                <w:color w:val="000000"/>
                <w:sz w:val="20"/>
                <w:szCs w:val="20"/>
              </w:rPr>
            </w:pPr>
            <w:r w:rsidRPr="00D23517">
              <w:rPr>
                <w:rFonts w:ascii="Times New Roman" w:eastAsia="Times New Roman" w:hAnsi="Times New Roman" w:cs="Times New Roman"/>
                <w:i/>
                <w:iCs/>
                <w:color w:val="000000"/>
                <w:sz w:val="20"/>
                <w:szCs w:val="20"/>
              </w:rPr>
              <w:t>OPERINC</w:t>
            </w:r>
          </w:p>
        </w:tc>
        <w:tc>
          <w:tcPr>
            <w:tcW w:w="2421" w:type="dxa"/>
            <w:tcBorders>
              <w:top w:val="nil"/>
              <w:left w:val="nil"/>
              <w:bottom w:val="nil"/>
              <w:right w:val="nil"/>
            </w:tcBorders>
            <w:shd w:val="clear" w:color="auto" w:fill="auto"/>
            <w:noWrap/>
            <w:vAlign w:val="bottom"/>
          </w:tcPr>
          <w:p w14:paraId="3EAA0DC1"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-0.360</w:t>
            </w:r>
          </w:p>
        </w:tc>
        <w:tc>
          <w:tcPr>
            <w:tcW w:w="2504" w:type="dxa"/>
            <w:tcBorders>
              <w:top w:val="nil"/>
              <w:left w:val="nil"/>
              <w:bottom w:val="nil"/>
              <w:right w:val="nil"/>
            </w:tcBorders>
            <w:shd w:val="clear" w:color="auto" w:fill="auto"/>
            <w:noWrap/>
            <w:vAlign w:val="bottom"/>
            <w:hideMark/>
          </w:tcPr>
          <w:p w14:paraId="1CDE70DE"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-0.167</w:t>
            </w:r>
          </w:p>
        </w:tc>
        <w:tc>
          <w:tcPr>
            <w:tcW w:w="1977" w:type="dxa"/>
            <w:tcBorders>
              <w:top w:val="nil"/>
              <w:left w:val="nil"/>
              <w:bottom w:val="nil"/>
              <w:right w:val="nil"/>
            </w:tcBorders>
            <w:shd w:val="clear" w:color="auto" w:fill="auto"/>
            <w:noWrap/>
            <w:vAlign w:val="bottom"/>
          </w:tcPr>
          <w:p w14:paraId="1C9CC0A1"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-0.166</w:t>
            </w:r>
          </w:p>
        </w:tc>
      </w:tr>
      <w:tr w:rsidR="006F4FAD" w:rsidRPr="00D23517" w14:paraId="4FDAE5E1" w14:textId="77777777" w:rsidTr="00102195">
        <w:trPr>
          <w:trHeight w:val="276"/>
        </w:trPr>
        <w:tc>
          <w:tcPr>
            <w:tcW w:w="2458" w:type="dxa"/>
            <w:tcBorders>
              <w:top w:val="nil"/>
              <w:left w:val="nil"/>
              <w:bottom w:val="nil"/>
              <w:right w:val="nil"/>
            </w:tcBorders>
            <w:shd w:val="clear" w:color="auto" w:fill="auto"/>
            <w:noWrap/>
            <w:vAlign w:val="bottom"/>
            <w:hideMark/>
          </w:tcPr>
          <w:p w14:paraId="60C5703E"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p>
        </w:tc>
        <w:tc>
          <w:tcPr>
            <w:tcW w:w="2421" w:type="dxa"/>
            <w:tcBorders>
              <w:top w:val="nil"/>
              <w:left w:val="nil"/>
              <w:bottom w:val="nil"/>
              <w:right w:val="nil"/>
            </w:tcBorders>
            <w:shd w:val="clear" w:color="auto" w:fill="auto"/>
            <w:noWrap/>
            <w:vAlign w:val="bottom"/>
          </w:tcPr>
          <w:p w14:paraId="116FF688"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(-35.499***)</w:t>
            </w:r>
          </w:p>
        </w:tc>
        <w:tc>
          <w:tcPr>
            <w:tcW w:w="2504" w:type="dxa"/>
            <w:tcBorders>
              <w:top w:val="nil"/>
              <w:left w:val="nil"/>
              <w:bottom w:val="nil"/>
              <w:right w:val="nil"/>
            </w:tcBorders>
            <w:shd w:val="clear" w:color="auto" w:fill="auto"/>
            <w:noWrap/>
            <w:vAlign w:val="bottom"/>
            <w:hideMark/>
          </w:tcPr>
          <w:p w14:paraId="0F518A7D"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(-14.887***)</w:t>
            </w:r>
          </w:p>
        </w:tc>
        <w:tc>
          <w:tcPr>
            <w:tcW w:w="1977" w:type="dxa"/>
            <w:tcBorders>
              <w:top w:val="nil"/>
              <w:left w:val="nil"/>
              <w:bottom w:val="nil"/>
              <w:right w:val="nil"/>
            </w:tcBorders>
            <w:shd w:val="clear" w:color="auto" w:fill="auto"/>
            <w:noWrap/>
            <w:vAlign w:val="bottom"/>
          </w:tcPr>
          <w:p w14:paraId="463A9109"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(-81.169***)</w:t>
            </w:r>
          </w:p>
        </w:tc>
      </w:tr>
      <w:tr w:rsidR="006F4FAD" w:rsidRPr="00D23517" w14:paraId="3D5C1EB9" w14:textId="77777777" w:rsidTr="00102195">
        <w:trPr>
          <w:trHeight w:val="276"/>
        </w:trPr>
        <w:tc>
          <w:tcPr>
            <w:tcW w:w="2458" w:type="dxa"/>
            <w:tcBorders>
              <w:top w:val="nil"/>
              <w:left w:val="nil"/>
              <w:bottom w:val="nil"/>
              <w:right w:val="nil"/>
            </w:tcBorders>
            <w:shd w:val="clear" w:color="auto" w:fill="auto"/>
            <w:noWrap/>
            <w:vAlign w:val="bottom"/>
            <w:hideMark/>
          </w:tcPr>
          <w:p w14:paraId="1BB1B9E3" w14:textId="77777777" w:rsidR="006F4FAD" w:rsidRPr="00D23517" w:rsidRDefault="006F4FAD" w:rsidP="00A1062B">
            <w:pPr>
              <w:spacing w:after="0" w:line="240" w:lineRule="auto"/>
              <w:contextualSpacing/>
              <w:jc w:val="both"/>
              <w:rPr>
                <w:rFonts w:ascii="Times New Roman" w:eastAsia="Times New Roman" w:hAnsi="Times New Roman" w:cs="Times New Roman"/>
                <w:i/>
                <w:iCs/>
                <w:color w:val="000000"/>
                <w:sz w:val="20"/>
                <w:szCs w:val="20"/>
              </w:rPr>
            </w:pPr>
            <w:r w:rsidRPr="00D23517">
              <w:rPr>
                <w:rFonts w:ascii="Times New Roman" w:eastAsia="Times New Roman" w:hAnsi="Times New Roman" w:cs="Times New Roman"/>
                <w:i/>
                <w:iCs/>
                <w:color w:val="000000"/>
                <w:sz w:val="20"/>
                <w:szCs w:val="20"/>
              </w:rPr>
              <w:t>LNAT</w:t>
            </w:r>
          </w:p>
        </w:tc>
        <w:tc>
          <w:tcPr>
            <w:tcW w:w="2421" w:type="dxa"/>
            <w:tcBorders>
              <w:top w:val="nil"/>
              <w:left w:val="nil"/>
              <w:bottom w:val="nil"/>
              <w:right w:val="nil"/>
            </w:tcBorders>
            <w:shd w:val="clear" w:color="auto" w:fill="auto"/>
            <w:noWrap/>
            <w:vAlign w:val="bottom"/>
          </w:tcPr>
          <w:p w14:paraId="0C350871"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-0.201</w:t>
            </w:r>
          </w:p>
        </w:tc>
        <w:tc>
          <w:tcPr>
            <w:tcW w:w="2504" w:type="dxa"/>
            <w:tcBorders>
              <w:top w:val="nil"/>
              <w:left w:val="nil"/>
              <w:bottom w:val="nil"/>
              <w:right w:val="nil"/>
            </w:tcBorders>
            <w:shd w:val="clear" w:color="auto" w:fill="auto"/>
            <w:noWrap/>
            <w:vAlign w:val="bottom"/>
            <w:hideMark/>
          </w:tcPr>
          <w:p w14:paraId="69919BC2"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-0.484</w:t>
            </w:r>
          </w:p>
        </w:tc>
        <w:tc>
          <w:tcPr>
            <w:tcW w:w="1977" w:type="dxa"/>
            <w:tcBorders>
              <w:top w:val="nil"/>
              <w:left w:val="nil"/>
              <w:bottom w:val="nil"/>
              <w:right w:val="nil"/>
            </w:tcBorders>
            <w:shd w:val="clear" w:color="auto" w:fill="auto"/>
            <w:noWrap/>
            <w:vAlign w:val="bottom"/>
          </w:tcPr>
          <w:p w14:paraId="121150F9"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-0.157</w:t>
            </w:r>
          </w:p>
        </w:tc>
      </w:tr>
      <w:tr w:rsidR="006F4FAD" w:rsidRPr="00D23517" w14:paraId="3F358FDE" w14:textId="77777777" w:rsidTr="00102195">
        <w:trPr>
          <w:trHeight w:val="276"/>
        </w:trPr>
        <w:tc>
          <w:tcPr>
            <w:tcW w:w="2458" w:type="dxa"/>
            <w:tcBorders>
              <w:top w:val="nil"/>
              <w:left w:val="nil"/>
              <w:bottom w:val="nil"/>
              <w:right w:val="nil"/>
            </w:tcBorders>
            <w:shd w:val="clear" w:color="auto" w:fill="auto"/>
            <w:noWrap/>
            <w:vAlign w:val="bottom"/>
            <w:hideMark/>
          </w:tcPr>
          <w:p w14:paraId="121376E0"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p>
        </w:tc>
        <w:tc>
          <w:tcPr>
            <w:tcW w:w="2421" w:type="dxa"/>
            <w:tcBorders>
              <w:top w:val="nil"/>
              <w:left w:val="nil"/>
              <w:bottom w:val="nil"/>
              <w:right w:val="nil"/>
            </w:tcBorders>
            <w:shd w:val="clear" w:color="auto" w:fill="auto"/>
            <w:noWrap/>
            <w:vAlign w:val="bottom"/>
          </w:tcPr>
          <w:p w14:paraId="0FC436C9"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(-27.025***)</w:t>
            </w:r>
          </w:p>
        </w:tc>
        <w:tc>
          <w:tcPr>
            <w:tcW w:w="2504" w:type="dxa"/>
            <w:tcBorders>
              <w:top w:val="nil"/>
              <w:left w:val="nil"/>
              <w:bottom w:val="nil"/>
              <w:right w:val="nil"/>
            </w:tcBorders>
            <w:shd w:val="clear" w:color="auto" w:fill="auto"/>
            <w:noWrap/>
            <w:vAlign w:val="bottom"/>
            <w:hideMark/>
          </w:tcPr>
          <w:p w14:paraId="75767477"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(-17.439***)</w:t>
            </w:r>
          </w:p>
        </w:tc>
        <w:tc>
          <w:tcPr>
            <w:tcW w:w="1977" w:type="dxa"/>
            <w:tcBorders>
              <w:top w:val="nil"/>
              <w:left w:val="nil"/>
              <w:bottom w:val="nil"/>
              <w:right w:val="nil"/>
            </w:tcBorders>
            <w:shd w:val="clear" w:color="auto" w:fill="auto"/>
            <w:noWrap/>
            <w:vAlign w:val="bottom"/>
          </w:tcPr>
          <w:p w14:paraId="5C5EE2F4"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(-75.430***)</w:t>
            </w:r>
          </w:p>
        </w:tc>
      </w:tr>
      <w:tr w:rsidR="006F4FAD" w:rsidRPr="00D23517" w14:paraId="7283A8A7" w14:textId="77777777" w:rsidTr="00102195">
        <w:trPr>
          <w:trHeight w:val="276"/>
        </w:trPr>
        <w:tc>
          <w:tcPr>
            <w:tcW w:w="2458" w:type="dxa"/>
            <w:tcBorders>
              <w:top w:val="nil"/>
              <w:left w:val="nil"/>
              <w:bottom w:val="nil"/>
              <w:right w:val="nil"/>
            </w:tcBorders>
            <w:shd w:val="clear" w:color="auto" w:fill="auto"/>
            <w:noWrap/>
            <w:vAlign w:val="bottom"/>
            <w:hideMark/>
          </w:tcPr>
          <w:p w14:paraId="04DD20B4" w14:textId="77777777" w:rsidR="006F4FAD" w:rsidRPr="00D23517" w:rsidRDefault="006F4FAD" w:rsidP="00A1062B">
            <w:pPr>
              <w:spacing w:after="0" w:line="240" w:lineRule="auto"/>
              <w:contextualSpacing/>
              <w:jc w:val="both"/>
              <w:rPr>
                <w:rFonts w:ascii="Times New Roman" w:eastAsia="Times New Roman" w:hAnsi="Times New Roman" w:cs="Times New Roman"/>
                <w:i/>
                <w:iCs/>
                <w:color w:val="000000"/>
                <w:sz w:val="20"/>
                <w:szCs w:val="20"/>
              </w:rPr>
            </w:pPr>
            <w:r w:rsidRPr="00D23517">
              <w:rPr>
                <w:rFonts w:ascii="Times New Roman" w:eastAsia="Times New Roman" w:hAnsi="Times New Roman" w:cs="Times New Roman"/>
                <w:i/>
                <w:iCs/>
                <w:color w:val="000000"/>
                <w:sz w:val="20"/>
                <w:szCs w:val="20"/>
              </w:rPr>
              <w:t>DEBT</w:t>
            </w:r>
          </w:p>
        </w:tc>
        <w:tc>
          <w:tcPr>
            <w:tcW w:w="2421" w:type="dxa"/>
            <w:tcBorders>
              <w:top w:val="nil"/>
              <w:left w:val="nil"/>
              <w:bottom w:val="nil"/>
              <w:right w:val="nil"/>
            </w:tcBorders>
            <w:shd w:val="clear" w:color="auto" w:fill="auto"/>
            <w:noWrap/>
            <w:vAlign w:val="bottom"/>
          </w:tcPr>
          <w:p w14:paraId="323C3FD4"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0.036</w:t>
            </w:r>
          </w:p>
        </w:tc>
        <w:tc>
          <w:tcPr>
            <w:tcW w:w="2504" w:type="dxa"/>
            <w:tcBorders>
              <w:top w:val="nil"/>
              <w:left w:val="nil"/>
              <w:bottom w:val="nil"/>
              <w:right w:val="nil"/>
            </w:tcBorders>
            <w:shd w:val="clear" w:color="auto" w:fill="auto"/>
            <w:noWrap/>
            <w:vAlign w:val="bottom"/>
            <w:hideMark/>
          </w:tcPr>
          <w:p w14:paraId="4C6988D3"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0.049</w:t>
            </w:r>
          </w:p>
        </w:tc>
        <w:tc>
          <w:tcPr>
            <w:tcW w:w="1977" w:type="dxa"/>
            <w:tcBorders>
              <w:top w:val="nil"/>
              <w:left w:val="nil"/>
              <w:bottom w:val="nil"/>
              <w:right w:val="nil"/>
            </w:tcBorders>
            <w:shd w:val="clear" w:color="auto" w:fill="auto"/>
            <w:noWrap/>
            <w:vAlign w:val="bottom"/>
          </w:tcPr>
          <w:p w14:paraId="07B2D435"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0.007</w:t>
            </w:r>
          </w:p>
        </w:tc>
      </w:tr>
      <w:tr w:rsidR="006F4FAD" w:rsidRPr="00D23517" w14:paraId="76288B6B" w14:textId="77777777" w:rsidTr="00102195">
        <w:trPr>
          <w:trHeight w:val="276"/>
        </w:trPr>
        <w:tc>
          <w:tcPr>
            <w:tcW w:w="2458" w:type="dxa"/>
            <w:tcBorders>
              <w:top w:val="nil"/>
              <w:left w:val="nil"/>
              <w:bottom w:val="nil"/>
              <w:right w:val="nil"/>
            </w:tcBorders>
            <w:shd w:val="clear" w:color="auto" w:fill="auto"/>
            <w:noWrap/>
            <w:vAlign w:val="bottom"/>
            <w:hideMark/>
          </w:tcPr>
          <w:p w14:paraId="3FE9FFBC"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p>
        </w:tc>
        <w:tc>
          <w:tcPr>
            <w:tcW w:w="2421" w:type="dxa"/>
            <w:tcBorders>
              <w:top w:val="nil"/>
              <w:left w:val="nil"/>
              <w:bottom w:val="nil"/>
              <w:right w:val="nil"/>
            </w:tcBorders>
            <w:shd w:val="clear" w:color="auto" w:fill="auto"/>
            <w:noWrap/>
            <w:vAlign w:val="bottom"/>
          </w:tcPr>
          <w:p w14:paraId="0F04ACE3"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(5.022***)</w:t>
            </w:r>
          </w:p>
        </w:tc>
        <w:tc>
          <w:tcPr>
            <w:tcW w:w="2504" w:type="dxa"/>
            <w:tcBorders>
              <w:top w:val="nil"/>
              <w:left w:val="nil"/>
              <w:bottom w:val="nil"/>
              <w:right w:val="nil"/>
            </w:tcBorders>
            <w:shd w:val="clear" w:color="auto" w:fill="auto"/>
            <w:noWrap/>
            <w:vAlign w:val="bottom"/>
            <w:hideMark/>
          </w:tcPr>
          <w:p w14:paraId="41692EEC"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(5.308***)</w:t>
            </w:r>
          </w:p>
        </w:tc>
        <w:tc>
          <w:tcPr>
            <w:tcW w:w="1977" w:type="dxa"/>
            <w:tcBorders>
              <w:top w:val="nil"/>
              <w:left w:val="nil"/>
              <w:bottom w:val="nil"/>
              <w:right w:val="nil"/>
            </w:tcBorders>
            <w:shd w:val="clear" w:color="auto" w:fill="auto"/>
            <w:noWrap/>
            <w:vAlign w:val="bottom"/>
          </w:tcPr>
          <w:p w14:paraId="7B39DEE2"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(5.209***)</w:t>
            </w:r>
          </w:p>
        </w:tc>
      </w:tr>
      <w:tr w:rsidR="006F4FAD" w:rsidRPr="00D23517" w14:paraId="2B8C8C45" w14:textId="77777777" w:rsidTr="00102195">
        <w:trPr>
          <w:trHeight w:val="276"/>
        </w:trPr>
        <w:tc>
          <w:tcPr>
            <w:tcW w:w="2458" w:type="dxa"/>
            <w:tcBorders>
              <w:top w:val="nil"/>
              <w:left w:val="nil"/>
              <w:bottom w:val="nil"/>
              <w:right w:val="nil"/>
            </w:tcBorders>
            <w:shd w:val="clear" w:color="auto" w:fill="auto"/>
            <w:noWrap/>
            <w:vAlign w:val="bottom"/>
            <w:hideMark/>
          </w:tcPr>
          <w:p w14:paraId="0C7989E0" w14:textId="77777777" w:rsidR="006F4FAD" w:rsidRPr="00D23517" w:rsidRDefault="006F4FAD" w:rsidP="00A1062B">
            <w:pPr>
              <w:spacing w:after="0" w:line="240" w:lineRule="auto"/>
              <w:contextualSpacing/>
              <w:jc w:val="both"/>
              <w:rPr>
                <w:rFonts w:ascii="Times New Roman" w:eastAsia="Times New Roman" w:hAnsi="Times New Roman" w:cs="Times New Roman"/>
                <w:i/>
                <w:iCs/>
                <w:color w:val="000000"/>
                <w:sz w:val="20"/>
                <w:szCs w:val="20"/>
              </w:rPr>
            </w:pPr>
            <w:r w:rsidRPr="00D23517">
              <w:rPr>
                <w:rFonts w:ascii="Times New Roman" w:eastAsia="Times New Roman" w:hAnsi="Times New Roman" w:cs="Times New Roman"/>
                <w:i/>
                <w:iCs/>
                <w:color w:val="000000"/>
                <w:sz w:val="20"/>
                <w:szCs w:val="20"/>
              </w:rPr>
              <w:t>XRD</w:t>
            </w:r>
          </w:p>
        </w:tc>
        <w:tc>
          <w:tcPr>
            <w:tcW w:w="2421" w:type="dxa"/>
            <w:tcBorders>
              <w:top w:val="nil"/>
              <w:left w:val="nil"/>
              <w:bottom w:val="nil"/>
              <w:right w:val="nil"/>
            </w:tcBorders>
            <w:shd w:val="clear" w:color="auto" w:fill="auto"/>
            <w:noWrap/>
            <w:vAlign w:val="bottom"/>
          </w:tcPr>
          <w:p w14:paraId="2DAB0F8C"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0.143</w:t>
            </w:r>
          </w:p>
        </w:tc>
        <w:tc>
          <w:tcPr>
            <w:tcW w:w="2504" w:type="dxa"/>
            <w:tcBorders>
              <w:top w:val="nil"/>
              <w:left w:val="nil"/>
              <w:bottom w:val="nil"/>
              <w:right w:val="nil"/>
            </w:tcBorders>
            <w:shd w:val="clear" w:color="auto" w:fill="auto"/>
            <w:noWrap/>
            <w:vAlign w:val="bottom"/>
            <w:hideMark/>
          </w:tcPr>
          <w:p w14:paraId="1680380B"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0.065</w:t>
            </w:r>
          </w:p>
        </w:tc>
        <w:tc>
          <w:tcPr>
            <w:tcW w:w="1977" w:type="dxa"/>
            <w:tcBorders>
              <w:top w:val="nil"/>
              <w:left w:val="nil"/>
              <w:bottom w:val="nil"/>
              <w:right w:val="nil"/>
            </w:tcBorders>
            <w:shd w:val="clear" w:color="auto" w:fill="auto"/>
            <w:noWrap/>
            <w:vAlign w:val="bottom"/>
          </w:tcPr>
          <w:p w14:paraId="4FF2AABA"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0.107</w:t>
            </w:r>
          </w:p>
        </w:tc>
      </w:tr>
      <w:tr w:rsidR="006F4FAD" w:rsidRPr="00D23517" w14:paraId="054A1F2A" w14:textId="77777777" w:rsidTr="00102195">
        <w:trPr>
          <w:trHeight w:val="276"/>
        </w:trPr>
        <w:tc>
          <w:tcPr>
            <w:tcW w:w="2458" w:type="dxa"/>
            <w:tcBorders>
              <w:top w:val="nil"/>
              <w:left w:val="nil"/>
              <w:bottom w:val="nil"/>
              <w:right w:val="nil"/>
            </w:tcBorders>
            <w:shd w:val="clear" w:color="auto" w:fill="auto"/>
            <w:noWrap/>
            <w:vAlign w:val="bottom"/>
            <w:hideMark/>
          </w:tcPr>
          <w:p w14:paraId="49EDFFB8"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p>
        </w:tc>
        <w:tc>
          <w:tcPr>
            <w:tcW w:w="2421" w:type="dxa"/>
            <w:tcBorders>
              <w:top w:val="nil"/>
              <w:left w:val="nil"/>
              <w:bottom w:val="nil"/>
              <w:right w:val="nil"/>
            </w:tcBorders>
            <w:shd w:val="clear" w:color="auto" w:fill="auto"/>
            <w:noWrap/>
            <w:vAlign w:val="bottom"/>
          </w:tcPr>
          <w:p w14:paraId="4A7808B7"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(12.601***)</w:t>
            </w:r>
          </w:p>
        </w:tc>
        <w:tc>
          <w:tcPr>
            <w:tcW w:w="2504" w:type="dxa"/>
            <w:tcBorders>
              <w:top w:val="nil"/>
              <w:left w:val="nil"/>
              <w:bottom w:val="nil"/>
              <w:right w:val="nil"/>
            </w:tcBorders>
            <w:shd w:val="clear" w:color="auto" w:fill="auto"/>
            <w:noWrap/>
            <w:vAlign w:val="bottom"/>
            <w:hideMark/>
          </w:tcPr>
          <w:p w14:paraId="79F32A45"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(4.762***)</w:t>
            </w:r>
          </w:p>
        </w:tc>
        <w:tc>
          <w:tcPr>
            <w:tcW w:w="1977" w:type="dxa"/>
            <w:tcBorders>
              <w:top w:val="nil"/>
              <w:left w:val="nil"/>
              <w:bottom w:val="nil"/>
              <w:right w:val="nil"/>
            </w:tcBorders>
            <w:shd w:val="clear" w:color="auto" w:fill="auto"/>
            <w:noWrap/>
            <w:vAlign w:val="bottom"/>
          </w:tcPr>
          <w:p w14:paraId="00A99873"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(34.375***)</w:t>
            </w:r>
          </w:p>
        </w:tc>
      </w:tr>
      <w:tr w:rsidR="006F4FAD" w:rsidRPr="00D23517" w14:paraId="34D23EFC" w14:textId="77777777" w:rsidTr="00102195">
        <w:trPr>
          <w:trHeight w:val="276"/>
        </w:trPr>
        <w:tc>
          <w:tcPr>
            <w:tcW w:w="2458" w:type="dxa"/>
            <w:tcBorders>
              <w:top w:val="nil"/>
              <w:left w:val="nil"/>
              <w:bottom w:val="nil"/>
              <w:right w:val="nil"/>
            </w:tcBorders>
            <w:shd w:val="clear" w:color="auto" w:fill="auto"/>
            <w:noWrap/>
            <w:vAlign w:val="bottom"/>
            <w:hideMark/>
          </w:tcPr>
          <w:p w14:paraId="079A4842" w14:textId="77777777" w:rsidR="006F4FAD" w:rsidRPr="00D23517" w:rsidRDefault="006F4FAD" w:rsidP="00A1062B">
            <w:pPr>
              <w:spacing w:after="0" w:line="240" w:lineRule="auto"/>
              <w:contextualSpacing/>
              <w:jc w:val="both"/>
              <w:rPr>
                <w:rFonts w:ascii="Times New Roman" w:eastAsia="Times New Roman" w:hAnsi="Times New Roman" w:cs="Times New Roman"/>
                <w:i/>
                <w:iCs/>
                <w:color w:val="000000"/>
                <w:sz w:val="20"/>
                <w:szCs w:val="20"/>
              </w:rPr>
            </w:pPr>
            <w:r w:rsidRPr="00D23517">
              <w:rPr>
                <w:rFonts w:ascii="Times New Roman" w:eastAsia="Times New Roman" w:hAnsi="Times New Roman" w:cs="Times New Roman"/>
                <w:i/>
                <w:iCs/>
                <w:color w:val="000000"/>
                <w:sz w:val="20"/>
                <w:szCs w:val="20"/>
              </w:rPr>
              <w:t>XAD</w:t>
            </w:r>
          </w:p>
        </w:tc>
        <w:tc>
          <w:tcPr>
            <w:tcW w:w="2421" w:type="dxa"/>
            <w:tcBorders>
              <w:top w:val="nil"/>
              <w:left w:val="nil"/>
              <w:bottom w:val="nil"/>
              <w:right w:val="nil"/>
            </w:tcBorders>
            <w:shd w:val="clear" w:color="auto" w:fill="auto"/>
            <w:noWrap/>
            <w:vAlign w:val="bottom"/>
          </w:tcPr>
          <w:p w14:paraId="44D2BB37"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0.043</w:t>
            </w:r>
          </w:p>
        </w:tc>
        <w:tc>
          <w:tcPr>
            <w:tcW w:w="2504" w:type="dxa"/>
            <w:tcBorders>
              <w:top w:val="nil"/>
              <w:left w:val="nil"/>
              <w:bottom w:val="nil"/>
              <w:right w:val="nil"/>
            </w:tcBorders>
            <w:shd w:val="clear" w:color="auto" w:fill="auto"/>
            <w:noWrap/>
            <w:vAlign w:val="bottom"/>
            <w:hideMark/>
          </w:tcPr>
          <w:p w14:paraId="63650021"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0.018</w:t>
            </w:r>
          </w:p>
        </w:tc>
        <w:tc>
          <w:tcPr>
            <w:tcW w:w="1977" w:type="dxa"/>
            <w:tcBorders>
              <w:top w:val="nil"/>
              <w:left w:val="nil"/>
              <w:bottom w:val="nil"/>
              <w:right w:val="nil"/>
            </w:tcBorders>
            <w:shd w:val="clear" w:color="auto" w:fill="auto"/>
            <w:noWrap/>
            <w:vAlign w:val="bottom"/>
          </w:tcPr>
          <w:p w14:paraId="34C2EB86"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0.009</w:t>
            </w:r>
          </w:p>
        </w:tc>
      </w:tr>
      <w:tr w:rsidR="006F4FAD" w:rsidRPr="00D23517" w14:paraId="4E9D5D5E" w14:textId="77777777" w:rsidTr="00102195">
        <w:trPr>
          <w:trHeight w:val="276"/>
        </w:trPr>
        <w:tc>
          <w:tcPr>
            <w:tcW w:w="2458" w:type="dxa"/>
            <w:tcBorders>
              <w:top w:val="nil"/>
              <w:left w:val="nil"/>
              <w:bottom w:val="nil"/>
              <w:right w:val="nil"/>
            </w:tcBorders>
            <w:shd w:val="clear" w:color="auto" w:fill="auto"/>
            <w:noWrap/>
            <w:vAlign w:val="bottom"/>
            <w:hideMark/>
          </w:tcPr>
          <w:p w14:paraId="00C71215"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p>
        </w:tc>
        <w:tc>
          <w:tcPr>
            <w:tcW w:w="2421" w:type="dxa"/>
            <w:tcBorders>
              <w:top w:val="nil"/>
              <w:left w:val="nil"/>
              <w:bottom w:val="nil"/>
              <w:right w:val="nil"/>
            </w:tcBorders>
            <w:shd w:val="clear" w:color="auto" w:fill="auto"/>
            <w:noWrap/>
            <w:vAlign w:val="bottom"/>
          </w:tcPr>
          <w:p w14:paraId="700D5C82"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(5.415***)</w:t>
            </w:r>
          </w:p>
        </w:tc>
        <w:tc>
          <w:tcPr>
            <w:tcW w:w="2504" w:type="dxa"/>
            <w:tcBorders>
              <w:top w:val="nil"/>
              <w:left w:val="nil"/>
              <w:bottom w:val="nil"/>
              <w:right w:val="nil"/>
            </w:tcBorders>
            <w:shd w:val="clear" w:color="auto" w:fill="auto"/>
            <w:noWrap/>
            <w:vAlign w:val="bottom"/>
            <w:hideMark/>
          </w:tcPr>
          <w:p w14:paraId="4BA2DFDD"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(1.813*)</w:t>
            </w:r>
          </w:p>
        </w:tc>
        <w:tc>
          <w:tcPr>
            <w:tcW w:w="1977" w:type="dxa"/>
            <w:tcBorders>
              <w:top w:val="nil"/>
              <w:left w:val="nil"/>
              <w:bottom w:val="nil"/>
              <w:right w:val="nil"/>
            </w:tcBorders>
            <w:shd w:val="clear" w:color="auto" w:fill="auto"/>
            <w:noWrap/>
            <w:vAlign w:val="bottom"/>
          </w:tcPr>
          <w:p w14:paraId="4272F13C"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(5.449***)</w:t>
            </w:r>
          </w:p>
        </w:tc>
      </w:tr>
      <w:tr w:rsidR="006F4FAD" w:rsidRPr="00D23517" w14:paraId="160479FC" w14:textId="77777777" w:rsidTr="00102195">
        <w:trPr>
          <w:trHeight w:val="276"/>
        </w:trPr>
        <w:tc>
          <w:tcPr>
            <w:tcW w:w="2458" w:type="dxa"/>
            <w:tcBorders>
              <w:top w:val="nil"/>
              <w:left w:val="nil"/>
              <w:bottom w:val="nil"/>
              <w:right w:val="nil"/>
            </w:tcBorders>
            <w:shd w:val="clear" w:color="auto" w:fill="auto"/>
            <w:noWrap/>
            <w:vAlign w:val="bottom"/>
          </w:tcPr>
          <w:p w14:paraId="0613BF6F" w14:textId="77777777" w:rsidR="006F4FAD" w:rsidRPr="00D23517" w:rsidRDefault="006F4FAD" w:rsidP="00A1062B">
            <w:pPr>
              <w:spacing w:after="0" w:line="240" w:lineRule="auto"/>
              <w:contextualSpacing/>
              <w:jc w:val="both"/>
              <w:rPr>
                <w:rFonts w:ascii="Times New Roman" w:eastAsia="Times New Roman" w:hAnsi="Times New Roman" w:cs="Times New Roman"/>
                <w:i/>
                <w:iCs/>
                <w:color w:val="000000"/>
                <w:sz w:val="20"/>
                <w:szCs w:val="20"/>
              </w:rPr>
            </w:pPr>
            <w:r w:rsidRPr="00D23517">
              <w:rPr>
                <w:rFonts w:ascii="Times New Roman" w:eastAsia="Times New Roman" w:hAnsi="Times New Roman" w:cs="Times New Roman"/>
                <w:i/>
                <w:color w:val="000000"/>
                <w:sz w:val="20"/>
                <w:szCs w:val="20"/>
              </w:rPr>
              <w:t>INSTOWN_TRAN</w:t>
            </w:r>
          </w:p>
        </w:tc>
        <w:tc>
          <w:tcPr>
            <w:tcW w:w="2421" w:type="dxa"/>
            <w:tcBorders>
              <w:top w:val="nil"/>
              <w:left w:val="nil"/>
              <w:bottom w:val="nil"/>
              <w:right w:val="nil"/>
            </w:tcBorders>
            <w:shd w:val="clear" w:color="auto" w:fill="auto"/>
            <w:noWrap/>
            <w:vAlign w:val="bottom"/>
          </w:tcPr>
          <w:p w14:paraId="3EA3C876"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0.045</w:t>
            </w:r>
          </w:p>
        </w:tc>
        <w:tc>
          <w:tcPr>
            <w:tcW w:w="2504" w:type="dxa"/>
            <w:tcBorders>
              <w:top w:val="nil"/>
              <w:left w:val="nil"/>
              <w:bottom w:val="nil"/>
              <w:right w:val="nil"/>
            </w:tcBorders>
            <w:shd w:val="clear" w:color="auto" w:fill="auto"/>
            <w:noWrap/>
            <w:vAlign w:val="bottom"/>
            <w:hideMark/>
          </w:tcPr>
          <w:p w14:paraId="2C4E271E"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0.002</w:t>
            </w:r>
          </w:p>
        </w:tc>
        <w:tc>
          <w:tcPr>
            <w:tcW w:w="1977" w:type="dxa"/>
            <w:tcBorders>
              <w:top w:val="nil"/>
              <w:left w:val="nil"/>
              <w:bottom w:val="nil"/>
              <w:right w:val="nil"/>
            </w:tcBorders>
            <w:shd w:val="clear" w:color="auto" w:fill="auto"/>
            <w:noWrap/>
            <w:vAlign w:val="bottom"/>
          </w:tcPr>
          <w:p w14:paraId="4D3F71FB"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0.004</w:t>
            </w:r>
          </w:p>
        </w:tc>
      </w:tr>
      <w:tr w:rsidR="006F4FAD" w:rsidRPr="00D23517" w14:paraId="6D0B9118" w14:textId="77777777" w:rsidTr="00102195">
        <w:trPr>
          <w:trHeight w:val="276"/>
        </w:trPr>
        <w:tc>
          <w:tcPr>
            <w:tcW w:w="2458" w:type="dxa"/>
            <w:tcBorders>
              <w:top w:val="nil"/>
              <w:left w:val="nil"/>
              <w:bottom w:val="nil"/>
              <w:right w:val="nil"/>
            </w:tcBorders>
            <w:shd w:val="clear" w:color="auto" w:fill="auto"/>
            <w:noWrap/>
            <w:vAlign w:val="bottom"/>
          </w:tcPr>
          <w:p w14:paraId="44C87D2E"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p>
        </w:tc>
        <w:tc>
          <w:tcPr>
            <w:tcW w:w="2421" w:type="dxa"/>
            <w:tcBorders>
              <w:top w:val="nil"/>
              <w:left w:val="nil"/>
              <w:bottom w:val="nil"/>
              <w:right w:val="nil"/>
            </w:tcBorders>
            <w:shd w:val="clear" w:color="auto" w:fill="auto"/>
            <w:noWrap/>
            <w:vAlign w:val="bottom"/>
          </w:tcPr>
          <w:p w14:paraId="5A77363C"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(7.533***)</w:t>
            </w:r>
          </w:p>
        </w:tc>
        <w:tc>
          <w:tcPr>
            <w:tcW w:w="2504" w:type="dxa"/>
            <w:tcBorders>
              <w:top w:val="nil"/>
              <w:left w:val="nil"/>
              <w:bottom w:val="nil"/>
              <w:right w:val="nil"/>
            </w:tcBorders>
            <w:shd w:val="clear" w:color="auto" w:fill="auto"/>
            <w:noWrap/>
            <w:vAlign w:val="bottom"/>
            <w:hideMark/>
          </w:tcPr>
          <w:p w14:paraId="2A68848C"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(2.519**)</w:t>
            </w:r>
          </w:p>
        </w:tc>
        <w:tc>
          <w:tcPr>
            <w:tcW w:w="1977" w:type="dxa"/>
            <w:tcBorders>
              <w:top w:val="nil"/>
              <w:left w:val="nil"/>
              <w:bottom w:val="nil"/>
              <w:right w:val="nil"/>
            </w:tcBorders>
            <w:shd w:val="clear" w:color="auto" w:fill="auto"/>
            <w:noWrap/>
            <w:vAlign w:val="bottom"/>
          </w:tcPr>
          <w:p w14:paraId="06B1C628"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(4.624***)</w:t>
            </w:r>
          </w:p>
        </w:tc>
      </w:tr>
      <w:tr w:rsidR="006F4FAD" w:rsidRPr="00D23517" w14:paraId="481146B8" w14:textId="77777777" w:rsidTr="00102195">
        <w:trPr>
          <w:trHeight w:val="276"/>
        </w:trPr>
        <w:tc>
          <w:tcPr>
            <w:tcW w:w="2458" w:type="dxa"/>
            <w:tcBorders>
              <w:top w:val="nil"/>
              <w:left w:val="nil"/>
              <w:bottom w:val="nil"/>
              <w:right w:val="nil"/>
            </w:tcBorders>
            <w:shd w:val="clear" w:color="auto" w:fill="auto"/>
            <w:noWrap/>
            <w:vAlign w:val="bottom"/>
          </w:tcPr>
          <w:p w14:paraId="6FCA3822" w14:textId="77777777" w:rsidR="006F4FAD" w:rsidRPr="00D23517" w:rsidRDefault="006F4FAD" w:rsidP="00A1062B">
            <w:pPr>
              <w:spacing w:after="0" w:line="240" w:lineRule="auto"/>
              <w:contextualSpacing/>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INSTOWN_QIX</w:t>
            </w:r>
          </w:p>
        </w:tc>
        <w:tc>
          <w:tcPr>
            <w:tcW w:w="2421" w:type="dxa"/>
            <w:tcBorders>
              <w:top w:val="nil"/>
              <w:left w:val="nil"/>
              <w:bottom w:val="nil"/>
              <w:right w:val="nil"/>
            </w:tcBorders>
            <w:shd w:val="clear" w:color="auto" w:fill="auto"/>
            <w:noWrap/>
            <w:vAlign w:val="bottom"/>
          </w:tcPr>
          <w:p w14:paraId="3BD85847"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-0.062</w:t>
            </w:r>
          </w:p>
        </w:tc>
        <w:tc>
          <w:tcPr>
            <w:tcW w:w="2504" w:type="dxa"/>
            <w:tcBorders>
              <w:top w:val="nil"/>
              <w:left w:val="nil"/>
              <w:bottom w:val="nil"/>
              <w:right w:val="nil"/>
            </w:tcBorders>
            <w:shd w:val="clear" w:color="auto" w:fill="auto"/>
            <w:noWrap/>
            <w:vAlign w:val="bottom"/>
          </w:tcPr>
          <w:p w14:paraId="75BF733B"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-0.020</w:t>
            </w:r>
          </w:p>
        </w:tc>
        <w:tc>
          <w:tcPr>
            <w:tcW w:w="1977" w:type="dxa"/>
            <w:tcBorders>
              <w:top w:val="nil"/>
              <w:left w:val="nil"/>
              <w:bottom w:val="nil"/>
              <w:right w:val="nil"/>
            </w:tcBorders>
            <w:shd w:val="clear" w:color="auto" w:fill="auto"/>
            <w:noWrap/>
            <w:vAlign w:val="bottom"/>
          </w:tcPr>
          <w:p w14:paraId="4CB49DA9"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-0.012</w:t>
            </w:r>
          </w:p>
        </w:tc>
      </w:tr>
      <w:tr w:rsidR="006F4FAD" w:rsidRPr="00D23517" w14:paraId="09C8B9F9" w14:textId="77777777" w:rsidTr="00102195">
        <w:trPr>
          <w:trHeight w:val="276"/>
        </w:trPr>
        <w:tc>
          <w:tcPr>
            <w:tcW w:w="2458" w:type="dxa"/>
            <w:tcBorders>
              <w:top w:val="nil"/>
              <w:left w:val="nil"/>
              <w:bottom w:val="nil"/>
              <w:right w:val="nil"/>
            </w:tcBorders>
            <w:shd w:val="clear" w:color="auto" w:fill="auto"/>
            <w:noWrap/>
            <w:vAlign w:val="bottom"/>
          </w:tcPr>
          <w:p w14:paraId="59D2D104" w14:textId="77777777" w:rsidR="006F4FAD" w:rsidRPr="00D23517" w:rsidRDefault="006F4FAD" w:rsidP="00A1062B">
            <w:pPr>
              <w:spacing w:after="0" w:line="240" w:lineRule="auto"/>
              <w:contextualSpacing/>
              <w:jc w:val="both"/>
              <w:rPr>
                <w:rFonts w:ascii="Times New Roman" w:eastAsia="Times New Roman" w:hAnsi="Times New Roman" w:cs="Times New Roman"/>
                <w:i/>
                <w:color w:val="000000"/>
                <w:sz w:val="20"/>
                <w:szCs w:val="20"/>
              </w:rPr>
            </w:pPr>
          </w:p>
        </w:tc>
        <w:tc>
          <w:tcPr>
            <w:tcW w:w="2421" w:type="dxa"/>
            <w:tcBorders>
              <w:top w:val="nil"/>
              <w:left w:val="nil"/>
              <w:bottom w:val="nil"/>
              <w:right w:val="nil"/>
            </w:tcBorders>
            <w:shd w:val="clear" w:color="auto" w:fill="auto"/>
            <w:noWrap/>
            <w:vAlign w:val="bottom"/>
          </w:tcPr>
          <w:p w14:paraId="07A96DEF"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(-9.772***)</w:t>
            </w:r>
          </w:p>
        </w:tc>
        <w:tc>
          <w:tcPr>
            <w:tcW w:w="2504" w:type="dxa"/>
            <w:tcBorders>
              <w:top w:val="nil"/>
              <w:left w:val="nil"/>
              <w:bottom w:val="nil"/>
              <w:right w:val="nil"/>
            </w:tcBorders>
            <w:shd w:val="clear" w:color="auto" w:fill="auto"/>
            <w:noWrap/>
            <w:vAlign w:val="bottom"/>
          </w:tcPr>
          <w:p w14:paraId="09EB1762"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(-3.295***)</w:t>
            </w:r>
          </w:p>
        </w:tc>
        <w:tc>
          <w:tcPr>
            <w:tcW w:w="1977" w:type="dxa"/>
            <w:tcBorders>
              <w:top w:val="nil"/>
              <w:left w:val="nil"/>
              <w:bottom w:val="nil"/>
              <w:right w:val="nil"/>
            </w:tcBorders>
            <w:shd w:val="clear" w:color="auto" w:fill="auto"/>
            <w:noWrap/>
            <w:vAlign w:val="bottom"/>
          </w:tcPr>
          <w:p w14:paraId="1AECCEDD"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(-10.444***)</w:t>
            </w:r>
          </w:p>
        </w:tc>
      </w:tr>
      <w:tr w:rsidR="006F4FAD" w:rsidRPr="00D23517" w14:paraId="09EDFACD" w14:textId="77777777" w:rsidTr="00102195">
        <w:trPr>
          <w:trHeight w:val="276"/>
        </w:trPr>
        <w:tc>
          <w:tcPr>
            <w:tcW w:w="2458" w:type="dxa"/>
            <w:tcBorders>
              <w:top w:val="nil"/>
              <w:left w:val="nil"/>
              <w:bottom w:val="nil"/>
              <w:right w:val="nil"/>
            </w:tcBorders>
            <w:shd w:val="clear" w:color="auto" w:fill="auto"/>
            <w:noWrap/>
            <w:vAlign w:val="bottom"/>
          </w:tcPr>
          <w:p w14:paraId="74933615" w14:textId="77777777" w:rsidR="006F4FAD" w:rsidRPr="00D23517" w:rsidRDefault="006F4FAD" w:rsidP="00A1062B">
            <w:pPr>
              <w:spacing w:after="0" w:line="240" w:lineRule="auto"/>
              <w:contextualSpacing/>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INSTOWN_DED</w:t>
            </w:r>
          </w:p>
        </w:tc>
        <w:tc>
          <w:tcPr>
            <w:tcW w:w="2421" w:type="dxa"/>
            <w:tcBorders>
              <w:top w:val="nil"/>
              <w:left w:val="nil"/>
              <w:bottom w:val="nil"/>
              <w:right w:val="nil"/>
            </w:tcBorders>
            <w:shd w:val="clear" w:color="auto" w:fill="auto"/>
            <w:noWrap/>
            <w:vAlign w:val="bottom"/>
          </w:tcPr>
          <w:p w14:paraId="4E8EBF69"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-0.021</w:t>
            </w:r>
          </w:p>
        </w:tc>
        <w:tc>
          <w:tcPr>
            <w:tcW w:w="2504" w:type="dxa"/>
            <w:tcBorders>
              <w:top w:val="nil"/>
              <w:left w:val="nil"/>
              <w:bottom w:val="nil"/>
              <w:right w:val="nil"/>
            </w:tcBorders>
            <w:shd w:val="clear" w:color="auto" w:fill="auto"/>
            <w:noWrap/>
            <w:vAlign w:val="bottom"/>
          </w:tcPr>
          <w:p w14:paraId="5551FBAE"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-0.012</w:t>
            </w:r>
          </w:p>
        </w:tc>
        <w:tc>
          <w:tcPr>
            <w:tcW w:w="1977" w:type="dxa"/>
            <w:tcBorders>
              <w:top w:val="nil"/>
              <w:left w:val="nil"/>
              <w:bottom w:val="nil"/>
              <w:right w:val="nil"/>
            </w:tcBorders>
            <w:shd w:val="clear" w:color="auto" w:fill="auto"/>
            <w:noWrap/>
            <w:vAlign w:val="bottom"/>
          </w:tcPr>
          <w:p w14:paraId="45312890"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-0.003</w:t>
            </w:r>
          </w:p>
        </w:tc>
      </w:tr>
      <w:tr w:rsidR="006F4FAD" w:rsidRPr="00D23517" w14:paraId="0DB96F21" w14:textId="77777777" w:rsidTr="00102195">
        <w:trPr>
          <w:trHeight w:val="276"/>
        </w:trPr>
        <w:tc>
          <w:tcPr>
            <w:tcW w:w="2458" w:type="dxa"/>
            <w:tcBorders>
              <w:top w:val="nil"/>
              <w:left w:val="nil"/>
              <w:bottom w:val="nil"/>
              <w:right w:val="nil"/>
            </w:tcBorders>
            <w:shd w:val="clear" w:color="auto" w:fill="auto"/>
            <w:noWrap/>
            <w:vAlign w:val="bottom"/>
          </w:tcPr>
          <w:p w14:paraId="09BB3FD3"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p>
        </w:tc>
        <w:tc>
          <w:tcPr>
            <w:tcW w:w="2421" w:type="dxa"/>
            <w:tcBorders>
              <w:top w:val="nil"/>
              <w:left w:val="nil"/>
              <w:bottom w:val="nil"/>
              <w:right w:val="nil"/>
            </w:tcBorders>
            <w:shd w:val="clear" w:color="auto" w:fill="auto"/>
            <w:noWrap/>
            <w:vAlign w:val="bottom"/>
          </w:tcPr>
          <w:p w14:paraId="6F8C41B7"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(-4.379***)</w:t>
            </w:r>
          </w:p>
        </w:tc>
        <w:tc>
          <w:tcPr>
            <w:tcW w:w="2504" w:type="dxa"/>
            <w:tcBorders>
              <w:top w:val="nil"/>
              <w:left w:val="nil"/>
              <w:bottom w:val="nil"/>
              <w:right w:val="nil"/>
            </w:tcBorders>
            <w:shd w:val="clear" w:color="auto" w:fill="auto"/>
            <w:noWrap/>
            <w:vAlign w:val="bottom"/>
          </w:tcPr>
          <w:p w14:paraId="72C1EEEE"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(-2.940***)</w:t>
            </w:r>
          </w:p>
        </w:tc>
        <w:tc>
          <w:tcPr>
            <w:tcW w:w="1977" w:type="dxa"/>
            <w:tcBorders>
              <w:top w:val="nil"/>
              <w:left w:val="nil"/>
              <w:bottom w:val="nil"/>
              <w:right w:val="nil"/>
            </w:tcBorders>
            <w:shd w:val="clear" w:color="auto" w:fill="auto"/>
            <w:noWrap/>
            <w:vAlign w:val="bottom"/>
          </w:tcPr>
          <w:p w14:paraId="14F81E91"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(-4.292***)</w:t>
            </w:r>
          </w:p>
        </w:tc>
      </w:tr>
      <w:tr w:rsidR="006F4FAD" w:rsidRPr="00D23517" w14:paraId="150B976F" w14:textId="77777777" w:rsidTr="00102195">
        <w:trPr>
          <w:trHeight w:val="276"/>
        </w:trPr>
        <w:tc>
          <w:tcPr>
            <w:tcW w:w="2458" w:type="dxa"/>
            <w:tcBorders>
              <w:top w:val="nil"/>
              <w:left w:val="nil"/>
              <w:bottom w:val="nil"/>
              <w:right w:val="nil"/>
            </w:tcBorders>
            <w:shd w:val="clear" w:color="auto" w:fill="auto"/>
            <w:noWrap/>
            <w:vAlign w:val="bottom"/>
          </w:tcPr>
          <w:p w14:paraId="1DE8FF49" w14:textId="77777777" w:rsidR="006F4FAD" w:rsidRPr="00D23517" w:rsidRDefault="006F4FAD" w:rsidP="00A1062B">
            <w:pPr>
              <w:spacing w:after="0" w:line="240" w:lineRule="auto"/>
              <w:contextualSpacing/>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SKILL</w:t>
            </w:r>
          </w:p>
        </w:tc>
        <w:tc>
          <w:tcPr>
            <w:tcW w:w="2421" w:type="dxa"/>
            <w:tcBorders>
              <w:top w:val="nil"/>
              <w:left w:val="nil"/>
              <w:bottom w:val="nil"/>
              <w:right w:val="nil"/>
            </w:tcBorders>
            <w:shd w:val="clear" w:color="auto" w:fill="auto"/>
            <w:noWrap/>
            <w:vAlign w:val="bottom"/>
          </w:tcPr>
          <w:p w14:paraId="0E965323"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0.005</w:t>
            </w:r>
          </w:p>
        </w:tc>
        <w:tc>
          <w:tcPr>
            <w:tcW w:w="2504" w:type="dxa"/>
            <w:tcBorders>
              <w:top w:val="nil"/>
              <w:left w:val="nil"/>
              <w:bottom w:val="nil"/>
              <w:right w:val="nil"/>
            </w:tcBorders>
            <w:shd w:val="clear" w:color="auto" w:fill="auto"/>
            <w:noWrap/>
            <w:vAlign w:val="bottom"/>
          </w:tcPr>
          <w:p w14:paraId="3800215C"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-0.012</w:t>
            </w:r>
          </w:p>
        </w:tc>
        <w:tc>
          <w:tcPr>
            <w:tcW w:w="1977" w:type="dxa"/>
            <w:tcBorders>
              <w:top w:val="nil"/>
              <w:left w:val="nil"/>
              <w:bottom w:val="nil"/>
              <w:right w:val="nil"/>
            </w:tcBorders>
            <w:shd w:val="clear" w:color="auto" w:fill="auto"/>
            <w:noWrap/>
            <w:vAlign w:val="bottom"/>
          </w:tcPr>
          <w:p w14:paraId="780C905F"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0.001</w:t>
            </w:r>
          </w:p>
        </w:tc>
      </w:tr>
      <w:tr w:rsidR="006F4FAD" w:rsidRPr="00D23517" w14:paraId="4AB38090" w14:textId="77777777" w:rsidTr="00102195">
        <w:trPr>
          <w:trHeight w:val="276"/>
        </w:trPr>
        <w:tc>
          <w:tcPr>
            <w:tcW w:w="2458" w:type="dxa"/>
            <w:tcBorders>
              <w:top w:val="nil"/>
              <w:left w:val="nil"/>
              <w:bottom w:val="nil"/>
              <w:right w:val="nil"/>
            </w:tcBorders>
            <w:shd w:val="clear" w:color="auto" w:fill="auto"/>
            <w:noWrap/>
            <w:vAlign w:val="bottom"/>
          </w:tcPr>
          <w:p w14:paraId="78BD27CE"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p>
        </w:tc>
        <w:tc>
          <w:tcPr>
            <w:tcW w:w="2421" w:type="dxa"/>
            <w:tcBorders>
              <w:top w:val="nil"/>
              <w:left w:val="nil"/>
              <w:bottom w:val="nil"/>
              <w:right w:val="nil"/>
            </w:tcBorders>
            <w:shd w:val="clear" w:color="auto" w:fill="auto"/>
            <w:noWrap/>
            <w:vAlign w:val="bottom"/>
          </w:tcPr>
          <w:p w14:paraId="0BAD09AB"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(1.169)</w:t>
            </w:r>
          </w:p>
        </w:tc>
        <w:tc>
          <w:tcPr>
            <w:tcW w:w="2504" w:type="dxa"/>
            <w:tcBorders>
              <w:top w:val="nil"/>
              <w:left w:val="nil"/>
              <w:bottom w:val="nil"/>
              <w:right w:val="nil"/>
            </w:tcBorders>
            <w:shd w:val="clear" w:color="auto" w:fill="auto"/>
            <w:noWrap/>
            <w:vAlign w:val="bottom"/>
          </w:tcPr>
          <w:p w14:paraId="0858941B"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(-2.865***)</w:t>
            </w:r>
          </w:p>
        </w:tc>
        <w:tc>
          <w:tcPr>
            <w:tcW w:w="1977" w:type="dxa"/>
            <w:tcBorders>
              <w:top w:val="nil"/>
              <w:left w:val="nil"/>
              <w:bottom w:val="nil"/>
              <w:right w:val="nil"/>
            </w:tcBorders>
            <w:shd w:val="clear" w:color="auto" w:fill="auto"/>
            <w:noWrap/>
            <w:vAlign w:val="bottom"/>
          </w:tcPr>
          <w:p w14:paraId="49367F03"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(0.938)</w:t>
            </w:r>
          </w:p>
        </w:tc>
      </w:tr>
      <w:tr w:rsidR="006F4FAD" w:rsidRPr="00D23517" w14:paraId="161F6193" w14:textId="77777777" w:rsidTr="00102195">
        <w:trPr>
          <w:trHeight w:val="276"/>
        </w:trPr>
        <w:tc>
          <w:tcPr>
            <w:tcW w:w="2458" w:type="dxa"/>
            <w:tcBorders>
              <w:top w:val="nil"/>
              <w:left w:val="nil"/>
              <w:bottom w:val="nil"/>
              <w:right w:val="nil"/>
            </w:tcBorders>
            <w:shd w:val="clear" w:color="auto" w:fill="auto"/>
            <w:noWrap/>
            <w:vAlign w:val="bottom"/>
          </w:tcPr>
          <w:p w14:paraId="6357F26C"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iCs/>
                <w:color w:val="000000"/>
                <w:sz w:val="20"/>
                <w:szCs w:val="20"/>
              </w:rPr>
              <w:t>MKTCON</w:t>
            </w:r>
          </w:p>
        </w:tc>
        <w:tc>
          <w:tcPr>
            <w:tcW w:w="2421" w:type="dxa"/>
            <w:tcBorders>
              <w:top w:val="nil"/>
              <w:left w:val="nil"/>
              <w:bottom w:val="nil"/>
              <w:right w:val="nil"/>
            </w:tcBorders>
            <w:shd w:val="clear" w:color="auto" w:fill="auto"/>
            <w:noWrap/>
            <w:vAlign w:val="bottom"/>
          </w:tcPr>
          <w:p w14:paraId="3FFBF878"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-0.001</w:t>
            </w:r>
          </w:p>
        </w:tc>
        <w:tc>
          <w:tcPr>
            <w:tcW w:w="2504" w:type="dxa"/>
            <w:tcBorders>
              <w:top w:val="nil"/>
              <w:left w:val="nil"/>
              <w:bottom w:val="nil"/>
              <w:right w:val="nil"/>
            </w:tcBorders>
            <w:shd w:val="clear" w:color="auto" w:fill="auto"/>
            <w:noWrap/>
            <w:vAlign w:val="bottom"/>
          </w:tcPr>
          <w:p w14:paraId="4077E843"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-0.007</w:t>
            </w:r>
          </w:p>
        </w:tc>
        <w:tc>
          <w:tcPr>
            <w:tcW w:w="1977" w:type="dxa"/>
            <w:tcBorders>
              <w:top w:val="nil"/>
              <w:left w:val="nil"/>
              <w:bottom w:val="nil"/>
              <w:right w:val="nil"/>
            </w:tcBorders>
            <w:shd w:val="clear" w:color="auto" w:fill="auto"/>
            <w:noWrap/>
            <w:vAlign w:val="bottom"/>
          </w:tcPr>
          <w:p w14:paraId="531635EB"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-0.009</w:t>
            </w:r>
          </w:p>
        </w:tc>
      </w:tr>
      <w:tr w:rsidR="006F4FAD" w:rsidRPr="00D23517" w14:paraId="69524CD1" w14:textId="77777777" w:rsidTr="00102195">
        <w:trPr>
          <w:trHeight w:val="276"/>
        </w:trPr>
        <w:tc>
          <w:tcPr>
            <w:tcW w:w="2458" w:type="dxa"/>
            <w:tcBorders>
              <w:top w:val="nil"/>
              <w:left w:val="nil"/>
              <w:bottom w:val="nil"/>
              <w:right w:val="nil"/>
            </w:tcBorders>
            <w:shd w:val="clear" w:color="auto" w:fill="auto"/>
            <w:noWrap/>
            <w:vAlign w:val="bottom"/>
          </w:tcPr>
          <w:p w14:paraId="4CEEF8C7"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p>
        </w:tc>
        <w:tc>
          <w:tcPr>
            <w:tcW w:w="2421" w:type="dxa"/>
            <w:tcBorders>
              <w:top w:val="nil"/>
              <w:left w:val="nil"/>
              <w:bottom w:val="nil"/>
              <w:right w:val="nil"/>
            </w:tcBorders>
            <w:shd w:val="clear" w:color="auto" w:fill="auto"/>
            <w:noWrap/>
            <w:vAlign w:val="bottom"/>
          </w:tcPr>
          <w:p w14:paraId="06CAC2DD"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(-2.172**)</w:t>
            </w:r>
          </w:p>
        </w:tc>
        <w:tc>
          <w:tcPr>
            <w:tcW w:w="2504" w:type="dxa"/>
            <w:tcBorders>
              <w:top w:val="nil"/>
              <w:left w:val="nil"/>
              <w:bottom w:val="nil"/>
              <w:right w:val="nil"/>
            </w:tcBorders>
            <w:shd w:val="clear" w:color="auto" w:fill="auto"/>
            <w:noWrap/>
            <w:vAlign w:val="bottom"/>
          </w:tcPr>
          <w:p w14:paraId="2BA24039"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(-2.664***)</w:t>
            </w:r>
          </w:p>
        </w:tc>
        <w:tc>
          <w:tcPr>
            <w:tcW w:w="1977" w:type="dxa"/>
            <w:tcBorders>
              <w:top w:val="nil"/>
              <w:left w:val="nil"/>
              <w:bottom w:val="nil"/>
              <w:right w:val="nil"/>
            </w:tcBorders>
            <w:shd w:val="clear" w:color="auto" w:fill="auto"/>
            <w:noWrap/>
            <w:vAlign w:val="bottom"/>
          </w:tcPr>
          <w:p w14:paraId="0A869D6E"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(-6.295***)</w:t>
            </w:r>
          </w:p>
        </w:tc>
      </w:tr>
      <w:tr w:rsidR="006F4FAD" w:rsidRPr="00D23517" w14:paraId="78B38B3E" w14:textId="77777777" w:rsidTr="00102195">
        <w:trPr>
          <w:trHeight w:val="276"/>
        </w:trPr>
        <w:tc>
          <w:tcPr>
            <w:tcW w:w="2458" w:type="dxa"/>
            <w:tcBorders>
              <w:top w:val="nil"/>
              <w:left w:val="nil"/>
              <w:bottom w:val="nil"/>
              <w:right w:val="nil"/>
            </w:tcBorders>
            <w:shd w:val="clear" w:color="auto" w:fill="auto"/>
            <w:noWrap/>
            <w:vAlign w:val="bottom"/>
          </w:tcPr>
          <w:p w14:paraId="1559CF30" w14:textId="77777777" w:rsidR="006F4FAD" w:rsidRPr="00D23517" w:rsidRDefault="006F4FAD" w:rsidP="00A1062B">
            <w:pPr>
              <w:spacing w:after="0" w:line="240" w:lineRule="auto"/>
              <w:contextualSpacing/>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color w:val="000000"/>
                <w:sz w:val="20"/>
                <w:szCs w:val="20"/>
              </w:rPr>
              <w:t>Constant</w:t>
            </w:r>
          </w:p>
        </w:tc>
        <w:tc>
          <w:tcPr>
            <w:tcW w:w="2421" w:type="dxa"/>
            <w:tcBorders>
              <w:top w:val="nil"/>
              <w:left w:val="nil"/>
              <w:bottom w:val="nil"/>
              <w:right w:val="nil"/>
            </w:tcBorders>
            <w:shd w:val="clear" w:color="auto" w:fill="auto"/>
            <w:noWrap/>
            <w:vAlign w:val="bottom"/>
          </w:tcPr>
          <w:p w14:paraId="316E0F13"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0.135</w:t>
            </w:r>
          </w:p>
        </w:tc>
        <w:tc>
          <w:tcPr>
            <w:tcW w:w="2504" w:type="dxa"/>
            <w:tcBorders>
              <w:top w:val="nil"/>
              <w:left w:val="nil"/>
              <w:bottom w:val="nil"/>
              <w:right w:val="nil"/>
            </w:tcBorders>
            <w:shd w:val="clear" w:color="auto" w:fill="auto"/>
            <w:noWrap/>
            <w:vAlign w:val="bottom"/>
          </w:tcPr>
          <w:p w14:paraId="66450CF0"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0.219</w:t>
            </w:r>
          </w:p>
        </w:tc>
        <w:tc>
          <w:tcPr>
            <w:tcW w:w="1977" w:type="dxa"/>
            <w:tcBorders>
              <w:top w:val="nil"/>
              <w:left w:val="nil"/>
              <w:bottom w:val="nil"/>
              <w:right w:val="nil"/>
            </w:tcBorders>
            <w:shd w:val="clear" w:color="auto" w:fill="auto"/>
            <w:noWrap/>
            <w:vAlign w:val="bottom"/>
          </w:tcPr>
          <w:p w14:paraId="020E4682"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0.100</w:t>
            </w:r>
          </w:p>
        </w:tc>
      </w:tr>
      <w:tr w:rsidR="006F4FAD" w:rsidRPr="00D23517" w14:paraId="488180B2" w14:textId="77777777" w:rsidTr="00102195">
        <w:trPr>
          <w:trHeight w:val="276"/>
        </w:trPr>
        <w:tc>
          <w:tcPr>
            <w:tcW w:w="2458" w:type="dxa"/>
            <w:tcBorders>
              <w:top w:val="nil"/>
              <w:left w:val="nil"/>
              <w:bottom w:val="nil"/>
              <w:right w:val="nil"/>
            </w:tcBorders>
            <w:shd w:val="clear" w:color="auto" w:fill="auto"/>
            <w:noWrap/>
            <w:vAlign w:val="bottom"/>
          </w:tcPr>
          <w:p w14:paraId="1AF1B533"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p>
        </w:tc>
        <w:tc>
          <w:tcPr>
            <w:tcW w:w="2421" w:type="dxa"/>
            <w:tcBorders>
              <w:top w:val="nil"/>
              <w:left w:val="nil"/>
              <w:bottom w:val="nil"/>
              <w:right w:val="nil"/>
            </w:tcBorders>
            <w:shd w:val="clear" w:color="auto" w:fill="auto"/>
            <w:noWrap/>
            <w:vAlign w:val="bottom"/>
          </w:tcPr>
          <w:p w14:paraId="45C130AE"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(11.361***)</w:t>
            </w:r>
          </w:p>
        </w:tc>
        <w:tc>
          <w:tcPr>
            <w:tcW w:w="2504" w:type="dxa"/>
            <w:tcBorders>
              <w:top w:val="nil"/>
              <w:left w:val="nil"/>
              <w:bottom w:val="nil"/>
              <w:right w:val="nil"/>
            </w:tcBorders>
            <w:shd w:val="clear" w:color="auto" w:fill="auto"/>
            <w:noWrap/>
            <w:vAlign w:val="bottom"/>
          </w:tcPr>
          <w:p w14:paraId="1F75642C"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(25.537***)</w:t>
            </w:r>
          </w:p>
        </w:tc>
        <w:tc>
          <w:tcPr>
            <w:tcW w:w="1977" w:type="dxa"/>
            <w:tcBorders>
              <w:top w:val="nil"/>
              <w:left w:val="nil"/>
              <w:bottom w:val="nil"/>
              <w:right w:val="nil"/>
            </w:tcBorders>
            <w:shd w:val="clear" w:color="auto" w:fill="auto"/>
            <w:noWrap/>
            <w:vAlign w:val="bottom"/>
          </w:tcPr>
          <w:p w14:paraId="7590A11B"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(98.281***)</w:t>
            </w:r>
          </w:p>
        </w:tc>
      </w:tr>
      <w:tr w:rsidR="006F4FAD" w:rsidRPr="00D23517" w14:paraId="1C98FE2B" w14:textId="77777777" w:rsidTr="00102195">
        <w:trPr>
          <w:trHeight w:val="276"/>
        </w:trPr>
        <w:tc>
          <w:tcPr>
            <w:tcW w:w="2458" w:type="dxa"/>
            <w:tcBorders>
              <w:top w:val="nil"/>
              <w:left w:val="nil"/>
              <w:bottom w:val="nil"/>
              <w:right w:val="nil"/>
            </w:tcBorders>
            <w:shd w:val="clear" w:color="auto" w:fill="auto"/>
            <w:noWrap/>
            <w:vAlign w:val="bottom"/>
          </w:tcPr>
          <w:p w14:paraId="2B32F81E"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p>
        </w:tc>
        <w:tc>
          <w:tcPr>
            <w:tcW w:w="2421" w:type="dxa"/>
            <w:tcBorders>
              <w:top w:val="nil"/>
              <w:left w:val="nil"/>
              <w:bottom w:val="nil"/>
              <w:right w:val="nil"/>
            </w:tcBorders>
            <w:shd w:val="clear" w:color="auto" w:fill="auto"/>
            <w:noWrap/>
            <w:vAlign w:val="bottom"/>
          </w:tcPr>
          <w:p w14:paraId="5D656D5D" w14:textId="77777777" w:rsidR="006F4FAD" w:rsidRPr="00D23517" w:rsidRDefault="006F4FAD" w:rsidP="00A1062B">
            <w:pPr>
              <w:spacing w:after="0" w:line="240" w:lineRule="auto"/>
              <w:contextualSpacing/>
              <w:jc w:val="both"/>
              <w:rPr>
                <w:rFonts w:ascii="Times New Roman" w:hAnsi="Times New Roman" w:cs="Times New Roman"/>
                <w:color w:val="000000"/>
                <w:sz w:val="20"/>
                <w:szCs w:val="20"/>
              </w:rPr>
            </w:pPr>
          </w:p>
        </w:tc>
        <w:tc>
          <w:tcPr>
            <w:tcW w:w="2504" w:type="dxa"/>
            <w:tcBorders>
              <w:top w:val="nil"/>
              <w:left w:val="nil"/>
              <w:bottom w:val="nil"/>
              <w:right w:val="nil"/>
            </w:tcBorders>
            <w:shd w:val="clear" w:color="auto" w:fill="auto"/>
            <w:noWrap/>
            <w:vAlign w:val="bottom"/>
          </w:tcPr>
          <w:p w14:paraId="17217A28" w14:textId="77777777" w:rsidR="006F4FAD" w:rsidRPr="00D23517" w:rsidRDefault="006F4FAD" w:rsidP="00A1062B">
            <w:pPr>
              <w:spacing w:after="0" w:line="240" w:lineRule="auto"/>
              <w:contextualSpacing/>
              <w:jc w:val="both"/>
              <w:rPr>
                <w:rFonts w:ascii="Times New Roman" w:hAnsi="Times New Roman" w:cs="Times New Roman"/>
                <w:color w:val="000000"/>
                <w:sz w:val="20"/>
                <w:szCs w:val="20"/>
              </w:rPr>
            </w:pPr>
          </w:p>
        </w:tc>
        <w:tc>
          <w:tcPr>
            <w:tcW w:w="1977" w:type="dxa"/>
            <w:tcBorders>
              <w:top w:val="nil"/>
              <w:left w:val="nil"/>
              <w:bottom w:val="nil"/>
              <w:right w:val="nil"/>
            </w:tcBorders>
            <w:shd w:val="clear" w:color="auto" w:fill="auto"/>
            <w:noWrap/>
            <w:vAlign w:val="bottom"/>
          </w:tcPr>
          <w:p w14:paraId="7A57FD2F" w14:textId="77777777" w:rsidR="006F4FAD" w:rsidRPr="00D23517" w:rsidRDefault="006F4FAD" w:rsidP="00A1062B">
            <w:pPr>
              <w:spacing w:after="0" w:line="240" w:lineRule="auto"/>
              <w:contextualSpacing/>
              <w:jc w:val="both"/>
              <w:rPr>
                <w:rFonts w:ascii="Times New Roman" w:eastAsia="Times New Roman" w:hAnsi="Times New Roman" w:cs="Times New Roman"/>
                <w:sz w:val="20"/>
                <w:szCs w:val="20"/>
              </w:rPr>
            </w:pPr>
          </w:p>
        </w:tc>
      </w:tr>
      <w:tr w:rsidR="006F4FAD" w:rsidRPr="00D23517" w14:paraId="14F795C2" w14:textId="77777777" w:rsidTr="00102195">
        <w:trPr>
          <w:trHeight w:val="276"/>
        </w:trPr>
        <w:tc>
          <w:tcPr>
            <w:tcW w:w="2458" w:type="dxa"/>
            <w:tcBorders>
              <w:top w:val="nil"/>
              <w:left w:val="nil"/>
              <w:bottom w:val="nil"/>
              <w:right w:val="nil"/>
            </w:tcBorders>
            <w:shd w:val="clear" w:color="auto" w:fill="auto"/>
            <w:noWrap/>
            <w:vAlign w:val="bottom"/>
            <w:hideMark/>
          </w:tcPr>
          <w:p w14:paraId="345B8878"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Adj. R-squared</w:t>
            </w:r>
          </w:p>
        </w:tc>
        <w:tc>
          <w:tcPr>
            <w:tcW w:w="2421" w:type="dxa"/>
            <w:tcBorders>
              <w:top w:val="nil"/>
              <w:left w:val="nil"/>
              <w:bottom w:val="nil"/>
              <w:right w:val="nil"/>
            </w:tcBorders>
            <w:shd w:val="clear" w:color="auto" w:fill="auto"/>
            <w:noWrap/>
            <w:vAlign w:val="bottom"/>
            <w:hideMark/>
          </w:tcPr>
          <w:p w14:paraId="368F3D0F"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0.343</w:t>
            </w:r>
          </w:p>
        </w:tc>
        <w:tc>
          <w:tcPr>
            <w:tcW w:w="2504" w:type="dxa"/>
            <w:tcBorders>
              <w:top w:val="nil"/>
              <w:left w:val="nil"/>
              <w:bottom w:val="nil"/>
              <w:right w:val="nil"/>
            </w:tcBorders>
            <w:shd w:val="clear" w:color="auto" w:fill="auto"/>
            <w:noWrap/>
            <w:vAlign w:val="bottom"/>
            <w:hideMark/>
          </w:tcPr>
          <w:p w14:paraId="30263DA5"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0.246</w:t>
            </w:r>
          </w:p>
        </w:tc>
        <w:tc>
          <w:tcPr>
            <w:tcW w:w="1977" w:type="dxa"/>
            <w:tcBorders>
              <w:top w:val="nil"/>
              <w:left w:val="nil"/>
              <w:bottom w:val="nil"/>
              <w:right w:val="nil"/>
            </w:tcBorders>
            <w:shd w:val="clear" w:color="auto" w:fill="auto"/>
            <w:noWrap/>
            <w:vAlign w:val="bottom"/>
            <w:hideMark/>
          </w:tcPr>
          <w:p w14:paraId="4617AA93" w14:textId="77777777" w:rsidR="006F4FAD" w:rsidRPr="00D23517" w:rsidRDefault="006F4FAD"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NA</w:t>
            </w:r>
          </w:p>
        </w:tc>
      </w:tr>
      <w:tr w:rsidR="006F4FAD" w:rsidRPr="00D23517" w14:paraId="5B02FC22" w14:textId="77777777" w:rsidTr="00102195">
        <w:trPr>
          <w:trHeight w:val="276"/>
        </w:trPr>
        <w:tc>
          <w:tcPr>
            <w:tcW w:w="2458" w:type="dxa"/>
            <w:tcBorders>
              <w:top w:val="nil"/>
              <w:left w:val="nil"/>
              <w:bottom w:val="nil"/>
              <w:right w:val="nil"/>
            </w:tcBorders>
            <w:shd w:val="clear" w:color="auto" w:fill="auto"/>
            <w:noWrap/>
            <w:vAlign w:val="bottom"/>
            <w:hideMark/>
          </w:tcPr>
          <w:p w14:paraId="7938EA79"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Year fixed effect</w:t>
            </w:r>
          </w:p>
        </w:tc>
        <w:tc>
          <w:tcPr>
            <w:tcW w:w="2421" w:type="dxa"/>
            <w:tcBorders>
              <w:top w:val="nil"/>
              <w:left w:val="nil"/>
              <w:bottom w:val="nil"/>
              <w:right w:val="nil"/>
            </w:tcBorders>
            <w:shd w:val="clear" w:color="auto" w:fill="auto"/>
            <w:noWrap/>
            <w:vAlign w:val="bottom"/>
          </w:tcPr>
          <w:p w14:paraId="17880A3D"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Yes</w:t>
            </w:r>
          </w:p>
        </w:tc>
        <w:tc>
          <w:tcPr>
            <w:tcW w:w="2504" w:type="dxa"/>
            <w:tcBorders>
              <w:top w:val="nil"/>
              <w:left w:val="nil"/>
              <w:bottom w:val="nil"/>
              <w:right w:val="nil"/>
            </w:tcBorders>
            <w:shd w:val="clear" w:color="auto" w:fill="auto"/>
            <w:noWrap/>
            <w:vAlign w:val="bottom"/>
          </w:tcPr>
          <w:p w14:paraId="58FD7763"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Yes</w:t>
            </w:r>
          </w:p>
        </w:tc>
        <w:tc>
          <w:tcPr>
            <w:tcW w:w="1977" w:type="dxa"/>
            <w:tcBorders>
              <w:top w:val="nil"/>
              <w:left w:val="nil"/>
              <w:bottom w:val="nil"/>
              <w:right w:val="nil"/>
            </w:tcBorders>
            <w:shd w:val="clear" w:color="auto" w:fill="auto"/>
            <w:noWrap/>
            <w:vAlign w:val="bottom"/>
            <w:hideMark/>
          </w:tcPr>
          <w:p w14:paraId="0ED9F7C5"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Yes</w:t>
            </w:r>
          </w:p>
        </w:tc>
      </w:tr>
      <w:tr w:rsidR="006F4FAD" w:rsidRPr="00D23517" w14:paraId="7FEE3128" w14:textId="77777777" w:rsidTr="00102195">
        <w:trPr>
          <w:trHeight w:val="276"/>
        </w:trPr>
        <w:tc>
          <w:tcPr>
            <w:tcW w:w="2458" w:type="dxa"/>
            <w:tcBorders>
              <w:top w:val="nil"/>
              <w:left w:val="nil"/>
              <w:bottom w:val="nil"/>
              <w:right w:val="nil"/>
            </w:tcBorders>
            <w:shd w:val="clear" w:color="auto" w:fill="auto"/>
            <w:noWrap/>
            <w:vAlign w:val="bottom"/>
            <w:hideMark/>
          </w:tcPr>
          <w:p w14:paraId="1C8F8DB4"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Industry fixed effect</w:t>
            </w:r>
          </w:p>
        </w:tc>
        <w:tc>
          <w:tcPr>
            <w:tcW w:w="2421" w:type="dxa"/>
            <w:tcBorders>
              <w:top w:val="nil"/>
              <w:left w:val="nil"/>
              <w:bottom w:val="nil"/>
              <w:right w:val="nil"/>
            </w:tcBorders>
            <w:shd w:val="clear" w:color="auto" w:fill="auto"/>
            <w:noWrap/>
            <w:vAlign w:val="bottom"/>
          </w:tcPr>
          <w:p w14:paraId="4A3BF4B4"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Yes</w:t>
            </w:r>
          </w:p>
        </w:tc>
        <w:tc>
          <w:tcPr>
            <w:tcW w:w="2504" w:type="dxa"/>
            <w:tcBorders>
              <w:top w:val="nil"/>
              <w:left w:val="nil"/>
              <w:bottom w:val="nil"/>
              <w:right w:val="nil"/>
            </w:tcBorders>
            <w:shd w:val="clear" w:color="auto" w:fill="auto"/>
            <w:noWrap/>
            <w:vAlign w:val="bottom"/>
          </w:tcPr>
          <w:p w14:paraId="79276DB6"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No</w:t>
            </w:r>
          </w:p>
        </w:tc>
        <w:tc>
          <w:tcPr>
            <w:tcW w:w="1977" w:type="dxa"/>
            <w:tcBorders>
              <w:top w:val="nil"/>
              <w:left w:val="nil"/>
              <w:bottom w:val="nil"/>
              <w:right w:val="nil"/>
            </w:tcBorders>
            <w:shd w:val="clear" w:color="auto" w:fill="auto"/>
            <w:noWrap/>
            <w:vAlign w:val="bottom"/>
            <w:hideMark/>
          </w:tcPr>
          <w:p w14:paraId="78A8D487"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No</w:t>
            </w:r>
          </w:p>
        </w:tc>
      </w:tr>
      <w:tr w:rsidR="006F4FAD" w:rsidRPr="00D23517" w14:paraId="0C4B3562" w14:textId="77777777" w:rsidTr="00102195">
        <w:trPr>
          <w:trHeight w:val="276"/>
        </w:trPr>
        <w:tc>
          <w:tcPr>
            <w:tcW w:w="2458" w:type="dxa"/>
            <w:tcBorders>
              <w:top w:val="nil"/>
              <w:left w:val="nil"/>
              <w:bottom w:val="nil"/>
              <w:right w:val="nil"/>
            </w:tcBorders>
            <w:shd w:val="clear" w:color="auto" w:fill="auto"/>
            <w:noWrap/>
            <w:vAlign w:val="bottom"/>
          </w:tcPr>
          <w:p w14:paraId="6FE0BDF2"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Firm fixed effect</w:t>
            </w:r>
          </w:p>
        </w:tc>
        <w:tc>
          <w:tcPr>
            <w:tcW w:w="2421" w:type="dxa"/>
            <w:tcBorders>
              <w:top w:val="nil"/>
              <w:left w:val="nil"/>
              <w:bottom w:val="nil"/>
              <w:right w:val="nil"/>
            </w:tcBorders>
            <w:shd w:val="clear" w:color="auto" w:fill="auto"/>
            <w:noWrap/>
            <w:vAlign w:val="bottom"/>
          </w:tcPr>
          <w:p w14:paraId="1BE3D4D8"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No</w:t>
            </w:r>
          </w:p>
        </w:tc>
        <w:tc>
          <w:tcPr>
            <w:tcW w:w="2504" w:type="dxa"/>
            <w:tcBorders>
              <w:top w:val="nil"/>
              <w:left w:val="nil"/>
              <w:bottom w:val="nil"/>
              <w:right w:val="nil"/>
            </w:tcBorders>
            <w:shd w:val="clear" w:color="auto" w:fill="auto"/>
            <w:noWrap/>
            <w:vAlign w:val="bottom"/>
          </w:tcPr>
          <w:p w14:paraId="0E69138D"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Yes</w:t>
            </w:r>
          </w:p>
        </w:tc>
        <w:tc>
          <w:tcPr>
            <w:tcW w:w="1977" w:type="dxa"/>
            <w:tcBorders>
              <w:top w:val="nil"/>
              <w:left w:val="nil"/>
              <w:bottom w:val="nil"/>
              <w:right w:val="nil"/>
            </w:tcBorders>
            <w:shd w:val="clear" w:color="auto" w:fill="auto"/>
            <w:noWrap/>
            <w:vAlign w:val="bottom"/>
          </w:tcPr>
          <w:p w14:paraId="701FBAB9"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Yes</w:t>
            </w:r>
          </w:p>
        </w:tc>
      </w:tr>
      <w:tr w:rsidR="006F4FAD" w:rsidRPr="00D23517" w14:paraId="55FFE216" w14:textId="77777777" w:rsidTr="00102195">
        <w:trPr>
          <w:trHeight w:val="276"/>
        </w:trPr>
        <w:tc>
          <w:tcPr>
            <w:tcW w:w="2458" w:type="dxa"/>
            <w:tcBorders>
              <w:top w:val="nil"/>
              <w:left w:val="nil"/>
              <w:right w:val="nil"/>
            </w:tcBorders>
            <w:shd w:val="clear" w:color="auto" w:fill="auto"/>
            <w:noWrap/>
            <w:vAlign w:val="bottom"/>
            <w:hideMark/>
          </w:tcPr>
          <w:p w14:paraId="3C4BB2EA"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Clustered standard errors</w:t>
            </w:r>
          </w:p>
        </w:tc>
        <w:tc>
          <w:tcPr>
            <w:tcW w:w="2421" w:type="dxa"/>
            <w:tcBorders>
              <w:top w:val="nil"/>
              <w:left w:val="nil"/>
              <w:right w:val="nil"/>
            </w:tcBorders>
            <w:shd w:val="clear" w:color="auto" w:fill="auto"/>
            <w:noWrap/>
            <w:vAlign w:val="bottom"/>
          </w:tcPr>
          <w:p w14:paraId="3F1B8B55"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Yes</w:t>
            </w:r>
          </w:p>
        </w:tc>
        <w:tc>
          <w:tcPr>
            <w:tcW w:w="2504" w:type="dxa"/>
            <w:tcBorders>
              <w:top w:val="nil"/>
              <w:left w:val="nil"/>
              <w:right w:val="nil"/>
            </w:tcBorders>
            <w:shd w:val="clear" w:color="auto" w:fill="auto"/>
            <w:noWrap/>
            <w:vAlign w:val="bottom"/>
          </w:tcPr>
          <w:p w14:paraId="1EBD0AEE"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Yes</w:t>
            </w:r>
          </w:p>
        </w:tc>
        <w:tc>
          <w:tcPr>
            <w:tcW w:w="1977" w:type="dxa"/>
            <w:tcBorders>
              <w:top w:val="nil"/>
              <w:left w:val="nil"/>
              <w:right w:val="nil"/>
            </w:tcBorders>
            <w:shd w:val="clear" w:color="auto" w:fill="auto"/>
            <w:noWrap/>
            <w:vAlign w:val="bottom"/>
            <w:hideMark/>
          </w:tcPr>
          <w:p w14:paraId="55591823"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NA</w:t>
            </w:r>
          </w:p>
        </w:tc>
      </w:tr>
      <w:tr w:rsidR="006F4FAD" w:rsidRPr="00D23517" w14:paraId="545578A6" w14:textId="77777777" w:rsidTr="00102195">
        <w:trPr>
          <w:trHeight w:val="276"/>
        </w:trPr>
        <w:tc>
          <w:tcPr>
            <w:tcW w:w="2458" w:type="dxa"/>
            <w:tcBorders>
              <w:left w:val="nil"/>
              <w:right w:val="nil"/>
            </w:tcBorders>
            <w:shd w:val="clear" w:color="auto" w:fill="auto"/>
            <w:noWrap/>
            <w:vAlign w:val="bottom"/>
          </w:tcPr>
          <w:p w14:paraId="54914AFF"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Number of firms</w:t>
            </w:r>
          </w:p>
        </w:tc>
        <w:tc>
          <w:tcPr>
            <w:tcW w:w="2421" w:type="dxa"/>
            <w:tcBorders>
              <w:top w:val="nil"/>
              <w:left w:val="nil"/>
              <w:right w:val="nil"/>
            </w:tcBorders>
            <w:shd w:val="clear" w:color="auto" w:fill="auto"/>
            <w:noWrap/>
            <w:vAlign w:val="bottom"/>
          </w:tcPr>
          <w:p w14:paraId="64F6ECC7" w14:textId="77777777" w:rsidR="006F4FAD" w:rsidRPr="00D23517" w:rsidRDefault="006F4FAD" w:rsidP="00A1062B">
            <w:pPr>
              <w:spacing w:after="0"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9,659</w:t>
            </w:r>
          </w:p>
        </w:tc>
        <w:tc>
          <w:tcPr>
            <w:tcW w:w="2504" w:type="dxa"/>
            <w:tcBorders>
              <w:top w:val="nil"/>
              <w:left w:val="nil"/>
              <w:right w:val="nil"/>
            </w:tcBorders>
            <w:shd w:val="clear" w:color="auto" w:fill="auto"/>
            <w:noWrap/>
            <w:vAlign w:val="bottom"/>
          </w:tcPr>
          <w:p w14:paraId="6FE68DD1" w14:textId="77777777" w:rsidR="006F4FAD" w:rsidRPr="00D23517" w:rsidRDefault="006F4FAD" w:rsidP="00A1062B">
            <w:pPr>
              <w:spacing w:after="0"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9,659</w:t>
            </w:r>
          </w:p>
        </w:tc>
        <w:tc>
          <w:tcPr>
            <w:tcW w:w="1977" w:type="dxa"/>
            <w:tcBorders>
              <w:top w:val="nil"/>
              <w:left w:val="nil"/>
              <w:right w:val="nil"/>
            </w:tcBorders>
            <w:shd w:val="clear" w:color="auto" w:fill="auto"/>
            <w:noWrap/>
            <w:vAlign w:val="bottom"/>
          </w:tcPr>
          <w:p w14:paraId="7ADB90F8" w14:textId="77777777" w:rsidR="006F4FAD" w:rsidRPr="00D23517" w:rsidRDefault="006F4FAD" w:rsidP="00A1062B">
            <w:pPr>
              <w:spacing w:after="0"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8,091</w:t>
            </w:r>
          </w:p>
        </w:tc>
      </w:tr>
      <w:tr w:rsidR="006F4FAD" w:rsidRPr="00D23517" w14:paraId="6FCD14CA" w14:textId="77777777" w:rsidTr="00102195">
        <w:trPr>
          <w:trHeight w:val="276"/>
        </w:trPr>
        <w:tc>
          <w:tcPr>
            <w:tcW w:w="2458" w:type="dxa"/>
            <w:tcBorders>
              <w:left w:val="nil"/>
              <w:bottom w:val="single" w:sz="4" w:space="0" w:color="auto"/>
              <w:right w:val="nil"/>
            </w:tcBorders>
            <w:shd w:val="clear" w:color="auto" w:fill="auto"/>
            <w:noWrap/>
            <w:vAlign w:val="bottom"/>
          </w:tcPr>
          <w:p w14:paraId="6E024A33"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Observations</w:t>
            </w:r>
          </w:p>
        </w:tc>
        <w:tc>
          <w:tcPr>
            <w:tcW w:w="2421" w:type="dxa"/>
            <w:tcBorders>
              <w:top w:val="nil"/>
              <w:left w:val="nil"/>
              <w:bottom w:val="single" w:sz="4" w:space="0" w:color="auto"/>
              <w:right w:val="nil"/>
            </w:tcBorders>
            <w:shd w:val="clear" w:color="auto" w:fill="auto"/>
            <w:noWrap/>
            <w:vAlign w:val="bottom"/>
          </w:tcPr>
          <w:p w14:paraId="68E574D2"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71,699</w:t>
            </w:r>
          </w:p>
        </w:tc>
        <w:tc>
          <w:tcPr>
            <w:tcW w:w="2504" w:type="dxa"/>
            <w:tcBorders>
              <w:top w:val="nil"/>
              <w:left w:val="nil"/>
              <w:bottom w:val="single" w:sz="4" w:space="0" w:color="auto"/>
              <w:right w:val="nil"/>
            </w:tcBorders>
            <w:shd w:val="clear" w:color="auto" w:fill="auto"/>
            <w:noWrap/>
            <w:vAlign w:val="bottom"/>
          </w:tcPr>
          <w:p w14:paraId="45BF8484"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71,904</w:t>
            </w:r>
          </w:p>
        </w:tc>
        <w:tc>
          <w:tcPr>
            <w:tcW w:w="1977" w:type="dxa"/>
            <w:tcBorders>
              <w:top w:val="nil"/>
              <w:left w:val="nil"/>
              <w:bottom w:val="single" w:sz="4" w:space="0" w:color="auto"/>
              <w:right w:val="nil"/>
            </w:tcBorders>
            <w:shd w:val="clear" w:color="auto" w:fill="auto"/>
            <w:noWrap/>
            <w:vAlign w:val="bottom"/>
          </w:tcPr>
          <w:p w14:paraId="5F4B88D4"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70,336</w:t>
            </w:r>
          </w:p>
        </w:tc>
      </w:tr>
    </w:tbl>
    <w:p w14:paraId="29A3792D" w14:textId="7763B206" w:rsidR="006F4FAD" w:rsidRPr="00546E9F" w:rsidRDefault="009B6F98" w:rsidP="00546E9F">
      <w:pPr>
        <w:spacing w:after="0" w:line="240" w:lineRule="auto"/>
        <w:jc w:val="both"/>
        <w:rPr>
          <w:rFonts w:ascii="Times New Roman" w:hAnsi="Times New Roman" w:cs="Times New Roman"/>
          <w:sz w:val="24"/>
          <w:szCs w:val="24"/>
        </w:rPr>
      </w:pPr>
      <w:bookmarkStart w:id="7" w:name="_Hlk37283619"/>
      <w:r>
        <w:rPr>
          <w:rFonts w:ascii="Times New Roman" w:hAnsi="Times New Roman" w:cs="Times New Roman"/>
          <w:sz w:val="20"/>
          <w:szCs w:val="20"/>
        </w:rPr>
        <w:t>Note</w:t>
      </w:r>
      <w:r w:rsidR="00982C8F">
        <w:rPr>
          <w:rFonts w:ascii="Times New Roman" w:hAnsi="Times New Roman" w:cs="Times New Roman"/>
          <w:sz w:val="20"/>
          <w:szCs w:val="20"/>
        </w:rPr>
        <w:t>:</w:t>
      </w:r>
      <w:r>
        <w:rPr>
          <w:rFonts w:ascii="Times New Roman" w:hAnsi="Times New Roman" w:cs="Times New Roman"/>
          <w:sz w:val="20"/>
          <w:szCs w:val="20"/>
        </w:rPr>
        <w:t xml:space="preserve"> </w:t>
      </w:r>
      <w:r w:rsidR="00982C8F" w:rsidRPr="00893E6D">
        <w:rPr>
          <w:rFonts w:ascii="Times New Roman" w:hAnsi="Times New Roman" w:cs="Times New Roman"/>
          <w:sz w:val="20"/>
          <w:szCs w:val="20"/>
        </w:rPr>
        <w:t>This table reports the results from the regressions of ROA volatility using three alternative estimation techniques: ordinary least squares regression (OLS) with year fixed effects and industry fixed effects, panel-data fixed effect regression (FE)</w:t>
      </w:r>
      <w:r w:rsidR="007E45C0">
        <w:rPr>
          <w:rFonts w:ascii="Times New Roman" w:hAnsi="Times New Roman" w:cs="Times New Roman"/>
          <w:sz w:val="20"/>
          <w:szCs w:val="20"/>
        </w:rPr>
        <w:t>,</w:t>
      </w:r>
      <w:r w:rsidR="00982C8F" w:rsidRPr="00893E6D">
        <w:rPr>
          <w:rFonts w:ascii="Times New Roman" w:hAnsi="Times New Roman" w:cs="Times New Roman"/>
          <w:sz w:val="20"/>
          <w:szCs w:val="20"/>
        </w:rPr>
        <w:t xml:space="preserve"> and feasible generalized least squares regression (FGLS). The dependent variable</w:t>
      </w:r>
      <w:r w:rsidR="00982C8F">
        <w:rPr>
          <w:rFonts w:ascii="Times New Roman" w:hAnsi="Times New Roman" w:cs="Times New Roman"/>
          <w:sz w:val="20"/>
          <w:szCs w:val="20"/>
        </w:rPr>
        <w:t xml:space="preserve"> is</w:t>
      </w:r>
      <w:r w:rsidR="00982C8F" w:rsidRPr="00893E6D">
        <w:rPr>
          <w:rFonts w:ascii="Times New Roman" w:hAnsi="Times New Roman" w:cs="Times New Roman"/>
          <w:sz w:val="20"/>
          <w:szCs w:val="20"/>
        </w:rPr>
        <w:t xml:space="preserve"> ROA volatility (</w:t>
      </w:r>
      <w:r w:rsidR="00982C8F" w:rsidRPr="00893E6D">
        <w:rPr>
          <w:rFonts w:ascii="Times New Roman" w:hAnsi="Times New Roman" w:cs="Times New Roman"/>
          <w:i/>
          <w:sz w:val="20"/>
          <w:szCs w:val="20"/>
        </w:rPr>
        <w:t>ROAVOL</w:t>
      </w:r>
      <w:r w:rsidR="00982C8F" w:rsidRPr="00893E6D">
        <w:rPr>
          <w:rFonts w:ascii="Times New Roman" w:hAnsi="Times New Roman" w:cs="Times New Roman"/>
          <w:sz w:val="20"/>
          <w:szCs w:val="20"/>
        </w:rPr>
        <w:t xml:space="preserve">), </w:t>
      </w:r>
      <w:r w:rsidR="00982C8F">
        <w:rPr>
          <w:rFonts w:ascii="Times New Roman" w:hAnsi="Times New Roman" w:cs="Times New Roman"/>
          <w:sz w:val="20"/>
          <w:szCs w:val="20"/>
        </w:rPr>
        <w:t>constructed as</w:t>
      </w:r>
      <w:r w:rsidR="00982C8F" w:rsidRPr="00893E6D">
        <w:rPr>
          <w:rFonts w:ascii="Times New Roman" w:hAnsi="Times New Roman" w:cs="Times New Roman"/>
          <w:sz w:val="20"/>
          <w:szCs w:val="20"/>
        </w:rPr>
        <w:t xml:space="preserve"> the standard deviation of return on assets over </w:t>
      </w:r>
      <w:r w:rsidR="00DF69D2">
        <w:rPr>
          <w:rFonts w:ascii="Times New Roman" w:hAnsi="Times New Roman" w:cs="Times New Roman"/>
          <w:sz w:val="20"/>
          <w:szCs w:val="20"/>
        </w:rPr>
        <w:t>five</w:t>
      </w:r>
      <w:r w:rsidR="00DF69D2" w:rsidRPr="00893E6D">
        <w:rPr>
          <w:rFonts w:ascii="Times New Roman" w:hAnsi="Times New Roman" w:cs="Times New Roman"/>
          <w:sz w:val="20"/>
          <w:szCs w:val="20"/>
        </w:rPr>
        <w:t xml:space="preserve"> </w:t>
      </w:r>
      <w:r w:rsidR="00982C8F" w:rsidRPr="00893E6D">
        <w:rPr>
          <w:rFonts w:ascii="Times New Roman" w:hAnsi="Times New Roman" w:cs="Times New Roman"/>
          <w:sz w:val="20"/>
          <w:szCs w:val="20"/>
        </w:rPr>
        <w:t xml:space="preserve">years (from year -4 to the current fiscal year). </w:t>
      </w:r>
      <w:r w:rsidR="00982C8F" w:rsidRPr="00893E6D">
        <w:rPr>
          <w:rFonts w:ascii="Times New Roman" w:hAnsi="Times New Roman" w:cs="Times New Roman"/>
          <w:i/>
          <w:sz w:val="20"/>
          <w:szCs w:val="20"/>
        </w:rPr>
        <w:t>NONOPERINC</w:t>
      </w:r>
      <w:r w:rsidR="00982C8F" w:rsidRPr="00893E6D">
        <w:rPr>
          <w:rFonts w:ascii="Times New Roman" w:hAnsi="Times New Roman" w:cs="Times New Roman"/>
          <w:sz w:val="20"/>
          <w:szCs w:val="20"/>
        </w:rPr>
        <w:t xml:space="preserve"> is the ratio of non-operating </w:t>
      </w:r>
      <w:r w:rsidR="00982C8F">
        <w:rPr>
          <w:rFonts w:ascii="Times New Roman" w:hAnsi="Times New Roman" w:cs="Times New Roman"/>
          <w:sz w:val="20"/>
          <w:szCs w:val="20"/>
        </w:rPr>
        <w:t>earnings</w:t>
      </w:r>
      <w:r w:rsidR="00982C8F" w:rsidRPr="00893E6D">
        <w:rPr>
          <w:rFonts w:ascii="Times New Roman" w:hAnsi="Times New Roman" w:cs="Times New Roman"/>
          <w:sz w:val="20"/>
          <w:szCs w:val="20"/>
        </w:rPr>
        <w:t xml:space="preserve"> to assets at the end of the fiscal year. </w:t>
      </w:r>
      <w:r w:rsidR="00982C8F" w:rsidRPr="00893E6D">
        <w:rPr>
          <w:rFonts w:ascii="Times New Roman" w:eastAsia="Times New Roman" w:hAnsi="Times New Roman" w:cs="Times New Roman"/>
          <w:i/>
          <w:iCs/>
          <w:color w:val="000000"/>
          <w:sz w:val="20"/>
          <w:szCs w:val="20"/>
        </w:rPr>
        <w:t>LNAT</w:t>
      </w:r>
      <w:r w:rsidR="00982C8F">
        <w:rPr>
          <w:rFonts w:ascii="Times New Roman" w:eastAsia="Times New Roman" w:hAnsi="Times New Roman" w:cs="Times New Roman"/>
          <w:i/>
          <w:iCs/>
          <w:color w:val="000000"/>
          <w:sz w:val="20"/>
          <w:szCs w:val="20"/>
        </w:rPr>
        <w:t xml:space="preserve"> </w:t>
      </w:r>
      <w:r w:rsidR="00982C8F" w:rsidRPr="006F5ED3">
        <w:rPr>
          <w:rFonts w:ascii="Times New Roman" w:eastAsia="Times New Roman" w:hAnsi="Times New Roman" w:cs="Times New Roman"/>
          <w:iCs/>
          <w:color w:val="000000"/>
          <w:sz w:val="20"/>
          <w:szCs w:val="20"/>
        </w:rPr>
        <w:t>is</w:t>
      </w:r>
      <w:r w:rsidR="00982C8F">
        <w:rPr>
          <w:rFonts w:ascii="Times New Roman" w:eastAsia="Times New Roman" w:hAnsi="Times New Roman" w:cs="Times New Roman"/>
          <w:i/>
          <w:iCs/>
          <w:color w:val="000000"/>
          <w:sz w:val="20"/>
          <w:szCs w:val="20"/>
        </w:rPr>
        <w:t xml:space="preserve"> </w:t>
      </w:r>
      <w:r w:rsidR="00982C8F">
        <w:rPr>
          <w:rFonts w:ascii="Times New Roman" w:hAnsi="Times New Roman" w:cs="Times New Roman"/>
          <w:sz w:val="20"/>
          <w:szCs w:val="20"/>
        </w:rPr>
        <w:t>t</w:t>
      </w:r>
      <w:r w:rsidR="00982C8F" w:rsidRPr="00893E6D">
        <w:rPr>
          <w:rFonts w:ascii="Times New Roman" w:hAnsi="Times New Roman" w:cs="Times New Roman"/>
          <w:sz w:val="20"/>
          <w:szCs w:val="20"/>
        </w:rPr>
        <w:t>he natural log of total assets at the end of the fiscal year</w:t>
      </w:r>
      <w:r w:rsidR="00982C8F">
        <w:rPr>
          <w:rFonts w:ascii="Times New Roman" w:hAnsi="Times New Roman" w:cs="Times New Roman"/>
          <w:sz w:val="20"/>
          <w:szCs w:val="20"/>
        </w:rPr>
        <w:t xml:space="preserve">. </w:t>
      </w:r>
      <w:r w:rsidR="007E45C0" w:rsidRPr="00893E6D">
        <w:rPr>
          <w:rFonts w:ascii="Times New Roman" w:hAnsi="Times New Roman" w:cs="Times New Roman"/>
          <w:i/>
          <w:sz w:val="20"/>
          <w:szCs w:val="20"/>
        </w:rPr>
        <w:t>OPERINC</w:t>
      </w:r>
      <w:r w:rsidR="007E45C0">
        <w:rPr>
          <w:rFonts w:ascii="Times New Roman" w:hAnsi="Times New Roman" w:cs="Times New Roman"/>
          <w:i/>
          <w:sz w:val="20"/>
          <w:szCs w:val="20"/>
        </w:rPr>
        <w:t>/</w:t>
      </w:r>
      <w:r w:rsidR="00EA5ECC" w:rsidRPr="00D23517">
        <w:rPr>
          <w:rFonts w:ascii="Times New Roman" w:hAnsi="Times New Roman" w:cs="Times New Roman"/>
          <w:i/>
          <w:sz w:val="20"/>
          <w:szCs w:val="20"/>
        </w:rPr>
        <w:t>DEBT</w:t>
      </w:r>
      <w:r w:rsidR="00EA5ECC">
        <w:rPr>
          <w:rFonts w:ascii="Times New Roman" w:hAnsi="Times New Roman" w:cs="Times New Roman"/>
          <w:i/>
          <w:sz w:val="20"/>
          <w:szCs w:val="20"/>
        </w:rPr>
        <w:t>/</w:t>
      </w:r>
      <w:r w:rsidR="00EA5ECC" w:rsidRPr="00D23517">
        <w:rPr>
          <w:rFonts w:ascii="Times New Roman" w:hAnsi="Times New Roman" w:cs="Times New Roman"/>
          <w:i/>
          <w:sz w:val="20"/>
          <w:szCs w:val="20"/>
        </w:rPr>
        <w:t>XRD</w:t>
      </w:r>
      <w:r w:rsidR="00EA5ECC">
        <w:rPr>
          <w:rFonts w:ascii="Times New Roman" w:hAnsi="Times New Roman" w:cs="Times New Roman"/>
          <w:i/>
          <w:sz w:val="20"/>
          <w:szCs w:val="20"/>
        </w:rPr>
        <w:t>/</w:t>
      </w:r>
      <w:r w:rsidR="00EA5ECC" w:rsidRPr="00D23517">
        <w:rPr>
          <w:rFonts w:ascii="Times New Roman" w:hAnsi="Times New Roman" w:cs="Times New Roman"/>
          <w:i/>
          <w:sz w:val="20"/>
          <w:szCs w:val="20"/>
        </w:rPr>
        <w:t xml:space="preserve">XAD </w:t>
      </w:r>
      <w:r w:rsidR="00EA5ECC" w:rsidRPr="00D23517">
        <w:rPr>
          <w:rFonts w:ascii="Times New Roman" w:hAnsi="Times New Roman" w:cs="Times New Roman"/>
          <w:sz w:val="20"/>
          <w:szCs w:val="20"/>
        </w:rPr>
        <w:t>is</w:t>
      </w:r>
      <w:r w:rsidR="00EA5ECC" w:rsidRPr="00D23517">
        <w:rPr>
          <w:rFonts w:ascii="Times New Roman" w:hAnsi="Times New Roman" w:cs="Times New Roman"/>
          <w:i/>
          <w:sz w:val="20"/>
          <w:szCs w:val="20"/>
        </w:rPr>
        <w:t xml:space="preserve"> </w:t>
      </w:r>
      <w:r w:rsidR="00EA5ECC" w:rsidRPr="00D23517">
        <w:rPr>
          <w:rFonts w:ascii="Times New Roman" w:hAnsi="Times New Roman" w:cs="Times New Roman"/>
          <w:sz w:val="20"/>
          <w:szCs w:val="20"/>
        </w:rPr>
        <w:t xml:space="preserve">the ratio of </w:t>
      </w:r>
      <w:r w:rsidR="007E45C0" w:rsidRPr="00893E6D">
        <w:rPr>
          <w:rFonts w:ascii="Times New Roman" w:hAnsi="Times New Roman" w:cs="Times New Roman"/>
          <w:sz w:val="20"/>
          <w:szCs w:val="20"/>
        </w:rPr>
        <w:t xml:space="preserve">operating </w:t>
      </w:r>
      <w:r w:rsidR="007E45C0">
        <w:rPr>
          <w:rFonts w:ascii="Times New Roman" w:hAnsi="Times New Roman" w:cs="Times New Roman"/>
          <w:sz w:val="20"/>
          <w:szCs w:val="20"/>
        </w:rPr>
        <w:t>earnings/</w:t>
      </w:r>
      <w:r w:rsidR="00EA5ECC" w:rsidRPr="00D23517">
        <w:rPr>
          <w:rFonts w:ascii="Times New Roman" w:hAnsi="Times New Roman" w:cs="Times New Roman"/>
          <w:sz w:val="20"/>
          <w:szCs w:val="20"/>
        </w:rPr>
        <w:t>long-term debt</w:t>
      </w:r>
      <w:r w:rsidR="00EA5ECC">
        <w:rPr>
          <w:rFonts w:ascii="Times New Roman" w:hAnsi="Times New Roman" w:cs="Times New Roman"/>
          <w:sz w:val="20"/>
          <w:szCs w:val="20"/>
        </w:rPr>
        <w:t>/</w:t>
      </w:r>
      <w:r w:rsidR="00EA5ECC" w:rsidRPr="00D23517">
        <w:rPr>
          <w:rFonts w:ascii="Times New Roman" w:hAnsi="Times New Roman" w:cs="Times New Roman"/>
          <w:sz w:val="20"/>
          <w:szCs w:val="20"/>
        </w:rPr>
        <w:t>R&amp;D expenditure</w:t>
      </w:r>
      <w:r w:rsidR="00EA5ECC">
        <w:rPr>
          <w:rFonts w:ascii="Times New Roman" w:hAnsi="Times New Roman" w:cs="Times New Roman"/>
          <w:sz w:val="20"/>
          <w:szCs w:val="20"/>
        </w:rPr>
        <w:t>/</w:t>
      </w:r>
      <w:r w:rsidR="00EA5ECC" w:rsidRPr="00D23517">
        <w:rPr>
          <w:rFonts w:ascii="Times New Roman" w:hAnsi="Times New Roman" w:cs="Times New Roman"/>
          <w:sz w:val="20"/>
          <w:szCs w:val="20"/>
        </w:rPr>
        <w:t xml:space="preserve">advertising expenditure to total assets at the end of the fiscal year. </w:t>
      </w:r>
      <w:r w:rsidR="00982C8F" w:rsidRPr="00893E6D">
        <w:rPr>
          <w:rFonts w:ascii="Times New Roman" w:eastAsia="Times New Roman" w:hAnsi="Times New Roman" w:cs="Times New Roman"/>
          <w:i/>
          <w:color w:val="000000"/>
          <w:sz w:val="20"/>
          <w:szCs w:val="20"/>
        </w:rPr>
        <w:t>INSTOWN_TRAN</w:t>
      </w:r>
      <w:r w:rsidR="00982C8F">
        <w:rPr>
          <w:rFonts w:ascii="Times New Roman" w:eastAsia="Times New Roman" w:hAnsi="Times New Roman" w:cs="Times New Roman"/>
          <w:i/>
          <w:color w:val="000000"/>
          <w:sz w:val="20"/>
          <w:szCs w:val="20"/>
        </w:rPr>
        <w:t>/</w:t>
      </w:r>
      <w:r w:rsidR="00982C8F" w:rsidRPr="00893E6D">
        <w:rPr>
          <w:rFonts w:ascii="Times New Roman" w:eastAsia="Times New Roman" w:hAnsi="Times New Roman" w:cs="Times New Roman"/>
          <w:i/>
          <w:color w:val="000000"/>
          <w:sz w:val="20"/>
          <w:szCs w:val="20"/>
        </w:rPr>
        <w:t>INSTOWN_QIX</w:t>
      </w:r>
      <w:r w:rsidR="00982C8F">
        <w:rPr>
          <w:rFonts w:ascii="Times New Roman" w:eastAsia="Times New Roman" w:hAnsi="Times New Roman" w:cs="Times New Roman"/>
          <w:i/>
          <w:color w:val="000000"/>
          <w:sz w:val="20"/>
          <w:szCs w:val="20"/>
        </w:rPr>
        <w:t>/</w:t>
      </w:r>
      <w:r w:rsidR="00982C8F" w:rsidRPr="00893E6D">
        <w:rPr>
          <w:rFonts w:ascii="Times New Roman" w:eastAsia="Times New Roman" w:hAnsi="Times New Roman" w:cs="Times New Roman"/>
          <w:i/>
          <w:color w:val="000000"/>
          <w:sz w:val="20"/>
          <w:szCs w:val="20"/>
        </w:rPr>
        <w:t>INSTOWN_DED</w:t>
      </w:r>
      <w:r w:rsidR="00982C8F">
        <w:rPr>
          <w:rFonts w:ascii="Times New Roman" w:eastAsia="Times New Roman" w:hAnsi="Times New Roman" w:cs="Times New Roman"/>
          <w:i/>
          <w:color w:val="000000"/>
          <w:sz w:val="20"/>
          <w:szCs w:val="20"/>
        </w:rPr>
        <w:t xml:space="preserve"> </w:t>
      </w:r>
      <w:r w:rsidR="00982C8F" w:rsidRPr="006F5ED3">
        <w:rPr>
          <w:rFonts w:ascii="Times New Roman" w:eastAsia="Times New Roman" w:hAnsi="Times New Roman" w:cs="Times New Roman"/>
          <w:color w:val="000000"/>
          <w:sz w:val="20"/>
          <w:szCs w:val="20"/>
        </w:rPr>
        <w:t>is</w:t>
      </w:r>
      <w:r w:rsidR="00982C8F">
        <w:rPr>
          <w:rFonts w:ascii="Times New Roman" w:eastAsia="Times New Roman" w:hAnsi="Times New Roman" w:cs="Times New Roman"/>
          <w:i/>
          <w:color w:val="000000"/>
          <w:sz w:val="20"/>
          <w:szCs w:val="20"/>
        </w:rPr>
        <w:t xml:space="preserve"> </w:t>
      </w:r>
      <w:r w:rsidR="00982C8F">
        <w:rPr>
          <w:rFonts w:ascii="Times New Roman" w:hAnsi="Times New Roman" w:cs="Times New Roman"/>
          <w:sz w:val="20"/>
          <w:szCs w:val="20"/>
        </w:rPr>
        <w:t>t</w:t>
      </w:r>
      <w:r w:rsidR="00982C8F" w:rsidRPr="00893E6D">
        <w:rPr>
          <w:rFonts w:ascii="Times New Roman" w:hAnsi="Times New Roman" w:cs="Times New Roman"/>
          <w:sz w:val="20"/>
          <w:szCs w:val="20"/>
        </w:rPr>
        <w:t>he percentage of firm shares held by</w:t>
      </w:r>
      <w:r w:rsidR="00982C8F">
        <w:rPr>
          <w:rFonts w:ascii="Times New Roman" w:hAnsi="Times New Roman" w:cs="Times New Roman"/>
          <w:sz w:val="20"/>
          <w:szCs w:val="20"/>
        </w:rPr>
        <w:t xml:space="preserve"> transient institutional owners/</w:t>
      </w:r>
      <w:r w:rsidR="00982C8F" w:rsidRPr="00893E6D">
        <w:rPr>
          <w:rFonts w:ascii="Times New Roman" w:hAnsi="Times New Roman" w:cs="Times New Roman"/>
          <w:sz w:val="20"/>
          <w:szCs w:val="20"/>
        </w:rPr>
        <w:t>quasi-index institutional owners</w:t>
      </w:r>
      <w:r w:rsidR="00982C8F">
        <w:rPr>
          <w:rFonts w:ascii="Times New Roman" w:hAnsi="Times New Roman" w:cs="Times New Roman"/>
          <w:sz w:val="20"/>
          <w:szCs w:val="20"/>
        </w:rPr>
        <w:t>/</w:t>
      </w:r>
      <w:r w:rsidR="00982C8F" w:rsidRPr="00893E6D">
        <w:rPr>
          <w:rFonts w:ascii="Times New Roman" w:hAnsi="Times New Roman" w:cs="Times New Roman"/>
          <w:sz w:val="20"/>
          <w:szCs w:val="20"/>
        </w:rPr>
        <w:t>dedicated institutional owners</w:t>
      </w:r>
      <w:r w:rsidR="00982C8F">
        <w:rPr>
          <w:rFonts w:ascii="Times New Roman" w:hAnsi="Times New Roman" w:cs="Times New Roman"/>
          <w:sz w:val="20"/>
          <w:szCs w:val="20"/>
        </w:rPr>
        <w:t xml:space="preserve">. </w:t>
      </w:r>
      <w:r w:rsidR="00D11CA0" w:rsidRPr="00D05DBE">
        <w:rPr>
          <w:rFonts w:ascii="Times New Roman" w:hAnsi="Times New Roman" w:cs="Times New Roman"/>
          <w:i/>
          <w:sz w:val="20"/>
          <w:szCs w:val="20"/>
        </w:rPr>
        <w:t>SKILL</w:t>
      </w:r>
      <w:r w:rsidR="00D11CA0" w:rsidRPr="00D05DBE">
        <w:rPr>
          <w:rFonts w:ascii="Times New Roman" w:hAnsi="Times New Roman" w:cs="Times New Roman"/>
          <w:sz w:val="20"/>
          <w:szCs w:val="20"/>
        </w:rPr>
        <w:t xml:space="preserve"> is</w:t>
      </w:r>
      <w:r w:rsidR="00D11CA0" w:rsidRPr="00D23517">
        <w:rPr>
          <w:rFonts w:ascii="Times New Roman" w:hAnsi="Times New Roman" w:cs="Times New Roman"/>
          <w:i/>
          <w:sz w:val="20"/>
          <w:szCs w:val="20"/>
        </w:rPr>
        <w:t xml:space="preserve"> </w:t>
      </w:r>
      <w:r w:rsidR="00D11CA0" w:rsidRPr="00D23517">
        <w:rPr>
          <w:rFonts w:ascii="Times New Roman" w:hAnsi="Times New Roman" w:cs="Times New Roman"/>
          <w:iCs/>
          <w:sz w:val="20"/>
          <w:szCs w:val="20"/>
        </w:rPr>
        <w:t>a</w:t>
      </w:r>
      <w:r w:rsidR="00D11CA0" w:rsidRPr="00D23517">
        <w:rPr>
          <w:rFonts w:ascii="Times New Roman" w:hAnsi="Times New Roman" w:cs="Times New Roman"/>
          <w:sz w:val="20"/>
          <w:szCs w:val="20"/>
        </w:rPr>
        <w:t xml:space="preserve"> dummy variable </w:t>
      </w:r>
      <w:r w:rsidR="00D11CA0">
        <w:rPr>
          <w:rFonts w:ascii="Times New Roman" w:hAnsi="Times New Roman" w:cs="Times New Roman"/>
          <w:sz w:val="20"/>
          <w:szCs w:val="20"/>
        </w:rPr>
        <w:t xml:space="preserve">that equals 1 </w:t>
      </w:r>
      <w:r w:rsidR="00D11CA0" w:rsidRPr="00D23517">
        <w:rPr>
          <w:rFonts w:ascii="Times New Roman" w:hAnsi="Times New Roman" w:cs="Times New Roman"/>
          <w:sz w:val="20"/>
          <w:szCs w:val="20"/>
        </w:rPr>
        <w:t>for firms with managerial ability</w:t>
      </w:r>
      <w:r w:rsidR="00E97357">
        <w:rPr>
          <w:rFonts w:ascii="Times New Roman" w:hAnsi="Times New Roman" w:cs="Times New Roman"/>
          <w:sz w:val="20"/>
          <w:szCs w:val="20"/>
        </w:rPr>
        <w:t xml:space="preserve"> scores</w:t>
      </w:r>
      <w:r w:rsidR="00D11CA0" w:rsidRPr="00D23517">
        <w:rPr>
          <w:rFonts w:ascii="Times New Roman" w:hAnsi="Times New Roman" w:cs="Times New Roman"/>
          <w:sz w:val="20"/>
          <w:szCs w:val="20"/>
        </w:rPr>
        <w:t xml:space="preserve"> above the industry median managerial ability</w:t>
      </w:r>
      <w:r w:rsidR="00E97357">
        <w:rPr>
          <w:rFonts w:ascii="Times New Roman" w:hAnsi="Times New Roman" w:cs="Times New Roman"/>
          <w:sz w:val="20"/>
          <w:szCs w:val="20"/>
        </w:rPr>
        <w:t xml:space="preserve"> </w:t>
      </w:r>
      <w:r w:rsidR="00E97357">
        <w:rPr>
          <w:rFonts w:ascii="Times New Roman" w:hAnsi="Times New Roman" w:cs="Times New Roman"/>
          <w:iCs/>
          <w:sz w:val="20"/>
          <w:szCs w:val="20"/>
        </w:rPr>
        <w:t>scores</w:t>
      </w:r>
      <w:r w:rsidR="00E97357" w:rsidRPr="00E97357">
        <w:rPr>
          <w:rFonts w:ascii="Times New Roman" w:hAnsi="Times New Roman" w:cs="Times New Roman"/>
          <w:iCs/>
          <w:sz w:val="20"/>
          <w:szCs w:val="20"/>
        </w:rPr>
        <w:t xml:space="preserve"> </w:t>
      </w:r>
      <w:r w:rsidR="00E97357" w:rsidRPr="00CF12A9">
        <w:rPr>
          <w:rFonts w:ascii="Times New Roman" w:hAnsi="Times New Roman" w:cs="Times New Roman"/>
          <w:iCs/>
          <w:sz w:val="20"/>
          <w:szCs w:val="20"/>
        </w:rPr>
        <w:t xml:space="preserve">in the </w:t>
      </w:r>
      <w:r w:rsidR="00E97357">
        <w:rPr>
          <w:rFonts w:ascii="Times New Roman" w:hAnsi="Times New Roman" w:cs="Times New Roman"/>
          <w:iCs/>
          <w:sz w:val="20"/>
          <w:szCs w:val="20"/>
        </w:rPr>
        <w:t>p</w:t>
      </w:r>
      <w:r w:rsidR="00E97357" w:rsidRPr="00CF12A9">
        <w:rPr>
          <w:rFonts w:ascii="Times New Roman" w:hAnsi="Times New Roman" w:cs="Times New Roman"/>
          <w:iCs/>
          <w:sz w:val="20"/>
          <w:szCs w:val="20"/>
        </w:rPr>
        <w:t>ast three years</w:t>
      </w:r>
      <w:r w:rsidR="00D11CA0">
        <w:rPr>
          <w:rFonts w:ascii="Times New Roman" w:hAnsi="Times New Roman" w:cs="Times New Roman"/>
          <w:sz w:val="20"/>
          <w:szCs w:val="20"/>
        </w:rPr>
        <w:t>, and 0 otherwise</w:t>
      </w:r>
      <w:r w:rsidR="00D11CA0" w:rsidRPr="00D23517">
        <w:rPr>
          <w:rFonts w:ascii="Times New Roman" w:hAnsi="Times New Roman" w:cs="Times New Roman"/>
          <w:sz w:val="20"/>
          <w:szCs w:val="20"/>
        </w:rPr>
        <w:t xml:space="preserve">. </w:t>
      </w:r>
      <w:r w:rsidR="00982C8F" w:rsidRPr="00893E6D">
        <w:rPr>
          <w:rFonts w:ascii="Times New Roman" w:hAnsi="Times New Roman" w:cs="Times New Roman"/>
          <w:i/>
          <w:sz w:val="20"/>
          <w:szCs w:val="20"/>
        </w:rPr>
        <w:t>TURNOVER</w:t>
      </w:r>
      <w:r w:rsidR="00982C8F">
        <w:rPr>
          <w:rFonts w:ascii="Times New Roman" w:hAnsi="Times New Roman" w:cs="Times New Roman"/>
          <w:i/>
          <w:sz w:val="20"/>
          <w:szCs w:val="20"/>
        </w:rPr>
        <w:t xml:space="preserve"> </w:t>
      </w:r>
      <w:r w:rsidR="00982C8F" w:rsidRPr="006F5ED3">
        <w:rPr>
          <w:rFonts w:ascii="Times New Roman" w:hAnsi="Times New Roman" w:cs="Times New Roman"/>
          <w:sz w:val="20"/>
          <w:szCs w:val="20"/>
        </w:rPr>
        <w:t>is</w:t>
      </w:r>
      <w:r w:rsidR="00982C8F">
        <w:rPr>
          <w:rFonts w:ascii="Times New Roman" w:hAnsi="Times New Roman" w:cs="Times New Roman"/>
          <w:i/>
          <w:sz w:val="20"/>
          <w:szCs w:val="20"/>
        </w:rPr>
        <w:t xml:space="preserve"> </w:t>
      </w:r>
      <w:r w:rsidR="00982C8F">
        <w:rPr>
          <w:rFonts w:ascii="Times New Roman" w:hAnsi="Times New Roman" w:cs="Times New Roman"/>
          <w:sz w:val="20"/>
          <w:szCs w:val="20"/>
        </w:rPr>
        <w:t>t</w:t>
      </w:r>
      <w:r w:rsidR="00982C8F" w:rsidRPr="00893E6D">
        <w:rPr>
          <w:rFonts w:ascii="Times New Roman" w:hAnsi="Times New Roman" w:cs="Times New Roman"/>
          <w:sz w:val="20"/>
          <w:szCs w:val="20"/>
        </w:rPr>
        <w:t>he natural log of the ratio of total number of shares traded to the number of shares outstanding in the year</w:t>
      </w:r>
      <w:r w:rsidR="00982C8F">
        <w:rPr>
          <w:rFonts w:ascii="Times New Roman" w:hAnsi="Times New Roman" w:cs="Times New Roman"/>
          <w:sz w:val="20"/>
          <w:szCs w:val="20"/>
        </w:rPr>
        <w:t xml:space="preserve">. </w:t>
      </w:r>
      <w:r w:rsidR="00982C8F" w:rsidRPr="00893E6D">
        <w:rPr>
          <w:rFonts w:ascii="Times New Roman" w:hAnsi="Times New Roman" w:cs="Times New Roman"/>
          <w:i/>
          <w:sz w:val="20"/>
          <w:szCs w:val="20"/>
        </w:rPr>
        <w:t>MKTCON</w:t>
      </w:r>
      <w:r w:rsidR="00982C8F">
        <w:rPr>
          <w:rFonts w:ascii="Times New Roman" w:hAnsi="Times New Roman" w:cs="Times New Roman"/>
          <w:i/>
          <w:sz w:val="20"/>
          <w:szCs w:val="20"/>
        </w:rPr>
        <w:t xml:space="preserve"> </w:t>
      </w:r>
      <w:r w:rsidR="00982C8F" w:rsidRPr="006F5ED3">
        <w:rPr>
          <w:rFonts w:ascii="Times New Roman" w:hAnsi="Times New Roman" w:cs="Times New Roman"/>
          <w:sz w:val="20"/>
          <w:szCs w:val="20"/>
        </w:rPr>
        <w:t>is</w:t>
      </w:r>
      <w:r w:rsidR="00982C8F">
        <w:rPr>
          <w:rFonts w:ascii="Times New Roman" w:hAnsi="Times New Roman" w:cs="Times New Roman"/>
          <w:i/>
          <w:sz w:val="20"/>
          <w:szCs w:val="20"/>
        </w:rPr>
        <w:t xml:space="preserve"> </w:t>
      </w:r>
      <w:r w:rsidR="00982C8F">
        <w:rPr>
          <w:rFonts w:ascii="Times New Roman" w:hAnsi="Times New Roman" w:cs="Times New Roman"/>
          <w:sz w:val="20"/>
          <w:szCs w:val="20"/>
        </w:rPr>
        <w:t>t</w:t>
      </w:r>
      <w:r w:rsidR="00982C8F" w:rsidRPr="00893E6D">
        <w:rPr>
          <w:rFonts w:ascii="Times New Roman" w:hAnsi="Times New Roman" w:cs="Times New Roman"/>
          <w:sz w:val="20"/>
          <w:szCs w:val="20"/>
        </w:rPr>
        <w:t>he Herfindahl sales-based industry concentration index</w:t>
      </w:r>
      <w:r w:rsidR="00982C8F">
        <w:rPr>
          <w:rFonts w:ascii="Times New Roman" w:hAnsi="Times New Roman" w:cs="Times New Roman"/>
          <w:sz w:val="20"/>
          <w:szCs w:val="20"/>
        </w:rPr>
        <w:t xml:space="preserve">. </w:t>
      </w:r>
      <w:r w:rsidR="00982C8F" w:rsidRPr="00893E6D">
        <w:rPr>
          <w:rFonts w:ascii="Times New Roman" w:hAnsi="Times New Roman" w:cs="Times New Roman"/>
          <w:sz w:val="20"/>
          <w:szCs w:val="20"/>
        </w:rPr>
        <w:t>*, ** and *** indicate the significance levels of 10%, 5% and 1%, respectively.</w:t>
      </w:r>
      <w:bookmarkEnd w:id="7"/>
      <w:r w:rsidR="006F4FAD" w:rsidRPr="00893E6D">
        <w:br w:type="page"/>
      </w:r>
    </w:p>
    <w:p w14:paraId="22CC8773" w14:textId="4075D4E2" w:rsidR="00041DB4" w:rsidRPr="00D23517" w:rsidRDefault="00546E9F" w:rsidP="00A1062B">
      <w:pPr>
        <w:spacing w:after="0" w:line="240" w:lineRule="auto"/>
        <w:jc w:val="both"/>
        <w:rPr>
          <w:rFonts w:ascii="Times New Roman" w:eastAsia="Times New Roman" w:hAnsi="Times New Roman" w:cs="Times New Roman"/>
          <w:b/>
          <w:color w:val="000000"/>
          <w:sz w:val="24"/>
          <w:szCs w:val="24"/>
        </w:rPr>
      </w:pPr>
      <w:r w:rsidRPr="00D23517">
        <w:rPr>
          <w:rFonts w:ascii="Times New Roman" w:eastAsia="Times New Roman" w:hAnsi="Times New Roman" w:cs="Times New Roman"/>
          <w:b/>
          <w:color w:val="000000"/>
          <w:sz w:val="24"/>
          <w:szCs w:val="24"/>
        </w:rPr>
        <w:lastRenderedPageBreak/>
        <w:t xml:space="preserve">Table 4: </w:t>
      </w:r>
      <w:r w:rsidR="00041DB4" w:rsidRPr="00D23517">
        <w:rPr>
          <w:rFonts w:ascii="Times New Roman" w:eastAsia="Times New Roman" w:hAnsi="Times New Roman" w:cs="Times New Roman"/>
          <w:b/>
          <w:color w:val="000000"/>
          <w:sz w:val="24"/>
          <w:szCs w:val="24"/>
        </w:rPr>
        <w:t xml:space="preserve">The </w:t>
      </w:r>
      <w:r w:rsidR="00AC74B2" w:rsidRPr="00D23517">
        <w:rPr>
          <w:rFonts w:ascii="Times New Roman" w:eastAsia="Times New Roman" w:hAnsi="Times New Roman" w:cs="Times New Roman"/>
          <w:b/>
          <w:color w:val="000000"/>
          <w:sz w:val="24"/>
          <w:szCs w:val="24"/>
        </w:rPr>
        <w:t xml:space="preserve">relation </w:t>
      </w:r>
      <w:r w:rsidR="00041DB4" w:rsidRPr="00D23517">
        <w:rPr>
          <w:rFonts w:ascii="Times New Roman" w:eastAsia="Times New Roman" w:hAnsi="Times New Roman" w:cs="Times New Roman"/>
          <w:b/>
          <w:color w:val="000000"/>
          <w:sz w:val="24"/>
          <w:szCs w:val="24"/>
        </w:rPr>
        <w:t xml:space="preserve">between </w:t>
      </w:r>
      <w:r w:rsidR="00AC74B2" w:rsidRPr="00D23517">
        <w:rPr>
          <w:rFonts w:ascii="Times New Roman" w:eastAsia="Times New Roman" w:hAnsi="Times New Roman" w:cs="Times New Roman"/>
          <w:b/>
          <w:color w:val="000000"/>
          <w:sz w:val="24"/>
          <w:szCs w:val="24"/>
        </w:rPr>
        <w:t>non</w:t>
      </w:r>
      <w:r w:rsidR="00041DB4" w:rsidRPr="00D23517">
        <w:rPr>
          <w:rFonts w:ascii="Times New Roman" w:eastAsia="Times New Roman" w:hAnsi="Times New Roman" w:cs="Times New Roman"/>
          <w:b/>
          <w:color w:val="000000"/>
          <w:sz w:val="24"/>
          <w:szCs w:val="24"/>
        </w:rPr>
        <w:t>-</w:t>
      </w:r>
      <w:r w:rsidR="00AC74B2" w:rsidRPr="00D23517">
        <w:rPr>
          <w:rFonts w:ascii="Times New Roman" w:eastAsia="Times New Roman" w:hAnsi="Times New Roman" w:cs="Times New Roman"/>
          <w:b/>
          <w:color w:val="000000"/>
          <w:sz w:val="24"/>
          <w:szCs w:val="24"/>
        </w:rPr>
        <w:t xml:space="preserve">operating income </w:t>
      </w:r>
      <w:r w:rsidR="00041DB4" w:rsidRPr="00D23517">
        <w:rPr>
          <w:rFonts w:ascii="Times New Roman" w:eastAsia="Times New Roman" w:hAnsi="Times New Roman" w:cs="Times New Roman"/>
          <w:b/>
          <w:color w:val="000000"/>
          <w:sz w:val="24"/>
          <w:szCs w:val="24"/>
        </w:rPr>
        <w:t xml:space="preserve">and </w:t>
      </w:r>
      <w:r w:rsidR="00AC74B2" w:rsidRPr="00D23517">
        <w:rPr>
          <w:rFonts w:ascii="Times New Roman" w:eastAsia="Times New Roman" w:hAnsi="Times New Roman" w:cs="Times New Roman"/>
          <w:b/>
          <w:color w:val="000000"/>
          <w:sz w:val="24"/>
          <w:szCs w:val="24"/>
        </w:rPr>
        <w:t>stock price volatility</w:t>
      </w:r>
    </w:p>
    <w:tbl>
      <w:tblPr>
        <w:tblW w:w="5000" w:type="pct"/>
        <w:tblLook w:val="04A0" w:firstRow="1" w:lastRow="0" w:firstColumn="1" w:lastColumn="0" w:noHBand="0" w:noVBand="1"/>
      </w:tblPr>
      <w:tblGrid>
        <w:gridCol w:w="3098"/>
        <w:gridCol w:w="3134"/>
        <w:gridCol w:w="3128"/>
      </w:tblGrid>
      <w:tr w:rsidR="006F4FAD" w:rsidRPr="00D23517" w14:paraId="144F9C8A" w14:textId="77777777" w:rsidTr="00102195">
        <w:trPr>
          <w:trHeight w:val="276"/>
        </w:trPr>
        <w:tc>
          <w:tcPr>
            <w:tcW w:w="1655" w:type="pct"/>
            <w:tcBorders>
              <w:top w:val="single" w:sz="4" w:space="0" w:color="auto"/>
              <w:bottom w:val="single" w:sz="4" w:space="0" w:color="auto"/>
            </w:tcBorders>
            <w:shd w:val="clear" w:color="auto" w:fill="auto"/>
            <w:noWrap/>
            <w:vAlign w:val="bottom"/>
            <w:hideMark/>
          </w:tcPr>
          <w:p w14:paraId="4D607E18" w14:textId="77777777" w:rsidR="006F4FAD" w:rsidRPr="00D23517" w:rsidRDefault="006F4FAD" w:rsidP="00A1062B">
            <w:pPr>
              <w:spacing w:after="0" w:line="240" w:lineRule="auto"/>
              <w:contextualSpacing/>
              <w:jc w:val="both"/>
              <w:rPr>
                <w:rFonts w:ascii="Times New Roman" w:eastAsia="Times New Roman" w:hAnsi="Times New Roman" w:cs="Times New Roman"/>
                <w:b/>
                <w:i/>
                <w:color w:val="000000"/>
                <w:sz w:val="20"/>
                <w:szCs w:val="20"/>
              </w:rPr>
            </w:pPr>
            <w:bookmarkStart w:id="8" w:name="_Hlk523112143"/>
            <w:r w:rsidRPr="00D23517">
              <w:rPr>
                <w:rFonts w:ascii="Times New Roman" w:eastAsia="Times New Roman" w:hAnsi="Times New Roman" w:cs="Times New Roman"/>
                <w:b/>
                <w:i/>
                <w:color w:val="000000"/>
                <w:sz w:val="20"/>
                <w:szCs w:val="20"/>
              </w:rPr>
              <w:t>Variables</w:t>
            </w:r>
          </w:p>
        </w:tc>
        <w:tc>
          <w:tcPr>
            <w:tcW w:w="1674" w:type="pct"/>
            <w:tcBorders>
              <w:top w:val="single" w:sz="4" w:space="0" w:color="auto"/>
              <w:bottom w:val="single" w:sz="4" w:space="0" w:color="auto"/>
            </w:tcBorders>
            <w:shd w:val="clear" w:color="auto" w:fill="auto"/>
            <w:noWrap/>
            <w:vAlign w:val="bottom"/>
            <w:hideMark/>
          </w:tcPr>
          <w:p w14:paraId="09D22B24" w14:textId="77777777" w:rsidR="006F4FAD" w:rsidRPr="00D23517" w:rsidRDefault="006F4FAD" w:rsidP="00A1062B">
            <w:pPr>
              <w:spacing w:after="0" w:line="240" w:lineRule="auto"/>
              <w:contextualSpacing/>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 xml:space="preserve">Panel A – TOTRISK </w:t>
            </w:r>
          </w:p>
        </w:tc>
        <w:tc>
          <w:tcPr>
            <w:tcW w:w="1671" w:type="pct"/>
            <w:tcBorders>
              <w:top w:val="single" w:sz="4" w:space="0" w:color="auto"/>
              <w:bottom w:val="single" w:sz="4" w:space="0" w:color="auto"/>
            </w:tcBorders>
            <w:shd w:val="clear" w:color="auto" w:fill="auto"/>
            <w:noWrap/>
            <w:vAlign w:val="bottom"/>
            <w:hideMark/>
          </w:tcPr>
          <w:p w14:paraId="5ECDB2C2" w14:textId="77777777" w:rsidR="006F4FAD" w:rsidRPr="00D23517" w:rsidRDefault="006F4FAD" w:rsidP="00A1062B">
            <w:pPr>
              <w:spacing w:after="0" w:line="240" w:lineRule="auto"/>
              <w:contextualSpacing/>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Panel B - IDIORISK</w:t>
            </w:r>
          </w:p>
        </w:tc>
      </w:tr>
      <w:tr w:rsidR="006F4FAD" w:rsidRPr="00D23517" w14:paraId="6B8E7173" w14:textId="77777777" w:rsidTr="00102195">
        <w:trPr>
          <w:trHeight w:val="20"/>
        </w:trPr>
        <w:tc>
          <w:tcPr>
            <w:tcW w:w="1655" w:type="pct"/>
            <w:tcBorders>
              <w:top w:val="single" w:sz="4" w:space="0" w:color="auto"/>
            </w:tcBorders>
            <w:shd w:val="clear" w:color="auto" w:fill="auto"/>
            <w:noWrap/>
            <w:vAlign w:val="bottom"/>
            <w:hideMark/>
          </w:tcPr>
          <w:p w14:paraId="4D35085D" w14:textId="77777777" w:rsidR="006F4FAD" w:rsidRPr="00D23517" w:rsidRDefault="006F4FAD" w:rsidP="00A1062B">
            <w:pPr>
              <w:spacing w:after="0" w:line="240" w:lineRule="auto"/>
              <w:contextualSpacing/>
              <w:jc w:val="both"/>
              <w:rPr>
                <w:rFonts w:ascii="Times New Roman" w:eastAsia="Times New Roman" w:hAnsi="Times New Roman" w:cs="Times New Roman"/>
                <w:i/>
                <w:sz w:val="20"/>
                <w:szCs w:val="20"/>
              </w:rPr>
            </w:pPr>
            <w:r w:rsidRPr="00D23517">
              <w:rPr>
                <w:rFonts w:ascii="Times New Roman" w:eastAsia="Times New Roman" w:hAnsi="Times New Roman" w:cs="Times New Roman"/>
                <w:i/>
                <w:sz w:val="20"/>
                <w:szCs w:val="20"/>
              </w:rPr>
              <w:t>NONOPERINC</w:t>
            </w:r>
          </w:p>
        </w:tc>
        <w:tc>
          <w:tcPr>
            <w:tcW w:w="1674" w:type="pct"/>
            <w:tcBorders>
              <w:top w:val="nil"/>
              <w:left w:val="nil"/>
              <w:bottom w:val="nil"/>
              <w:right w:val="nil"/>
            </w:tcBorders>
            <w:shd w:val="clear" w:color="auto" w:fill="auto"/>
            <w:noWrap/>
            <w:vAlign w:val="bottom"/>
          </w:tcPr>
          <w:p w14:paraId="068EB466"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-0.019</w:t>
            </w:r>
          </w:p>
        </w:tc>
        <w:tc>
          <w:tcPr>
            <w:tcW w:w="1671" w:type="pct"/>
            <w:tcBorders>
              <w:top w:val="nil"/>
              <w:left w:val="nil"/>
              <w:bottom w:val="nil"/>
              <w:right w:val="nil"/>
            </w:tcBorders>
            <w:shd w:val="clear" w:color="auto" w:fill="auto"/>
            <w:noWrap/>
            <w:vAlign w:val="bottom"/>
          </w:tcPr>
          <w:p w14:paraId="2BAB7403"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-0.022</w:t>
            </w:r>
          </w:p>
        </w:tc>
      </w:tr>
      <w:tr w:rsidR="006F4FAD" w:rsidRPr="00D23517" w14:paraId="407A907A" w14:textId="77777777" w:rsidTr="00102195">
        <w:trPr>
          <w:trHeight w:val="20"/>
        </w:trPr>
        <w:tc>
          <w:tcPr>
            <w:tcW w:w="1655" w:type="pct"/>
            <w:shd w:val="clear" w:color="auto" w:fill="auto"/>
            <w:noWrap/>
            <w:vAlign w:val="bottom"/>
            <w:hideMark/>
          </w:tcPr>
          <w:p w14:paraId="52A34B3A" w14:textId="77777777" w:rsidR="006F4FAD" w:rsidRPr="00D23517" w:rsidRDefault="006F4FAD" w:rsidP="00A1062B">
            <w:pPr>
              <w:spacing w:after="0" w:line="240" w:lineRule="auto"/>
              <w:contextualSpacing/>
              <w:jc w:val="both"/>
              <w:rPr>
                <w:rFonts w:ascii="Times New Roman" w:eastAsia="Times New Roman" w:hAnsi="Times New Roman" w:cs="Times New Roman"/>
                <w:i/>
                <w:sz w:val="20"/>
                <w:szCs w:val="20"/>
              </w:rPr>
            </w:pPr>
          </w:p>
        </w:tc>
        <w:tc>
          <w:tcPr>
            <w:tcW w:w="1674" w:type="pct"/>
            <w:tcBorders>
              <w:top w:val="nil"/>
              <w:left w:val="nil"/>
              <w:bottom w:val="nil"/>
              <w:right w:val="nil"/>
            </w:tcBorders>
            <w:shd w:val="clear" w:color="auto" w:fill="auto"/>
            <w:noWrap/>
            <w:vAlign w:val="bottom"/>
          </w:tcPr>
          <w:p w14:paraId="5D89D30D"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(-4.724***)</w:t>
            </w:r>
          </w:p>
        </w:tc>
        <w:tc>
          <w:tcPr>
            <w:tcW w:w="1671" w:type="pct"/>
            <w:tcBorders>
              <w:top w:val="nil"/>
              <w:left w:val="nil"/>
              <w:bottom w:val="nil"/>
              <w:right w:val="nil"/>
            </w:tcBorders>
            <w:shd w:val="clear" w:color="auto" w:fill="auto"/>
            <w:noWrap/>
            <w:vAlign w:val="bottom"/>
          </w:tcPr>
          <w:p w14:paraId="0B72718B"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(-5.629***)</w:t>
            </w:r>
          </w:p>
        </w:tc>
      </w:tr>
      <w:tr w:rsidR="006F4FAD" w:rsidRPr="00D23517" w14:paraId="7C45A2D7" w14:textId="77777777" w:rsidTr="00102195">
        <w:trPr>
          <w:trHeight w:val="20"/>
        </w:trPr>
        <w:tc>
          <w:tcPr>
            <w:tcW w:w="1655" w:type="pct"/>
            <w:shd w:val="clear" w:color="auto" w:fill="auto"/>
            <w:noWrap/>
            <w:vAlign w:val="bottom"/>
            <w:hideMark/>
          </w:tcPr>
          <w:p w14:paraId="39056DE4" w14:textId="77777777" w:rsidR="006F4FAD" w:rsidRPr="00D23517" w:rsidRDefault="006F4FAD" w:rsidP="00A1062B">
            <w:pPr>
              <w:spacing w:after="0" w:line="240" w:lineRule="auto"/>
              <w:contextualSpacing/>
              <w:jc w:val="both"/>
              <w:rPr>
                <w:rFonts w:ascii="Times New Roman" w:eastAsia="Times New Roman" w:hAnsi="Times New Roman" w:cs="Times New Roman"/>
                <w:i/>
                <w:sz w:val="20"/>
                <w:szCs w:val="20"/>
              </w:rPr>
            </w:pPr>
            <w:r w:rsidRPr="00D23517">
              <w:rPr>
                <w:rFonts w:ascii="Times New Roman" w:eastAsia="Times New Roman" w:hAnsi="Times New Roman" w:cs="Times New Roman"/>
                <w:i/>
                <w:sz w:val="20"/>
                <w:szCs w:val="20"/>
              </w:rPr>
              <w:t>OPERINC</w:t>
            </w:r>
          </w:p>
        </w:tc>
        <w:tc>
          <w:tcPr>
            <w:tcW w:w="1674" w:type="pct"/>
            <w:tcBorders>
              <w:top w:val="nil"/>
              <w:left w:val="nil"/>
              <w:bottom w:val="nil"/>
              <w:right w:val="nil"/>
            </w:tcBorders>
            <w:shd w:val="clear" w:color="auto" w:fill="auto"/>
            <w:noWrap/>
            <w:vAlign w:val="bottom"/>
          </w:tcPr>
          <w:p w14:paraId="205587F1"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-0.196</w:t>
            </w:r>
          </w:p>
        </w:tc>
        <w:tc>
          <w:tcPr>
            <w:tcW w:w="1671" w:type="pct"/>
            <w:tcBorders>
              <w:top w:val="nil"/>
              <w:left w:val="nil"/>
              <w:bottom w:val="nil"/>
              <w:right w:val="nil"/>
            </w:tcBorders>
            <w:shd w:val="clear" w:color="auto" w:fill="auto"/>
            <w:noWrap/>
            <w:vAlign w:val="bottom"/>
          </w:tcPr>
          <w:p w14:paraId="0C4CE04D"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-0.186</w:t>
            </w:r>
          </w:p>
        </w:tc>
      </w:tr>
      <w:tr w:rsidR="006F4FAD" w:rsidRPr="00D23517" w14:paraId="012C84F0" w14:textId="77777777" w:rsidTr="00102195">
        <w:trPr>
          <w:trHeight w:val="20"/>
        </w:trPr>
        <w:tc>
          <w:tcPr>
            <w:tcW w:w="1655" w:type="pct"/>
            <w:shd w:val="clear" w:color="auto" w:fill="auto"/>
            <w:noWrap/>
            <w:vAlign w:val="bottom"/>
            <w:hideMark/>
          </w:tcPr>
          <w:p w14:paraId="16850D24" w14:textId="77777777" w:rsidR="006F4FAD" w:rsidRPr="00D23517" w:rsidRDefault="006F4FAD" w:rsidP="00A1062B">
            <w:pPr>
              <w:spacing w:after="0" w:line="240" w:lineRule="auto"/>
              <w:contextualSpacing/>
              <w:jc w:val="both"/>
              <w:rPr>
                <w:rFonts w:ascii="Times New Roman" w:eastAsia="Times New Roman" w:hAnsi="Times New Roman" w:cs="Times New Roman"/>
                <w:i/>
                <w:sz w:val="20"/>
                <w:szCs w:val="20"/>
              </w:rPr>
            </w:pPr>
          </w:p>
        </w:tc>
        <w:tc>
          <w:tcPr>
            <w:tcW w:w="1674" w:type="pct"/>
            <w:tcBorders>
              <w:top w:val="nil"/>
              <w:left w:val="nil"/>
              <w:bottom w:val="nil"/>
              <w:right w:val="nil"/>
            </w:tcBorders>
            <w:shd w:val="clear" w:color="auto" w:fill="auto"/>
            <w:noWrap/>
            <w:vAlign w:val="bottom"/>
          </w:tcPr>
          <w:p w14:paraId="0955DB73"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(-27.597***)</w:t>
            </w:r>
          </w:p>
        </w:tc>
        <w:tc>
          <w:tcPr>
            <w:tcW w:w="1671" w:type="pct"/>
            <w:tcBorders>
              <w:top w:val="nil"/>
              <w:left w:val="nil"/>
              <w:bottom w:val="nil"/>
              <w:right w:val="nil"/>
            </w:tcBorders>
            <w:shd w:val="clear" w:color="auto" w:fill="auto"/>
            <w:noWrap/>
            <w:vAlign w:val="bottom"/>
          </w:tcPr>
          <w:p w14:paraId="3DD07530"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(-26.687***)</w:t>
            </w:r>
          </w:p>
        </w:tc>
      </w:tr>
      <w:tr w:rsidR="006F4FAD" w:rsidRPr="00D23517" w14:paraId="4EAA2FB0" w14:textId="77777777" w:rsidTr="00102195">
        <w:trPr>
          <w:trHeight w:val="20"/>
        </w:trPr>
        <w:tc>
          <w:tcPr>
            <w:tcW w:w="1655" w:type="pct"/>
            <w:shd w:val="clear" w:color="auto" w:fill="auto"/>
            <w:noWrap/>
            <w:vAlign w:val="bottom"/>
            <w:hideMark/>
          </w:tcPr>
          <w:p w14:paraId="23F49E24" w14:textId="77777777" w:rsidR="006F4FAD" w:rsidRPr="00D23517" w:rsidRDefault="006F4FAD" w:rsidP="00A1062B">
            <w:pPr>
              <w:spacing w:after="0" w:line="240" w:lineRule="auto"/>
              <w:contextualSpacing/>
              <w:jc w:val="both"/>
              <w:rPr>
                <w:rFonts w:ascii="Times New Roman" w:eastAsia="Times New Roman" w:hAnsi="Times New Roman" w:cs="Times New Roman"/>
                <w:i/>
                <w:sz w:val="20"/>
                <w:szCs w:val="20"/>
              </w:rPr>
            </w:pPr>
            <w:r w:rsidRPr="00D23517">
              <w:rPr>
                <w:rFonts w:ascii="Times New Roman" w:eastAsia="Times New Roman" w:hAnsi="Times New Roman" w:cs="Times New Roman"/>
                <w:i/>
                <w:sz w:val="20"/>
                <w:szCs w:val="20"/>
              </w:rPr>
              <w:t>LNAT</w:t>
            </w:r>
          </w:p>
        </w:tc>
        <w:tc>
          <w:tcPr>
            <w:tcW w:w="1674" w:type="pct"/>
            <w:tcBorders>
              <w:top w:val="nil"/>
              <w:left w:val="nil"/>
              <w:bottom w:val="nil"/>
              <w:right w:val="nil"/>
            </w:tcBorders>
            <w:shd w:val="clear" w:color="auto" w:fill="auto"/>
            <w:noWrap/>
            <w:vAlign w:val="bottom"/>
          </w:tcPr>
          <w:p w14:paraId="7A639255"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-0.416</w:t>
            </w:r>
          </w:p>
        </w:tc>
        <w:tc>
          <w:tcPr>
            <w:tcW w:w="1671" w:type="pct"/>
            <w:tcBorders>
              <w:top w:val="nil"/>
              <w:left w:val="nil"/>
              <w:bottom w:val="nil"/>
              <w:right w:val="nil"/>
            </w:tcBorders>
            <w:shd w:val="clear" w:color="auto" w:fill="auto"/>
            <w:noWrap/>
            <w:vAlign w:val="bottom"/>
          </w:tcPr>
          <w:p w14:paraId="58F1C89E"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-0.463</w:t>
            </w:r>
          </w:p>
        </w:tc>
      </w:tr>
      <w:tr w:rsidR="006F4FAD" w:rsidRPr="00D23517" w14:paraId="382E5696" w14:textId="77777777" w:rsidTr="00102195">
        <w:trPr>
          <w:trHeight w:val="20"/>
        </w:trPr>
        <w:tc>
          <w:tcPr>
            <w:tcW w:w="1655" w:type="pct"/>
            <w:shd w:val="clear" w:color="auto" w:fill="auto"/>
            <w:noWrap/>
            <w:vAlign w:val="bottom"/>
            <w:hideMark/>
          </w:tcPr>
          <w:p w14:paraId="71F4480E" w14:textId="77777777" w:rsidR="006F4FAD" w:rsidRPr="00D23517" w:rsidRDefault="006F4FAD" w:rsidP="00A1062B">
            <w:pPr>
              <w:spacing w:after="0" w:line="240" w:lineRule="auto"/>
              <w:contextualSpacing/>
              <w:jc w:val="both"/>
              <w:rPr>
                <w:rFonts w:ascii="Times New Roman" w:eastAsia="Times New Roman" w:hAnsi="Times New Roman" w:cs="Times New Roman"/>
                <w:i/>
                <w:sz w:val="20"/>
                <w:szCs w:val="20"/>
              </w:rPr>
            </w:pPr>
          </w:p>
        </w:tc>
        <w:tc>
          <w:tcPr>
            <w:tcW w:w="1674" w:type="pct"/>
            <w:tcBorders>
              <w:top w:val="nil"/>
              <w:left w:val="nil"/>
              <w:bottom w:val="nil"/>
              <w:right w:val="nil"/>
            </w:tcBorders>
            <w:shd w:val="clear" w:color="auto" w:fill="auto"/>
            <w:noWrap/>
            <w:vAlign w:val="bottom"/>
          </w:tcPr>
          <w:p w14:paraId="437D281D"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(-22.313***)</w:t>
            </w:r>
          </w:p>
        </w:tc>
        <w:tc>
          <w:tcPr>
            <w:tcW w:w="1671" w:type="pct"/>
            <w:tcBorders>
              <w:top w:val="nil"/>
              <w:left w:val="nil"/>
              <w:bottom w:val="nil"/>
              <w:right w:val="nil"/>
            </w:tcBorders>
            <w:shd w:val="clear" w:color="auto" w:fill="auto"/>
            <w:noWrap/>
            <w:vAlign w:val="bottom"/>
          </w:tcPr>
          <w:p w14:paraId="3378B116"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(-25.618***)</w:t>
            </w:r>
          </w:p>
        </w:tc>
      </w:tr>
      <w:tr w:rsidR="006F4FAD" w:rsidRPr="00D23517" w14:paraId="28B6977C" w14:textId="77777777" w:rsidTr="00102195">
        <w:trPr>
          <w:trHeight w:val="20"/>
        </w:trPr>
        <w:tc>
          <w:tcPr>
            <w:tcW w:w="1655" w:type="pct"/>
            <w:shd w:val="clear" w:color="auto" w:fill="auto"/>
            <w:noWrap/>
            <w:vAlign w:val="bottom"/>
            <w:hideMark/>
          </w:tcPr>
          <w:p w14:paraId="64BC77CE" w14:textId="77777777" w:rsidR="006F4FAD" w:rsidRPr="00D23517" w:rsidRDefault="006F4FAD" w:rsidP="00A1062B">
            <w:pPr>
              <w:spacing w:after="0" w:line="240" w:lineRule="auto"/>
              <w:contextualSpacing/>
              <w:jc w:val="both"/>
              <w:rPr>
                <w:rFonts w:ascii="Times New Roman" w:eastAsia="Times New Roman" w:hAnsi="Times New Roman" w:cs="Times New Roman"/>
                <w:i/>
                <w:sz w:val="20"/>
                <w:szCs w:val="20"/>
              </w:rPr>
            </w:pPr>
            <w:r w:rsidRPr="00D23517">
              <w:rPr>
                <w:rFonts w:ascii="Times New Roman" w:eastAsia="Times New Roman" w:hAnsi="Times New Roman" w:cs="Times New Roman"/>
                <w:i/>
                <w:sz w:val="20"/>
                <w:szCs w:val="20"/>
              </w:rPr>
              <w:t>TURNOVER</w:t>
            </w:r>
          </w:p>
        </w:tc>
        <w:tc>
          <w:tcPr>
            <w:tcW w:w="1674" w:type="pct"/>
            <w:tcBorders>
              <w:top w:val="nil"/>
              <w:left w:val="nil"/>
              <w:bottom w:val="nil"/>
              <w:right w:val="nil"/>
            </w:tcBorders>
            <w:shd w:val="clear" w:color="auto" w:fill="auto"/>
            <w:noWrap/>
            <w:vAlign w:val="bottom"/>
          </w:tcPr>
          <w:p w14:paraId="2D4D0655"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0.256</w:t>
            </w:r>
          </w:p>
        </w:tc>
        <w:tc>
          <w:tcPr>
            <w:tcW w:w="1671" w:type="pct"/>
            <w:tcBorders>
              <w:top w:val="nil"/>
              <w:left w:val="nil"/>
              <w:bottom w:val="nil"/>
              <w:right w:val="nil"/>
            </w:tcBorders>
            <w:shd w:val="clear" w:color="auto" w:fill="auto"/>
            <w:noWrap/>
            <w:vAlign w:val="bottom"/>
          </w:tcPr>
          <w:p w14:paraId="7EF8C550"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0.201</w:t>
            </w:r>
          </w:p>
        </w:tc>
      </w:tr>
      <w:tr w:rsidR="006F4FAD" w:rsidRPr="00D23517" w14:paraId="5101AABF" w14:textId="77777777" w:rsidTr="00102195">
        <w:trPr>
          <w:trHeight w:val="20"/>
        </w:trPr>
        <w:tc>
          <w:tcPr>
            <w:tcW w:w="1655" w:type="pct"/>
            <w:shd w:val="clear" w:color="auto" w:fill="auto"/>
            <w:noWrap/>
            <w:vAlign w:val="bottom"/>
            <w:hideMark/>
          </w:tcPr>
          <w:p w14:paraId="7FDE289D" w14:textId="77777777" w:rsidR="006F4FAD" w:rsidRPr="00D23517" w:rsidRDefault="006F4FAD" w:rsidP="00A1062B">
            <w:pPr>
              <w:spacing w:after="0" w:line="240" w:lineRule="auto"/>
              <w:contextualSpacing/>
              <w:jc w:val="both"/>
              <w:rPr>
                <w:rFonts w:ascii="Times New Roman" w:eastAsia="Times New Roman" w:hAnsi="Times New Roman" w:cs="Times New Roman"/>
                <w:i/>
                <w:sz w:val="20"/>
                <w:szCs w:val="20"/>
              </w:rPr>
            </w:pPr>
          </w:p>
        </w:tc>
        <w:tc>
          <w:tcPr>
            <w:tcW w:w="1674" w:type="pct"/>
            <w:tcBorders>
              <w:top w:val="nil"/>
              <w:left w:val="nil"/>
              <w:bottom w:val="nil"/>
              <w:right w:val="nil"/>
            </w:tcBorders>
            <w:shd w:val="clear" w:color="auto" w:fill="auto"/>
            <w:noWrap/>
            <w:vAlign w:val="bottom"/>
          </w:tcPr>
          <w:p w14:paraId="08C91490"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(30.823***)</w:t>
            </w:r>
          </w:p>
        </w:tc>
        <w:tc>
          <w:tcPr>
            <w:tcW w:w="1671" w:type="pct"/>
            <w:tcBorders>
              <w:top w:val="nil"/>
              <w:left w:val="nil"/>
              <w:bottom w:val="nil"/>
              <w:right w:val="nil"/>
            </w:tcBorders>
            <w:shd w:val="clear" w:color="auto" w:fill="auto"/>
            <w:noWrap/>
            <w:vAlign w:val="bottom"/>
          </w:tcPr>
          <w:p w14:paraId="25267FCD"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(24.997***)</w:t>
            </w:r>
          </w:p>
        </w:tc>
      </w:tr>
      <w:tr w:rsidR="006F4FAD" w:rsidRPr="00D23517" w14:paraId="1E15E5FC" w14:textId="77777777" w:rsidTr="00102195">
        <w:trPr>
          <w:trHeight w:val="20"/>
        </w:trPr>
        <w:tc>
          <w:tcPr>
            <w:tcW w:w="1655" w:type="pct"/>
            <w:shd w:val="clear" w:color="auto" w:fill="auto"/>
            <w:noWrap/>
            <w:vAlign w:val="bottom"/>
            <w:hideMark/>
          </w:tcPr>
          <w:p w14:paraId="480041F8" w14:textId="77777777" w:rsidR="006F4FAD" w:rsidRPr="00D23517" w:rsidRDefault="006F4FAD" w:rsidP="00A1062B">
            <w:pPr>
              <w:spacing w:after="0" w:line="240" w:lineRule="auto"/>
              <w:contextualSpacing/>
              <w:jc w:val="both"/>
              <w:rPr>
                <w:rFonts w:ascii="Times New Roman" w:eastAsia="Times New Roman" w:hAnsi="Times New Roman" w:cs="Times New Roman"/>
                <w:i/>
                <w:sz w:val="20"/>
                <w:szCs w:val="20"/>
              </w:rPr>
            </w:pPr>
            <w:r w:rsidRPr="00D23517">
              <w:rPr>
                <w:rFonts w:ascii="Times New Roman" w:eastAsia="Times New Roman" w:hAnsi="Times New Roman" w:cs="Times New Roman"/>
                <w:i/>
                <w:sz w:val="20"/>
                <w:szCs w:val="20"/>
              </w:rPr>
              <w:t>MKBK</w:t>
            </w:r>
          </w:p>
        </w:tc>
        <w:tc>
          <w:tcPr>
            <w:tcW w:w="1674" w:type="pct"/>
            <w:tcBorders>
              <w:top w:val="nil"/>
              <w:left w:val="nil"/>
              <w:bottom w:val="nil"/>
              <w:right w:val="nil"/>
            </w:tcBorders>
            <w:shd w:val="clear" w:color="auto" w:fill="auto"/>
            <w:noWrap/>
            <w:vAlign w:val="bottom"/>
          </w:tcPr>
          <w:p w14:paraId="4CEFA61A"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-0.018</w:t>
            </w:r>
          </w:p>
        </w:tc>
        <w:tc>
          <w:tcPr>
            <w:tcW w:w="1671" w:type="pct"/>
            <w:tcBorders>
              <w:top w:val="nil"/>
              <w:left w:val="nil"/>
              <w:bottom w:val="nil"/>
              <w:right w:val="nil"/>
            </w:tcBorders>
            <w:shd w:val="clear" w:color="auto" w:fill="auto"/>
            <w:noWrap/>
            <w:vAlign w:val="bottom"/>
          </w:tcPr>
          <w:p w14:paraId="20C41993"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-0.025</w:t>
            </w:r>
          </w:p>
        </w:tc>
      </w:tr>
      <w:tr w:rsidR="006F4FAD" w:rsidRPr="00D23517" w14:paraId="1EBEBA3F" w14:textId="77777777" w:rsidTr="00102195">
        <w:trPr>
          <w:trHeight w:val="20"/>
        </w:trPr>
        <w:tc>
          <w:tcPr>
            <w:tcW w:w="1655" w:type="pct"/>
            <w:shd w:val="clear" w:color="auto" w:fill="auto"/>
            <w:noWrap/>
            <w:vAlign w:val="bottom"/>
            <w:hideMark/>
          </w:tcPr>
          <w:p w14:paraId="4924B642" w14:textId="77777777" w:rsidR="006F4FAD" w:rsidRPr="00D23517" w:rsidRDefault="006F4FAD" w:rsidP="00A1062B">
            <w:pPr>
              <w:spacing w:after="0" w:line="240" w:lineRule="auto"/>
              <w:contextualSpacing/>
              <w:jc w:val="both"/>
              <w:rPr>
                <w:rFonts w:ascii="Times New Roman" w:eastAsia="Times New Roman" w:hAnsi="Times New Roman" w:cs="Times New Roman"/>
                <w:i/>
                <w:sz w:val="20"/>
                <w:szCs w:val="20"/>
              </w:rPr>
            </w:pPr>
          </w:p>
        </w:tc>
        <w:tc>
          <w:tcPr>
            <w:tcW w:w="1674" w:type="pct"/>
            <w:tcBorders>
              <w:top w:val="nil"/>
              <w:left w:val="nil"/>
              <w:bottom w:val="nil"/>
              <w:right w:val="nil"/>
            </w:tcBorders>
            <w:shd w:val="clear" w:color="auto" w:fill="auto"/>
            <w:noWrap/>
            <w:vAlign w:val="bottom"/>
          </w:tcPr>
          <w:p w14:paraId="2070E748"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(-4.865***)</w:t>
            </w:r>
          </w:p>
        </w:tc>
        <w:tc>
          <w:tcPr>
            <w:tcW w:w="1671" w:type="pct"/>
            <w:tcBorders>
              <w:top w:val="nil"/>
              <w:left w:val="nil"/>
              <w:bottom w:val="nil"/>
              <w:right w:val="nil"/>
            </w:tcBorders>
            <w:shd w:val="clear" w:color="auto" w:fill="auto"/>
            <w:noWrap/>
            <w:vAlign w:val="bottom"/>
          </w:tcPr>
          <w:p w14:paraId="26657ED0"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(-6.923***)</w:t>
            </w:r>
          </w:p>
        </w:tc>
      </w:tr>
      <w:tr w:rsidR="006F4FAD" w:rsidRPr="00D23517" w14:paraId="586E275D" w14:textId="77777777" w:rsidTr="00102195">
        <w:trPr>
          <w:trHeight w:val="20"/>
        </w:trPr>
        <w:tc>
          <w:tcPr>
            <w:tcW w:w="1655" w:type="pct"/>
            <w:shd w:val="clear" w:color="auto" w:fill="auto"/>
            <w:noWrap/>
            <w:vAlign w:val="bottom"/>
            <w:hideMark/>
          </w:tcPr>
          <w:p w14:paraId="15FBBDB5" w14:textId="77777777" w:rsidR="006F4FAD" w:rsidRPr="00D23517" w:rsidRDefault="006F4FAD" w:rsidP="00A1062B">
            <w:pPr>
              <w:spacing w:after="0" w:line="240" w:lineRule="auto"/>
              <w:contextualSpacing/>
              <w:jc w:val="both"/>
              <w:rPr>
                <w:rFonts w:ascii="Times New Roman" w:eastAsia="Times New Roman" w:hAnsi="Times New Roman" w:cs="Times New Roman"/>
                <w:i/>
                <w:sz w:val="20"/>
                <w:szCs w:val="20"/>
              </w:rPr>
            </w:pPr>
            <w:r w:rsidRPr="00D23517">
              <w:rPr>
                <w:rFonts w:ascii="Times New Roman" w:eastAsia="Times New Roman" w:hAnsi="Times New Roman" w:cs="Times New Roman"/>
                <w:i/>
                <w:sz w:val="20"/>
                <w:szCs w:val="20"/>
              </w:rPr>
              <w:t>DEBT</w:t>
            </w:r>
          </w:p>
        </w:tc>
        <w:tc>
          <w:tcPr>
            <w:tcW w:w="1674" w:type="pct"/>
            <w:tcBorders>
              <w:top w:val="nil"/>
              <w:left w:val="nil"/>
              <w:bottom w:val="nil"/>
              <w:right w:val="nil"/>
            </w:tcBorders>
            <w:shd w:val="clear" w:color="auto" w:fill="auto"/>
            <w:noWrap/>
            <w:vAlign w:val="bottom"/>
          </w:tcPr>
          <w:p w14:paraId="75A992C8"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0.064</w:t>
            </w:r>
          </w:p>
        </w:tc>
        <w:tc>
          <w:tcPr>
            <w:tcW w:w="1671" w:type="pct"/>
            <w:tcBorders>
              <w:top w:val="nil"/>
              <w:left w:val="nil"/>
              <w:bottom w:val="nil"/>
              <w:right w:val="nil"/>
            </w:tcBorders>
            <w:shd w:val="clear" w:color="auto" w:fill="auto"/>
            <w:noWrap/>
            <w:vAlign w:val="bottom"/>
          </w:tcPr>
          <w:p w14:paraId="0570EE2F"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0.067</w:t>
            </w:r>
          </w:p>
        </w:tc>
      </w:tr>
      <w:tr w:rsidR="006F4FAD" w:rsidRPr="00D23517" w14:paraId="2AFDDFDF" w14:textId="77777777" w:rsidTr="00102195">
        <w:trPr>
          <w:trHeight w:val="20"/>
        </w:trPr>
        <w:tc>
          <w:tcPr>
            <w:tcW w:w="1655" w:type="pct"/>
            <w:shd w:val="clear" w:color="auto" w:fill="auto"/>
            <w:noWrap/>
            <w:vAlign w:val="bottom"/>
            <w:hideMark/>
          </w:tcPr>
          <w:p w14:paraId="14E8EDA9" w14:textId="77777777" w:rsidR="006F4FAD" w:rsidRPr="00D23517" w:rsidRDefault="006F4FAD" w:rsidP="00A1062B">
            <w:pPr>
              <w:spacing w:after="0" w:line="240" w:lineRule="auto"/>
              <w:contextualSpacing/>
              <w:jc w:val="both"/>
              <w:rPr>
                <w:rFonts w:ascii="Times New Roman" w:eastAsia="Times New Roman" w:hAnsi="Times New Roman" w:cs="Times New Roman"/>
                <w:i/>
                <w:sz w:val="20"/>
                <w:szCs w:val="20"/>
              </w:rPr>
            </w:pPr>
          </w:p>
        </w:tc>
        <w:tc>
          <w:tcPr>
            <w:tcW w:w="1674" w:type="pct"/>
            <w:tcBorders>
              <w:top w:val="nil"/>
              <w:left w:val="nil"/>
              <w:bottom w:val="nil"/>
              <w:right w:val="nil"/>
            </w:tcBorders>
            <w:shd w:val="clear" w:color="auto" w:fill="auto"/>
            <w:noWrap/>
            <w:vAlign w:val="bottom"/>
          </w:tcPr>
          <w:p w14:paraId="46F21BD3"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(9.267***)</w:t>
            </w:r>
          </w:p>
        </w:tc>
        <w:tc>
          <w:tcPr>
            <w:tcW w:w="1671" w:type="pct"/>
            <w:tcBorders>
              <w:top w:val="nil"/>
              <w:left w:val="nil"/>
              <w:bottom w:val="nil"/>
              <w:right w:val="nil"/>
            </w:tcBorders>
            <w:shd w:val="clear" w:color="auto" w:fill="auto"/>
            <w:noWrap/>
            <w:vAlign w:val="bottom"/>
          </w:tcPr>
          <w:p w14:paraId="512246AB"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(9.988***)</w:t>
            </w:r>
          </w:p>
        </w:tc>
      </w:tr>
      <w:tr w:rsidR="006F4FAD" w:rsidRPr="00D23517" w14:paraId="1FD7CCAF" w14:textId="77777777" w:rsidTr="00102195">
        <w:trPr>
          <w:trHeight w:val="20"/>
        </w:trPr>
        <w:tc>
          <w:tcPr>
            <w:tcW w:w="1655" w:type="pct"/>
            <w:shd w:val="clear" w:color="auto" w:fill="auto"/>
            <w:noWrap/>
            <w:vAlign w:val="bottom"/>
          </w:tcPr>
          <w:p w14:paraId="68822801" w14:textId="77777777" w:rsidR="006F4FAD" w:rsidRPr="00D23517" w:rsidRDefault="006F4FAD" w:rsidP="00A1062B">
            <w:pPr>
              <w:spacing w:after="0" w:line="240" w:lineRule="auto"/>
              <w:contextualSpacing/>
              <w:jc w:val="both"/>
              <w:rPr>
                <w:rFonts w:ascii="Times New Roman" w:eastAsia="Times New Roman" w:hAnsi="Times New Roman" w:cs="Times New Roman"/>
                <w:i/>
                <w:iCs/>
                <w:color w:val="000000"/>
                <w:sz w:val="20"/>
                <w:szCs w:val="20"/>
              </w:rPr>
            </w:pPr>
            <w:r w:rsidRPr="00D23517">
              <w:rPr>
                <w:rFonts w:ascii="Times New Roman" w:eastAsia="Times New Roman" w:hAnsi="Times New Roman" w:cs="Times New Roman"/>
                <w:i/>
                <w:iCs/>
                <w:color w:val="000000"/>
                <w:sz w:val="20"/>
                <w:szCs w:val="20"/>
              </w:rPr>
              <w:t>OPERLEV</w:t>
            </w:r>
          </w:p>
        </w:tc>
        <w:tc>
          <w:tcPr>
            <w:tcW w:w="1674" w:type="pct"/>
            <w:tcBorders>
              <w:top w:val="nil"/>
              <w:left w:val="nil"/>
              <w:bottom w:val="nil"/>
              <w:right w:val="nil"/>
            </w:tcBorders>
            <w:shd w:val="clear" w:color="auto" w:fill="auto"/>
            <w:noWrap/>
            <w:vAlign w:val="bottom"/>
          </w:tcPr>
          <w:p w14:paraId="64459ED4"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0.024</w:t>
            </w:r>
          </w:p>
        </w:tc>
        <w:tc>
          <w:tcPr>
            <w:tcW w:w="1671" w:type="pct"/>
            <w:tcBorders>
              <w:top w:val="nil"/>
              <w:left w:val="nil"/>
              <w:bottom w:val="nil"/>
              <w:right w:val="nil"/>
            </w:tcBorders>
            <w:shd w:val="clear" w:color="auto" w:fill="auto"/>
            <w:noWrap/>
            <w:vAlign w:val="bottom"/>
          </w:tcPr>
          <w:p w14:paraId="5DEB1D81"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0.025</w:t>
            </w:r>
          </w:p>
        </w:tc>
      </w:tr>
      <w:tr w:rsidR="006F4FAD" w:rsidRPr="00D23517" w14:paraId="5AC643F8" w14:textId="77777777" w:rsidTr="00102195">
        <w:trPr>
          <w:trHeight w:val="20"/>
        </w:trPr>
        <w:tc>
          <w:tcPr>
            <w:tcW w:w="1655" w:type="pct"/>
            <w:shd w:val="clear" w:color="auto" w:fill="auto"/>
            <w:noWrap/>
            <w:vAlign w:val="bottom"/>
          </w:tcPr>
          <w:p w14:paraId="34D421DA" w14:textId="77777777" w:rsidR="006F4FAD" w:rsidRPr="00D23517" w:rsidRDefault="006F4FAD" w:rsidP="00A1062B">
            <w:pPr>
              <w:spacing w:after="0" w:line="240" w:lineRule="auto"/>
              <w:contextualSpacing/>
              <w:jc w:val="both"/>
              <w:rPr>
                <w:rFonts w:ascii="Times New Roman" w:eastAsia="Times New Roman" w:hAnsi="Times New Roman" w:cs="Times New Roman"/>
                <w:sz w:val="20"/>
                <w:szCs w:val="20"/>
              </w:rPr>
            </w:pPr>
          </w:p>
        </w:tc>
        <w:tc>
          <w:tcPr>
            <w:tcW w:w="1674" w:type="pct"/>
            <w:tcBorders>
              <w:top w:val="nil"/>
              <w:left w:val="nil"/>
              <w:bottom w:val="nil"/>
              <w:right w:val="nil"/>
            </w:tcBorders>
            <w:shd w:val="clear" w:color="auto" w:fill="auto"/>
            <w:noWrap/>
            <w:vAlign w:val="bottom"/>
          </w:tcPr>
          <w:p w14:paraId="49237E96"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(2.059**)</w:t>
            </w:r>
          </w:p>
        </w:tc>
        <w:tc>
          <w:tcPr>
            <w:tcW w:w="1671" w:type="pct"/>
            <w:tcBorders>
              <w:top w:val="nil"/>
              <w:left w:val="nil"/>
              <w:bottom w:val="nil"/>
              <w:right w:val="nil"/>
            </w:tcBorders>
            <w:shd w:val="clear" w:color="auto" w:fill="auto"/>
            <w:noWrap/>
            <w:vAlign w:val="bottom"/>
          </w:tcPr>
          <w:p w14:paraId="71BC2AE3"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(2.165**)</w:t>
            </w:r>
          </w:p>
        </w:tc>
      </w:tr>
      <w:tr w:rsidR="006F4FAD" w:rsidRPr="00D23517" w14:paraId="4A30EB37" w14:textId="77777777" w:rsidTr="00102195">
        <w:trPr>
          <w:trHeight w:val="20"/>
        </w:trPr>
        <w:tc>
          <w:tcPr>
            <w:tcW w:w="1655" w:type="pct"/>
            <w:shd w:val="clear" w:color="auto" w:fill="auto"/>
            <w:noWrap/>
            <w:vAlign w:val="bottom"/>
          </w:tcPr>
          <w:p w14:paraId="032A6487" w14:textId="77777777" w:rsidR="006F4FAD" w:rsidRPr="00D23517" w:rsidRDefault="006F4FAD" w:rsidP="00A1062B">
            <w:pPr>
              <w:spacing w:after="0" w:line="240" w:lineRule="auto"/>
              <w:contextualSpacing/>
              <w:jc w:val="both"/>
              <w:rPr>
                <w:rFonts w:ascii="Times New Roman" w:eastAsia="Times New Roman" w:hAnsi="Times New Roman" w:cs="Times New Roman"/>
                <w:i/>
                <w:sz w:val="20"/>
                <w:szCs w:val="20"/>
              </w:rPr>
            </w:pPr>
            <w:r w:rsidRPr="00D23517">
              <w:rPr>
                <w:rFonts w:ascii="Times New Roman" w:eastAsia="Times New Roman" w:hAnsi="Times New Roman" w:cs="Times New Roman"/>
                <w:i/>
                <w:sz w:val="20"/>
                <w:szCs w:val="20"/>
              </w:rPr>
              <w:t>DIVYIELD</w:t>
            </w:r>
          </w:p>
        </w:tc>
        <w:tc>
          <w:tcPr>
            <w:tcW w:w="1674" w:type="pct"/>
            <w:tcBorders>
              <w:top w:val="nil"/>
              <w:left w:val="nil"/>
              <w:bottom w:val="nil"/>
              <w:right w:val="nil"/>
            </w:tcBorders>
            <w:shd w:val="clear" w:color="auto" w:fill="auto"/>
            <w:noWrap/>
            <w:vAlign w:val="bottom"/>
          </w:tcPr>
          <w:p w14:paraId="0C5F43F2"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-0.042</w:t>
            </w:r>
          </w:p>
        </w:tc>
        <w:tc>
          <w:tcPr>
            <w:tcW w:w="1671" w:type="pct"/>
            <w:tcBorders>
              <w:top w:val="nil"/>
              <w:left w:val="nil"/>
              <w:bottom w:val="nil"/>
              <w:right w:val="nil"/>
            </w:tcBorders>
            <w:shd w:val="clear" w:color="auto" w:fill="auto"/>
            <w:noWrap/>
            <w:vAlign w:val="bottom"/>
          </w:tcPr>
          <w:p w14:paraId="3DBE5789"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-0.038</w:t>
            </w:r>
          </w:p>
        </w:tc>
      </w:tr>
      <w:tr w:rsidR="006F4FAD" w:rsidRPr="00D23517" w14:paraId="15A16775" w14:textId="77777777" w:rsidTr="00102195">
        <w:trPr>
          <w:trHeight w:val="20"/>
        </w:trPr>
        <w:tc>
          <w:tcPr>
            <w:tcW w:w="1655" w:type="pct"/>
            <w:shd w:val="clear" w:color="auto" w:fill="auto"/>
            <w:noWrap/>
            <w:vAlign w:val="bottom"/>
          </w:tcPr>
          <w:p w14:paraId="51BC8056" w14:textId="77777777" w:rsidR="006F4FAD" w:rsidRPr="00D23517" w:rsidRDefault="006F4FAD" w:rsidP="00A1062B">
            <w:pPr>
              <w:spacing w:after="0" w:line="240" w:lineRule="auto"/>
              <w:contextualSpacing/>
              <w:jc w:val="both"/>
              <w:rPr>
                <w:rFonts w:ascii="Times New Roman" w:eastAsia="Times New Roman" w:hAnsi="Times New Roman" w:cs="Times New Roman"/>
                <w:sz w:val="20"/>
                <w:szCs w:val="20"/>
              </w:rPr>
            </w:pPr>
          </w:p>
        </w:tc>
        <w:tc>
          <w:tcPr>
            <w:tcW w:w="1674" w:type="pct"/>
            <w:tcBorders>
              <w:top w:val="nil"/>
              <w:left w:val="nil"/>
              <w:bottom w:val="nil"/>
              <w:right w:val="nil"/>
            </w:tcBorders>
            <w:shd w:val="clear" w:color="auto" w:fill="auto"/>
            <w:noWrap/>
            <w:vAlign w:val="bottom"/>
          </w:tcPr>
          <w:p w14:paraId="47943789"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(-10.126***)</w:t>
            </w:r>
          </w:p>
        </w:tc>
        <w:tc>
          <w:tcPr>
            <w:tcW w:w="1671" w:type="pct"/>
            <w:tcBorders>
              <w:top w:val="nil"/>
              <w:left w:val="nil"/>
              <w:bottom w:val="nil"/>
              <w:right w:val="nil"/>
            </w:tcBorders>
            <w:shd w:val="clear" w:color="auto" w:fill="auto"/>
            <w:noWrap/>
            <w:vAlign w:val="bottom"/>
          </w:tcPr>
          <w:p w14:paraId="1C2369E0"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(-9.651***)</w:t>
            </w:r>
          </w:p>
        </w:tc>
      </w:tr>
      <w:tr w:rsidR="006F4FAD" w:rsidRPr="00D23517" w14:paraId="7EDA63CF" w14:textId="77777777" w:rsidTr="00102195">
        <w:trPr>
          <w:trHeight w:val="20"/>
        </w:trPr>
        <w:tc>
          <w:tcPr>
            <w:tcW w:w="1655" w:type="pct"/>
            <w:shd w:val="clear" w:color="auto" w:fill="auto"/>
            <w:noWrap/>
            <w:vAlign w:val="bottom"/>
          </w:tcPr>
          <w:p w14:paraId="6C0AA601" w14:textId="77777777" w:rsidR="006F4FAD" w:rsidRPr="00D23517" w:rsidRDefault="006F4FAD" w:rsidP="00A1062B">
            <w:pPr>
              <w:spacing w:after="0" w:line="240" w:lineRule="auto"/>
              <w:contextualSpacing/>
              <w:jc w:val="both"/>
              <w:rPr>
                <w:rFonts w:ascii="Times New Roman" w:eastAsia="Times New Roman" w:hAnsi="Times New Roman" w:cs="Times New Roman"/>
                <w:i/>
                <w:sz w:val="20"/>
                <w:szCs w:val="20"/>
              </w:rPr>
            </w:pPr>
            <w:r w:rsidRPr="00D23517">
              <w:rPr>
                <w:rFonts w:ascii="Times New Roman" w:eastAsia="Times New Roman" w:hAnsi="Times New Roman" w:cs="Times New Roman"/>
                <w:i/>
                <w:color w:val="000000"/>
                <w:sz w:val="20"/>
                <w:szCs w:val="20"/>
              </w:rPr>
              <w:t>INSTOWN_TRAN</w:t>
            </w:r>
          </w:p>
        </w:tc>
        <w:tc>
          <w:tcPr>
            <w:tcW w:w="1674" w:type="pct"/>
            <w:tcBorders>
              <w:top w:val="nil"/>
              <w:left w:val="nil"/>
              <w:bottom w:val="nil"/>
              <w:right w:val="nil"/>
            </w:tcBorders>
            <w:shd w:val="clear" w:color="auto" w:fill="auto"/>
            <w:noWrap/>
            <w:vAlign w:val="bottom"/>
          </w:tcPr>
          <w:p w14:paraId="6F8F5E89"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0.063</w:t>
            </w:r>
          </w:p>
        </w:tc>
        <w:tc>
          <w:tcPr>
            <w:tcW w:w="1671" w:type="pct"/>
            <w:tcBorders>
              <w:top w:val="nil"/>
              <w:left w:val="nil"/>
              <w:bottom w:val="nil"/>
              <w:right w:val="nil"/>
            </w:tcBorders>
            <w:shd w:val="clear" w:color="auto" w:fill="auto"/>
            <w:noWrap/>
            <w:vAlign w:val="bottom"/>
          </w:tcPr>
          <w:p w14:paraId="6A2A9671"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0.070</w:t>
            </w:r>
          </w:p>
        </w:tc>
      </w:tr>
      <w:tr w:rsidR="006F4FAD" w:rsidRPr="00D23517" w14:paraId="3012A746" w14:textId="77777777" w:rsidTr="00102195">
        <w:trPr>
          <w:trHeight w:val="20"/>
        </w:trPr>
        <w:tc>
          <w:tcPr>
            <w:tcW w:w="1655" w:type="pct"/>
            <w:shd w:val="clear" w:color="auto" w:fill="auto"/>
            <w:noWrap/>
            <w:vAlign w:val="bottom"/>
          </w:tcPr>
          <w:p w14:paraId="1B33F895" w14:textId="77777777" w:rsidR="006F4FAD" w:rsidRPr="00D23517" w:rsidRDefault="006F4FAD" w:rsidP="00A1062B">
            <w:pPr>
              <w:spacing w:after="0" w:line="240" w:lineRule="auto"/>
              <w:contextualSpacing/>
              <w:jc w:val="both"/>
              <w:rPr>
                <w:rFonts w:ascii="Times New Roman" w:eastAsia="Times New Roman" w:hAnsi="Times New Roman" w:cs="Times New Roman"/>
                <w:sz w:val="20"/>
                <w:szCs w:val="20"/>
              </w:rPr>
            </w:pPr>
          </w:p>
        </w:tc>
        <w:tc>
          <w:tcPr>
            <w:tcW w:w="1674" w:type="pct"/>
            <w:tcBorders>
              <w:top w:val="nil"/>
              <w:left w:val="nil"/>
              <w:bottom w:val="nil"/>
              <w:right w:val="nil"/>
            </w:tcBorders>
            <w:shd w:val="clear" w:color="auto" w:fill="auto"/>
            <w:noWrap/>
            <w:vAlign w:val="bottom"/>
          </w:tcPr>
          <w:p w14:paraId="33D433B0"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(1.010)</w:t>
            </w:r>
          </w:p>
        </w:tc>
        <w:tc>
          <w:tcPr>
            <w:tcW w:w="1671" w:type="pct"/>
            <w:tcBorders>
              <w:top w:val="nil"/>
              <w:left w:val="nil"/>
              <w:bottom w:val="nil"/>
              <w:right w:val="nil"/>
            </w:tcBorders>
            <w:shd w:val="clear" w:color="auto" w:fill="auto"/>
            <w:noWrap/>
            <w:vAlign w:val="bottom"/>
          </w:tcPr>
          <w:p w14:paraId="6ECFAC52"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(1.529)</w:t>
            </w:r>
          </w:p>
        </w:tc>
      </w:tr>
      <w:tr w:rsidR="006F4FAD" w:rsidRPr="00D23517" w14:paraId="61C487FB" w14:textId="77777777" w:rsidTr="00102195">
        <w:trPr>
          <w:trHeight w:val="20"/>
        </w:trPr>
        <w:tc>
          <w:tcPr>
            <w:tcW w:w="1655" w:type="pct"/>
            <w:shd w:val="clear" w:color="auto" w:fill="auto"/>
            <w:noWrap/>
            <w:vAlign w:val="bottom"/>
          </w:tcPr>
          <w:p w14:paraId="56A7E80B" w14:textId="77777777" w:rsidR="006F4FAD" w:rsidRPr="00D23517" w:rsidRDefault="006F4FAD" w:rsidP="00A1062B">
            <w:pPr>
              <w:spacing w:after="0" w:line="240" w:lineRule="auto"/>
              <w:contextualSpacing/>
              <w:jc w:val="both"/>
              <w:rPr>
                <w:rFonts w:ascii="Times New Roman" w:eastAsia="Times New Roman" w:hAnsi="Times New Roman" w:cs="Times New Roman"/>
                <w:i/>
                <w:sz w:val="20"/>
                <w:szCs w:val="20"/>
              </w:rPr>
            </w:pPr>
            <w:r w:rsidRPr="00D23517">
              <w:rPr>
                <w:rFonts w:ascii="Times New Roman" w:eastAsia="Times New Roman" w:hAnsi="Times New Roman" w:cs="Times New Roman"/>
                <w:i/>
                <w:sz w:val="20"/>
                <w:szCs w:val="20"/>
              </w:rPr>
              <w:t>INSTOWN_QIX</w:t>
            </w:r>
          </w:p>
        </w:tc>
        <w:tc>
          <w:tcPr>
            <w:tcW w:w="1674" w:type="pct"/>
            <w:tcBorders>
              <w:top w:val="nil"/>
              <w:left w:val="nil"/>
              <w:bottom w:val="nil"/>
              <w:right w:val="nil"/>
            </w:tcBorders>
            <w:shd w:val="clear" w:color="auto" w:fill="auto"/>
            <w:noWrap/>
            <w:vAlign w:val="bottom"/>
          </w:tcPr>
          <w:p w14:paraId="027DD002"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-0.057</w:t>
            </w:r>
          </w:p>
        </w:tc>
        <w:tc>
          <w:tcPr>
            <w:tcW w:w="1671" w:type="pct"/>
            <w:tcBorders>
              <w:top w:val="nil"/>
              <w:left w:val="nil"/>
              <w:bottom w:val="nil"/>
              <w:right w:val="nil"/>
            </w:tcBorders>
            <w:shd w:val="clear" w:color="auto" w:fill="auto"/>
            <w:noWrap/>
            <w:vAlign w:val="bottom"/>
          </w:tcPr>
          <w:p w14:paraId="2FA18052"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-0.062</w:t>
            </w:r>
          </w:p>
        </w:tc>
      </w:tr>
      <w:tr w:rsidR="006F4FAD" w:rsidRPr="00D23517" w14:paraId="53016B3A" w14:textId="77777777" w:rsidTr="00102195">
        <w:trPr>
          <w:trHeight w:val="20"/>
        </w:trPr>
        <w:tc>
          <w:tcPr>
            <w:tcW w:w="1655" w:type="pct"/>
            <w:shd w:val="clear" w:color="auto" w:fill="auto"/>
            <w:noWrap/>
            <w:vAlign w:val="bottom"/>
          </w:tcPr>
          <w:p w14:paraId="4BA18FE2" w14:textId="77777777" w:rsidR="006F4FAD" w:rsidRPr="00D23517" w:rsidRDefault="006F4FAD" w:rsidP="00A1062B">
            <w:pPr>
              <w:spacing w:after="0" w:line="240" w:lineRule="auto"/>
              <w:contextualSpacing/>
              <w:jc w:val="both"/>
              <w:rPr>
                <w:rFonts w:ascii="Times New Roman" w:eastAsia="Times New Roman" w:hAnsi="Times New Roman" w:cs="Times New Roman"/>
                <w:i/>
                <w:sz w:val="20"/>
                <w:szCs w:val="20"/>
              </w:rPr>
            </w:pPr>
          </w:p>
        </w:tc>
        <w:tc>
          <w:tcPr>
            <w:tcW w:w="1674" w:type="pct"/>
            <w:tcBorders>
              <w:top w:val="nil"/>
              <w:left w:val="nil"/>
              <w:bottom w:val="nil"/>
              <w:right w:val="nil"/>
            </w:tcBorders>
            <w:shd w:val="clear" w:color="auto" w:fill="auto"/>
            <w:noWrap/>
            <w:vAlign w:val="bottom"/>
          </w:tcPr>
          <w:p w14:paraId="1019B9EE"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(-5.832***)</w:t>
            </w:r>
          </w:p>
        </w:tc>
        <w:tc>
          <w:tcPr>
            <w:tcW w:w="1671" w:type="pct"/>
            <w:tcBorders>
              <w:top w:val="nil"/>
              <w:left w:val="nil"/>
              <w:bottom w:val="nil"/>
              <w:right w:val="nil"/>
            </w:tcBorders>
            <w:shd w:val="clear" w:color="auto" w:fill="auto"/>
            <w:noWrap/>
            <w:vAlign w:val="bottom"/>
          </w:tcPr>
          <w:p w14:paraId="45FE975B"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(-6.246***)</w:t>
            </w:r>
          </w:p>
        </w:tc>
      </w:tr>
      <w:tr w:rsidR="006F4FAD" w:rsidRPr="00D23517" w14:paraId="1CA6888C" w14:textId="77777777" w:rsidTr="00102195">
        <w:trPr>
          <w:trHeight w:val="20"/>
        </w:trPr>
        <w:tc>
          <w:tcPr>
            <w:tcW w:w="1655" w:type="pct"/>
            <w:shd w:val="clear" w:color="auto" w:fill="auto"/>
            <w:noWrap/>
            <w:vAlign w:val="bottom"/>
          </w:tcPr>
          <w:p w14:paraId="787B82DB" w14:textId="77777777" w:rsidR="006F4FAD" w:rsidRPr="00D23517" w:rsidRDefault="006F4FAD" w:rsidP="00A1062B">
            <w:pPr>
              <w:spacing w:after="0" w:line="240" w:lineRule="auto"/>
              <w:contextualSpacing/>
              <w:jc w:val="both"/>
              <w:rPr>
                <w:rFonts w:ascii="Times New Roman" w:eastAsia="Times New Roman" w:hAnsi="Times New Roman" w:cs="Times New Roman"/>
                <w:i/>
                <w:sz w:val="20"/>
                <w:szCs w:val="20"/>
              </w:rPr>
            </w:pPr>
            <w:r w:rsidRPr="00D23517">
              <w:rPr>
                <w:rFonts w:ascii="Times New Roman" w:eastAsia="Times New Roman" w:hAnsi="Times New Roman" w:cs="Times New Roman"/>
                <w:i/>
                <w:color w:val="000000"/>
                <w:sz w:val="20"/>
                <w:szCs w:val="20"/>
              </w:rPr>
              <w:t>INSTOWN_DED</w:t>
            </w:r>
          </w:p>
        </w:tc>
        <w:tc>
          <w:tcPr>
            <w:tcW w:w="1674" w:type="pct"/>
            <w:tcBorders>
              <w:top w:val="nil"/>
              <w:left w:val="nil"/>
              <w:bottom w:val="nil"/>
              <w:right w:val="nil"/>
            </w:tcBorders>
            <w:shd w:val="clear" w:color="auto" w:fill="auto"/>
            <w:noWrap/>
            <w:vAlign w:val="bottom"/>
          </w:tcPr>
          <w:p w14:paraId="35581640"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-0.040</w:t>
            </w:r>
          </w:p>
        </w:tc>
        <w:tc>
          <w:tcPr>
            <w:tcW w:w="1671" w:type="pct"/>
            <w:tcBorders>
              <w:top w:val="nil"/>
              <w:left w:val="nil"/>
              <w:bottom w:val="nil"/>
              <w:right w:val="nil"/>
            </w:tcBorders>
            <w:shd w:val="clear" w:color="auto" w:fill="auto"/>
            <w:noWrap/>
            <w:vAlign w:val="bottom"/>
          </w:tcPr>
          <w:p w14:paraId="0F5A777C"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-0.038</w:t>
            </w:r>
          </w:p>
        </w:tc>
      </w:tr>
      <w:tr w:rsidR="006F4FAD" w:rsidRPr="00D23517" w14:paraId="0308F6D3" w14:textId="77777777" w:rsidTr="00102195">
        <w:trPr>
          <w:trHeight w:val="20"/>
        </w:trPr>
        <w:tc>
          <w:tcPr>
            <w:tcW w:w="1655" w:type="pct"/>
            <w:shd w:val="clear" w:color="auto" w:fill="auto"/>
            <w:noWrap/>
            <w:vAlign w:val="bottom"/>
          </w:tcPr>
          <w:p w14:paraId="3BD114B0" w14:textId="77777777" w:rsidR="006F4FAD" w:rsidRPr="00D23517" w:rsidRDefault="006F4FAD" w:rsidP="00A1062B">
            <w:pPr>
              <w:spacing w:after="0" w:line="240" w:lineRule="auto"/>
              <w:contextualSpacing/>
              <w:jc w:val="both"/>
              <w:rPr>
                <w:rFonts w:ascii="Times New Roman" w:eastAsia="Times New Roman" w:hAnsi="Times New Roman" w:cs="Times New Roman"/>
                <w:i/>
                <w:sz w:val="20"/>
                <w:szCs w:val="20"/>
              </w:rPr>
            </w:pPr>
          </w:p>
        </w:tc>
        <w:tc>
          <w:tcPr>
            <w:tcW w:w="1674" w:type="pct"/>
            <w:tcBorders>
              <w:top w:val="nil"/>
              <w:left w:val="nil"/>
              <w:bottom w:val="nil"/>
              <w:right w:val="nil"/>
            </w:tcBorders>
            <w:shd w:val="clear" w:color="auto" w:fill="auto"/>
            <w:noWrap/>
            <w:vAlign w:val="bottom"/>
          </w:tcPr>
          <w:p w14:paraId="5F1375C2"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(-9.038***)</w:t>
            </w:r>
          </w:p>
        </w:tc>
        <w:tc>
          <w:tcPr>
            <w:tcW w:w="1671" w:type="pct"/>
            <w:tcBorders>
              <w:top w:val="nil"/>
              <w:left w:val="nil"/>
              <w:bottom w:val="nil"/>
              <w:right w:val="nil"/>
            </w:tcBorders>
            <w:shd w:val="clear" w:color="auto" w:fill="auto"/>
            <w:noWrap/>
            <w:vAlign w:val="bottom"/>
          </w:tcPr>
          <w:p w14:paraId="08997ACE"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(-8.723***)</w:t>
            </w:r>
          </w:p>
        </w:tc>
      </w:tr>
      <w:tr w:rsidR="006F4FAD" w:rsidRPr="00D23517" w14:paraId="4914CC79" w14:textId="77777777" w:rsidTr="00102195">
        <w:trPr>
          <w:trHeight w:val="20"/>
        </w:trPr>
        <w:tc>
          <w:tcPr>
            <w:tcW w:w="1655" w:type="pct"/>
            <w:shd w:val="clear" w:color="auto" w:fill="auto"/>
            <w:noWrap/>
            <w:vAlign w:val="bottom"/>
          </w:tcPr>
          <w:p w14:paraId="09F1A2CB" w14:textId="77777777" w:rsidR="006F4FAD" w:rsidRPr="00D23517" w:rsidRDefault="006F4FAD"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i/>
                <w:sz w:val="20"/>
                <w:szCs w:val="20"/>
              </w:rPr>
              <w:t>SKILL</w:t>
            </w:r>
          </w:p>
        </w:tc>
        <w:tc>
          <w:tcPr>
            <w:tcW w:w="1674" w:type="pct"/>
            <w:tcBorders>
              <w:top w:val="nil"/>
              <w:left w:val="nil"/>
              <w:bottom w:val="nil"/>
              <w:right w:val="nil"/>
            </w:tcBorders>
            <w:shd w:val="clear" w:color="auto" w:fill="auto"/>
            <w:noWrap/>
            <w:vAlign w:val="bottom"/>
          </w:tcPr>
          <w:p w14:paraId="15FF0AAF"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-0.012</w:t>
            </w:r>
          </w:p>
        </w:tc>
        <w:tc>
          <w:tcPr>
            <w:tcW w:w="1671" w:type="pct"/>
            <w:tcBorders>
              <w:top w:val="nil"/>
              <w:left w:val="nil"/>
              <w:bottom w:val="nil"/>
              <w:right w:val="nil"/>
            </w:tcBorders>
            <w:shd w:val="clear" w:color="auto" w:fill="auto"/>
            <w:noWrap/>
            <w:vAlign w:val="bottom"/>
          </w:tcPr>
          <w:p w14:paraId="7449AA3D"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-0.009</w:t>
            </w:r>
          </w:p>
        </w:tc>
      </w:tr>
      <w:tr w:rsidR="006F4FAD" w:rsidRPr="00D23517" w14:paraId="34C749BE" w14:textId="77777777" w:rsidTr="00102195">
        <w:trPr>
          <w:trHeight w:val="20"/>
        </w:trPr>
        <w:tc>
          <w:tcPr>
            <w:tcW w:w="1655" w:type="pct"/>
            <w:shd w:val="clear" w:color="auto" w:fill="auto"/>
            <w:noWrap/>
            <w:vAlign w:val="bottom"/>
            <w:hideMark/>
          </w:tcPr>
          <w:p w14:paraId="3DF52C2D" w14:textId="77777777" w:rsidR="006F4FAD" w:rsidRPr="00D23517" w:rsidRDefault="006F4FAD" w:rsidP="00A1062B">
            <w:pPr>
              <w:spacing w:after="0" w:line="240" w:lineRule="auto"/>
              <w:contextualSpacing/>
              <w:jc w:val="both"/>
              <w:rPr>
                <w:rFonts w:ascii="Times New Roman" w:eastAsia="Times New Roman" w:hAnsi="Times New Roman" w:cs="Times New Roman"/>
                <w:sz w:val="20"/>
                <w:szCs w:val="20"/>
              </w:rPr>
            </w:pPr>
          </w:p>
        </w:tc>
        <w:tc>
          <w:tcPr>
            <w:tcW w:w="1674" w:type="pct"/>
            <w:tcBorders>
              <w:top w:val="nil"/>
              <w:left w:val="nil"/>
              <w:bottom w:val="nil"/>
              <w:right w:val="nil"/>
            </w:tcBorders>
            <w:shd w:val="clear" w:color="auto" w:fill="auto"/>
            <w:noWrap/>
            <w:vAlign w:val="bottom"/>
          </w:tcPr>
          <w:p w14:paraId="01AC9B9C"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(-3.395***)</w:t>
            </w:r>
          </w:p>
        </w:tc>
        <w:tc>
          <w:tcPr>
            <w:tcW w:w="1671" w:type="pct"/>
            <w:tcBorders>
              <w:top w:val="nil"/>
              <w:left w:val="nil"/>
              <w:bottom w:val="nil"/>
              <w:right w:val="nil"/>
            </w:tcBorders>
            <w:shd w:val="clear" w:color="auto" w:fill="auto"/>
            <w:noWrap/>
            <w:vAlign w:val="bottom"/>
          </w:tcPr>
          <w:p w14:paraId="55DA5A4E"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(-2.815***)</w:t>
            </w:r>
          </w:p>
        </w:tc>
      </w:tr>
      <w:tr w:rsidR="006F4FAD" w:rsidRPr="00D23517" w14:paraId="588EFE79" w14:textId="77777777" w:rsidTr="00102195">
        <w:trPr>
          <w:trHeight w:val="20"/>
        </w:trPr>
        <w:tc>
          <w:tcPr>
            <w:tcW w:w="1655" w:type="pct"/>
            <w:shd w:val="clear" w:color="auto" w:fill="auto"/>
            <w:noWrap/>
            <w:vAlign w:val="bottom"/>
          </w:tcPr>
          <w:p w14:paraId="5C64BB9D" w14:textId="77777777" w:rsidR="006F4FAD" w:rsidRPr="00D23517" w:rsidRDefault="006F4FAD" w:rsidP="00A1062B">
            <w:pPr>
              <w:spacing w:after="0" w:line="240" w:lineRule="auto"/>
              <w:contextualSpacing/>
              <w:jc w:val="both"/>
              <w:rPr>
                <w:rFonts w:ascii="Times New Roman" w:eastAsia="Times New Roman" w:hAnsi="Times New Roman" w:cs="Times New Roman"/>
                <w:i/>
                <w:sz w:val="20"/>
                <w:szCs w:val="20"/>
              </w:rPr>
            </w:pPr>
            <w:r w:rsidRPr="00D23517">
              <w:rPr>
                <w:rFonts w:ascii="Times New Roman" w:eastAsia="Times New Roman" w:hAnsi="Times New Roman" w:cs="Times New Roman"/>
                <w:i/>
                <w:sz w:val="20"/>
                <w:szCs w:val="20"/>
              </w:rPr>
              <w:t>MKTCON</w:t>
            </w:r>
          </w:p>
        </w:tc>
        <w:tc>
          <w:tcPr>
            <w:tcW w:w="1674" w:type="pct"/>
            <w:tcBorders>
              <w:top w:val="nil"/>
              <w:left w:val="nil"/>
              <w:bottom w:val="nil"/>
              <w:right w:val="nil"/>
            </w:tcBorders>
            <w:shd w:val="clear" w:color="auto" w:fill="auto"/>
            <w:noWrap/>
            <w:vAlign w:val="bottom"/>
          </w:tcPr>
          <w:p w14:paraId="1F7E5BB7"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-0.006</w:t>
            </w:r>
          </w:p>
        </w:tc>
        <w:tc>
          <w:tcPr>
            <w:tcW w:w="1671" w:type="pct"/>
            <w:tcBorders>
              <w:top w:val="nil"/>
              <w:left w:val="nil"/>
              <w:bottom w:val="nil"/>
              <w:right w:val="nil"/>
            </w:tcBorders>
            <w:shd w:val="clear" w:color="auto" w:fill="auto"/>
            <w:noWrap/>
            <w:vAlign w:val="bottom"/>
          </w:tcPr>
          <w:p w14:paraId="4D91419D"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-0.003</w:t>
            </w:r>
          </w:p>
        </w:tc>
      </w:tr>
      <w:tr w:rsidR="006F4FAD" w:rsidRPr="00D23517" w14:paraId="563D7906" w14:textId="77777777" w:rsidTr="00102195">
        <w:trPr>
          <w:trHeight w:val="20"/>
        </w:trPr>
        <w:tc>
          <w:tcPr>
            <w:tcW w:w="1655" w:type="pct"/>
            <w:shd w:val="clear" w:color="auto" w:fill="auto"/>
            <w:noWrap/>
            <w:vAlign w:val="bottom"/>
          </w:tcPr>
          <w:p w14:paraId="00C54B04" w14:textId="77777777" w:rsidR="006F4FAD" w:rsidRPr="00D23517" w:rsidRDefault="006F4FAD" w:rsidP="00A1062B">
            <w:pPr>
              <w:spacing w:after="0" w:line="240" w:lineRule="auto"/>
              <w:contextualSpacing/>
              <w:jc w:val="both"/>
              <w:rPr>
                <w:rFonts w:ascii="Times New Roman" w:eastAsia="Times New Roman" w:hAnsi="Times New Roman" w:cs="Times New Roman"/>
                <w:sz w:val="20"/>
                <w:szCs w:val="20"/>
              </w:rPr>
            </w:pPr>
          </w:p>
        </w:tc>
        <w:tc>
          <w:tcPr>
            <w:tcW w:w="1674" w:type="pct"/>
            <w:tcBorders>
              <w:top w:val="nil"/>
              <w:left w:val="nil"/>
              <w:bottom w:val="nil"/>
              <w:right w:val="nil"/>
            </w:tcBorders>
            <w:shd w:val="clear" w:color="auto" w:fill="auto"/>
            <w:noWrap/>
            <w:vAlign w:val="bottom"/>
          </w:tcPr>
          <w:p w14:paraId="2BDB90E0"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(-0.717)</w:t>
            </w:r>
          </w:p>
        </w:tc>
        <w:tc>
          <w:tcPr>
            <w:tcW w:w="1671" w:type="pct"/>
            <w:tcBorders>
              <w:top w:val="nil"/>
              <w:left w:val="nil"/>
              <w:bottom w:val="nil"/>
              <w:right w:val="nil"/>
            </w:tcBorders>
            <w:shd w:val="clear" w:color="auto" w:fill="auto"/>
            <w:noWrap/>
            <w:vAlign w:val="bottom"/>
          </w:tcPr>
          <w:p w14:paraId="2151B29A"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(-0.324)</w:t>
            </w:r>
          </w:p>
        </w:tc>
      </w:tr>
      <w:tr w:rsidR="006F4FAD" w:rsidRPr="00D23517" w14:paraId="2E428AE1" w14:textId="77777777" w:rsidTr="00102195">
        <w:trPr>
          <w:trHeight w:val="20"/>
        </w:trPr>
        <w:tc>
          <w:tcPr>
            <w:tcW w:w="1655" w:type="pct"/>
            <w:shd w:val="clear" w:color="auto" w:fill="auto"/>
            <w:noWrap/>
            <w:vAlign w:val="bottom"/>
            <w:hideMark/>
          </w:tcPr>
          <w:p w14:paraId="0F58D0C8" w14:textId="77777777" w:rsidR="006F4FAD" w:rsidRPr="00D23517" w:rsidRDefault="006F4FAD"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Constant</w:t>
            </w:r>
          </w:p>
        </w:tc>
        <w:tc>
          <w:tcPr>
            <w:tcW w:w="1674" w:type="pct"/>
            <w:tcBorders>
              <w:top w:val="nil"/>
              <w:left w:val="nil"/>
              <w:bottom w:val="nil"/>
              <w:right w:val="nil"/>
            </w:tcBorders>
            <w:shd w:val="clear" w:color="auto" w:fill="auto"/>
            <w:noWrap/>
            <w:vAlign w:val="bottom"/>
          </w:tcPr>
          <w:p w14:paraId="5D4E5289" w14:textId="77777777" w:rsidR="006F4FAD" w:rsidRPr="00D23517" w:rsidRDefault="006F4FAD" w:rsidP="00A1062B">
            <w:pPr>
              <w:spacing w:line="240" w:lineRule="auto"/>
              <w:contextualSpacing/>
              <w:jc w:val="both"/>
              <w:rPr>
                <w:rFonts w:ascii="Times New Roman" w:hAnsi="Times New Roman" w:cs="Times New Roman"/>
                <w:sz w:val="20"/>
                <w:szCs w:val="20"/>
              </w:rPr>
            </w:pPr>
            <w:r w:rsidRPr="00D23517">
              <w:rPr>
                <w:rFonts w:ascii="Times New Roman" w:hAnsi="Times New Roman" w:cs="Times New Roman"/>
                <w:color w:val="000000"/>
                <w:sz w:val="20"/>
                <w:szCs w:val="20"/>
              </w:rPr>
              <w:t>0.049</w:t>
            </w:r>
          </w:p>
        </w:tc>
        <w:tc>
          <w:tcPr>
            <w:tcW w:w="1671" w:type="pct"/>
            <w:tcBorders>
              <w:top w:val="nil"/>
              <w:left w:val="nil"/>
              <w:bottom w:val="nil"/>
              <w:right w:val="nil"/>
            </w:tcBorders>
            <w:shd w:val="clear" w:color="auto" w:fill="auto"/>
            <w:noWrap/>
            <w:vAlign w:val="bottom"/>
          </w:tcPr>
          <w:p w14:paraId="20C12F5B" w14:textId="77777777" w:rsidR="006F4FAD" w:rsidRPr="00D23517" w:rsidRDefault="006F4FAD" w:rsidP="00A1062B">
            <w:pPr>
              <w:spacing w:line="240" w:lineRule="auto"/>
              <w:contextualSpacing/>
              <w:jc w:val="both"/>
              <w:rPr>
                <w:rFonts w:ascii="Times New Roman" w:hAnsi="Times New Roman" w:cs="Times New Roman"/>
                <w:sz w:val="20"/>
                <w:szCs w:val="20"/>
              </w:rPr>
            </w:pPr>
            <w:r w:rsidRPr="00D23517">
              <w:rPr>
                <w:rFonts w:ascii="Times New Roman" w:hAnsi="Times New Roman" w:cs="Times New Roman"/>
                <w:color w:val="000000"/>
                <w:sz w:val="20"/>
                <w:szCs w:val="20"/>
              </w:rPr>
              <w:t>0.259</w:t>
            </w:r>
          </w:p>
        </w:tc>
      </w:tr>
      <w:tr w:rsidR="006F4FAD" w:rsidRPr="00D23517" w14:paraId="7038F5BF" w14:textId="77777777" w:rsidTr="00102195">
        <w:trPr>
          <w:trHeight w:val="20"/>
        </w:trPr>
        <w:tc>
          <w:tcPr>
            <w:tcW w:w="1655" w:type="pct"/>
            <w:shd w:val="clear" w:color="auto" w:fill="auto"/>
            <w:noWrap/>
            <w:vAlign w:val="bottom"/>
            <w:hideMark/>
          </w:tcPr>
          <w:p w14:paraId="49D6A4E4" w14:textId="77777777" w:rsidR="006F4FAD" w:rsidRPr="00D23517" w:rsidRDefault="006F4FAD" w:rsidP="00A1062B">
            <w:pPr>
              <w:spacing w:after="0" w:line="240" w:lineRule="auto"/>
              <w:contextualSpacing/>
              <w:jc w:val="both"/>
              <w:rPr>
                <w:rFonts w:ascii="Times New Roman" w:eastAsia="Times New Roman" w:hAnsi="Times New Roman" w:cs="Times New Roman"/>
                <w:sz w:val="20"/>
                <w:szCs w:val="20"/>
              </w:rPr>
            </w:pPr>
          </w:p>
        </w:tc>
        <w:tc>
          <w:tcPr>
            <w:tcW w:w="1674" w:type="pct"/>
            <w:tcBorders>
              <w:top w:val="nil"/>
              <w:left w:val="nil"/>
              <w:bottom w:val="nil"/>
              <w:right w:val="nil"/>
            </w:tcBorders>
            <w:shd w:val="clear" w:color="auto" w:fill="auto"/>
            <w:noWrap/>
            <w:vAlign w:val="bottom"/>
          </w:tcPr>
          <w:p w14:paraId="4A809FC9"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(1.413)</w:t>
            </w:r>
          </w:p>
        </w:tc>
        <w:tc>
          <w:tcPr>
            <w:tcW w:w="1671" w:type="pct"/>
            <w:tcBorders>
              <w:top w:val="nil"/>
              <w:left w:val="nil"/>
              <w:bottom w:val="nil"/>
              <w:right w:val="nil"/>
            </w:tcBorders>
            <w:shd w:val="clear" w:color="auto" w:fill="auto"/>
            <w:noWrap/>
            <w:vAlign w:val="bottom"/>
          </w:tcPr>
          <w:p w14:paraId="437EBD82"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(7.841***)</w:t>
            </w:r>
          </w:p>
        </w:tc>
      </w:tr>
      <w:tr w:rsidR="006F4FAD" w:rsidRPr="00D23517" w14:paraId="1E3D9983" w14:textId="77777777" w:rsidTr="00102195">
        <w:trPr>
          <w:trHeight w:val="20"/>
        </w:trPr>
        <w:tc>
          <w:tcPr>
            <w:tcW w:w="1655" w:type="pct"/>
            <w:shd w:val="clear" w:color="auto" w:fill="auto"/>
            <w:noWrap/>
            <w:vAlign w:val="bottom"/>
          </w:tcPr>
          <w:p w14:paraId="54389234" w14:textId="77777777" w:rsidR="006F4FAD" w:rsidRPr="00D23517" w:rsidRDefault="006F4FAD" w:rsidP="00A1062B">
            <w:pPr>
              <w:spacing w:after="0" w:line="240" w:lineRule="auto"/>
              <w:contextualSpacing/>
              <w:jc w:val="both"/>
              <w:rPr>
                <w:rFonts w:ascii="Times New Roman" w:hAnsi="Times New Roman" w:cs="Times New Roman"/>
                <w:color w:val="000000"/>
                <w:sz w:val="20"/>
                <w:szCs w:val="20"/>
              </w:rPr>
            </w:pPr>
          </w:p>
        </w:tc>
        <w:tc>
          <w:tcPr>
            <w:tcW w:w="1674" w:type="pct"/>
            <w:tcBorders>
              <w:top w:val="nil"/>
              <w:left w:val="nil"/>
              <w:bottom w:val="nil"/>
              <w:right w:val="nil"/>
            </w:tcBorders>
            <w:shd w:val="clear" w:color="auto" w:fill="auto"/>
            <w:noWrap/>
            <w:vAlign w:val="bottom"/>
          </w:tcPr>
          <w:p w14:paraId="194DAB6F"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p>
        </w:tc>
        <w:tc>
          <w:tcPr>
            <w:tcW w:w="1671" w:type="pct"/>
            <w:tcBorders>
              <w:top w:val="nil"/>
              <w:left w:val="nil"/>
              <w:bottom w:val="nil"/>
              <w:right w:val="nil"/>
            </w:tcBorders>
            <w:shd w:val="clear" w:color="auto" w:fill="auto"/>
            <w:noWrap/>
            <w:vAlign w:val="bottom"/>
          </w:tcPr>
          <w:p w14:paraId="53B6934B"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p>
        </w:tc>
      </w:tr>
      <w:tr w:rsidR="006F4FAD" w:rsidRPr="00D23517" w14:paraId="65F701B6" w14:textId="77777777" w:rsidTr="00102195">
        <w:trPr>
          <w:trHeight w:val="20"/>
        </w:trPr>
        <w:tc>
          <w:tcPr>
            <w:tcW w:w="1655" w:type="pct"/>
            <w:shd w:val="clear" w:color="auto" w:fill="auto"/>
            <w:noWrap/>
            <w:vAlign w:val="bottom"/>
          </w:tcPr>
          <w:p w14:paraId="3C36F455" w14:textId="77777777" w:rsidR="006F4FAD" w:rsidRPr="00D23517" w:rsidRDefault="006F4FAD" w:rsidP="00A1062B">
            <w:pPr>
              <w:spacing w:after="0"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Adj. R-squared</w:t>
            </w:r>
          </w:p>
        </w:tc>
        <w:tc>
          <w:tcPr>
            <w:tcW w:w="1674" w:type="pct"/>
            <w:tcBorders>
              <w:top w:val="nil"/>
              <w:left w:val="nil"/>
              <w:bottom w:val="nil"/>
              <w:right w:val="nil"/>
            </w:tcBorders>
            <w:shd w:val="clear" w:color="auto" w:fill="auto"/>
            <w:noWrap/>
            <w:vAlign w:val="bottom"/>
          </w:tcPr>
          <w:p w14:paraId="23482E22"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0.492</w:t>
            </w:r>
          </w:p>
        </w:tc>
        <w:tc>
          <w:tcPr>
            <w:tcW w:w="1671" w:type="pct"/>
            <w:tcBorders>
              <w:top w:val="nil"/>
              <w:left w:val="nil"/>
              <w:bottom w:val="nil"/>
              <w:right w:val="nil"/>
            </w:tcBorders>
            <w:shd w:val="clear" w:color="auto" w:fill="auto"/>
            <w:noWrap/>
            <w:vAlign w:val="bottom"/>
          </w:tcPr>
          <w:p w14:paraId="231E8C3F"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0.521</w:t>
            </w:r>
          </w:p>
        </w:tc>
      </w:tr>
      <w:tr w:rsidR="006F4FAD" w:rsidRPr="00D23517" w14:paraId="29902A44" w14:textId="77777777" w:rsidTr="00102195">
        <w:trPr>
          <w:trHeight w:val="20"/>
        </w:trPr>
        <w:tc>
          <w:tcPr>
            <w:tcW w:w="1655" w:type="pct"/>
            <w:shd w:val="clear" w:color="auto" w:fill="auto"/>
            <w:noWrap/>
            <w:vAlign w:val="bottom"/>
            <w:hideMark/>
          </w:tcPr>
          <w:p w14:paraId="50097F21" w14:textId="77777777" w:rsidR="006F4FAD" w:rsidRPr="00D23517" w:rsidRDefault="006F4FAD"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Year fixed effect</w:t>
            </w:r>
          </w:p>
        </w:tc>
        <w:tc>
          <w:tcPr>
            <w:tcW w:w="1674" w:type="pct"/>
            <w:tcBorders>
              <w:top w:val="nil"/>
              <w:left w:val="nil"/>
              <w:bottom w:val="nil"/>
              <w:right w:val="nil"/>
            </w:tcBorders>
            <w:shd w:val="clear" w:color="auto" w:fill="auto"/>
            <w:noWrap/>
            <w:vAlign w:val="bottom"/>
          </w:tcPr>
          <w:p w14:paraId="175EF0EE"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c>
          <w:tcPr>
            <w:tcW w:w="1671" w:type="pct"/>
            <w:tcBorders>
              <w:top w:val="nil"/>
              <w:left w:val="nil"/>
              <w:bottom w:val="nil"/>
              <w:right w:val="nil"/>
            </w:tcBorders>
            <w:shd w:val="clear" w:color="auto" w:fill="auto"/>
            <w:noWrap/>
            <w:vAlign w:val="bottom"/>
          </w:tcPr>
          <w:p w14:paraId="304D8911"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6F4FAD" w:rsidRPr="00D23517" w14:paraId="108D9F47" w14:textId="77777777" w:rsidTr="00102195">
        <w:trPr>
          <w:trHeight w:val="20"/>
        </w:trPr>
        <w:tc>
          <w:tcPr>
            <w:tcW w:w="1655" w:type="pct"/>
            <w:shd w:val="clear" w:color="auto" w:fill="auto"/>
            <w:noWrap/>
            <w:vAlign w:val="bottom"/>
            <w:hideMark/>
          </w:tcPr>
          <w:p w14:paraId="1AB24B6C" w14:textId="77777777" w:rsidR="006F4FAD" w:rsidRPr="00D23517" w:rsidRDefault="006F4FAD"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Year fixed effect</w:t>
            </w:r>
          </w:p>
        </w:tc>
        <w:tc>
          <w:tcPr>
            <w:tcW w:w="1674" w:type="pct"/>
            <w:tcBorders>
              <w:top w:val="nil"/>
              <w:left w:val="nil"/>
              <w:bottom w:val="nil"/>
              <w:right w:val="nil"/>
            </w:tcBorders>
            <w:shd w:val="clear" w:color="auto" w:fill="auto"/>
            <w:noWrap/>
            <w:vAlign w:val="bottom"/>
          </w:tcPr>
          <w:p w14:paraId="4504241C"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c>
          <w:tcPr>
            <w:tcW w:w="1671" w:type="pct"/>
            <w:tcBorders>
              <w:top w:val="nil"/>
              <w:left w:val="nil"/>
              <w:bottom w:val="nil"/>
              <w:right w:val="nil"/>
            </w:tcBorders>
            <w:shd w:val="clear" w:color="auto" w:fill="auto"/>
            <w:noWrap/>
            <w:vAlign w:val="bottom"/>
          </w:tcPr>
          <w:p w14:paraId="4AEA10A6"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6F4FAD" w:rsidRPr="00D23517" w14:paraId="32C437F6" w14:textId="77777777" w:rsidTr="00102195">
        <w:trPr>
          <w:trHeight w:val="20"/>
        </w:trPr>
        <w:tc>
          <w:tcPr>
            <w:tcW w:w="1655" w:type="pct"/>
            <w:shd w:val="clear" w:color="auto" w:fill="auto"/>
            <w:noWrap/>
            <w:vAlign w:val="bottom"/>
            <w:hideMark/>
          </w:tcPr>
          <w:p w14:paraId="24241AA5" w14:textId="77777777" w:rsidR="006F4FAD" w:rsidRPr="00D23517" w:rsidRDefault="006F4FAD"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Clustered std err by firm</w:t>
            </w:r>
          </w:p>
        </w:tc>
        <w:tc>
          <w:tcPr>
            <w:tcW w:w="1674" w:type="pct"/>
            <w:tcBorders>
              <w:top w:val="nil"/>
              <w:left w:val="nil"/>
              <w:right w:val="nil"/>
            </w:tcBorders>
            <w:shd w:val="clear" w:color="auto" w:fill="auto"/>
            <w:noWrap/>
            <w:vAlign w:val="bottom"/>
          </w:tcPr>
          <w:p w14:paraId="181EFA18"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c>
          <w:tcPr>
            <w:tcW w:w="1671" w:type="pct"/>
            <w:tcBorders>
              <w:top w:val="nil"/>
              <w:left w:val="nil"/>
              <w:right w:val="nil"/>
            </w:tcBorders>
            <w:shd w:val="clear" w:color="auto" w:fill="auto"/>
            <w:noWrap/>
            <w:vAlign w:val="bottom"/>
          </w:tcPr>
          <w:p w14:paraId="776D2F80"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6F4FAD" w:rsidRPr="00D23517" w14:paraId="1F1C50E3" w14:textId="77777777" w:rsidTr="00102195">
        <w:trPr>
          <w:trHeight w:val="20"/>
        </w:trPr>
        <w:tc>
          <w:tcPr>
            <w:tcW w:w="1655" w:type="pct"/>
            <w:shd w:val="clear" w:color="auto" w:fill="auto"/>
            <w:noWrap/>
            <w:vAlign w:val="bottom"/>
          </w:tcPr>
          <w:p w14:paraId="2CA3B8F4" w14:textId="77777777" w:rsidR="006F4FAD" w:rsidRPr="00D23517" w:rsidRDefault="006F4FAD" w:rsidP="00A1062B">
            <w:pPr>
              <w:spacing w:after="0"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Number of firms</w:t>
            </w:r>
          </w:p>
        </w:tc>
        <w:tc>
          <w:tcPr>
            <w:tcW w:w="1674" w:type="pct"/>
            <w:tcBorders>
              <w:top w:val="nil"/>
              <w:left w:val="nil"/>
              <w:right w:val="nil"/>
            </w:tcBorders>
            <w:shd w:val="clear" w:color="auto" w:fill="auto"/>
            <w:noWrap/>
            <w:vAlign w:val="bottom"/>
          </w:tcPr>
          <w:p w14:paraId="1FFB214A"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9,659</w:t>
            </w:r>
          </w:p>
        </w:tc>
        <w:tc>
          <w:tcPr>
            <w:tcW w:w="1671" w:type="pct"/>
            <w:tcBorders>
              <w:top w:val="nil"/>
              <w:left w:val="nil"/>
              <w:right w:val="nil"/>
            </w:tcBorders>
            <w:shd w:val="clear" w:color="auto" w:fill="auto"/>
            <w:noWrap/>
            <w:vAlign w:val="bottom"/>
          </w:tcPr>
          <w:p w14:paraId="0038D3A7"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9,659</w:t>
            </w:r>
          </w:p>
        </w:tc>
      </w:tr>
      <w:tr w:rsidR="006F4FAD" w:rsidRPr="00D23517" w14:paraId="372E5CEA" w14:textId="77777777" w:rsidTr="00102195">
        <w:trPr>
          <w:trHeight w:val="20"/>
        </w:trPr>
        <w:tc>
          <w:tcPr>
            <w:tcW w:w="1655" w:type="pct"/>
            <w:tcBorders>
              <w:bottom w:val="single" w:sz="4" w:space="0" w:color="auto"/>
            </w:tcBorders>
            <w:shd w:val="clear" w:color="auto" w:fill="auto"/>
            <w:noWrap/>
            <w:vAlign w:val="bottom"/>
          </w:tcPr>
          <w:p w14:paraId="1C57D62E" w14:textId="77777777" w:rsidR="006F4FAD" w:rsidRPr="00D23517" w:rsidRDefault="006F4FAD" w:rsidP="00A1062B">
            <w:pPr>
              <w:spacing w:after="0"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Observations</w:t>
            </w:r>
          </w:p>
        </w:tc>
        <w:tc>
          <w:tcPr>
            <w:tcW w:w="1674" w:type="pct"/>
            <w:tcBorders>
              <w:top w:val="nil"/>
              <w:left w:val="nil"/>
              <w:bottom w:val="single" w:sz="4" w:space="0" w:color="auto"/>
              <w:right w:val="nil"/>
            </w:tcBorders>
            <w:shd w:val="clear" w:color="auto" w:fill="auto"/>
            <w:noWrap/>
            <w:vAlign w:val="bottom"/>
          </w:tcPr>
          <w:p w14:paraId="70C07009"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71,862</w:t>
            </w:r>
          </w:p>
        </w:tc>
        <w:tc>
          <w:tcPr>
            <w:tcW w:w="1671" w:type="pct"/>
            <w:tcBorders>
              <w:top w:val="nil"/>
              <w:left w:val="nil"/>
              <w:bottom w:val="single" w:sz="4" w:space="0" w:color="auto"/>
              <w:right w:val="nil"/>
            </w:tcBorders>
            <w:shd w:val="clear" w:color="auto" w:fill="auto"/>
            <w:noWrap/>
            <w:vAlign w:val="bottom"/>
          </w:tcPr>
          <w:p w14:paraId="2196F47E"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71,862</w:t>
            </w:r>
          </w:p>
        </w:tc>
      </w:tr>
    </w:tbl>
    <w:bookmarkEnd w:id="8"/>
    <w:p w14:paraId="08AF605E" w14:textId="5B556C14" w:rsidR="006F4FAD" w:rsidRPr="005F4D86" w:rsidRDefault="00546E9F" w:rsidP="00A1062B">
      <w:pPr>
        <w:jc w:val="both"/>
        <w:rPr>
          <w:sz w:val="20"/>
          <w:szCs w:val="20"/>
        </w:rPr>
      </w:pPr>
      <w:r w:rsidRPr="005F4D86">
        <w:rPr>
          <w:rFonts w:ascii="Times New Roman" w:hAnsi="Times New Roman" w:cs="Times New Roman"/>
          <w:sz w:val="20"/>
          <w:szCs w:val="20"/>
        </w:rPr>
        <w:t>Note: This table reports the results from the panel data firm-fixed effect regressions of the two measures of stock price volatility.</w:t>
      </w:r>
      <w:r w:rsidRPr="005F4D86">
        <w:rPr>
          <w:rFonts w:ascii="Times New Roman" w:hAnsi="Times New Roman" w:cs="Times New Roman"/>
          <w:i/>
          <w:sz w:val="20"/>
          <w:szCs w:val="20"/>
        </w:rPr>
        <w:t xml:space="preserve"> </w:t>
      </w:r>
      <w:r w:rsidRPr="005F4D86">
        <w:rPr>
          <w:rFonts w:ascii="Times New Roman" w:hAnsi="Times New Roman" w:cs="Times New Roman"/>
          <w:sz w:val="20"/>
          <w:szCs w:val="20"/>
        </w:rPr>
        <w:t xml:space="preserve">The dependent variables are </w:t>
      </w:r>
      <w:r w:rsidRPr="005F4D86">
        <w:rPr>
          <w:rFonts w:ascii="Times New Roman" w:hAnsi="Times New Roman" w:cs="Times New Roman"/>
          <w:i/>
          <w:sz w:val="20"/>
          <w:szCs w:val="20"/>
        </w:rPr>
        <w:t>TOTRISK</w:t>
      </w:r>
      <w:r w:rsidRPr="005F4D86">
        <w:rPr>
          <w:rFonts w:ascii="Times New Roman" w:hAnsi="Times New Roman" w:cs="Times New Roman"/>
          <w:sz w:val="20"/>
          <w:szCs w:val="20"/>
        </w:rPr>
        <w:t xml:space="preserve"> (in Panel A) and </w:t>
      </w:r>
      <w:r w:rsidRPr="005F4D86">
        <w:rPr>
          <w:rFonts w:ascii="Times New Roman" w:hAnsi="Times New Roman" w:cs="Times New Roman"/>
          <w:i/>
          <w:sz w:val="20"/>
          <w:szCs w:val="20"/>
        </w:rPr>
        <w:t>IDIORISK</w:t>
      </w:r>
      <w:r w:rsidRPr="005F4D86">
        <w:rPr>
          <w:rFonts w:ascii="Times New Roman" w:hAnsi="Times New Roman" w:cs="Times New Roman"/>
          <w:sz w:val="20"/>
          <w:szCs w:val="20"/>
        </w:rPr>
        <w:t xml:space="preserve"> (in Panel B). </w:t>
      </w:r>
      <w:r w:rsidR="00253677">
        <w:rPr>
          <w:rFonts w:ascii="Times New Roman" w:hAnsi="Times New Roman" w:cs="Times New Roman"/>
          <w:sz w:val="20"/>
          <w:szCs w:val="20"/>
        </w:rPr>
        <w:t>T</w:t>
      </w:r>
      <w:r w:rsidR="00253677" w:rsidRPr="005F4D86">
        <w:rPr>
          <w:rFonts w:ascii="Times New Roman" w:hAnsi="Times New Roman" w:cs="Times New Roman"/>
          <w:sz w:val="20"/>
          <w:szCs w:val="20"/>
        </w:rPr>
        <w:t>otal risk</w:t>
      </w:r>
      <w:r w:rsidR="00253677" w:rsidRPr="005F4D86">
        <w:rPr>
          <w:rFonts w:ascii="Times New Roman" w:hAnsi="Times New Roman" w:cs="Times New Roman"/>
          <w:i/>
          <w:sz w:val="20"/>
          <w:szCs w:val="20"/>
        </w:rPr>
        <w:t xml:space="preserve"> </w:t>
      </w:r>
      <w:r w:rsidR="00253677">
        <w:rPr>
          <w:rFonts w:ascii="Times New Roman" w:hAnsi="Times New Roman" w:cs="Times New Roman"/>
          <w:i/>
          <w:sz w:val="20"/>
          <w:szCs w:val="20"/>
        </w:rPr>
        <w:t>(</w:t>
      </w:r>
      <w:r w:rsidR="00253677" w:rsidRPr="005F4D86">
        <w:rPr>
          <w:rFonts w:ascii="Times New Roman" w:hAnsi="Times New Roman" w:cs="Times New Roman"/>
          <w:i/>
          <w:sz w:val="20"/>
          <w:szCs w:val="20"/>
        </w:rPr>
        <w:t>TOTRISK</w:t>
      </w:r>
      <w:r w:rsidR="00253677">
        <w:rPr>
          <w:rFonts w:ascii="Times New Roman" w:hAnsi="Times New Roman" w:cs="Times New Roman"/>
          <w:i/>
          <w:sz w:val="20"/>
          <w:szCs w:val="20"/>
        </w:rPr>
        <w:t>)</w:t>
      </w:r>
      <w:r w:rsidRPr="005F4D86">
        <w:rPr>
          <w:rFonts w:ascii="Times New Roman" w:hAnsi="Times New Roman" w:cs="Times New Roman"/>
          <w:sz w:val="20"/>
          <w:szCs w:val="20"/>
        </w:rPr>
        <w:t xml:space="preserve"> is the annualized standard deviation of the daily stock returns in the year.</w:t>
      </w:r>
      <w:r w:rsidRPr="005F4D86">
        <w:rPr>
          <w:rFonts w:ascii="Times New Roman" w:hAnsi="Times New Roman" w:cs="Times New Roman"/>
          <w:i/>
          <w:sz w:val="20"/>
          <w:szCs w:val="20"/>
        </w:rPr>
        <w:t xml:space="preserve"> </w:t>
      </w:r>
      <w:r w:rsidR="00FC6F5C" w:rsidRPr="00D05DBE">
        <w:rPr>
          <w:rFonts w:ascii="Times New Roman" w:hAnsi="Times New Roman" w:cs="Times New Roman"/>
          <w:sz w:val="20"/>
          <w:szCs w:val="20"/>
        </w:rPr>
        <w:t>Idiosyncratic</w:t>
      </w:r>
      <w:r w:rsidR="00FC6F5C" w:rsidRPr="005F4D86">
        <w:rPr>
          <w:rFonts w:ascii="Times New Roman" w:hAnsi="Times New Roman" w:cs="Times New Roman"/>
          <w:sz w:val="20"/>
          <w:szCs w:val="20"/>
        </w:rPr>
        <w:t xml:space="preserve"> risk</w:t>
      </w:r>
      <w:r w:rsidR="00FC6F5C">
        <w:rPr>
          <w:rFonts w:ascii="Times New Roman" w:hAnsi="Times New Roman" w:cs="Times New Roman"/>
          <w:sz w:val="20"/>
          <w:szCs w:val="20"/>
        </w:rPr>
        <w:t xml:space="preserve"> (</w:t>
      </w:r>
      <w:r w:rsidR="00FC6F5C" w:rsidRPr="005F4D86">
        <w:rPr>
          <w:rFonts w:ascii="Times New Roman" w:hAnsi="Times New Roman" w:cs="Times New Roman"/>
          <w:i/>
          <w:sz w:val="20"/>
          <w:szCs w:val="20"/>
        </w:rPr>
        <w:t>IDIORISK</w:t>
      </w:r>
      <w:r w:rsidR="00FC6F5C">
        <w:rPr>
          <w:rFonts w:ascii="Times New Roman" w:hAnsi="Times New Roman" w:cs="Times New Roman"/>
          <w:i/>
          <w:sz w:val="20"/>
          <w:szCs w:val="20"/>
        </w:rPr>
        <w:t>)</w:t>
      </w:r>
      <w:r w:rsidRPr="005F4D86">
        <w:rPr>
          <w:rFonts w:ascii="Times New Roman" w:hAnsi="Times New Roman" w:cs="Times New Roman"/>
          <w:sz w:val="20"/>
          <w:szCs w:val="20"/>
        </w:rPr>
        <w:t xml:space="preserve"> is the annualized standard deviation of the residuals from the </w:t>
      </w:r>
      <w:proofErr w:type="spellStart"/>
      <w:r w:rsidRPr="005F4D86">
        <w:rPr>
          <w:rFonts w:ascii="Times New Roman" w:hAnsi="Times New Roman" w:cs="Times New Roman"/>
          <w:sz w:val="20"/>
          <w:szCs w:val="20"/>
        </w:rPr>
        <w:t>Fama</w:t>
      </w:r>
      <w:proofErr w:type="spellEnd"/>
      <w:r w:rsidRPr="005F4D86">
        <w:rPr>
          <w:rFonts w:ascii="Times New Roman" w:hAnsi="Times New Roman" w:cs="Times New Roman"/>
          <w:sz w:val="20"/>
          <w:szCs w:val="20"/>
        </w:rPr>
        <w:t xml:space="preserve">-French 4-factor model using daily stock returns in the year. </w:t>
      </w:r>
      <w:r w:rsidRPr="005F4D86">
        <w:rPr>
          <w:rFonts w:ascii="Times New Roman" w:hAnsi="Times New Roman" w:cs="Times New Roman"/>
          <w:i/>
          <w:sz w:val="20"/>
          <w:szCs w:val="20"/>
        </w:rPr>
        <w:t>NONOPERINC</w:t>
      </w:r>
      <w:r w:rsidRPr="005F4D86">
        <w:rPr>
          <w:rFonts w:ascii="Times New Roman" w:hAnsi="Times New Roman" w:cs="Times New Roman"/>
          <w:sz w:val="20"/>
          <w:szCs w:val="20"/>
        </w:rPr>
        <w:t xml:space="preserve"> is the ratio of non-operating earnings to assets at the end of the fiscal year.</w:t>
      </w:r>
      <w:r w:rsidRPr="005F4D86">
        <w:rPr>
          <w:rFonts w:ascii="Times New Roman" w:hAnsi="Times New Roman" w:cs="Times New Roman"/>
          <w:i/>
          <w:sz w:val="20"/>
          <w:szCs w:val="20"/>
        </w:rPr>
        <w:t xml:space="preserve"> OPERINC</w:t>
      </w:r>
      <w:r w:rsidRPr="005F4D86">
        <w:rPr>
          <w:rFonts w:ascii="Times New Roman" w:hAnsi="Times New Roman" w:cs="Times New Roman"/>
          <w:sz w:val="20"/>
          <w:szCs w:val="20"/>
        </w:rPr>
        <w:t xml:space="preserve"> is the ratio of operating earnings to assets at the end of the fiscal year.</w:t>
      </w:r>
      <w:r w:rsidRPr="005F4D86">
        <w:rPr>
          <w:rFonts w:ascii="Times New Roman" w:eastAsia="Times New Roman" w:hAnsi="Times New Roman" w:cs="Times New Roman"/>
          <w:i/>
          <w:iCs/>
          <w:color w:val="000000"/>
          <w:sz w:val="20"/>
          <w:szCs w:val="20"/>
        </w:rPr>
        <w:t xml:space="preserve"> LNAT </w:t>
      </w:r>
      <w:r w:rsidRPr="005F4D86">
        <w:rPr>
          <w:rFonts w:ascii="Times New Roman" w:eastAsia="Times New Roman" w:hAnsi="Times New Roman" w:cs="Times New Roman"/>
          <w:iCs/>
          <w:color w:val="000000"/>
          <w:sz w:val="20"/>
          <w:szCs w:val="20"/>
        </w:rPr>
        <w:t>is</w:t>
      </w:r>
      <w:r w:rsidRPr="005F4D86">
        <w:rPr>
          <w:rFonts w:ascii="Times New Roman" w:eastAsia="Times New Roman" w:hAnsi="Times New Roman" w:cs="Times New Roman"/>
          <w:i/>
          <w:iCs/>
          <w:color w:val="000000"/>
          <w:sz w:val="20"/>
          <w:szCs w:val="20"/>
        </w:rPr>
        <w:t xml:space="preserve"> </w:t>
      </w:r>
      <w:r w:rsidRPr="005F4D86">
        <w:rPr>
          <w:rFonts w:ascii="Times New Roman" w:hAnsi="Times New Roman" w:cs="Times New Roman"/>
          <w:sz w:val="20"/>
          <w:szCs w:val="20"/>
        </w:rPr>
        <w:t xml:space="preserve">the natural log of total assets at the end of the fiscal year. </w:t>
      </w:r>
      <w:r w:rsidRPr="005F4D86">
        <w:rPr>
          <w:rFonts w:ascii="Times New Roman" w:hAnsi="Times New Roman" w:cs="Times New Roman"/>
          <w:i/>
          <w:sz w:val="20"/>
          <w:szCs w:val="20"/>
        </w:rPr>
        <w:t xml:space="preserve">TURNOVER </w:t>
      </w:r>
      <w:r w:rsidRPr="005F4D86">
        <w:rPr>
          <w:rFonts w:ascii="Times New Roman" w:hAnsi="Times New Roman" w:cs="Times New Roman"/>
          <w:sz w:val="20"/>
          <w:szCs w:val="20"/>
        </w:rPr>
        <w:t>is</w:t>
      </w:r>
      <w:r w:rsidRPr="005F4D86">
        <w:rPr>
          <w:rFonts w:ascii="Times New Roman" w:hAnsi="Times New Roman" w:cs="Times New Roman"/>
          <w:i/>
          <w:sz w:val="20"/>
          <w:szCs w:val="20"/>
        </w:rPr>
        <w:t xml:space="preserve"> </w:t>
      </w:r>
      <w:r w:rsidRPr="005F4D86">
        <w:rPr>
          <w:rFonts w:ascii="Times New Roman" w:hAnsi="Times New Roman" w:cs="Times New Roman"/>
          <w:sz w:val="20"/>
          <w:szCs w:val="20"/>
        </w:rPr>
        <w:t xml:space="preserve">the natural log of the ratio of total number of shares traded to the number of shares outstanding in the year. </w:t>
      </w:r>
      <w:r w:rsidRPr="005F4D86">
        <w:rPr>
          <w:rFonts w:ascii="Times New Roman" w:eastAsia="Times New Roman" w:hAnsi="Times New Roman" w:cs="Times New Roman"/>
          <w:i/>
          <w:color w:val="000000"/>
          <w:sz w:val="20"/>
          <w:szCs w:val="20"/>
        </w:rPr>
        <w:t xml:space="preserve">MKBK is </w:t>
      </w:r>
      <w:r w:rsidRPr="005F4D86">
        <w:rPr>
          <w:rFonts w:ascii="Times New Roman" w:hAnsi="Times New Roman" w:cs="Times New Roman"/>
          <w:sz w:val="20"/>
          <w:szCs w:val="20"/>
        </w:rPr>
        <w:t xml:space="preserve">market-to-book ratio at the end of the fiscal year. </w:t>
      </w:r>
      <w:r w:rsidRPr="005F4D86">
        <w:rPr>
          <w:rFonts w:ascii="Times New Roman" w:hAnsi="Times New Roman" w:cs="Times New Roman"/>
          <w:i/>
          <w:sz w:val="20"/>
          <w:szCs w:val="20"/>
        </w:rPr>
        <w:t>DEBT</w:t>
      </w:r>
      <w:r w:rsidR="00FD343D">
        <w:rPr>
          <w:rFonts w:ascii="Times New Roman" w:hAnsi="Times New Roman" w:cs="Times New Roman"/>
          <w:i/>
          <w:sz w:val="20"/>
          <w:szCs w:val="20"/>
        </w:rPr>
        <w:t>/</w:t>
      </w:r>
      <w:r w:rsidR="00FD343D" w:rsidRPr="005F4D86">
        <w:rPr>
          <w:rFonts w:ascii="Times New Roman" w:hAnsi="Times New Roman" w:cs="Times New Roman"/>
          <w:i/>
          <w:sz w:val="20"/>
          <w:szCs w:val="20"/>
        </w:rPr>
        <w:t>OPERLEV</w:t>
      </w:r>
      <w:r w:rsidRPr="005F4D86">
        <w:rPr>
          <w:rFonts w:ascii="Times New Roman" w:hAnsi="Times New Roman" w:cs="Times New Roman"/>
          <w:i/>
          <w:sz w:val="20"/>
          <w:szCs w:val="20"/>
        </w:rPr>
        <w:t xml:space="preserve"> </w:t>
      </w:r>
      <w:r w:rsidRPr="005F4D86">
        <w:rPr>
          <w:rFonts w:ascii="Times New Roman" w:hAnsi="Times New Roman" w:cs="Times New Roman"/>
          <w:sz w:val="20"/>
          <w:szCs w:val="20"/>
        </w:rPr>
        <w:t>is</w:t>
      </w:r>
      <w:r w:rsidRPr="005F4D86">
        <w:rPr>
          <w:rFonts w:ascii="Times New Roman" w:hAnsi="Times New Roman" w:cs="Times New Roman"/>
          <w:i/>
          <w:sz w:val="20"/>
          <w:szCs w:val="20"/>
        </w:rPr>
        <w:t xml:space="preserve"> </w:t>
      </w:r>
      <w:r w:rsidRPr="005F4D86">
        <w:rPr>
          <w:rFonts w:ascii="Times New Roman" w:hAnsi="Times New Roman" w:cs="Times New Roman"/>
          <w:sz w:val="20"/>
          <w:szCs w:val="20"/>
        </w:rPr>
        <w:t>the ratio of long-term debt</w:t>
      </w:r>
      <w:r w:rsidR="00FD343D">
        <w:rPr>
          <w:rFonts w:ascii="Times New Roman" w:hAnsi="Times New Roman" w:cs="Times New Roman"/>
          <w:sz w:val="20"/>
          <w:szCs w:val="20"/>
        </w:rPr>
        <w:t>/</w:t>
      </w:r>
      <w:r w:rsidR="00FD343D" w:rsidRPr="005F4D86">
        <w:rPr>
          <w:rFonts w:ascii="Times New Roman" w:hAnsi="Times New Roman" w:cs="Times New Roman"/>
          <w:iCs/>
          <w:sz w:val="20"/>
          <w:szCs w:val="20"/>
        </w:rPr>
        <w:t>net property, plant and equipment</w:t>
      </w:r>
      <w:r w:rsidRPr="005F4D86">
        <w:rPr>
          <w:rFonts w:ascii="Times New Roman" w:hAnsi="Times New Roman" w:cs="Times New Roman"/>
          <w:sz w:val="20"/>
          <w:szCs w:val="20"/>
        </w:rPr>
        <w:t xml:space="preserve"> to total assets at the end of the fiscal year. </w:t>
      </w:r>
      <w:r w:rsidRPr="005F4D86">
        <w:rPr>
          <w:rFonts w:ascii="Times New Roman" w:hAnsi="Times New Roman" w:cs="Times New Roman"/>
          <w:i/>
          <w:sz w:val="20"/>
          <w:szCs w:val="20"/>
        </w:rPr>
        <w:t xml:space="preserve">DIVYIELD </w:t>
      </w:r>
      <w:r w:rsidRPr="005F4D86">
        <w:rPr>
          <w:rFonts w:ascii="Times New Roman" w:hAnsi="Times New Roman" w:cs="Times New Roman"/>
          <w:sz w:val="20"/>
          <w:szCs w:val="20"/>
        </w:rPr>
        <w:t xml:space="preserve">is dividend yield. </w:t>
      </w:r>
      <w:r w:rsidRPr="005F4D86">
        <w:rPr>
          <w:rFonts w:ascii="Times New Roman" w:eastAsia="Times New Roman" w:hAnsi="Times New Roman" w:cs="Times New Roman"/>
          <w:i/>
          <w:color w:val="000000"/>
          <w:sz w:val="20"/>
          <w:szCs w:val="20"/>
        </w:rPr>
        <w:t xml:space="preserve">INSTOWN_TRAN/ INSTOWN_QIX/ INSTOWN_DED </w:t>
      </w:r>
      <w:r w:rsidRPr="005F4D86">
        <w:rPr>
          <w:rFonts w:ascii="Times New Roman" w:eastAsia="Times New Roman" w:hAnsi="Times New Roman" w:cs="Times New Roman"/>
          <w:color w:val="000000"/>
          <w:sz w:val="20"/>
          <w:szCs w:val="20"/>
        </w:rPr>
        <w:t>is</w:t>
      </w:r>
      <w:r w:rsidRPr="005F4D86">
        <w:rPr>
          <w:rFonts w:ascii="Times New Roman" w:eastAsia="Times New Roman" w:hAnsi="Times New Roman" w:cs="Times New Roman"/>
          <w:i/>
          <w:color w:val="000000"/>
          <w:sz w:val="20"/>
          <w:szCs w:val="20"/>
        </w:rPr>
        <w:t xml:space="preserve"> </w:t>
      </w:r>
      <w:r w:rsidRPr="005F4D86">
        <w:rPr>
          <w:rFonts w:ascii="Times New Roman" w:hAnsi="Times New Roman" w:cs="Times New Roman"/>
          <w:sz w:val="20"/>
          <w:szCs w:val="20"/>
        </w:rPr>
        <w:t xml:space="preserve">the percentage of firm shares held by transient institutional owners/quasi-index institutional owners/dedicated institutional owners. </w:t>
      </w:r>
      <w:r w:rsidR="00D11CA0" w:rsidRPr="00D05DBE">
        <w:rPr>
          <w:rFonts w:ascii="Times New Roman" w:hAnsi="Times New Roman" w:cs="Times New Roman"/>
          <w:i/>
          <w:sz w:val="20"/>
          <w:szCs w:val="20"/>
        </w:rPr>
        <w:t>SKILL</w:t>
      </w:r>
      <w:r w:rsidR="00D11CA0" w:rsidRPr="00D05DBE">
        <w:rPr>
          <w:rFonts w:ascii="Times New Roman" w:hAnsi="Times New Roman" w:cs="Times New Roman"/>
          <w:sz w:val="20"/>
          <w:szCs w:val="20"/>
        </w:rPr>
        <w:t xml:space="preserve"> is</w:t>
      </w:r>
      <w:r w:rsidR="00D11CA0" w:rsidRPr="00D23517">
        <w:rPr>
          <w:rFonts w:ascii="Times New Roman" w:hAnsi="Times New Roman" w:cs="Times New Roman"/>
          <w:i/>
          <w:sz w:val="20"/>
          <w:szCs w:val="20"/>
        </w:rPr>
        <w:t xml:space="preserve"> </w:t>
      </w:r>
      <w:r w:rsidR="00D11CA0" w:rsidRPr="00D23517">
        <w:rPr>
          <w:rFonts w:ascii="Times New Roman" w:hAnsi="Times New Roman" w:cs="Times New Roman"/>
          <w:iCs/>
          <w:sz w:val="20"/>
          <w:szCs w:val="20"/>
        </w:rPr>
        <w:t>a</w:t>
      </w:r>
      <w:r w:rsidR="00D11CA0" w:rsidRPr="00D23517">
        <w:rPr>
          <w:rFonts w:ascii="Times New Roman" w:hAnsi="Times New Roman" w:cs="Times New Roman"/>
          <w:sz w:val="20"/>
          <w:szCs w:val="20"/>
        </w:rPr>
        <w:t xml:space="preserve"> dummy variable </w:t>
      </w:r>
      <w:r w:rsidR="00D11CA0">
        <w:rPr>
          <w:rFonts w:ascii="Times New Roman" w:hAnsi="Times New Roman" w:cs="Times New Roman"/>
          <w:sz w:val="20"/>
          <w:szCs w:val="20"/>
        </w:rPr>
        <w:t xml:space="preserve">that equals 1 </w:t>
      </w:r>
      <w:r w:rsidR="00D11CA0" w:rsidRPr="00D23517">
        <w:rPr>
          <w:rFonts w:ascii="Times New Roman" w:hAnsi="Times New Roman" w:cs="Times New Roman"/>
          <w:sz w:val="20"/>
          <w:szCs w:val="20"/>
        </w:rPr>
        <w:t xml:space="preserve">for firms with managerial ability </w:t>
      </w:r>
      <w:r w:rsidR="00E97357">
        <w:rPr>
          <w:rFonts w:ascii="Times New Roman" w:hAnsi="Times New Roman" w:cs="Times New Roman"/>
          <w:sz w:val="20"/>
          <w:szCs w:val="20"/>
        </w:rPr>
        <w:t xml:space="preserve">scores </w:t>
      </w:r>
      <w:r w:rsidR="00D11CA0" w:rsidRPr="00D23517">
        <w:rPr>
          <w:rFonts w:ascii="Times New Roman" w:hAnsi="Times New Roman" w:cs="Times New Roman"/>
          <w:sz w:val="20"/>
          <w:szCs w:val="20"/>
        </w:rPr>
        <w:t>above the industry median managerial ability</w:t>
      </w:r>
      <w:r w:rsidR="00E97357">
        <w:rPr>
          <w:rFonts w:ascii="Times New Roman" w:hAnsi="Times New Roman" w:cs="Times New Roman"/>
          <w:sz w:val="20"/>
          <w:szCs w:val="20"/>
        </w:rPr>
        <w:t xml:space="preserve"> </w:t>
      </w:r>
      <w:r w:rsidR="00E97357">
        <w:rPr>
          <w:rFonts w:ascii="Times New Roman" w:hAnsi="Times New Roman" w:cs="Times New Roman"/>
          <w:iCs/>
          <w:sz w:val="20"/>
          <w:szCs w:val="20"/>
        </w:rPr>
        <w:t>scores</w:t>
      </w:r>
      <w:r w:rsidR="00E97357" w:rsidRPr="00E97357">
        <w:rPr>
          <w:rFonts w:ascii="Times New Roman" w:hAnsi="Times New Roman" w:cs="Times New Roman"/>
          <w:iCs/>
          <w:sz w:val="20"/>
          <w:szCs w:val="20"/>
        </w:rPr>
        <w:t xml:space="preserve"> </w:t>
      </w:r>
      <w:r w:rsidR="00E97357" w:rsidRPr="00CF12A9">
        <w:rPr>
          <w:rFonts w:ascii="Times New Roman" w:hAnsi="Times New Roman" w:cs="Times New Roman"/>
          <w:iCs/>
          <w:sz w:val="20"/>
          <w:szCs w:val="20"/>
        </w:rPr>
        <w:t xml:space="preserve">in the </w:t>
      </w:r>
      <w:r w:rsidR="00E97357">
        <w:rPr>
          <w:rFonts w:ascii="Times New Roman" w:hAnsi="Times New Roman" w:cs="Times New Roman"/>
          <w:iCs/>
          <w:sz w:val="20"/>
          <w:szCs w:val="20"/>
        </w:rPr>
        <w:t>p</w:t>
      </w:r>
      <w:r w:rsidR="00E97357" w:rsidRPr="00CF12A9">
        <w:rPr>
          <w:rFonts w:ascii="Times New Roman" w:hAnsi="Times New Roman" w:cs="Times New Roman"/>
          <w:iCs/>
          <w:sz w:val="20"/>
          <w:szCs w:val="20"/>
        </w:rPr>
        <w:t>ast three years</w:t>
      </w:r>
      <w:r w:rsidR="00D11CA0">
        <w:rPr>
          <w:rFonts w:ascii="Times New Roman" w:hAnsi="Times New Roman" w:cs="Times New Roman"/>
          <w:sz w:val="20"/>
          <w:szCs w:val="20"/>
        </w:rPr>
        <w:t>, and 0 otherwise</w:t>
      </w:r>
      <w:r w:rsidR="00D11CA0" w:rsidRPr="00D23517">
        <w:rPr>
          <w:rFonts w:ascii="Times New Roman" w:hAnsi="Times New Roman" w:cs="Times New Roman"/>
          <w:sz w:val="20"/>
          <w:szCs w:val="20"/>
        </w:rPr>
        <w:t xml:space="preserve">. </w:t>
      </w:r>
      <w:r w:rsidRPr="005F4D86">
        <w:rPr>
          <w:rFonts w:ascii="Times New Roman" w:hAnsi="Times New Roman" w:cs="Times New Roman"/>
          <w:sz w:val="20"/>
          <w:szCs w:val="20"/>
        </w:rPr>
        <w:t xml:space="preserve"> </w:t>
      </w:r>
      <w:r w:rsidRPr="005F4D86">
        <w:rPr>
          <w:rFonts w:ascii="Times New Roman" w:hAnsi="Times New Roman" w:cs="Times New Roman"/>
          <w:i/>
          <w:sz w:val="20"/>
          <w:szCs w:val="20"/>
        </w:rPr>
        <w:t xml:space="preserve">MKTCON </w:t>
      </w:r>
      <w:r w:rsidRPr="005F4D86">
        <w:rPr>
          <w:rFonts w:ascii="Times New Roman" w:hAnsi="Times New Roman" w:cs="Times New Roman"/>
          <w:sz w:val="20"/>
          <w:szCs w:val="20"/>
        </w:rPr>
        <w:t>is</w:t>
      </w:r>
      <w:r w:rsidRPr="005F4D86">
        <w:rPr>
          <w:rFonts w:ascii="Times New Roman" w:hAnsi="Times New Roman" w:cs="Times New Roman"/>
          <w:i/>
          <w:sz w:val="20"/>
          <w:szCs w:val="20"/>
        </w:rPr>
        <w:t xml:space="preserve"> </w:t>
      </w:r>
      <w:r w:rsidRPr="005F4D86">
        <w:rPr>
          <w:rFonts w:ascii="Times New Roman" w:hAnsi="Times New Roman" w:cs="Times New Roman"/>
          <w:sz w:val="20"/>
          <w:szCs w:val="20"/>
        </w:rPr>
        <w:t>the Herfindahl sales-based industry concentration index. *, ** and *** indicate the significance levels of 10%, 5% and 1%, respectively</w:t>
      </w:r>
      <w:r w:rsidR="006F4FAD" w:rsidRPr="005F4D86">
        <w:rPr>
          <w:sz w:val="20"/>
          <w:szCs w:val="20"/>
        </w:rPr>
        <w:br w:type="page"/>
      </w:r>
    </w:p>
    <w:p w14:paraId="6115466D" w14:textId="5345C964" w:rsidR="00274150" w:rsidRPr="00D23517" w:rsidRDefault="00274150" w:rsidP="00A1062B">
      <w:pPr>
        <w:spacing w:after="0" w:line="240" w:lineRule="auto"/>
        <w:jc w:val="both"/>
        <w:rPr>
          <w:rFonts w:ascii="Times New Roman" w:eastAsia="Times New Roman" w:hAnsi="Times New Roman" w:cs="Times New Roman"/>
          <w:b/>
          <w:color w:val="000000"/>
          <w:sz w:val="24"/>
          <w:szCs w:val="24"/>
        </w:rPr>
      </w:pPr>
      <w:r w:rsidRPr="00D23517">
        <w:rPr>
          <w:rFonts w:ascii="Times New Roman" w:eastAsia="Times New Roman" w:hAnsi="Times New Roman" w:cs="Times New Roman"/>
          <w:b/>
          <w:color w:val="000000"/>
          <w:sz w:val="24"/>
          <w:szCs w:val="24"/>
        </w:rPr>
        <w:lastRenderedPageBreak/>
        <w:t>Table</w:t>
      </w:r>
      <w:r w:rsidR="00546E9F" w:rsidRPr="00D23517">
        <w:rPr>
          <w:rFonts w:ascii="Times New Roman" w:eastAsia="Times New Roman" w:hAnsi="Times New Roman" w:cs="Times New Roman"/>
          <w:b/>
          <w:color w:val="000000"/>
          <w:sz w:val="24"/>
          <w:szCs w:val="24"/>
        </w:rPr>
        <w:t xml:space="preserve"> 5: </w:t>
      </w:r>
      <w:r w:rsidRPr="00D23517">
        <w:rPr>
          <w:rFonts w:ascii="Times New Roman" w:eastAsia="Times New Roman" w:hAnsi="Times New Roman" w:cs="Times New Roman"/>
          <w:b/>
          <w:color w:val="000000"/>
          <w:sz w:val="24"/>
          <w:szCs w:val="24"/>
        </w:rPr>
        <w:t xml:space="preserve">The </w:t>
      </w:r>
      <w:r w:rsidR="00AC74B2" w:rsidRPr="00D23517">
        <w:rPr>
          <w:rFonts w:ascii="Times New Roman" w:eastAsia="Times New Roman" w:hAnsi="Times New Roman" w:cs="Times New Roman"/>
          <w:b/>
          <w:color w:val="000000"/>
          <w:sz w:val="24"/>
          <w:szCs w:val="24"/>
        </w:rPr>
        <w:t xml:space="preserve">relation </w:t>
      </w:r>
      <w:r w:rsidRPr="00D23517">
        <w:rPr>
          <w:rFonts w:ascii="Times New Roman" w:eastAsia="Times New Roman" w:hAnsi="Times New Roman" w:cs="Times New Roman"/>
          <w:b/>
          <w:color w:val="000000"/>
          <w:sz w:val="24"/>
          <w:szCs w:val="24"/>
        </w:rPr>
        <w:t xml:space="preserve">between </w:t>
      </w:r>
      <w:r w:rsidR="00AC74B2" w:rsidRPr="00D23517">
        <w:rPr>
          <w:rFonts w:ascii="Times New Roman" w:eastAsia="Times New Roman" w:hAnsi="Times New Roman" w:cs="Times New Roman"/>
          <w:b/>
          <w:color w:val="000000"/>
          <w:sz w:val="24"/>
          <w:szCs w:val="24"/>
        </w:rPr>
        <w:t>non</w:t>
      </w:r>
      <w:r w:rsidRPr="00D23517">
        <w:rPr>
          <w:rFonts w:ascii="Times New Roman" w:eastAsia="Times New Roman" w:hAnsi="Times New Roman" w:cs="Times New Roman"/>
          <w:b/>
          <w:color w:val="000000"/>
          <w:sz w:val="24"/>
          <w:szCs w:val="24"/>
        </w:rPr>
        <w:t>-</w:t>
      </w:r>
      <w:r w:rsidR="00AC74B2" w:rsidRPr="00D23517">
        <w:rPr>
          <w:rFonts w:ascii="Times New Roman" w:eastAsia="Times New Roman" w:hAnsi="Times New Roman" w:cs="Times New Roman"/>
          <w:b/>
          <w:color w:val="000000"/>
          <w:sz w:val="24"/>
          <w:szCs w:val="24"/>
        </w:rPr>
        <w:t xml:space="preserve">operating income </w:t>
      </w:r>
      <w:r w:rsidRPr="00D23517">
        <w:rPr>
          <w:rFonts w:ascii="Times New Roman" w:eastAsia="Times New Roman" w:hAnsi="Times New Roman" w:cs="Times New Roman"/>
          <w:b/>
          <w:color w:val="000000"/>
          <w:sz w:val="24"/>
          <w:szCs w:val="24"/>
        </w:rPr>
        <w:t xml:space="preserve">and </w:t>
      </w:r>
      <w:r w:rsidR="00AC74B2" w:rsidRPr="00D23517">
        <w:rPr>
          <w:rFonts w:ascii="Times New Roman" w:eastAsia="Times New Roman" w:hAnsi="Times New Roman" w:cs="Times New Roman"/>
          <w:b/>
          <w:color w:val="000000"/>
          <w:sz w:val="24"/>
          <w:szCs w:val="24"/>
        </w:rPr>
        <w:t>crash risk</w:t>
      </w:r>
    </w:p>
    <w:tbl>
      <w:tblPr>
        <w:tblW w:w="5000" w:type="pct"/>
        <w:tblLook w:val="04A0" w:firstRow="1" w:lastRow="0" w:firstColumn="1" w:lastColumn="0" w:noHBand="0" w:noVBand="1"/>
      </w:tblPr>
      <w:tblGrid>
        <w:gridCol w:w="2379"/>
        <w:gridCol w:w="2355"/>
        <w:gridCol w:w="2548"/>
        <w:gridCol w:w="2078"/>
      </w:tblGrid>
      <w:tr w:rsidR="006F4FAD" w:rsidRPr="00D23517" w14:paraId="641E7B38" w14:textId="77777777" w:rsidTr="00546E9F">
        <w:trPr>
          <w:trHeight w:val="20"/>
        </w:trPr>
        <w:tc>
          <w:tcPr>
            <w:tcW w:w="1271" w:type="pct"/>
            <w:tcBorders>
              <w:top w:val="single" w:sz="4" w:space="0" w:color="auto"/>
              <w:bottom w:val="single" w:sz="4" w:space="0" w:color="auto"/>
            </w:tcBorders>
            <w:shd w:val="clear" w:color="auto" w:fill="auto"/>
            <w:noWrap/>
            <w:vAlign w:val="bottom"/>
            <w:hideMark/>
          </w:tcPr>
          <w:p w14:paraId="2CD65CB9" w14:textId="77777777" w:rsidR="006F4FAD" w:rsidRPr="00D23517" w:rsidRDefault="006F4FAD" w:rsidP="00A1062B">
            <w:pPr>
              <w:spacing w:after="0" w:line="240" w:lineRule="auto"/>
              <w:contextualSpacing/>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Variables</w:t>
            </w:r>
          </w:p>
        </w:tc>
        <w:tc>
          <w:tcPr>
            <w:tcW w:w="1258" w:type="pct"/>
            <w:tcBorders>
              <w:top w:val="single" w:sz="4" w:space="0" w:color="auto"/>
              <w:bottom w:val="single" w:sz="4" w:space="0" w:color="auto"/>
            </w:tcBorders>
            <w:shd w:val="clear" w:color="auto" w:fill="auto"/>
            <w:noWrap/>
            <w:vAlign w:val="bottom"/>
            <w:hideMark/>
          </w:tcPr>
          <w:p w14:paraId="36AFE905" w14:textId="77777777" w:rsidR="006F4FAD" w:rsidRPr="00D23517" w:rsidRDefault="006F4FAD" w:rsidP="00A1062B">
            <w:pPr>
              <w:spacing w:after="0" w:line="240" w:lineRule="auto"/>
              <w:contextualSpacing/>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Panel A – NCSKEW</w:t>
            </w:r>
          </w:p>
        </w:tc>
        <w:tc>
          <w:tcPr>
            <w:tcW w:w="1361" w:type="pct"/>
            <w:tcBorders>
              <w:top w:val="single" w:sz="4" w:space="0" w:color="auto"/>
              <w:bottom w:val="single" w:sz="4" w:space="0" w:color="auto"/>
            </w:tcBorders>
            <w:shd w:val="clear" w:color="auto" w:fill="auto"/>
            <w:noWrap/>
            <w:vAlign w:val="bottom"/>
            <w:hideMark/>
          </w:tcPr>
          <w:p w14:paraId="158B270E" w14:textId="77777777" w:rsidR="006F4FAD" w:rsidRPr="00D23517" w:rsidRDefault="006F4FAD" w:rsidP="00A1062B">
            <w:pPr>
              <w:spacing w:after="0" w:line="240" w:lineRule="auto"/>
              <w:contextualSpacing/>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Panel B – DUVOL</w:t>
            </w:r>
          </w:p>
        </w:tc>
        <w:tc>
          <w:tcPr>
            <w:tcW w:w="1110" w:type="pct"/>
            <w:tcBorders>
              <w:top w:val="single" w:sz="4" w:space="0" w:color="auto"/>
              <w:bottom w:val="single" w:sz="4" w:space="0" w:color="auto"/>
            </w:tcBorders>
            <w:shd w:val="clear" w:color="auto" w:fill="auto"/>
            <w:noWrap/>
            <w:vAlign w:val="bottom"/>
            <w:hideMark/>
          </w:tcPr>
          <w:p w14:paraId="16660D72" w14:textId="77777777" w:rsidR="006F4FAD" w:rsidRPr="00D23517" w:rsidRDefault="006F4FAD" w:rsidP="00A1062B">
            <w:pPr>
              <w:spacing w:after="0" w:line="240" w:lineRule="auto"/>
              <w:contextualSpacing/>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Panel C - COUNT</w:t>
            </w:r>
          </w:p>
        </w:tc>
      </w:tr>
      <w:tr w:rsidR="006F4FAD" w:rsidRPr="00D23517" w14:paraId="78932972" w14:textId="77777777" w:rsidTr="00546E9F">
        <w:trPr>
          <w:trHeight w:val="20"/>
        </w:trPr>
        <w:tc>
          <w:tcPr>
            <w:tcW w:w="1271" w:type="pct"/>
            <w:tcBorders>
              <w:top w:val="nil"/>
              <w:left w:val="nil"/>
              <w:bottom w:val="nil"/>
              <w:right w:val="nil"/>
            </w:tcBorders>
            <w:shd w:val="clear" w:color="auto" w:fill="auto"/>
            <w:noWrap/>
            <w:vAlign w:val="bottom"/>
            <w:hideMark/>
          </w:tcPr>
          <w:p w14:paraId="006A0504" w14:textId="77777777" w:rsidR="006F4FAD" w:rsidRPr="00D23517" w:rsidRDefault="006F4FAD" w:rsidP="00A1062B">
            <w:pPr>
              <w:spacing w:after="0" w:line="240" w:lineRule="auto"/>
              <w:contextualSpacing/>
              <w:jc w:val="both"/>
              <w:rPr>
                <w:rFonts w:ascii="Times New Roman" w:eastAsia="Times New Roman" w:hAnsi="Times New Roman" w:cs="Times New Roman"/>
                <w:i/>
                <w:sz w:val="20"/>
                <w:szCs w:val="20"/>
              </w:rPr>
            </w:pPr>
            <w:r w:rsidRPr="00D23517">
              <w:rPr>
                <w:rFonts w:ascii="Times New Roman" w:eastAsia="Times New Roman" w:hAnsi="Times New Roman" w:cs="Times New Roman"/>
                <w:i/>
                <w:sz w:val="20"/>
                <w:szCs w:val="20"/>
              </w:rPr>
              <w:t>NONOPERINC</w:t>
            </w:r>
          </w:p>
        </w:tc>
        <w:tc>
          <w:tcPr>
            <w:tcW w:w="1258" w:type="pct"/>
            <w:tcBorders>
              <w:top w:val="nil"/>
              <w:left w:val="nil"/>
              <w:bottom w:val="nil"/>
              <w:right w:val="nil"/>
            </w:tcBorders>
            <w:shd w:val="clear" w:color="auto" w:fill="auto"/>
            <w:noWrap/>
            <w:vAlign w:val="bottom"/>
          </w:tcPr>
          <w:p w14:paraId="7E4F0C9E"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-0.014</w:t>
            </w:r>
          </w:p>
        </w:tc>
        <w:tc>
          <w:tcPr>
            <w:tcW w:w="1361" w:type="pct"/>
            <w:tcBorders>
              <w:top w:val="nil"/>
              <w:left w:val="nil"/>
              <w:bottom w:val="nil"/>
              <w:right w:val="nil"/>
            </w:tcBorders>
            <w:shd w:val="clear" w:color="auto" w:fill="auto"/>
            <w:noWrap/>
            <w:vAlign w:val="bottom"/>
          </w:tcPr>
          <w:p w14:paraId="39A40302"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-0.014</w:t>
            </w:r>
          </w:p>
        </w:tc>
        <w:tc>
          <w:tcPr>
            <w:tcW w:w="1110" w:type="pct"/>
            <w:tcBorders>
              <w:top w:val="nil"/>
              <w:left w:val="nil"/>
              <w:bottom w:val="nil"/>
              <w:right w:val="nil"/>
            </w:tcBorders>
            <w:shd w:val="clear" w:color="auto" w:fill="auto"/>
            <w:noWrap/>
            <w:vAlign w:val="bottom"/>
          </w:tcPr>
          <w:p w14:paraId="64144475"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-0.007</w:t>
            </w:r>
          </w:p>
        </w:tc>
      </w:tr>
      <w:tr w:rsidR="006F4FAD" w:rsidRPr="00D23517" w14:paraId="2AE939E5" w14:textId="77777777" w:rsidTr="00546E9F">
        <w:trPr>
          <w:trHeight w:val="20"/>
        </w:trPr>
        <w:tc>
          <w:tcPr>
            <w:tcW w:w="1271" w:type="pct"/>
            <w:tcBorders>
              <w:top w:val="nil"/>
              <w:left w:val="nil"/>
              <w:bottom w:val="nil"/>
              <w:right w:val="nil"/>
            </w:tcBorders>
            <w:shd w:val="clear" w:color="auto" w:fill="auto"/>
            <w:noWrap/>
            <w:vAlign w:val="bottom"/>
            <w:hideMark/>
          </w:tcPr>
          <w:p w14:paraId="40A9FEAA" w14:textId="77777777" w:rsidR="006F4FAD" w:rsidRPr="00D23517" w:rsidRDefault="006F4FAD" w:rsidP="00A1062B">
            <w:pPr>
              <w:spacing w:after="0" w:line="240" w:lineRule="auto"/>
              <w:contextualSpacing/>
              <w:jc w:val="both"/>
              <w:rPr>
                <w:rFonts w:ascii="Times New Roman" w:eastAsia="Times New Roman" w:hAnsi="Times New Roman" w:cs="Times New Roman"/>
                <w:i/>
                <w:sz w:val="20"/>
                <w:szCs w:val="20"/>
              </w:rPr>
            </w:pPr>
          </w:p>
        </w:tc>
        <w:tc>
          <w:tcPr>
            <w:tcW w:w="1258" w:type="pct"/>
            <w:tcBorders>
              <w:top w:val="nil"/>
              <w:left w:val="nil"/>
              <w:bottom w:val="nil"/>
              <w:right w:val="nil"/>
            </w:tcBorders>
            <w:shd w:val="clear" w:color="auto" w:fill="auto"/>
            <w:noWrap/>
            <w:vAlign w:val="bottom"/>
          </w:tcPr>
          <w:p w14:paraId="549B8A29"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(-2.419**)</w:t>
            </w:r>
          </w:p>
        </w:tc>
        <w:tc>
          <w:tcPr>
            <w:tcW w:w="1361" w:type="pct"/>
            <w:tcBorders>
              <w:top w:val="nil"/>
              <w:left w:val="nil"/>
              <w:bottom w:val="nil"/>
              <w:right w:val="nil"/>
            </w:tcBorders>
            <w:shd w:val="clear" w:color="auto" w:fill="auto"/>
            <w:noWrap/>
            <w:vAlign w:val="bottom"/>
          </w:tcPr>
          <w:p w14:paraId="6E102EE4"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(-2.487**)</w:t>
            </w:r>
          </w:p>
        </w:tc>
        <w:tc>
          <w:tcPr>
            <w:tcW w:w="1110" w:type="pct"/>
            <w:tcBorders>
              <w:top w:val="nil"/>
              <w:left w:val="nil"/>
              <w:bottom w:val="nil"/>
              <w:right w:val="nil"/>
            </w:tcBorders>
            <w:shd w:val="clear" w:color="auto" w:fill="auto"/>
            <w:noWrap/>
            <w:vAlign w:val="bottom"/>
          </w:tcPr>
          <w:p w14:paraId="7DE3E586"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(-2.222**)</w:t>
            </w:r>
          </w:p>
        </w:tc>
      </w:tr>
      <w:tr w:rsidR="006F4FAD" w:rsidRPr="00D23517" w14:paraId="0EF6A593" w14:textId="77777777" w:rsidTr="00546E9F">
        <w:trPr>
          <w:trHeight w:val="20"/>
        </w:trPr>
        <w:tc>
          <w:tcPr>
            <w:tcW w:w="1271" w:type="pct"/>
            <w:tcBorders>
              <w:top w:val="nil"/>
              <w:left w:val="nil"/>
              <w:bottom w:val="nil"/>
              <w:right w:val="nil"/>
            </w:tcBorders>
            <w:shd w:val="clear" w:color="auto" w:fill="auto"/>
            <w:noWrap/>
            <w:vAlign w:val="bottom"/>
            <w:hideMark/>
          </w:tcPr>
          <w:p w14:paraId="505ED58A" w14:textId="77777777" w:rsidR="006F4FAD" w:rsidRPr="00D23517" w:rsidRDefault="006F4FAD" w:rsidP="00A1062B">
            <w:pPr>
              <w:spacing w:after="0" w:line="240" w:lineRule="auto"/>
              <w:contextualSpacing/>
              <w:jc w:val="both"/>
              <w:rPr>
                <w:rFonts w:ascii="Times New Roman" w:eastAsia="Times New Roman" w:hAnsi="Times New Roman" w:cs="Times New Roman"/>
                <w:i/>
                <w:sz w:val="20"/>
                <w:szCs w:val="20"/>
              </w:rPr>
            </w:pPr>
            <w:r w:rsidRPr="00D23517">
              <w:rPr>
                <w:rFonts w:ascii="Times New Roman" w:eastAsia="Times New Roman" w:hAnsi="Times New Roman" w:cs="Times New Roman"/>
                <w:i/>
                <w:sz w:val="20"/>
                <w:szCs w:val="20"/>
              </w:rPr>
              <w:t>OPERINC</w:t>
            </w:r>
          </w:p>
        </w:tc>
        <w:tc>
          <w:tcPr>
            <w:tcW w:w="1258" w:type="pct"/>
            <w:tcBorders>
              <w:top w:val="nil"/>
              <w:left w:val="nil"/>
              <w:bottom w:val="nil"/>
              <w:right w:val="nil"/>
            </w:tcBorders>
            <w:shd w:val="clear" w:color="auto" w:fill="auto"/>
            <w:noWrap/>
            <w:vAlign w:val="bottom"/>
          </w:tcPr>
          <w:p w14:paraId="6132F6AF"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-0.041</w:t>
            </w:r>
          </w:p>
        </w:tc>
        <w:tc>
          <w:tcPr>
            <w:tcW w:w="1361" w:type="pct"/>
            <w:tcBorders>
              <w:top w:val="nil"/>
              <w:left w:val="nil"/>
              <w:bottom w:val="nil"/>
              <w:right w:val="nil"/>
            </w:tcBorders>
            <w:shd w:val="clear" w:color="auto" w:fill="auto"/>
            <w:noWrap/>
            <w:vAlign w:val="bottom"/>
          </w:tcPr>
          <w:p w14:paraId="7B2E7275"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-0.053</w:t>
            </w:r>
          </w:p>
        </w:tc>
        <w:tc>
          <w:tcPr>
            <w:tcW w:w="1110" w:type="pct"/>
            <w:tcBorders>
              <w:top w:val="nil"/>
              <w:left w:val="nil"/>
              <w:bottom w:val="nil"/>
              <w:right w:val="nil"/>
            </w:tcBorders>
            <w:shd w:val="clear" w:color="auto" w:fill="auto"/>
            <w:noWrap/>
            <w:vAlign w:val="bottom"/>
          </w:tcPr>
          <w:p w14:paraId="3FE9FF5F"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-0.021</w:t>
            </w:r>
          </w:p>
        </w:tc>
      </w:tr>
      <w:tr w:rsidR="006F4FAD" w:rsidRPr="00D23517" w14:paraId="139AA61A" w14:textId="77777777" w:rsidTr="00546E9F">
        <w:trPr>
          <w:trHeight w:val="20"/>
        </w:trPr>
        <w:tc>
          <w:tcPr>
            <w:tcW w:w="1271" w:type="pct"/>
            <w:tcBorders>
              <w:top w:val="nil"/>
              <w:left w:val="nil"/>
              <w:bottom w:val="nil"/>
              <w:right w:val="nil"/>
            </w:tcBorders>
            <w:shd w:val="clear" w:color="auto" w:fill="auto"/>
            <w:noWrap/>
            <w:vAlign w:val="bottom"/>
            <w:hideMark/>
          </w:tcPr>
          <w:p w14:paraId="273AA583"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p>
        </w:tc>
        <w:tc>
          <w:tcPr>
            <w:tcW w:w="1258" w:type="pct"/>
            <w:tcBorders>
              <w:top w:val="nil"/>
              <w:left w:val="nil"/>
              <w:bottom w:val="nil"/>
              <w:right w:val="nil"/>
            </w:tcBorders>
            <w:shd w:val="clear" w:color="auto" w:fill="auto"/>
            <w:noWrap/>
            <w:vAlign w:val="bottom"/>
          </w:tcPr>
          <w:p w14:paraId="0FEC5368"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(-5.055***)</w:t>
            </w:r>
          </w:p>
        </w:tc>
        <w:tc>
          <w:tcPr>
            <w:tcW w:w="1361" w:type="pct"/>
            <w:tcBorders>
              <w:top w:val="nil"/>
              <w:left w:val="nil"/>
              <w:bottom w:val="nil"/>
              <w:right w:val="nil"/>
            </w:tcBorders>
            <w:shd w:val="clear" w:color="auto" w:fill="auto"/>
            <w:noWrap/>
            <w:vAlign w:val="bottom"/>
          </w:tcPr>
          <w:p w14:paraId="784874D3"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(-6.634***)</w:t>
            </w:r>
          </w:p>
        </w:tc>
        <w:tc>
          <w:tcPr>
            <w:tcW w:w="1110" w:type="pct"/>
            <w:tcBorders>
              <w:top w:val="nil"/>
              <w:left w:val="nil"/>
              <w:bottom w:val="nil"/>
              <w:right w:val="nil"/>
            </w:tcBorders>
            <w:shd w:val="clear" w:color="auto" w:fill="auto"/>
            <w:noWrap/>
            <w:vAlign w:val="bottom"/>
          </w:tcPr>
          <w:p w14:paraId="0EB6BDC3"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(-2.719***)</w:t>
            </w:r>
          </w:p>
        </w:tc>
      </w:tr>
      <w:tr w:rsidR="006F4FAD" w:rsidRPr="00D23517" w14:paraId="70A83808" w14:textId="77777777" w:rsidTr="00546E9F">
        <w:trPr>
          <w:trHeight w:val="20"/>
        </w:trPr>
        <w:tc>
          <w:tcPr>
            <w:tcW w:w="1271" w:type="pct"/>
            <w:tcBorders>
              <w:top w:val="nil"/>
              <w:left w:val="nil"/>
              <w:bottom w:val="nil"/>
              <w:right w:val="nil"/>
            </w:tcBorders>
            <w:shd w:val="clear" w:color="auto" w:fill="auto"/>
            <w:noWrap/>
            <w:vAlign w:val="bottom"/>
          </w:tcPr>
          <w:p w14:paraId="2EE2F921" w14:textId="77777777" w:rsidR="006F4FAD" w:rsidRPr="00D23517" w:rsidRDefault="006F4FAD" w:rsidP="00A1062B">
            <w:pPr>
              <w:spacing w:after="0" w:line="240" w:lineRule="auto"/>
              <w:contextualSpacing/>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LNAT</w:t>
            </w:r>
          </w:p>
        </w:tc>
        <w:tc>
          <w:tcPr>
            <w:tcW w:w="1258" w:type="pct"/>
            <w:tcBorders>
              <w:top w:val="nil"/>
              <w:left w:val="nil"/>
              <w:bottom w:val="nil"/>
              <w:right w:val="nil"/>
            </w:tcBorders>
            <w:shd w:val="clear" w:color="auto" w:fill="auto"/>
            <w:noWrap/>
            <w:vAlign w:val="bottom"/>
          </w:tcPr>
          <w:p w14:paraId="547C3DFB"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0.310</w:t>
            </w:r>
          </w:p>
        </w:tc>
        <w:tc>
          <w:tcPr>
            <w:tcW w:w="1361" w:type="pct"/>
            <w:tcBorders>
              <w:top w:val="nil"/>
              <w:left w:val="nil"/>
              <w:bottom w:val="nil"/>
              <w:right w:val="nil"/>
            </w:tcBorders>
            <w:shd w:val="clear" w:color="auto" w:fill="auto"/>
            <w:noWrap/>
            <w:vAlign w:val="bottom"/>
          </w:tcPr>
          <w:p w14:paraId="3D629B9A"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0.330</w:t>
            </w:r>
          </w:p>
        </w:tc>
        <w:tc>
          <w:tcPr>
            <w:tcW w:w="1110" w:type="pct"/>
            <w:tcBorders>
              <w:top w:val="nil"/>
              <w:left w:val="nil"/>
              <w:bottom w:val="nil"/>
              <w:right w:val="nil"/>
            </w:tcBorders>
            <w:shd w:val="clear" w:color="auto" w:fill="auto"/>
            <w:noWrap/>
            <w:vAlign w:val="bottom"/>
          </w:tcPr>
          <w:p w14:paraId="0AF83F7C"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0.231</w:t>
            </w:r>
          </w:p>
        </w:tc>
      </w:tr>
      <w:tr w:rsidR="006F4FAD" w:rsidRPr="00D23517" w14:paraId="03D349BA" w14:textId="77777777" w:rsidTr="00546E9F">
        <w:trPr>
          <w:trHeight w:val="20"/>
        </w:trPr>
        <w:tc>
          <w:tcPr>
            <w:tcW w:w="1271" w:type="pct"/>
            <w:tcBorders>
              <w:top w:val="nil"/>
              <w:left w:val="nil"/>
              <w:bottom w:val="nil"/>
              <w:right w:val="nil"/>
            </w:tcBorders>
            <w:shd w:val="clear" w:color="auto" w:fill="auto"/>
            <w:noWrap/>
            <w:vAlign w:val="bottom"/>
          </w:tcPr>
          <w:p w14:paraId="007A8FC2" w14:textId="77777777" w:rsidR="006F4FAD" w:rsidRPr="00D23517" w:rsidRDefault="006F4FAD" w:rsidP="00A1062B">
            <w:pPr>
              <w:spacing w:after="0" w:line="240" w:lineRule="auto"/>
              <w:contextualSpacing/>
              <w:jc w:val="both"/>
              <w:rPr>
                <w:rFonts w:ascii="Times New Roman" w:eastAsia="Times New Roman" w:hAnsi="Times New Roman" w:cs="Times New Roman"/>
                <w:i/>
                <w:color w:val="000000"/>
                <w:sz w:val="20"/>
                <w:szCs w:val="20"/>
              </w:rPr>
            </w:pPr>
          </w:p>
        </w:tc>
        <w:tc>
          <w:tcPr>
            <w:tcW w:w="1258" w:type="pct"/>
            <w:tcBorders>
              <w:top w:val="nil"/>
              <w:left w:val="nil"/>
              <w:bottom w:val="nil"/>
              <w:right w:val="nil"/>
            </w:tcBorders>
            <w:shd w:val="clear" w:color="auto" w:fill="auto"/>
            <w:noWrap/>
            <w:vAlign w:val="bottom"/>
          </w:tcPr>
          <w:p w14:paraId="78E9BAE6"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(12.779***)</w:t>
            </w:r>
          </w:p>
        </w:tc>
        <w:tc>
          <w:tcPr>
            <w:tcW w:w="1361" w:type="pct"/>
            <w:tcBorders>
              <w:top w:val="nil"/>
              <w:left w:val="nil"/>
              <w:bottom w:val="nil"/>
              <w:right w:val="nil"/>
            </w:tcBorders>
            <w:shd w:val="clear" w:color="auto" w:fill="auto"/>
            <w:noWrap/>
            <w:vAlign w:val="bottom"/>
          </w:tcPr>
          <w:p w14:paraId="39B3F6F4"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(13.766***)</w:t>
            </w:r>
          </w:p>
        </w:tc>
        <w:tc>
          <w:tcPr>
            <w:tcW w:w="1110" w:type="pct"/>
            <w:tcBorders>
              <w:top w:val="nil"/>
              <w:left w:val="nil"/>
              <w:bottom w:val="nil"/>
              <w:right w:val="nil"/>
            </w:tcBorders>
            <w:shd w:val="clear" w:color="auto" w:fill="auto"/>
            <w:noWrap/>
            <w:vAlign w:val="bottom"/>
          </w:tcPr>
          <w:p w14:paraId="4815B526"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(9.720***)</w:t>
            </w:r>
          </w:p>
        </w:tc>
      </w:tr>
      <w:tr w:rsidR="006F4FAD" w:rsidRPr="00D23517" w14:paraId="09D7C448" w14:textId="77777777" w:rsidTr="00546E9F">
        <w:trPr>
          <w:trHeight w:val="20"/>
        </w:trPr>
        <w:tc>
          <w:tcPr>
            <w:tcW w:w="1271" w:type="pct"/>
            <w:tcBorders>
              <w:top w:val="nil"/>
              <w:left w:val="nil"/>
              <w:bottom w:val="nil"/>
              <w:right w:val="nil"/>
            </w:tcBorders>
            <w:shd w:val="clear" w:color="auto" w:fill="auto"/>
            <w:noWrap/>
            <w:vAlign w:val="bottom"/>
            <w:hideMark/>
          </w:tcPr>
          <w:p w14:paraId="5BC00CA8" w14:textId="77777777" w:rsidR="006F4FAD" w:rsidRPr="00D23517" w:rsidRDefault="006F4FAD" w:rsidP="00A1062B">
            <w:pPr>
              <w:spacing w:after="0" w:line="240" w:lineRule="auto"/>
              <w:contextualSpacing/>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RET</w:t>
            </w:r>
          </w:p>
        </w:tc>
        <w:tc>
          <w:tcPr>
            <w:tcW w:w="1258" w:type="pct"/>
            <w:tcBorders>
              <w:top w:val="nil"/>
              <w:left w:val="nil"/>
              <w:bottom w:val="nil"/>
              <w:right w:val="nil"/>
            </w:tcBorders>
            <w:shd w:val="clear" w:color="auto" w:fill="auto"/>
            <w:noWrap/>
            <w:vAlign w:val="bottom"/>
          </w:tcPr>
          <w:p w14:paraId="71B269B0"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-0.040</w:t>
            </w:r>
          </w:p>
        </w:tc>
        <w:tc>
          <w:tcPr>
            <w:tcW w:w="1361" w:type="pct"/>
            <w:tcBorders>
              <w:top w:val="nil"/>
              <w:left w:val="nil"/>
              <w:bottom w:val="nil"/>
              <w:right w:val="nil"/>
            </w:tcBorders>
            <w:shd w:val="clear" w:color="auto" w:fill="auto"/>
            <w:noWrap/>
            <w:vAlign w:val="bottom"/>
          </w:tcPr>
          <w:p w14:paraId="648D6AEA"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-0.042</w:t>
            </w:r>
          </w:p>
        </w:tc>
        <w:tc>
          <w:tcPr>
            <w:tcW w:w="1110" w:type="pct"/>
            <w:tcBorders>
              <w:top w:val="nil"/>
              <w:left w:val="nil"/>
              <w:bottom w:val="nil"/>
              <w:right w:val="nil"/>
            </w:tcBorders>
            <w:shd w:val="clear" w:color="auto" w:fill="auto"/>
            <w:noWrap/>
            <w:vAlign w:val="bottom"/>
          </w:tcPr>
          <w:p w14:paraId="204B7517"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-0.008</w:t>
            </w:r>
          </w:p>
        </w:tc>
      </w:tr>
      <w:tr w:rsidR="006F4FAD" w:rsidRPr="00D23517" w14:paraId="77488A6D" w14:textId="77777777" w:rsidTr="00546E9F">
        <w:trPr>
          <w:trHeight w:val="20"/>
        </w:trPr>
        <w:tc>
          <w:tcPr>
            <w:tcW w:w="1271" w:type="pct"/>
            <w:tcBorders>
              <w:top w:val="nil"/>
              <w:left w:val="nil"/>
              <w:bottom w:val="nil"/>
              <w:right w:val="nil"/>
            </w:tcBorders>
            <w:shd w:val="clear" w:color="auto" w:fill="auto"/>
            <w:noWrap/>
            <w:vAlign w:val="bottom"/>
            <w:hideMark/>
          </w:tcPr>
          <w:p w14:paraId="3591B83A" w14:textId="77777777" w:rsidR="006F4FAD" w:rsidRPr="00D23517" w:rsidRDefault="006F4FAD" w:rsidP="00A1062B">
            <w:pPr>
              <w:spacing w:after="0" w:line="240" w:lineRule="auto"/>
              <w:contextualSpacing/>
              <w:jc w:val="both"/>
              <w:rPr>
                <w:rFonts w:ascii="Times New Roman" w:eastAsia="Times New Roman" w:hAnsi="Times New Roman" w:cs="Times New Roman"/>
                <w:i/>
                <w:color w:val="000000"/>
                <w:sz w:val="20"/>
                <w:szCs w:val="20"/>
              </w:rPr>
            </w:pPr>
          </w:p>
        </w:tc>
        <w:tc>
          <w:tcPr>
            <w:tcW w:w="1258" w:type="pct"/>
            <w:tcBorders>
              <w:top w:val="nil"/>
              <w:left w:val="nil"/>
              <w:bottom w:val="nil"/>
              <w:right w:val="nil"/>
            </w:tcBorders>
            <w:shd w:val="clear" w:color="auto" w:fill="auto"/>
            <w:noWrap/>
            <w:vAlign w:val="bottom"/>
          </w:tcPr>
          <w:p w14:paraId="32555A25"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(-2.100**)</w:t>
            </w:r>
          </w:p>
        </w:tc>
        <w:tc>
          <w:tcPr>
            <w:tcW w:w="1361" w:type="pct"/>
            <w:tcBorders>
              <w:top w:val="nil"/>
              <w:left w:val="nil"/>
              <w:bottom w:val="nil"/>
              <w:right w:val="nil"/>
            </w:tcBorders>
            <w:shd w:val="clear" w:color="auto" w:fill="auto"/>
            <w:noWrap/>
            <w:vAlign w:val="bottom"/>
          </w:tcPr>
          <w:p w14:paraId="0F700573"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(-2.421**)</w:t>
            </w:r>
          </w:p>
        </w:tc>
        <w:tc>
          <w:tcPr>
            <w:tcW w:w="1110" w:type="pct"/>
            <w:tcBorders>
              <w:top w:val="nil"/>
              <w:left w:val="nil"/>
              <w:bottom w:val="nil"/>
              <w:right w:val="nil"/>
            </w:tcBorders>
            <w:shd w:val="clear" w:color="auto" w:fill="auto"/>
            <w:noWrap/>
            <w:vAlign w:val="bottom"/>
          </w:tcPr>
          <w:p w14:paraId="578DD59B"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(-0.465)</w:t>
            </w:r>
          </w:p>
        </w:tc>
      </w:tr>
      <w:tr w:rsidR="006F4FAD" w:rsidRPr="00D23517" w14:paraId="1F5CEAC3" w14:textId="77777777" w:rsidTr="00546E9F">
        <w:trPr>
          <w:trHeight w:val="20"/>
        </w:trPr>
        <w:tc>
          <w:tcPr>
            <w:tcW w:w="1271" w:type="pct"/>
            <w:tcBorders>
              <w:top w:val="nil"/>
              <w:left w:val="nil"/>
              <w:bottom w:val="nil"/>
              <w:right w:val="nil"/>
            </w:tcBorders>
            <w:shd w:val="clear" w:color="auto" w:fill="auto"/>
            <w:noWrap/>
            <w:vAlign w:val="bottom"/>
            <w:hideMark/>
          </w:tcPr>
          <w:p w14:paraId="34F35FC0" w14:textId="77777777" w:rsidR="006F4FAD" w:rsidRPr="00D23517" w:rsidRDefault="006F4FAD" w:rsidP="00A1062B">
            <w:pPr>
              <w:spacing w:after="0" w:line="240" w:lineRule="auto"/>
              <w:contextualSpacing/>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SIGMA</w:t>
            </w:r>
          </w:p>
        </w:tc>
        <w:tc>
          <w:tcPr>
            <w:tcW w:w="1258" w:type="pct"/>
            <w:tcBorders>
              <w:top w:val="nil"/>
              <w:left w:val="nil"/>
              <w:bottom w:val="nil"/>
              <w:right w:val="nil"/>
            </w:tcBorders>
            <w:shd w:val="clear" w:color="auto" w:fill="auto"/>
            <w:noWrap/>
            <w:vAlign w:val="bottom"/>
          </w:tcPr>
          <w:p w14:paraId="77AD0ECE"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-0.106</w:t>
            </w:r>
          </w:p>
        </w:tc>
        <w:tc>
          <w:tcPr>
            <w:tcW w:w="1361" w:type="pct"/>
            <w:tcBorders>
              <w:top w:val="nil"/>
              <w:left w:val="nil"/>
              <w:bottom w:val="nil"/>
              <w:right w:val="nil"/>
            </w:tcBorders>
            <w:shd w:val="clear" w:color="auto" w:fill="auto"/>
            <w:noWrap/>
            <w:vAlign w:val="bottom"/>
          </w:tcPr>
          <w:p w14:paraId="451DEEAB"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-0.125</w:t>
            </w:r>
          </w:p>
        </w:tc>
        <w:tc>
          <w:tcPr>
            <w:tcW w:w="1110" w:type="pct"/>
            <w:tcBorders>
              <w:top w:val="nil"/>
              <w:left w:val="nil"/>
              <w:bottom w:val="nil"/>
              <w:right w:val="nil"/>
            </w:tcBorders>
            <w:shd w:val="clear" w:color="auto" w:fill="auto"/>
            <w:noWrap/>
            <w:vAlign w:val="bottom"/>
          </w:tcPr>
          <w:p w14:paraId="2859FD73"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-0.050</w:t>
            </w:r>
          </w:p>
        </w:tc>
      </w:tr>
      <w:tr w:rsidR="006F4FAD" w:rsidRPr="00D23517" w14:paraId="6CF87338" w14:textId="77777777" w:rsidTr="00546E9F">
        <w:trPr>
          <w:trHeight w:val="20"/>
        </w:trPr>
        <w:tc>
          <w:tcPr>
            <w:tcW w:w="1271" w:type="pct"/>
            <w:tcBorders>
              <w:top w:val="nil"/>
              <w:left w:val="nil"/>
              <w:bottom w:val="nil"/>
              <w:right w:val="nil"/>
            </w:tcBorders>
            <w:shd w:val="clear" w:color="auto" w:fill="auto"/>
            <w:noWrap/>
            <w:vAlign w:val="bottom"/>
            <w:hideMark/>
          </w:tcPr>
          <w:p w14:paraId="4AA70757" w14:textId="77777777" w:rsidR="006F4FAD" w:rsidRPr="00D23517" w:rsidRDefault="006F4FAD" w:rsidP="00A1062B">
            <w:pPr>
              <w:spacing w:after="0" w:line="240" w:lineRule="auto"/>
              <w:contextualSpacing/>
              <w:jc w:val="both"/>
              <w:rPr>
                <w:rFonts w:ascii="Times New Roman" w:eastAsia="Times New Roman" w:hAnsi="Times New Roman" w:cs="Times New Roman"/>
                <w:i/>
                <w:color w:val="000000"/>
                <w:sz w:val="20"/>
                <w:szCs w:val="20"/>
              </w:rPr>
            </w:pPr>
          </w:p>
        </w:tc>
        <w:tc>
          <w:tcPr>
            <w:tcW w:w="1258" w:type="pct"/>
            <w:tcBorders>
              <w:top w:val="nil"/>
              <w:left w:val="nil"/>
              <w:bottom w:val="nil"/>
              <w:right w:val="nil"/>
            </w:tcBorders>
            <w:shd w:val="clear" w:color="auto" w:fill="auto"/>
            <w:noWrap/>
            <w:vAlign w:val="bottom"/>
          </w:tcPr>
          <w:p w14:paraId="04D17FE8"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(-5.117***)</w:t>
            </w:r>
          </w:p>
        </w:tc>
        <w:tc>
          <w:tcPr>
            <w:tcW w:w="1361" w:type="pct"/>
            <w:tcBorders>
              <w:top w:val="nil"/>
              <w:left w:val="nil"/>
              <w:bottom w:val="nil"/>
              <w:right w:val="nil"/>
            </w:tcBorders>
            <w:shd w:val="clear" w:color="auto" w:fill="auto"/>
            <w:noWrap/>
            <w:vAlign w:val="bottom"/>
          </w:tcPr>
          <w:p w14:paraId="74249EF3"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(-6.353***)</w:t>
            </w:r>
          </w:p>
        </w:tc>
        <w:tc>
          <w:tcPr>
            <w:tcW w:w="1110" w:type="pct"/>
            <w:tcBorders>
              <w:top w:val="nil"/>
              <w:left w:val="nil"/>
              <w:bottom w:val="nil"/>
              <w:right w:val="nil"/>
            </w:tcBorders>
            <w:shd w:val="clear" w:color="auto" w:fill="auto"/>
            <w:noWrap/>
            <w:vAlign w:val="bottom"/>
          </w:tcPr>
          <w:p w14:paraId="3BF2CEE8"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(-2.690***)</w:t>
            </w:r>
          </w:p>
        </w:tc>
      </w:tr>
      <w:tr w:rsidR="006F4FAD" w:rsidRPr="00D23517" w14:paraId="2285B73C" w14:textId="77777777" w:rsidTr="00546E9F">
        <w:trPr>
          <w:trHeight w:val="20"/>
        </w:trPr>
        <w:tc>
          <w:tcPr>
            <w:tcW w:w="1271" w:type="pct"/>
            <w:tcBorders>
              <w:top w:val="nil"/>
              <w:left w:val="nil"/>
              <w:bottom w:val="nil"/>
              <w:right w:val="nil"/>
            </w:tcBorders>
            <w:shd w:val="clear" w:color="auto" w:fill="auto"/>
            <w:noWrap/>
            <w:vAlign w:val="bottom"/>
            <w:hideMark/>
          </w:tcPr>
          <w:p w14:paraId="12691C7D" w14:textId="77777777" w:rsidR="006F4FAD" w:rsidRPr="00D23517" w:rsidRDefault="006F4FAD" w:rsidP="00A1062B">
            <w:pPr>
              <w:spacing w:after="0" w:line="240" w:lineRule="auto"/>
              <w:contextualSpacing/>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DTURN</w:t>
            </w:r>
          </w:p>
        </w:tc>
        <w:tc>
          <w:tcPr>
            <w:tcW w:w="1258" w:type="pct"/>
            <w:tcBorders>
              <w:top w:val="nil"/>
              <w:left w:val="nil"/>
              <w:bottom w:val="nil"/>
              <w:right w:val="nil"/>
            </w:tcBorders>
            <w:shd w:val="clear" w:color="auto" w:fill="auto"/>
            <w:noWrap/>
            <w:vAlign w:val="bottom"/>
          </w:tcPr>
          <w:p w14:paraId="6576A5AC"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0.037</w:t>
            </w:r>
          </w:p>
        </w:tc>
        <w:tc>
          <w:tcPr>
            <w:tcW w:w="1361" w:type="pct"/>
            <w:tcBorders>
              <w:top w:val="nil"/>
              <w:left w:val="nil"/>
              <w:bottom w:val="nil"/>
              <w:right w:val="nil"/>
            </w:tcBorders>
            <w:shd w:val="clear" w:color="auto" w:fill="auto"/>
            <w:noWrap/>
            <w:vAlign w:val="bottom"/>
          </w:tcPr>
          <w:p w14:paraId="13BEB584"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0.039</w:t>
            </w:r>
          </w:p>
        </w:tc>
        <w:tc>
          <w:tcPr>
            <w:tcW w:w="1110" w:type="pct"/>
            <w:tcBorders>
              <w:top w:val="nil"/>
              <w:left w:val="nil"/>
              <w:bottom w:val="nil"/>
              <w:right w:val="nil"/>
            </w:tcBorders>
            <w:shd w:val="clear" w:color="auto" w:fill="auto"/>
            <w:noWrap/>
            <w:vAlign w:val="bottom"/>
          </w:tcPr>
          <w:p w14:paraId="1646505D"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0.034</w:t>
            </w:r>
          </w:p>
        </w:tc>
      </w:tr>
      <w:tr w:rsidR="006F4FAD" w:rsidRPr="00D23517" w14:paraId="370ACBDB" w14:textId="77777777" w:rsidTr="00546E9F">
        <w:trPr>
          <w:trHeight w:val="20"/>
        </w:trPr>
        <w:tc>
          <w:tcPr>
            <w:tcW w:w="1271" w:type="pct"/>
            <w:tcBorders>
              <w:top w:val="nil"/>
              <w:left w:val="nil"/>
              <w:bottom w:val="nil"/>
              <w:right w:val="nil"/>
            </w:tcBorders>
            <w:shd w:val="clear" w:color="auto" w:fill="auto"/>
            <w:noWrap/>
            <w:vAlign w:val="bottom"/>
            <w:hideMark/>
          </w:tcPr>
          <w:p w14:paraId="7ED33C27"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p>
        </w:tc>
        <w:tc>
          <w:tcPr>
            <w:tcW w:w="1258" w:type="pct"/>
            <w:tcBorders>
              <w:top w:val="nil"/>
              <w:left w:val="nil"/>
              <w:bottom w:val="nil"/>
              <w:right w:val="nil"/>
            </w:tcBorders>
            <w:shd w:val="clear" w:color="auto" w:fill="auto"/>
            <w:noWrap/>
            <w:vAlign w:val="bottom"/>
          </w:tcPr>
          <w:p w14:paraId="08B7AFB0"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(5.046***)</w:t>
            </w:r>
          </w:p>
        </w:tc>
        <w:tc>
          <w:tcPr>
            <w:tcW w:w="1361" w:type="pct"/>
            <w:tcBorders>
              <w:top w:val="nil"/>
              <w:left w:val="nil"/>
              <w:bottom w:val="nil"/>
              <w:right w:val="nil"/>
            </w:tcBorders>
            <w:shd w:val="clear" w:color="auto" w:fill="auto"/>
            <w:noWrap/>
            <w:vAlign w:val="bottom"/>
          </w:tcPr>
          <w:p w14:paraId="09DBAECF"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(5.299***)</w:t>
            </w:r>
          </w:p>
        </w:tc>
        <w:tc>
          <w:tcPr>
            <w:tcW w:w="1110" w:type="pct"/>
            <w:tcBorders>
              <w:top w:val="nil"/>
              <w:left w:val="nil"/>
              <w:bottom w:val="nil"/>
              <w:right w:val="nil"/>
            </w:tcBorders>
            <w:shd w:val="clear" w:color="auto" w:fill="auto"/>
            <w:noWrap/>
            <w:vAlign w:val="bottom"/>
          </w:tcPr>
          <w:p w14:paraId="4BCDF3B2"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(3.902***)</w:t>
            </w:r>
          </w:p>
        </w:tc>
      </w:tr>
      <w:tr w:rsidR="006F4FAD" w:rsidRPr="00D23517" w14:paraId="772B3190" w14:textId="77777777" w:rsidTr="00546E9F">
        <w:trPr>
          <w:trHeight w:val="20"/>
        </w:trPr>
        <w:tc>
          <w:tcPr>
            <w:tcW w:w="1271" w:type="pct"/>
            <w:tcBorders>
              <w:top w:val="nil"/>
              <w:left w:val="nil"/>
              <w:bottom w:val="nil"/>
              <w:right w:val="nil"/>
            </w:tcBorders>
            <w:shd w:val="clear" w:color="auto" w:fill="auto"/>
            <w:noWrap/>
            <w:vAlign w:val="bottom"/>
            <w:hideMark/>
          </w:tcPr>
          <w:p w14:paraId="343B6262" w14:textId="77777777" w:rsidR="006F4FAD" w:rsidRPr="00D23517" w:rsidRDefault="006F4FAD" w:rsidP="00A1062B">
            <w:pPr>
              <w:spacing w:after="0" w:line="240" w:lineRule="auto"/>
              <w:contextualSpacing/>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MKBK</w:t>
            </w:r>
          </w:p>
        </w:tc>
        <w:tc>
          <w:tcPr>
            <w:tcW w:w="1258" w:type="pct"/>
            <w:tcBorders>
              <w:top w:val="nil"/>
              <w:left w:val="nil"/>
              <w:bottom w:val="nil"/>
              <w:right w:val="nil"/>
            </w:tcBorders>
            <w:shd w:val="clear" w:color="auto" w:fill="auto"/>
            <w:noWrap/>
            <w:vAlign w:val="bottom"/>
          </w:tcPr>
          <w:p w14:paraId="653A0A90"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0.080</w:t>
            </w:r>
          </w:p>
        </w:tc>
        <w:tc>
          <w:tcPr>
            <w:tcW w:w="1361" w:type="pct"/>
            <w:tcBorders>
              <w:top w:val="nil"/>
              <w:left w:val="nil"/>
              <w:bottom w:val="nil"/>
              <w:right w:val="nil"/>
            </w:tcBorders>
            <w:shd w:val="clear" w:color="auto" w:fill="auto"/>
            <w:noWrap/>
            <w:vAlign w:val="bottom"/>
          </w:tcPr>
          <w:p w14:paraId="7EB422A8"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0.087</w:t>
            </w:r>
          </w:p>
        </w:tc>
        <w:tc>
          <w:tcPr>
            <w:tcW w:w="1110" w:type="pct"/>
            <w:tcBorders>
              <w:top w:val="nil"/>
              <w:left w:val="nil"/>
              <w:bottom w:val="nil"/>
              <w:right w:val="nil"/>
            </w:tcBorders>
            <w:shd w:val="clear" w:color="auto" w:fill="auto"/>
            <w:noWrap/>
            <w:vAlign w:val="bottom"/>
          </w:tcPr>
          <w:p w14:paraId="5FA279E5"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0.060</w:t>
            </w:r>
          </w:p>
        </w:tc>
      </w:tr>
      <w:tr w:rsidR="006F4FAD" w:rsidRPr="00D23517" w14:paraId="56B7A484" w14:textId="77777777" w:rsidTr="00546E9F">
        <w:trPr>
          <w:trHeight w:val="20"/>
        </w:trPr>
        <w:tc>
          <w:tcPr>
            <w:tcW w:w="1271" w:type="pct"/>
            <w:tcBorders>
              <w:top w:val="nil"/>
              <w:left w:val="nil"/>
              <w:bottom w:val="nil"/>
              <w:right w:val="nil"/>
            </w:tcBorders>
            <w:shd w:val="clear" w:color="auto" w:fill="auto"/>
            <w:noWrap/>
            <w:vAlign w:val="bottom"/>
            <w:hideMark/>
          </w:tcPr>
          <w:p w14:paraId="4F194651" w14:textId="77777777" w:rsidR="006F4FAD" w:rsidRPr="00D23517" w:rsidRDefault="006F4FAD" w:rsidP="00A1062B">
            <w:pPr>
              <w:spacing w:after="0" w:line="240" w:lineRule="auto"/>
              <w:contextualSpacing/>
              <w:jc w:val="both"/>
              <w:rPr>
                <w:rFonts w:ascii="Times New Roman" w:eastAsia="Times New Roman" w:hAnsi="Times New Roman" w:cs="Times New Roman"/>
                <w:i/>
                <w:color w:val="000000"/>
                <w:sz w:val="20"/>
                <w:szCs w:val="20"/>
              </w:rPr>
            </w:pPr>
          </w:p>
        </w:tc>
        <w:tc>
          <w:tcPr>
            <w:tcW w:w="1258" w:type="pct"/>
            <w:tcBorders>
              <w:top w:val="nil"/>
              <w:left w:val="nil"/>
              <w:bottom w:val="nil"/>
              <w:right w:val="nil"/>
            </w:tcBorders>
            <w:shd w:val="clear" w:color="auto" w:fill="auto"/>
            <w:noWrap/>
            <w:vAlign w:val="bottom"/>
          </w:tcPr>
          <w:p w14:paraId="17AB6593"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(11.525***)</w:t>
            </w:r>
          </w:p>
        </w:tc>
        <w:tc>
          <w:tcPr>
            <w:tcW w:w="1361" w:type="pct"/>
            <w:tcBorders>
              <w:top w:val="nil"/>
              <w:left w:val="nil"/>
              <w:bottom w:val="nil"/>
              <w:right w:val="nil"/>
            </w:tcBorders>
            <w:shd w:val="clear" w:color="auto" w:fill="auto"/>
            <w:noWrap/>
            <w:vAlign w:val="bottom"/>
          </w:tcPr>
          <w:p w14:paraId="25646B35"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(12.590***)</w:t>
            </w:r>
          </w:p>
        </w:tc>
        <w:tc>
          <w:tcPr>
            <w:tcW w:w="1110" w:type="pct"/>
            <w:tcBorders>
              <w:top w:val="nil"/>
              <w:left w:val="nil"/>
              <w:bottom w:val="nil"/>
              <w:right w:val="nil"/>
            </w:tcBorders>
            <w:shd w:val="clear" w:color="auto" w:fill="auto"/>
            <w:noWrap/>
            <w:vAlign w:val="bottom"/>
          </w:tcPr>
          <w:p w14:paraId="18718994"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(9.174***)</w:t>
            </w:r>
          </w:p>
        </w:tc>
      </w:tr>
      <w:tr w:rsidR="006F4FAD" w:rsidRPr="00D23517" w14:paraId="3E6A618E" w14:textId="77777777" w:rsidTr="00546E9F">
        <w:trPr>
          <w:trHeight w:val="20"/>
        </w:trPr>
        <w:tc>
          <w:tcPr>
            <w:tcW w:w="1271" w:type="pct"/>
            <w:tcBorders>
              <w:top w:val="nil"/>
              <w:left w:val="nil"/>
              <w:bottom w:val="nil"/>
              <w:right w:val="nil"/>
            </w:tcBorders>
            <w:shd w:val="clear" w:color="auto" w:fill="auto"/>
            <w:noWrap/>
            <w:vAlign w:val="bottom"/>
            <w:hideMark/>
          </w:tcPr>
          <w:p w14:paraId="5E2F4D2B" w14:textId="77777777" w:rsidR="006F4FAD" w:rsidRPr="00D23517" w:rsidRDefault="006F4FAD" w:rsidP="00A1062B">
            <w:pPr>
              <w:spacing w:after="0" w:line="240" w:lineRule="auto"/>
              <w:contextualSpacing/>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DEBT</w:t>
            </w:r>
          </w:p>
        </w:tc>
        <w:tc>
          <w:tcPr>
            <w:tcW w:w="1258" w:type="pct"/>
            <w:tcBorders>
              <w:top w:val="nil"/>
              <w:left w:val="nil"/>
              <w:bottom w:val="nil"/>
              <w:right w:val="nil"/>
            </w:tcBorders>
            <w:shd w:val="clear" w:color="auto" w:fill="auto"/>
            <w:noWrap/>
            <w:vAlign w:val="bottom"/>
          </w:tcPr>
          <w:p w14:paraId="57B05611"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-0.076</w:t>
            </w:r>
          </w:p>
        </w:tc>
        <w:tc>
          <w:tcPr>
            <w:tcW w:w="1361" w:type="pct"/>
            <w:tcBorders>
              <w:top w:val="nil"/>
              <w:left w:val="nil"/>
              <w:bottom w:val="nil"/>
              <w:right w:val="nil"/>
            </w:tcBorders>
            <w:shd w:val="clear" w:color="auto" w:fill="auto"/>
            <w:noWrap/>
            <w:vAlign w:val="bottom"/>
          </w:tcPr>
          <w:p w14:paraId="22E2B626"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-0.085</w:t>
            </w:r>
          </w:p>
        </w:tc>
        <w:tc>
          <w:tcPr>
            <w:tcW w:w="1110" w:type="pct"/>
            <w:tcBorders>
              <w:top w:val="nil"/>
              <w:left w:val="nil"/>
              <w:bottom w:val="nil"/>
              <w:right w:val="nil"/>
            </w:tcBorders>
            <w:shd w:val="clear" w:color="auto" w:fill="auto"/>
            <w:noWrap/>
            <w:vAlign w:val="bottom"/>
          </w:tcPr>
          <w:p w14:paraId="6E729FD3"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-0.051</w:t>
            </w:r>
          </w:p>
        </w:tc>
      </w:tr>
      <w:tr w:rsidR="006F4FAD" w:rsidRPr="00D23517" w14:paraId="489A0C70" w14:textId="77777777" w:rsidTr="00546E9F">
        <w:trPr>
          <w:trHeight w:val="20"/>
        </w:trPr>
        <w:tc>
          <w:tcPr>
            <w:tcW w:w="1271" w:type="pct"/>
            <w:tcBorders>
              <w:top w:val="nil"/>
              <w:left w:val="nil"/>
              <w:bottom w:val="nil"/>
              <w:right w:val="nil"/>
            </w:tcBorders>
            <w:shd w:val="clear" w:color="auto" w:fill="auto"/>
            <w:noWrap/>
            <w:vAlign w:val="bottom"/>
            <w:hideMark/>
          </w:tcPr>
          <w:p w14:paraId="122D60D3" w14:textId="77777777" w:rsidR="006F4FAD" w:rsidRPr="00D23517" w:rsidRDefault="006F4FAD" w:rsidP="00A1062B">
            <w:pPr>
              <w:spacing w:after="0" w:line="240" w:lineRule="auto"/>
              <w:contextualSpacing/>
              <w:jc w:val="both"/>
              <w:rPr>
                <w:rFonts w:ascii="Times New Roman" w:eastAsia="Times New Roman" w:hAnsi="Times New Roman" w:cs="Times New Roman"/>
                <w:i/>
                <w:color w:val="000000"/>
                <w:sz w:val="20"/>
                <w:szCs w:val="20"/>
              </w:rPr>
            </w:pPr>
          </w:p>
        </w:tc>
        <w:tc>
          <w:tcPr>
            <w:tcW w:w="1258" w:type="pct"/>
            <w:tcBorders>
              <w:top w:val="nil"/>
              <w:left w:val="nil"/>
              <w:bottom w:val="nil"/>
              <w:right w:val="nil"/>
            </w:tcBorders>
            <w:shd w:val="clear" w:color="auto" w:fill="auto"/>
            <w:noWrap/>
            <w:vAlign w:val="bottom"/>
          </w:tcPr>
          <w:p w14:paraId="71E84921"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(-8.056***)</w:t>
            </w:r>
          </w:p>
        </w:tc>
        <w:tc>
          <w:tcPr>
            <w:tcW w:w="1361" w:type="pct"/>
            <w:tcBorders>
              <w:top w:val="nil"/>
              <w:left w:val="nil"/>
              <w:bottom w:val="nil"/>
              <w:right w:val="nil"/>
            </w:tcBorders>
            <w:shd w:val="clear" w:color="auto" w:fill="auto"/>
            <w:noWrap/>
            <w:vAlign w:val="bottom"/>
          </w:tcPr>
          <w:p w14:paraId="774A65F4"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(-9.082***)</w:t>
            </w:r>
          </w:p>
        </w:tc>
        <w:tc>
          <w:tcPr>
            <w:tcW w:w="1110" w:type="pct"/>
            <w:tcBorders>
              <w:top w:val="nil"/>
              <w:left w:val="nil"/>
              <w:bottom w:val="nil"/>
              <w:right w:val="nil"/>
            </w:tcBorders>
            <w:shd w:val="clear" w:color="auto" w:fill="auto"/>
            <w:noWrap/>
            <w:vAlign w:val="bottom"/>
          </w:tcPr>
          <w:p w14:paraId="7C36424A"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(-5.419***)</w:t>
            </w:r>
          </w:p>
        </w:tc>
      </w:tr>
      <w:tr w:rsidR="006F4FAD" w:rsidRPr="00D23517" w14:paraId="695A918A" w14:textId="77777777" w:rsidTr="00546E9F">
        <w:trPr>
          <w:trHeight w:val="20"/>
        </w:trPr>
        <w:tc>
          <w:tcPr>
            <w:tcW w:w="1271" w:type="pct"/>
            <w:tcBorders>
              <w:top w:val="nil"/>
              <w:left w:val="nil"/>
              <w:bottom w:val="nil"/>
              <w:right w:val="nil"/>
            </w:tcBorders>
            <w:shd w:val="clear" w:color="auto" w:fill="auto"/>
            <w:noWrap/>
            <w:vAlign w:val="bottom"/>
            <w:hideMark/>
          </w:tcPr>
          <w:p w14:paraId="58DC12C2" w14:textId="77777777" w:rsidR="006F4FAD" w:rsidRPr="00D23517" w:rsidRDefault="006F4FAD" w:rsidP="00A1062B">
            <w:pPr>
              <w:spacing w:after="0" w:line="240" w:lineRule="auto"/>
              <w:contextualSpacing/>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DISACC</w:t>
            </w:r>
          </w:p>
        </w:tc>
        <w:tc>
          <w:tcPr>
            <w:tcW w:w="1258" w:type="pct"/>
            <w:tcBorders>
              <w:top w:val="nil"/>
              <w:left w:val="nil"/>
              <w:bottom w:val="nil"/>
              <w:right w:val="nil"/>
            </w:tcBorders>
            <w:shd w:val="clear" w:color="auto" w:fill="auto"/>
            <w:noWrap/>
            <w:vAlign w:val="bottom"/>
          </w:tcPr>
          <w:p w14:paraId="0DC86FCD"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0.021</w:t>
            </w:r>
          </w:p>
        </w:tc>
        <w:tc>
          <w:tcPr>
            <w:tcW w:w="1361" w:type="pct"/>
            <w:tcBorders>
              <w:top w:val="nil"/>
              <w:left w:val="nil"/>
              <w:bottom w:val="nil"/>
              <w:right w:val="nil"/>
            </w:tcBorders>
            <w:shd w:val="clear" w:color="auto" w:fill="auto"/>
            <w:noWrap/>
            <w:vAlign w:val="bottom"/>
          </w:tcPr>
          <w:p w14:paraId="5D75BE59"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0.020</w:t>
            </w:r>
          </w:p>
        </w:tc>
        <w:tc>
          <w:tcPr>
            <w:tcW w:w="1110" w:type="pct"/>
            <w:tcBorders>
              <w:top w:val="nil"/>
              <w:left w:val="nil"/>
              <w:bottom w:val="nil"/>
              <w:right w:val="nil"/>
            </w:tcBorders>
            <w:shd w:val="clear" w:color="auto" w:fill="auto"/>
            <w:noWrap/>
            <w:vAlign w:val="bottom"/>
          </w:tcPr>
          <w:p w14:paraId="091442FD"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0.016</w:t>
            </w:r>
          </w:p>
        </w:tc>
      </w:tr>
      <w:tr w:rsidR="006F4FAD" w:rsidRPr="00D23517" w14:paraId="66886CF4" w14:textId="77777777" w:rsidTr="00546E9F">
        <w:trPr>
          <w:trHeight w:val="20"/>
        </w:trPr>
        <w:tc>
          <w:tcPr>
            <w:tcW w:w="1271" w:type="pct"/>
            <w:tcBorders>
              <w:top w:val="nil"/>
              <w:left w:val="nil"/>
              <w:bottom w:val="nil"/>
              <w:right w:val="nil"/>
            </w:tcBorders>
            <w:shd w:val="clear" w:color="auto" w:fill="auto"/>
            <w:noWrap/>
            <w:vAlign w:val="bottom"/>
            <w:hideMark/>
          </w:tcPr>
          <w:p w14:paraId="528E4CB9"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p>
        </w:tc>
        <w:tc>
          <w:tcPr>
            <w:tcW w:w="1258" w:type="pct"/>
            <w:tcBorders>
              <w:top w:val="nil"/>
              <w:left w:val="nil"/>
              <w:bottom w:val="nil"/>
              <w:right w:val="nil"/>
            </w:tcBorders>
            <w:shd w:val="clear" w:color="auto" w:fill="auto"/>
            <w:noWrap/>
            <w:vAlign w:val="bottom"/>
          </w:tcPr>
          <w:p w14:paraId="38223D22"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(3.923***)</w:t>
            </w:r>
          </w:p>
        </w:tc>
        <w:tc>
          <w:tcPr>
            <w:tcW w:w="1361" w:type="pct"/>
            <w:tcBorders>
              <w:top w:val="nil"/>
              <w:left w:val="nil"/>
              <w:bottom w:val="nil"/>
              <w:right w:val="nil"/>
            </w:tcBorders>
            <w:shd w:val="clear" w:color="auto" w:fill="auto"/>
            <w:noWrap/>
            <w:vAlign w:val="bottom"/>
          </w:tcPr>
          <w:p w14:paraId="149018B9"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(3.903***)</w:t>
            </w:r>
          </w:p>
        </w:tc>
        <w:tc>
          <w:tcPr>
            <w:tcW w:w="1110" w:type="pct"/>
            <w:tcBorders>
              <w:top w:val="nil"/>
              <w:left w:val="nil"/>
              <w:bottom w:val="nil"/>
              <w:right w:val="nil"/>
            </w:tcBorders>
            <w:shd w:val="clear" w:color="auto" w:fill="auto"/>
            <w:noWrap/>
            <w:vAlign w:val="bottom"/>
          </w:tcPr>
          <w:p w14:paraId="77111CBD"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(2.899***)</w:t>
            </w:r>
          </w:p>
        </w:tc>
      </w:tr>
      <w:tr w:rsidR="006F4FAD" w:rsidRPr="00D23517" w14:paraId="46A13CF6" w14:textId="77777777" w:rsidTr="00546E9F">
        <w:trPr>
          <w:trHeight w:val="20"/>
        </w:trPr>
        <w:tc>
          <w:tcPr>
            <w:tcW w:w="1271" w:type="pct"/>
            <w:tcBorders>
              <w:top w:val="nil"/>
              <w:left w:val="nil"/>
              <w:bottom w:val="nil"/>
              <w:right w:val="nil"/>
            </w:tcBorders>
            <w:shd w:val="clear" w:color="auto" w:fill="auto"/>
            <w:noWrap/>
            <w:vAlign w:val="bottom"/>
          </w:tcPr>
          <w:p w14:paraId="1AC8B4DE" w14:textId="77777777" w:rsidR="006F4FAD" w:rsidRPr="00D23517" w:rsidRDefault="006F4FAD" w:rsidP="00A1062B">
            <w:pPr>
              <w:spacing w:after="0" w:line="240" w:lineRule="auto"/>
              <w:contextualSpacing/>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REALEM</w:t>
            </w:r>
          </w:p>
        </w:tc>
        <w:tc>
          <w:tcPr>
            <w:tcW w:w="1258" w:type="pct"/>
            <w:tcBorders>
              <w:top w:val="nil"/>
              <w:left w:val="nil"/>
              <w:bottom w:val="nil"/>
              <w:right w:val="nil"/>
            </w:tcBorders>
            <w:shd w:val="clear" w:color="auto" w:fill="auto"/>
            <w:noWrap/>
            <w:vAlign w:val="bottom"/>
          </w:tcPr>
          <w:p w14:paraId="20CF7587"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0.062</w:t>
            </w:r>
          </w:p>
        </w:tc>
        <w:tc>
          <w:tcPr>
            <w:tcW w:w="1361" w:type="pct"/>
            <w:tcBorders>
              <w:top w:val="nil"/>
              <w:left w:val="nil"/>
              <w:bottom w:val="nil"/>
              <w:right w:val="nil"/>
            </w:tcBorders>
            <w:shd w:val="clear" w:color="auto" w:fill="auto"/>
            <w:noWrap/>
            <w:vAlign w:val="bottom"/>
          </w:tcPr>
          <w:p w14:paraId="51DC7D74"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0.070</w:t>
            </w:r>
          </w:p>
        </w:tc>
        <w:tc>
          <w:tcPr>
            <w:tcW w:w="1110" w:type="pct"/>
            <w:tcBorders>
              <w:top w:val="nil"/>
              <w:left w:val="nil"/>
              <w:bottom w:val="nil"/>
              <w:right w:val="nil"/>
            </w:tcBorders>
            <w:shd w:val="clear" w:color="auto" w:fill="auto"/>
            <w:noWrap/>
            <w:vAlign w:val="bottom"/>
          </w:tcPr>
          <w:p w14:paraId="12C5BAF0"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0.056</w:t>
            </w:r>
          </w:p>
        </w:tc>
      </w:tr>
      <w:tr w:rsidR="006F4FAD" w:rsidRPr="00D23517" w14:paraId="30530204" w14:textId="77777777" w:rsidTr="00546E9F">
        <w:trPr>
          <w:trHeight w:val="20"/>
        </w:trPr>
        <w:tc>
          <w:tcPr>
            <w:tcW w:w="1271" w:type="pct"/>
            <w:tcBorders>
              <w:top w:val="nil"/>
              <w:left w:val="nil"/>
              <w:bottom w:val="nil"/>
              <w:right w:val="nil"/>
            </w:tcBorders>
            <w:shd w:val="clear" w:color="auto" w:fill="auto"/>
            <w:noWrap/>
            <w:vAlign w:val="bottom"/>
          </w:tcPr>
          <w:p w14:paraId="32AC96EA" w14:textId="77777777" w:rsidR="006F4FAD" w:rsidRPr="00D23517" w:rsidRDefault="006F4FAD" w:rsidP="00A1062B">
            <w:pPr>
              <w:spacing w:after="0" w:line="240" w:lineRule="auto"/>
              <w:contextualSpacing/>
              <w:jc w:val="both"/>
              <w:rPr>
                <w:rFonts w:ascii="Times New Roman" w:eastAsia="Times New Roman" w:hAnsi="Times New Roman" w:cs="Times New Roman"/>
                <w:i/>
                <w:color w:val="000000"/>
                <w:sz w:val="20"/>
                <w:szCs w:val="20"/>
              </w:rPr>
            </w:pPr>
          </w:p>
        </w:tc>
        <w:tc>
          <w:tcPr>
            <w:tcW w:w="1258" w:type="pct"/>
            <w:tcBorders>
              <w:top w:val="nil"/>
              <w:left w:val="nil"/>
              <w:bottom w:val="nil"/>
              <w:right w:val="nil"/>
            </w:tcBorders>
            <w:shd w:val="clear" w:color="auto" w:fill="auto"/>
            <w:noWrap/>
            <w:vAlign w:val="bottom"/>
          </w:tcPr>
          <w:p w14:paraId="222657EA"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(2.638***)</w:t>
            </w:r>
          </w:p>
        </w:tc>
        <w:tc>
          <w:tcPr>
            <w:tcW w:w="1361" w:type="pct"/>
            <w:tcBorders>
              <w:top w:val="nil"/>
              <w:left w:val="nil"/>
              <w:bottom w:val="nil"/>
              <w:right w:val="nil"/>
            </w:tcBorders>
            <w:shd w:val="clear" w:color="auto" w:fill="auto"/>
            <w:noWrap/>
            <w:vAlign w:val="bottom"/>
          </w:tcPr>
          <w:p w14:paraId="34077BBC"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(2.596***)</w:t>
            </w:r>
          </w:p>
        </w:tc>
        <w:tc>
          <w:tcPr>
            <w:tcW w:w="1110" w:type="pct"/>
            <w:tcBorders>
              <w:top w:val="nil"/>
              <w:left w:val="nil"/>
              <w:bottom w:val="nil"/>
              <w:right w:val="nil"/>
            </w:tcBorders>
            <w:shd w:val="clear" w:color="auto" w:fill="auto"/>
            <w:noWrap/>
            <w:vAlign w:val="bottom"/>
          </w:tcPr>
          <w:p w14:paraId="1E2298F7"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(2.690***)</w:t>
            </w:r>
          </w:p>
        </w:tc>
      </w:tr>
      <w:tr w:rsidR="006F4FAD" w:rsidRPr="00D23517" w14:paraId="0917EEBE" w14:textId="77777777" w:rsidTr="00546E9F">
        <w:trPr>
          <w:trHeight w:val="20"/>
        </w:trPr>
        <w:tc>
          <w:tcPr>
            <w:tcW w:w="1271" w:type="pct"/>
            <w:tcBorders>
              <w:top w:val="nil"/>
              <w:left w:val="nil"/>
              <w:bottom w:val="nil"/>
              <w:right w:val="nil"/>
            </w:tcBorders>
            <w:shd w:val="clear" w:color="auto" w:fill="auto"/>
            <w:noWrap/>
            <w:vAlign w:val="bottom"/>
          </w:tcPr>
          <w:p w14:paraId="7B811576" w14:textId="77777777" w:rsidR="006F4FAD" w:rsidRPr="00D23517" w:rsidRDefault="006F4FAD" w:rsidP="00A1062B">
            <w:pPr>
              <w:spacing w:after="0" w:line="240" w:lineRule="auto"/>
              <w:contextualSpacing/>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INSTOWN_TRAN</w:t>
            </w:r>
          </w:p>
        </w:tc>
        <w:tc>
          <w:tcPr>
            <w:tcW w:w="1258" w:type="pct"/>
            <w:tcBorders>
              <w:top w:val="nil"/>
              <w:left w:val="nil"/>
              <w:bottom w:val="nil"/>
              <w:right w:val="nil"/>
            </w:tcBorders>
            <w:shd w:val="clear" w:color="auto" w:fill="auto"/>
            <w:noWrap/>
            <w:vAlign w:val="bottom"/>
          </w:tcPr>
          <w:p w14:paraId="2221510C"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0.098</w:t>
            </w:r>
          </w:p>
        </w:tc>
        <w:tc>
          <w:tcPr>
            <w:tcW w:w="1361" w:type="pct"/>
            <w:tcBorders>
              <w:top w:val="nil"/>
              <w:left w:val="nil"/>
              <w:bottom w:val="nil"/>
              <w:right w:val="nil"/>
            </w:tcBorders>
            <w:shd w:val="clear" w:color="auto" w:fill="auto"/>
            <w:noWrap/>
            <w:vAlign w:val="bottom"/>
          </w:tcPr>
          <w:p w14:paraId="732EF287"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0.115</w:t>
            </w:r>
          </w:p>
        </w:tc>
        <w:tc>
          <w:tcPr>
            <w:tcW w:w="1110" w:type="pct"/>
            <w:tcBorders>
              <w:top w:val="nil"/>
              <w:left w:val="nil"/>
              <w:bottom w:val="nil"/>
              <w:right w:val="nil"/>
            </w:tcBorders>
            <w:shd w:val="clear" w:color="auto" w:fill="auto"/>
            <w:noWrap/>
            <w:vAlign w:val="bottom"/>
          </w:tcPr>
          <w:p w14:paraId="6B1B1595"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0.071</w:t>
            </w:r>
          </w:p>
        </w:tc>
      </w:tr>
      <w:tr w:rsidR="006F4FAD" w:rsidRPr="00D23517" w14:paraId="35840BF4" w14:textId="77777777" w:rsidTr="00546E9F">
        <w:trPr>
          <w:trHeight w:val="20"/>
        </w:trPr>
        <w:tc>
          <w:tcPr>
            <w:tcW w:w="1271" w:type="pct"/>
            <w:tcBorders>
              <w:top w:val="nil"/>
              <w:left w:val="nil"/>
              <w:bottom w:val="nil"/>
              <w:right w:val="nil"/>
            </w:tcBorders>
            <w:shd w:val="clear" w:color="auto" w:fill="auto"/>
            <w:noWrap/>
            <w:vAlign w:val="bottom"/>
          </w:tcPr>
          <w:p w14:paraId="762E9B01" w14:textId="77777777" w:rsidR="006F4FAD" w:rsidRPr="00D23517" w:rsidRDefault="006F4FAD" w:rsidP="00A1062B">
            <w:pPr>
              <w:spacing w:after="0" w:line="240" w:lineRule="auto"/>
              <w:contextualSpacing/>
              <w:jc w:val="both"/>
              <w:rPr>
                <w:rFonts w:ascii="Times New Roman" w:eastAsia="Times New Roman" w:hAnsi="Times New Roman" w:cs="Times New Roman"/>
                <w:i/>
                <w:color w:val="000000"/>
                <w:sz w:val="20"/>
                <w:szCs w:val="20"/>
              </w:rPr>
            </w:pPr>
          </w:p>
        </w:tc>
        <w:tc>
          <w:tcPr>
            <w:tcW w:w="1258" w:type="pct"/>
            <w:tcBorders>
              <w:top w:val="nil"/>
              <w:left w:val="nil"/>
              <w:bottom w:val="nil"/>
              <w:right w:val="nil"/>
            </w:tcBorders>
            <w:shd w:val="clear" w:color="auto" w:fill="auto"/>
            <w:noWrap/>
            <w:vAlign w:val="bottom"/>
          </w:tcPr>
          <w:p w14:paraId="74FD671A"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(13.495***)</w:t>
            </w:r>
          </w:p>
        </w:tc>
        <w:tc>
          <w:tcPr>
            <w:tcW w:w="1361" w:type="pct"/>
            <w:tcBorders>
              <w:top w:val="nil"/>
              <w:left w:val="nil"/>
              <w:bottom w:val="nil"/>
              <w:right w:val="nil"/>
            </w:tcBorders>
            <w:shd w:val="clear" w:color="auto" w:fill="auto"/>
            <w:noWrap/>
            <w:vAlign w:val="bottom"/>
          </w:tcPr>
          <w:p w14:paraId="38694675"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(16.642***)</w:t>
            </w:r>
          </w:p>
        </w:tc>
        <w:tc>
          <w:tcPr>
            <w:tcW w:w="1110" w:type="pct"/>
            <w:tcBorders>
              <w:top w:val="nil"/>
              <w:left w:val="nil"/>
              <w:bottom w:val="nil"/>
              <w:right w:val="nil"/>
            </w:tcBorders>
            <w:shd w:val="clear" w:color="auto" w:fill="auto"/>
            <w:noWrap/>
            <w:vAlign w:val="bottom"/>
          </w:tcPr>
          <w:p w14:paraId="39C0D3A4"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(9.811***)</w:t>
            </w:r>
          </w:p>
        </w:tc>
      </w:tr>
      <w:tr w:rsidR="006F4FAD" w:rsidRPr="00D23517" w14:paraId="7E37E7C8" w14:textId="77777777" w:rsidTr="00546E9F">
        <w:trPr>
          <w:trHeight w:val="20"/>
        </w:trPr>
        <w:tc>
          <w:tcPr>
            <w:tcW w:w="1271" w:type="pct"/>
            <w:tcBorders>
              <w:top w:val="nil"/>
              <w:left w:val="nil"/>
              <w:bottom w:val="nil"/>
              <w:right w:val="nil"/>
            </w:tcBorders>
            <w:shd w:val="clear" w:color="auto" w:fill="auto"/>
            <w:noWrap/>
            <w:vAlign w:val="bottom"/>
          </w:tcPr>
          <w:p w14:paraId="25CB4D29" w14:textId="77777777" w:rsidR="006F4FAD" w:rsidRPr="00D23517" w:rsidRDefault="006F4FAD" w:rsidP="00A1062B">
            <w:pPr>
              <w:spacing w:after="0" w:line="240" w:lineRule="auto"/>
              <w:contextualSpacing/>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INSTOWN_QIX</w:t>
            </w:r>
          </w:p>
        </w:tc>
        <w:tc>
          <w:tcPr>
            <w:tcW w:w="1258" w:type="pct"/>
            <w:tcBorders>
              <w:top w:val="nil"/>
              <w:left w:val="nil"/>
              <w:bottom w:val="nil"/>
              <w:right w:val="nil"/>
            </w:tcBorders>
            <w:shd w:val="clear" w:color="auto" w:fill="auto"/>
            <w:noWrap/>
            <w:vAlign w:val="bottom"/>
          </w:tcPr>
          <w:p w14:paraId="035BD63F"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0.005</w:t>
            </w:r>
          </w:p>
        </w:tc>
        <w:tc>
          <w:tcPr>
            <w:tcW w:w="1361" w:type="pct"/>
            <w:tcBorders>
              <w:top w:val="nil"/>
              <w:left w:val="nil"/>
              <w:bottom w:val="nil"/>
              <w:right w:val="nil"/>
            </w:tcBorders>
            <w:shd w:val="clear" w:color="auto" w:fill="auto"/>
            <w:noWrap/>
            <w:vAlign w:val="bottom"/>
          </w:tcPr>
          <w:p w14:paraId="7536D2C6"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0.017</w:t>
            </w:r>
          </w:p>
        </w:tc>
        <w:tc>
          <w:tcPr>
            <w:tcW w:w="1110" w:type="pct"/>
            <w:tcBorders>
              <w:top w:val="nil"/>
              <w:left w:val="nil"/>
              <w:bottom w:val="nil"/>
              <w:right w:val="nil"/>
            </w:tcBorders>
            <w:shd w:val="clear" w:color="auto" w:fill="auto"/>
            <w:noWrap/>
            <w:vAlign w:val="bottom"/>
          </w:tcPr>
          <w:p w14:paraId="5340F65B"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0.012</w:t>
            </w:r>
          </w:p>
        </w:tc>
      </w:tr>
      <w:tr w:rsidR="006F4FAD" w:rsidRPr="00D23517" w14:paraId="15741840" w14:textId="77777777" w:rsidTr="00546E9F">
        <w:trPr>
          <w:trHeight w:val="20"/>
        </w:trPr>
        <w:tc>
          <w:tcPr>
            <w:tcW w:w="1271" w:type="pct"/>
            <w:tcBorders>
              <w:top w:val="nil"/>
              <w:left w:val="nil"/>
              <w:bottom w:val="nil"/>
              <w:right w:val="nil"/>
            </w:tcBorders>
            <w:shd w:val="clear" w:color="auto" w:fill="auto"/>
            <w:noWrap/>
            <w:vAlign w:val="bottom"/>
          </w:tcPr>
          <w:p w14:paraId="41C3E4FC" w14:textId="77777777" w:rsidR="006F4FAD" w:rsidRPr="00D23517" w:rsidRDefault="006F4FAD" w:rsidP="00A1062B">
            <w:pPr>
              <w:spacing w:after="0" w:line="240" w:lineRule="auto"/>
              <w:contextualSpacing/>
              <w:jc w:val="both"/>
              <w:rPr>
                <w:rFonts w:ascii="Times New Roman" w:eastAsia="Times New Roman" w:hAnsi="Times New Roman" w:cs="Times New Roman"/>
                <w:i/>
                <w:color w:val="000000"/>
                <w:sz w:val="20"/>
                <w:szCs w:val="20"/>
              </w:rPr>
            </w:pPr>
          </w:p>
        </w:tc>
        <w:tc>
          <w:tcPr>
            <w:tcW w:w="1258" w:type="pct"/>
            <w:tcBorders>
              <w:top w:val="nil"/>
              <w:left w:val="nil"/>
              <w:bottom w:val="nil"/>
              <w:right w:val="nil"/>
            </w:tcBorders>
            <w:shd w:val="clear" w:color="auto" w:fill="auto"/>
            <w:noWrap/>
            <w:vAlign w:val="bottom"/>
          </w:tcPr>
          <w:p w14:paraId="13345ECF"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(0.507)</w:t>
            </w:r>
          </w:p>
        </w:tc>
        <w:tc>
          <w:tcPr>
            <w:tcW w:w="1361" w:type="pct"/>
            <w:tcBorders>
              <w:top w:val="nil"/>
              <w:left w:val="nil"/>
              <w:bottom w:val="nil"/>
              <w:right w:val="nil"/>
            </w:tcBorders>
            <w:shd w:val="clear" w:color="auto" w:fill="auto"/>
            <w:noWrap/>
            <w:vAlign w:val="bottom"/>
          </w:tcPr>
          <w:p w14:paraId="5B25D4B5"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(1.711*)</w:t>
            </w:r>
          </w:p>
        </w:tc>
        <w:tc>
          <w:tcPr>
            <w:tcW w:w="1110" w:type="pct"/>
            <w:tcBorders>
              <w:top w:val="nil"/>
              <w:left w:val="nil"/>
              <w:bottom w:val="nil"/>
              <w:right w:val="nil"/>
            </w:tcBorders>
            <w:shd w:val="clear" w:color="auto" w:fill="auto"/>
            <w:noWrap/>
            <w:vAlign w:val="bottom"/>
          </w:tcPr>
          <w:p w14:paraId="555E15B8"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(1.252)</w:t>
            </w:r>
          </w:p>
        </w:tc>
      </w:tr>
      <w:tr w:rsidR="006F4FAD" w:rsidRPr="00D23517" w14:paraId="101DFDD4" w14:textId="77777777" w:rsidTr="00546E9F">
        <w:trPr>
          <w:trHeight w:val="20"/>
        </w:trPr>
        <w:tc>
          <w:tcPr>
            <w:tcW w:w="1271" w:type="pct"/>
            <w:tcBorders>
              <w:top w:val="nil"/>
              <w:left w:val="nil"/>
              <w:bottom w:val="nil"/>
              <w:right w:val="nil"/>
            </w:tcBorders>
            <w:shd w:val="clear" w:color="auto" w:fill="auto"/>
            <w:noWrap/>
            <w:vAlign w:val="bottom"/>
          </w:tcPr>
          <w:p w14:paraId="21D31203" w14:textId="77777777" w:rsidR="006F4FAD" w:rsidRPr="00D23517" w:rsidRDefault="006F4FAD" w:rsidP="00A1062B">
            <w:pPr>
              <w:spacing w:after="0" w:line="240" w:lineRule="auto"/>
              <w:contextualSpacing/>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INSTOWN_DED</w:t>
            </w:r>
          </w:p>
        </w:tc>
        <w:tc>
          <w:tcPr>
            <w:tcW w:w="1258" w:type="pct"/>
            <w:tcBorders>
              <w:top w:val="nil"/>
              <w:left w:val="nil"/>
              <w:bottom w:val="nil"/>
              <w:right w:val="nil"/>
            </w:tcBorders>
            <w:shd w:val="clear" w:color="auto" w:fill="auto"/>
            <w:noWrap/>
            <w:vAlign w:val="bottom"/>
          </w:tcPr>
          <w:p w14:paraId="3966D0DC"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-0.011</w:t>
            </w:r>
          </w:p>
        </w:tc>
        <w:tc>
          <w:tcPr>
            <w:tcW w:w="1361" w:type="pct"/>
            <w:tcBorders>
              <w:top w:val="nil"/>
              <w:left w:val="nil"/>
              <w:bottom w:val="nil"/>
              <w:right w:val="nil"/>
            </w:tcBorders>
            <w:shd w:val="clear" w:color="auto" w:fill="auto"/>
            <w:noWrap/>
            <w:vAlign w:val="bottom"/>
          </w:tcPr>
          <w:p w14:paraId="3867649C"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-0.009</w:t>
            </w:r>
          </w:p>
        </w:tc>
        <w:tc>
          <w:tcPr>
            <w:tcW w:w="1110" w:type="pct"/>
            <w:tcBorders>
              <w:top w:val="nil"/>
              <w:left w:val="nil"/>
              <w:bottom w:val="nil"/>
              <w:right w:val="nil"/>
            </w:tcBorders>
            <w:shd w:val="clear" w:color="auto" w:fill="auto"/>
            <w:noWrap/>
            <w:vAlign w:val="bottom"/>
          </w:tcPr>
          <w:p w14:paraId="718B8298"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-0.011</w:t>
            </w:r>
          </w:p>
        </w:tc>
      </w:tr>
      <w:tr w:rsidR="006F4FAD" w:rsidRPr="00D23517" w14:paraId="290AE1DA" w14:textId="77777777" w:rsidTr="00546E9F">
        <w:trPr>
          <w:trHeight w:val="20"/>
        </w:trPr>
        <w:tc>
          <w:tcPr>
            <w:tcW w:w="1271" w:type="pct"/>
            <w:tcBorders>
              <w:top w:val="nil"/>
              <w:left w:val="nil"/>
              <w:bottom w:val="nil"/>
              <w:right w:val="nil"/>
            </w:tcBorders>
            <w:shd w:val="clear" w:color="auto" w:fill="auto"/>
            <w:noWrap/>
            <w:vAlign w:val="bottom"/>
          </w:tcPr>
          <w:p w14:paraId="699F6430"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p>
        </w:tc>
        <w:tc>
          <w:tcPr>
            <w:tcW w:w="1258" w:type="pct"/>
            <w:tcBorders>
              <w:top w:val="nil"/>
              <w:left w:val="nil"/>
              <w:bottom w:val="nil"/>
              <w:right w:val="nil"/>
            </w:tcBorders>
            <w:shd w:val="clear" w:color="auto" w:fill="auto"/>
            <w:noWrap/>
            <w:vAlign w:val="bottom"/>
          </w:tcPr>
          <w:p w14:paraId="22D36BCB"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(-1.624)</w:t>
            </w:r>
          </w:p>
        </w:tc>
        <w:tc>
          <w:tcPr>
            <w:tcW w:w="1361" w:type="pct"/>
            <w:tcBorders>
              <w:top w:val="nil"/>
              <w:left w:val="nil"/>
              <w:bottom w:val="nil"/>
              <w:right w:val="nil"/>
            </w:tcBorders>
            <w:shd w:val="clear" w:color="auto" w:fill="auto"/>
            <w:noWrap/>
            <w:vAlign w:val="bottom"/>
          </w:tcPr>
          <w:p w14:paraId="23DB02DF"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(-1.261)</w:t>
            </w:r>
          </w:p>
        </w:tc>
        <w:tc>
          <w:tcPr>
            <w:tcW w:w="1110" w:type="pct"/>
            <w:tcBorders>
              <w:top w:val="nil"/>
              <w:left w:val="nil"/>
              <w:bottom w:val="nil"/>
              <w:right w:val="nil"/>
            </w:tcBorders>
            <w:shd w:val="clear" w:color="auto" w:fill="auto"/>
            <w:noWrap/>
            <w:vAlign w:val="bottom"/>
          </w:tcPr>
          <w:p w14:paraId="2409DA5D"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(-1.650*)</w:t>
            </w:r>
          </w:p>
        </w:tc>
      </w:tr>
      <w:tr w:rsidR="006F4FAD" w:rsidRPr="00D23517" w14:paraId="4AA68050" w14:textId="77777777" w:rsidTr="00546E9F">
        <w:trPr>
          <w:trHeight w:val="20"/>
        </w:trPr>
        <w:tc>
          <w:tcPr>
            <w:tcW w:w="1271" w:type="pct"/>
            <w:tcBorders>
              <w:top w:val="nil"/>
              <w:left w:val="nil"/>
              <w:bottom w:val="nil"/>
              <w:right w:val="nil"/>
            </w:tcBorders>
            <w:shd w:val="clear" w:color="auto" w:fill="auto"/>
            <w:noWrap/>
            <w:vAlign w:val="bottom"/>
          </w:tcPr>
          <w:p w14:paraId="2187274A" w14:textId="77777777" w:rsidR="006F4FAD" w:rsidRPr="00D23517" w:rsidRDefault="006F4FAD" w:rsidP="00A1062B">
            <w:pPr>
              <w:spacing w:after="0" w:line="240" w:lineRule="auto"/>
              <w:contextualSpacing/>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SKILL</w:t>
            </w:r>
          </w:p>
        </w:tc>
        <w:tc>
          <w:tcPr>
            <w:tcW w:w="1258" w:type="pct"/>
            <w:tcBorders>
              <w:top w:val="nil"/>
              <w:left w:val="nil"/>
              <w:bottom w:val="nil"/>
              <w:right w:val="nil"/>
            </w:tcBorders>
            <w:shd w:val="clear" w:color="auto" w:fill="auto"/>
            <w:noWrap/>
            <w:vAlign w:val="bottom"/>
          </w:tcPr>
          <w:p w14:paraId="58FAF31C"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0.024</w:t>
            </w:r>
          </w:p>
        </w:tc>
        <w:tc>
          <w:tcPr>
            <w:tcW w:w="1361" w:type="pct"/>
            <w:tcBorders>
              <w:top w:val="nil"/>
              <w:left w:val="nil"/>
              <w:bottom w:val="nil"/>
              <w:right w:val="nil"/>
            </w:tcBorders>
            <w:shd w:val="clear" w:color="auto" w:fill="auto"/>
            <w:noWrap/>
            <w:vAlign w:val="bottom"/>
          </w:tcPr>
          <w:p w14:paraId="2E4D5FFA"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0.023</w:t>
            </w:r>
          </w:p>
        </w:tc>
        <w:tc>
          <w:tcPr>
            <w:tcW w:w="1110" w:type="pct"/>
            <w:tcBorders>
              <w:top w:val="nil"/>
              <w:left w:val="nil"/>
              <w:bottom w:val="nil"/>
              <w:right w:val="nil"/>
            </w:tcBorders>
            <w:shd w:val="clear" w:color="auto" w:fill="auto"/>
            <w:noWrap/>
            <w:vAlign w:val="bottom"/>
          </w:tcPr>
          <w:p w14:paraId="6967B563"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0.018</w:t>
            </w:r>
          </w:p>
        </w:tc>
      </w:tr>
      <w:tr w:rsidR="006F4FAD" w:rsidRPr="00D23517" w14:paraId="38FDC559" w14:textId="77777777" w:rsidTr="00546E9F">
        <w:trPr>
          <w:trHeight w:val="20"/>
        </w:trPr>
        <w:tc>
          <w:tcPr>
            <w:tcW w:w="1271" w:type="pct"/>
            <w:tcBorders>
              <w:top w:val="nil"/>
              <w:left w:val="nil"/>
              <w:bottom w:val="nil"/>
              <w:right w:val="nil"/>
            </w:tcBorders>
            <w:shd w:val="clear" w:color="auto" w:fill="auto"/>
            <w:noWrap/>
            <w:vAlign w:val="bottom"/>
            <w:hideMark/>
          </w:tcPr>
          <w:p w14:paraId="709565BC"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p>
        </w:tc>
        <w:tc>
          <w:tcPr>
            <w:tcW w:w="1258" w:type="pct"/>
            <w:tcBorders>
              <w:top w:val="nil"/>
              <w:left w:val="nil"/>
              <w:bottom w:val="nil"/>
              <w:right w:val="nil"/>
            </w:tcBorders>
            <w:shd w:val="clear" w:color="auto" w:fill="auto"/>
            <w:noWrap/>
            <w:vAlign w:val="bottom"/>
          </w:tcPr>
          <w:p w14:paraId="2E6CD3FC"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(3.943***)</w:t>
            </w:r>
          </w:p>
        </w:tc>
        <w:tc>
          <w:tcPr>
            <w:tcW w:w="1361" w:type="pct"/>
            <w:tcBorders>
              <w:top w:val="nil"/>
              <w:left w:val="nil"/>
              <w:bottom w:val="nil"/>
              <w:right w:val="nil"/>
            </w:tcBorders>
            <w:shd w:val="clear" w:color="auto" w:fill="auto"/>
            <w:noWrap/>
            <w:vAlign w:val="bottom"/>
          </w:tcPr>
          <w:p w14:paraId="200D3999"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(3.950***)</w:t>
            </w:r>
          </w:p>
        </w:tc>
        <w:tc>
          <w:tcPr>
            <w:tcW w:w="1110" w:type="pct"/>
            <w:tcBorders>
              <w:top w:val="nil"/>
              <w:left w:val="nil"/>
              <w:bottom w:val="nil"/>
              <w:right w:val="nil"/>
            </w:tcBorders>
            <w:shd w:val="clear" w:color="auto" w:fill="auto"/>
            <w:noWrap/>
            <w:vAlign w:val="bottom"/>
          </w:tcPr>
          <w:p w14:paraId="36676E43"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(2.989***)</w:t>
            </w:r>
          </w:p>
        </w:tc>
      </w:tr>
      <w:tr w:rsidR="006F4FAD" w:rsidRPr="00D23517" w14:paraId="55195B5C" w14:textId="77777777" w:rsidTr="00546E9F">
        <w:trPr>
          <w:trHeight w:val="20"/>
        </w:trPr>
        <w:tc>
          <w:tcPr>
            <w:tcW w:w="1271" w:type="pct"/>
            <w:tcBorders>
              <w:top w:val="nil"/>
              <w:left w:val="nil"/>
              <w:bottom w:val="nil"/>
              <w:right w:val="nil"/>
            </w:tcBorders>
            <w:shd w:val="clear" w:color="auto" w:fill="auto"/>
            <w:noWrap/>
            <w:vAlign w:val="bottom"/>
          </w:tcPr>
          <w:p w14:paraId="7A88CC55" w14:textId="77777777" w:rsidR="006F4FAD" w:rsidRPr="00D23517" w:rsidRDefault="006F4FAD" w:rsidP="00A1062B">
            <w:pPr>
              <w:spacing w:after="0" w:line="240" w:lineRule="auto"/>
              <w:contextualSpacing/>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MKTCON</w:t>
            </w:r>
          </w:p>
        </w:tc>
        <w:tc>
          <w:tcPr>
            <w:tcW w:w="1258" w:type="pct"/>
            <w:tcBorders>
              <w:top w:val="nil"/>
              <w:left w:val="nil"/>
              <w:bottom w:val="nil"/>
              <w:right w:val="nil"/>
            </w:tcBorders>
            <w:shd w:val="clear" w:color="auto" w:fill="auto"/>
            <w:noWrap/>
            <w:vAlign w:val="bottom"/>
          </w:tcPr>
          <w:p w14:paraId="6D13D362"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0.011</w:t>
            </w:r>
          </w:p>
        </w:tc>
        <w:tc>
          <w:tcPr>
            <w:tcW w:w="1361" w:type="pct"/>
            <w:tcBorders>
              <w:top w:val="nil"/>
              <w:left w:val="nil"/>
              <w:bottom w:val="nil"/>
              <w:right w:val="nil"/>
            </w:tcBorders>
            <w:shd w:val="clear" w:color="auto" w:fill="auto"/>
            <w:noWrap/>
            <w:vAlign w:val="bottom"/>
          </w:tcPr>
          <w:p w14:paraId="2CA15635"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0.014</w:t>
            </w:r>
          </w:p>
        </w:tc>
        <w:tc>
          <w:tcPr>
            <w:tcW w:w="1110" w:type="pct"/>
            <w:tcBorders>
              <w:top w:val="nil"/>
              <w:left w:val="nil"/>
              <w:bottom w:val="nil"/>
              <w:right w:val="nil"/>
            </w:tcBorders>
            <w:shd w:val="clear" w:color="auto" w:fill="auto"/>
            <w:noWrap/>
            <w:vAlign w:val="bottom"/>
          </w:tcPr>
          <w:p w14:paraId="4474EF9E"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-0.005</w:t>
            </w:r>
          </w:p>
        </w:tc>
      </w:tr>
      <w:tr w:rsidR="006F4FAD" w:rsidRPr="00D23517" w14:paraId="548D3713" w14:textId="77777777" w:rsidTr="00546E9F">
        <w:trPr>
          <w:trHeight w:val="20"/>
        </w:trPr>
        <w:tc>
          <w:tcPr>
            <w:tcW w:w="1271" w:type="pct"/>
            <w:tcBorders>
              <w:top w:val="nil"/>
              <w:left w:val="nil"/>
              <w:bottom w:val="nil"/>
              <w:right w:val="nil"/>
            </w:tcBorders>
            <w:shd w:val="clear" w:color="auto" w:fill="auto"/>
            <w:noWrap/>
            <w:vAlign w:val="bottom"/>
          </w:tcPr>
          <w:p w14:paraId="48D2C5E4"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p>
        </w:tc>
        <w:tc>
          <w:tcPr>
            <w:tcW w:w="1258" w:type="pct"/>
            <w:tcBorders>
              <w:top w:val="nil"/>
              <w:left w:val="nil"/>
              <w:bottom w:val="nil"/>
              <w:right w:val="nil"/>
            </w:tcBorders>
            <w:shd w:val="clear" w:color="auto" w:fill="auto"/>
            <w:noWrap/>
            <w:vAlign w:val="bottom"/>
          </w:tcPr>
          <w:p w14:paraId="58FEA421"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(0.906)</w:t>
            </w:r>
          </w:p>
        </w:tc>
        <w:tc>
          <w:tcPr>
            <w:tcW w:w="1361" w:type="pct"/>
            <w:tcBorders>
              <w:top w:val="nil"/>
              <w:left w:val="nil"/>
              <w:bottom w:val="nil"/>
              <w:right w:val="nil"/>
            </w:tcBorders>
            <w:shd w:val="clear" w:color="auto" w:fill="auto"/>
            <w:noWrap/>
            <w:vAlign w:val="bottom"/>
          </w:tcPr>
          <w:p w14:paraId="3BEB59D5"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(1.079)</w:t>
            </w:r>
          </w:p>
        </w:tc>
        <w:tc>
          <w:tcPr>
            <w:tcW w:w="1110" w:type="pct"/>
            <w:tcBorders>
              <w:top w:val="nil"/>
              <w:left w:val="nil"/>
              <w:bottom w:val="nil"/>
              <w:right w:val="nil"/>
            </w:tcBorders>
            <w:shd w:val="clear" w:color="auto" w:fill="auto"/>
            <w:noWrap/>
            <w:vAlign w:val="bottom"/>
          </w:tcPr>
          <w:p w14:paraId="4EE22408"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(-0.388)</w:t>
            </w:r>
          </w:p>
        </w:tc>
      </w:tr>
      <w:tr w:rsidR="006F4FAD" w:rsidRPr="00D23517" w14:paraId="4FF12BB0" w14:textId="77777777" w:rsidTr="00546E9F">
        <w:trPr>
          <w:trHeight w:val="20"/>
        </w:trPr>
        <w:tc>
          <w:tcPr>
            <w:tcW w:w="1271" w:type="pct"/>
            <w:tcBorders>
              <w:top w:val="nil"/>
              <w:left w:val="nil"/>
              <w:bottom w:val="nil"/>
              <w:right w:val="nil"/>
            </w:tcBorders>
            <w:shd w:val="clear" w:color="auto" w:fill="auto"/>
            <w:noWrap/>
            <w:vAlign w:val="bottom"/>
            <w:hideMark/>
          </w:tcPr>
          <w:p w14:paraId="4886AA85"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Constant</w:t>
            </w:r>
          </w:p>
        </w:tc>
        <w:tc>
          <w:tcPr>
            <w:tcW w:w="1258" w:type="pct"/>
            <w:tcBorders>
              <w:top w:val="nil"/>
              <w:left w:val="nil"/>
              <w:bottom w:val="nil"/>
              <w:right w:val="nil"/>
            </w:tcBorders>
            <w:shd w:val="clear" w:color="auto" w:fill="auto"/>
            <w:noWrap/>
            <w:vAlign w:val="bottom"/>
          </w:tcPr>
          <w:p w14:paraId="71488941"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-0.622</w:t>
            </w:r>
          </w:p>
        </w:tc>
        <w:tc>
          <w:tcPr>
            <w:tcW w:w="1361" w:type="pct"/>
            <w:tcBorders>
              <w:top w:val="nil"/>
              <w:left w:val="nil"/>
              <w:bottom w:val="nil"/>
              <w:right w:val="nil"/>
            </w:tcBorders>
            <w:shd w:val="clear" w:color="auto" w:fill="auto"/>
            <w:noWrap/>
            <w:vAlign w:val="bottom"/>
          </w:tcPr>
          <w:p w14:paraId="06C673C2"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-0.545</w:t>
            </w:r>
          </w:p>
        </w:tc>
        <w:tc>
          <w:tcPr>
            <w:tcW w:w="1110" w:type="pct"/>
            <w:tcBorders>
              <w:top w:val="nil"/>
              <w:left w:val="nil"/>
              <w:bottom w:val="nil"/>
              <w:right w:val="nil"/>
            </w:tcBorders>
            <w:shd w:val="clear" w:color="auto" w:fill="auto"/>
            <w:noWrap/>
            <w:vAlign w:val="bottom"/>
          </w:tcPr>
          <w:p w14:paraId="065397BF"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-0.344</w:t>
            </w:r>
          </w:p>
        </w:tc>
      </w:tr>
      <w:tr w:rsidR="006F4FAD" w:rsidRPr="00D23517" w14:paraId="12F22252" w14:textId="77777777" w:rsidTr="00546E9F">
        <w:trPr>
          <w:trHeight w:val="20"/>
        </w:trPr>
        <w:tc>
          <w:tcPr>
            <w:tcW w:w="1271" w:type="pct"/>
            <w:tcBorders>
              <w:top w:val="nil"/>
              <w:left w:val="nil"/>
              <w:bottom w:val="nil"/>
              <w:right w:val="nil"/>
            </w:tcBorders>
            <w:shd w:val="clear" w:color="auto" w:fill="auto"/>
            <w:noWrap/>
            <w:vAlign w:val="bottom"/>
            <w:hideMark/>
          </w:tcPr>
          <w:p w14:paraId="7225ECB4"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p>
        </w:tc>
        <w:tc>
          <w:tcPr>
            <w:tcW w:w="1258" w:type="pct"/>
            <w:tcBorders>
              <w:top w:val="nil"/>
              <w:left w:val="nil"/>
              <w:bottom w:val="nil"/>
              <w:right w:val="nil"/>
            </w:tcBorders>
            <w:shd w:val="clear" w:color="auto" w:fill="auto"/>
            <w:noWrap/>
            <w:vAlign w:val="bottom"/>
          </w:tcPr>
          <w:p w14:paraId="33F6B991" w14:textId="77777777" w:rsidR="006F4FAD" w:rsidRPr="00D23517" w:rsidRDefault="006F4FAD"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(-9.761***)</w:t>
            </w:r>
          </w:p>
        </w:tc>
        <w:tc>
          <w:tcPr>
            <w:tcW w:w="1361" w:type="pct"/>
            <w:tcBorders>
              <w:top w:val="nil"/>
              <w:left w:val="nil"/>
              <w:bottom w:val="nil"/>
              <w:right w:val="nil"/>
            </w:tcBorders>
            <w:shd w:val="clear" w:color="auto" w:fill="auto"/>
            <w:noWrap/>
            <w:vAlign w:val="bottom"/>
          </w:tcPr>
          <w:p w14:paraId="1B39B30A" w14:textId="77777777" w:rsidR="006F4FAD" w:rsidRPr="00D23517" w:rsidRDefault="006F4FAD"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(-14.228***)</w:t>
            </w:r>
          </w:p>
        </w:tc>
        <w:tc>
          <w:tcPr>
            <w:tcW w:w="1110" w:type="pct"/>
            <w:tcBorders>
              <w:top w:val="nil"/>
              <w:left w:val="nil"/>
              <w:bottom w:val="nil"/>
              <w:right w:val="nil"/>
            </w:tcBorders>
            <w:shd w:val="clear" w:color="auto" w:fill="auto"/>
            <w:noWrap/>
            <w:vAlign w:val="bottom"/>
          </w:tcPr>
          <w:p w14:paraId="0F96456D" w14:textId="77777777" w:rsidR="006F4FAD" w:rsidRPr="00D23517" w:rsidRDefault="006F4FAD" w:rsidP="00A1062B">
            <w:pPr>
              <w:spacing w:after="0" w:line="240" w:lineRule="auto"/>
              <w:contextualSpacing/>
              <w:jc w:val="both"/>
              <w:rPr>
                <w:rFonts w:ascii="Times New Roman" w:eastAsia="Times New Roman" w:hAnsi="Times New Roman" w:cs="Times New Roman"/>
                <w:sz w:val="20"/>
                <w:szCs w:val="20"/>
              </w:rPr>
            </w:pPr>
            <w:r w:rsidRPr="00D23517">
              <w:rPr>
                <w:rFonts w:ascii="Times New Roman" w:hAnsi="Times New Roman" w:cs="Times New Roman"/>
                <w:color w:val="000000"/>
                <w:sz w:val="20"/>
                <w:szCs w:val="20"/>
              </w:rPr>
              <w:t>(-7.026***)</w:t>
            </w:r>
          </w:p>
        </w:tc>
      </w:tr>
      <w:tr w:rsidR="006F4FAD" w:rsidRPr="00D23517" w14:paraId="48C53632" w14:textId="77777777" w:rsidTr="00546E9F">
        <w:trPr>
          <w:trHeight w:val="20"/>
        </w:trPr>
        <w:tc>
          <w:tcPr>
            <w:tcW w:w="1271" w:type="pct"/>
            <w:shd w:val="clear" w:color="auto" w:fill="auto"/>
            <w:noWrap/>
            <w:vAlign w:val="bottom"/>
          </w:tcPr>
          <w:p w14:paraId="6E1B4E59" w14:textId="77777777" w:rsidR="006F4FAD" w:rsidRPr="00D23517" w:rsidRDefault="006F4FAD" w:rsidP="00A1062B">
            <w:pPr>
              <w:spacing w:after="0" w:line="240" w:lineRule="auto"/>
              <w:contextualSpacing/>
              <w:jc w:val="both"/>
              <w:rPr>
                <w:rFonts w:ascii="Times New Roman" w:hAnsi="Times New Roman" w:cs="Times New Roman"/>
                <w:color w:val="000000"/>
                <w:sz w:val="20"/>
                <w:szCs w:val="20"/>
              </w:rPr>
            </w:pPr>
          </w:p>
        </w:tc>
        <w:tc>
          <w:tcPr>
            <w:tcW w:w="1258" w:type="pct"/>
            <w:tcBorders>
              <w:top w:val="nil"/>
              <w:left w:val="nil"/>
              <w:bottom w:val="nil"/>
              <w:right w:val="nil"/>
            </w:tcBorders>
            <w:shd w:val="clear" w:color="auto" w:fill="auto"/>
            <w:noWrap/>
            <w:vAlign w:val="bottom"/>
          </w:tcPr>
          <w:p w14:paraId="28998CC4"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p>
        </w:tc>
        <w:tc>
          <w:tcPr>
            <w:tcW w:w="1361" w:type="pct"/>
            <w:tcBorders>
              <w:top w:val="nil"/>
              <w:left w:val="nil"/>
              <w:bottom w:val="nil"/>
              <w:right w:val="nil"/>
            </w:tcBorders>
            <w:shd w:val="clear" w:color="auto" w:fill="auto"/>
            <w:noWrap/>
            <w:vAlign w:val="bottom"/>
          </w:tcPr>
          <w:p w14:paraId="25BA0C5A"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p>
        </w:tc>
        <w:tc>
          <w:tcPr>
            <w:tcW w:w="1110" w:type="pct"/>
            <w:tcBorders>
              <w:top w:val="nil"/>
              <w:left w:val="nil"/>
              <w:bottom w:val="nil"/>
              <w:right w:val="nil"/>
            </w:tcBorders>
            <w:shd w:val="clear" w:color="auto" w:fill="auto"/>
            <w:noWrap/>
            <w:vAlign w:val="bottom"/>
          </w:tcPr>
          <w:p w14:paraId="6D78A7AB"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p>
        </w:tc>
      </w:tr>
      <w:tr w:rsidR="006F4FAD" w:rsidRPr="00D23517" w14:paraId="2ABBA878" w14:textId="77777777" w:rsidTr="00546E9F">
        <w:trPr>
          <w:trHeight w:val="20"/>
        </w:trPr>
        <w:tc>
          <w:tcPr>
            <w:tcW w:w="1271" w:type="pct"/>
            <w:shd w:val="clear" w:color="auto" w:fill="auto"/>
            <w:noWrap/>
            <w:vAlign w:val="bottom"/>
          </w:tcPr>
          <w:p w14:paraId="50BCE55E"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Adj. R-squared</w:t>
            </w:r>
          </w:p>
        </w:tc>
        <w:tc>
          <w:tcPr>
            <w:tcW w:w="1258" w:type="pct"/>
            <w:tcBorders>
              <w:top w:val="nil"/>
              <w:left w:val="nil"/>
              <w:bottom w:val="nil"/>
              <w:right w:val="nil"/>
            </w:tcBorders>
            <w:shd w:val="clear" w:color="auto" w:fill="auto"/>
            <w:noWrap/>
            <w:vAlign w:val="bottom"/>
          </w:tcPr>
          <w:p w14:paraId="79B832BE"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0.041</w:t>
            </w:r>
          </w:p>
        </w:tc>
        <w:tc>
          <w:tcPr>
            <w:tcW w:w="1361" w:type="pct"/>
            <w:tcBorders>
              <w:top w:val="nil"/>
              <w:left w:val="nil"/>
              <w:bottom w:val="nil"/>
              <w:right w:val="nil"/>
            </w:tcBorders>
            <w:shd w:val="clear" w:color="auto" w:fill="auto"/>
            <w:noWrap/>
            <w:vAlign w:val="bottom"/>
          </w:tcPr>
          <w:p w14:paraId="2A7F9CEF"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0.084</w:t>
            </w:r>
          </w:p>
        </w:tc>
        <w:tc>
          <w:tcPr>
            <w:tcW w:w="1110" w:type="pct"/>
            <w:tcBorders>
              <w:top w:val="nil"/>
              <w:left w:val="nil"/>
              <w:bottom w:val="nil"/>
              <w:right w:val="nil"/>
            </w:tcBorders>
            <w:shd w:val="clear" w:color="auto" w:fill="auto"/>
            <w:noWrap/>
            <w:vAlign w:val="bottom"/>
          </w:tcPr>
          <w:p w14:paraId="7CB444AD"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0.022</w:t>
            </w:r>
          </w:p>
        </w:tc>
      </w:tr>
      <w:tr w:rsidR="006F4FAD" w:rsidRPr="00D23517" w14:paraId="6488DC2A" w14:textId="77777777" w:rsidTr="00546E9F">
        <w:trPr>
          <w:trHeight w:val="20"/>
        </w:trPr>
        <w:tc>
          <w:tcPr>
            <w:tcW w:w="1271" w:type="pct"/>
            <w:shd w:val="clear" w:color="auto" w:fill="auto"/>
            <w:noWrap/>
            <w:vAlign w:val="bottom"/>
          </w:tcPr>
          <w:p w14:paraId="7C3AD4BD"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Year fixed effect</w:t>
            </w:r>
          </w:p>
        </w:tc>
        <w:tc>
          <w:tcPr>
            <w:tcW w:w="1258" w:type="pct"/>
            <w:tcBorders>
              <w:top w:val="nil"/>
              <w:left w:val="nil"/>
              <w:bottom w:val="nil"/>
              <w:right w:val="nil"/>
            </w:tcBorders>
            <w:shd w:val="clear" w:color="auto" w:fill="auto"/>
            <w:noWrap/>
            <w:vAlign w:val="bottom"/>
          </w:tcPr>
          <w:p w14:paraId="78004BFF"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c>
          <w:tcPr>
            <w:tcW w:w="1361" w:type="pct"/>
            <w:tcBorders>
              <w:top w:val="nil"/>
              <w:left w:val="nil"/>
              <w:bottom w:val="nil"/>
              <w:right w:val="nil"/>
            </w:tcBorders>
            <w:shd w:val="clear" w:color="auto" w:fill="auto"/>
            <w:noWrap/>
            <w:vAlign w:val="bottom"/>
          </w:tcPr>
          <w:p w14:paraId="3E7060DC"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c>
          <w:tcPr>
            <w:tcW w:w="1110" w:type="pct"/>
            <w:tcBorders>
              <w:top w:val="nil"/>
              <w:left w:val="nil"/>
              <w:bottom w:val="nil"/>
              <w:right w:val="nil"/>
            </w:tcBorders>
            <w:shd w:val="clear" w:color="auto" w:fill="auto"/>
            <w:noWrap/>
            <w:vAlign w:val="bottom"/>
          </w:tcPr>
          <w:p w14:paraId="7840AF0F"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6F4FAD" w:rsidRPr="00D23517" w14:paraId="53C8311E" w14:textId="77777777" w:rsidTr="00546E9F">
        <w:trPr>
          <w:trHeight w:val="20"/>
        </w:trPr>
        <w:tc>
          <w:tcPr>
            <w:tcW w:w="1271" w:type="pct"/>
            <w:shd w:val="clear" w:color="auto" w:fill="auto"/>
            <w:noWrap/>
            <w:vAlign w:val="bottom"/>
            <w:hideMark/>
          </w:tcPr>
          <w:p w14:paraId="71733210"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Firm fixed effect</w:t>
            </w:r>
          </w:p>
        </w:tc>
        <w:tc>
          <w:tcPr>
            <w:tcW w:w="1258" w:type="pct"/>
            <w:tcBorders>
              <w:top w:val="nil"/>
              <w:left w:val="nil"/>
              <w:bottom w:val="nil"/>
              <w:right w:val="nil"/>
            </w:tcBorders>
            <w:shd w:val="clear" w:color="auto" w:fill="auto"/>
            <w:noWrap/>
            <w:vAlign w:val="bottom"/>
          </w:tcPr>
          <w:p w14:paraId="6B5484D9"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c>
          <w:tcPr>
            <w:tcW w:w="1361" w:type="pct"/>
            <w:tcBorders>
              <w:top w:val="nil"/>
              <w:left w:val="nil"/>
              <w:bottom w:val="nil"/>
              <w:right w:val="nil"/>
            </w:tcBorders>
            <w:shd w:val="clear" w:color="auto" w:fill="auto"/>
            <w:noWrap/>
            <w:vAlign w:val="bottom"/>
          </w:tcPr>
          <w:p w14:paraId="24796E8C"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c>
          <w:tcPr>
            <w:tcW w:w="1110" w:type="pct"/>
            <w:tcBorders>
              <w:top w:val="nil"/>
              <w:left w:val="nil"/>
              <w:bottom w:val="nil"/>
              <w:right w:val="nil"/>
            </w:tcBorders>
            <w:shd w:val="clear" w:color="auto" w:fill="auto"/>
            <w:noWrap/>
            <w:vAlign w:val="bottom"/>
          </w:tcPr>
          <w:p w14:paraId="6192B21F" w14:textId="77777777" w:rsidR="006F4FAD" w:rsidRPr="00D23517" w:rsidRDefault="006F4FAD" w:rsidP="00A1062B">
            <w:pPr>
              <w:spacing w:line="240" w:lineRule="auto"/>
              <w:contextualSpacing/>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6F4FAD" w:rsidRPr="00D23517" w14:paraId="38431111" w14:textId="77777777" w:rsidTr="00546E9F">
        <w:trPr>
          <w:trHeight w:val="20"/>
        </w:trPr>
        <w:tc>
          <w:tcPr>
            <w:tcW w:w="1271" w:type="pct"/>
            <w:shd w:val="clear" w:color="auto" w:fill="auto"/>
            <w:noWrap/>
            <w:vAlign w:val="bottom"/>
            <w:hideMark/>
          </w:tcPr>
          <w:p w14:paraId="42112E48"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Clustered std err by firm</w:t>
            </w:r>
          </w:p>
        </w:tc>
        <w:tc>
          <w:tcPr>
            <w:tcW w:w="1258" w:type="pct"/>
            <w:tcBorders>
              <w:top w:val="nil"/>
              <w:left w:val="nil"/>
              <w:bottom w:val="nil"/>
              <w:right w:val="nil"/>
            </w:tcBorders>
            <w:shd w:val="clear" w:color="auto" w:fill="auto"/>
            <w:noWrap/>
            <w:vAlign w:val="bottom"/>
          </w:tcPr>
          <w:p w14:paraId="28294697"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Yes</w:t>
            </w:r>
          </w:p>
        </w:tc>
        <w:tc>
          <w:tcPr>
            <w:tcW w:w="1361" w:type="pct"/>
            <w:tcBorders>
              <w:top w:val="nil"/>
              <w:left w:val="nil"/>
              <w:bottom w:val="nil"/>
              <w:right w:val="nil"/>
            </w:tcBorders>
            <w:shd w:val="clear" w:color="auto" w:fill="auto"/>
            <w:noWrap/>
            <w:vAlign w:val="bottom"/>
          </w:tcPr>
          <w:p w14:paraId="5285DECE"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Yes</w:t>
            </w:r>
          </w:p>
        </w:tc>
        <w:tc>
          <w:tcPr>
            <w:tcW w:w="1110" w:type="pct"/>
            <w:tcBorders>
              <w:top w:val="nil"/>
              <w:left w:val="nil"/>
              <w:bottom w:val="nil"/>
              <w:right w:val="nil"/>
            </w:tcBorders>
            <w:shd w:val="clear" w:color="auto" w:fill="auto"/>
            <w:noWrap/>
            <w:vAlign w:val="bottom"/>
          </w:tcPr>
          <w:p w14:paraId="74C15767"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6F4FAD" w:rsidRPr="00D23517" w14:paraId="1F46DF87" w14:textId="77777777" w:rsidTr="00546E9F">
        <w:trPr>
          <w:trHeight w:val="20"/>
        </w:trPr>
        <w:tc>
          <w:tcPr>
            <w:tcW w:w="1271" w:type="pct"/>
            <w:shd w:val="clear" w:color="auto" w:fill="auto"/>
            <w:noWrap/>
            <w:vAlign w:val="bottom"/>
            <w:hideMark/>
          </w:tcPr>
          <w:p w14:paraId="7FF27C62"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Number of firms</w:t>
            </w:r>
          </w:p>
        </w:tc>
        <w:tc>
          <w:tcPr>
            <w:tcW w:w="1258" w:type="pct"/>
            <w:tcBorders>
              <w:top w:val="nil"/>
              <w:left w:val="nil"/>
              <w:right w:val="nil"/>
            </w:tcBorders>
            <w:shd w:val="clear" w:color="auto" w:fill="auto"/>
            <w:noWrap/>
            <w:vAlign w:val="bottom"/>
          </w:tcPr>
          <w:p w14:paraId="149AB92F"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7,201</w:t>
            </w:r>
          </w:p>
        </w:tc>
        <w:tc>
          <w:tcPr>
            <w:tcW w:w="1361" w:type="pct"/>
            <w:tcBorders>
              <w:top w:val="nil"/>
              <w:left w:val="nil"/>
              <w:right w:val="nil"/>
            </w:tcBorders>
            <w:shd w:val="clear" w:color="auto" w:fill="auto"/>
            <w:noWrap/>
            <w:vAlign w:val="bottom"/>
          </w:tcPr>
          <w:p w14:paraId="0EBF040A"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7,201</w:t>
            </w:r>
          </w:p>
        </w:tc>
        <w:tc>
          <w:tcPr>
            <w:tcW w:w="1110" w:type="pct"/>
            <w:tcBorders>
              <w:top w:val="nil"/>
              <w:left w:val="nil"/>
              <w:right w:val="nil"/>
            </w:tcBorders>
            <w:shd w:val="clear" w:color="auto" w:fill="auto"/>
            <w:noWrap/>
            <w:vAlign w:val="bottom"/>
          </w:tcPr>
          <w:p w14:paraId="510A9D71"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7,201</w:t>
            </w:r>
          </w:p>
        </w:tc>
      </w:tr>
      <w:tr w:rsidR="006F4FAD" w:rsidRPr="00D23517" w14:paraId="4801AFF2" w14:textId="77777777" w:rsidTr="00546E9F">
        <w:trPr>
          <w:trHeight w:val="20"/>
        </w:trPr>
        <w:tc>
          <w:tcPr>
            <w:tcW w:w="1271" w:type="pct"/>
            <w:tcBorders>
              <w:bottom w:val="single" w:sz="4" w:space="0" w:color="auto"/>
            </w:tcBorders>
            <w:shd w:val="clear" w:color="auto" w:fill="auto"/>
            <w:noWrap/>
            <w:vAlign w:val="bottom"/>
            <w:hideMark/>
          </w:tcPr>
          <w:p w14:paraId="7CFA11F6"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Observations</w:t>
            </w:r>
          </w:p>
        </w:tc>
        <w:tc>
          <w:tcPr>
            <w:tcW w:w="1258" w:type="pct"/>
            <w:tcBorders>
              <w:top w:val="nil"/>
              <w:left w:val="nil"/>
              <w:bottom w:val="single" w:sz="4" w:space="0" w:color="auto"/>
              <w:right w:val="nil"/>
            </w:tcBorders>
            <w:shd w:val="clear" w:color="auto" w:fill="auto"/>
            <w:noWrap/>
            <w:vAlign w:val="bottom"/>
          </w:tcPr>
          <w:p w14:paraId="208FF4FE"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65,093</w:t>
            </w:r>
          </w:p>
        </w:tc>
        <w:tc>
          <w:tcPr>
            <w:tcW w:w="1361" w:type="pct"/>
            <w:tcBorders>
              <w:top w:val="nil"/>
              <w:left w:val="nil"/>
              <w:bottom w:val="single" w:sz="4" w:space="0" w:color="auto"/>
              <w:right w:val="nil"/>
            </w:tcBorders>
            <w:shd w:val="clear" w:color="auto" w:fill="auto"/>
            <w:noWrap/>
            <w:vAlign w:val="bottom"/>
          </w:tcPr>
          <w:p w14:paraId="4DB67A08"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65,093</w:t>
            </w:r>
          </w:p>
        </w:tc>
        <w:tc>
          <w:tcPr>
            <w:tcW w:w="1110" w:type="pct"/>
            <w:tcBorders>
              <w:top w:val="nil"/>
              <w:left w:val="nil"/>
              <w:bottom w:val="single" w:sz="4" w:space="0" w:color="auto"/>
              <w:right w:val="nil"/>
            </w:tcBorders>
            <w:shd w:val="clear" w:color="auto" w:fill="auto"/>
            <w:noWrap/>
            <w:vAlign w:val="bottom"/>
          </w:tcPr>
          <w:p w14:paraId="6C7462DD" w14:textId="77777777" w:rsidR="006F4FAD" w:rsidRPr="00D23517" w:rsidRDefault="006F4FAD" w:rsidP="00A1062B">
            <w:pPr>
              <w:spacing w:after="0" w:line="240" w:lineRule="auto"/>
              <w:contextualSpacing/>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65,093</w:t>
            </w:r>
          </w:p>
        </w:tc>
      </w:tr>
    </w:tbl>
    <w:p w14:paraId="5D2068AF" w14:textId="6BC028AD" w:rsidR="00546E9F" w:rsidRPr="00D23517" w:rsidRDefault="009B6F98" w:rsidP="00546E9F">
      <w:pPr>
        <w:jc w:val="both"/>
        <w:rPr>
          <w:rFonts w:ascii="Times New Roman" w:hAnsi="Times New Roman" w:cs="Times New Roman"/>
          <w:sz w:val="20"/>
          <w:szCs w:val="20"/>
        </w:rPr>
      </w:pPr>
      <w:r w:rsidRPr="00D23517">
        <w:rPr>
          <w:rFonts w:ascii="Times New Roman" w:hAnsi="Times New Roman" w:cs="Times New Roman"/>
          <w:sz w:val="20"/>
          <w:szCs w:val="20"/>
        </w:rPr>
        <w:t>Note</w:t>
      </w:r>
      <w:r w:rsidR="00546E9F" w:rsidRPr="00D23517">
        <w:rPr>
          <w:rFonts w:ascii="Times New Roman" w:hAnsi="Times New Roman" w:cs="Times New Roman"/>
          <w:sz w:val="20"/>
          <w:szCs w:val="20"/>
        </w:rPr>
        <w:t>: This table reports the results from the panel data firm-fixed effect regressions of the three measures of crash price risk (</w:t>
      </w:r>
      <w:r w:rsidR="00546E9F" w:rsidRPr="00D23517">
        <w:rPr>
          <w:rFonts w:ascii="Times New Roman" w:hAnsi="Times New Roman" w:cs="Times New Roman"/>
          <w:i/>
          <w:sz w:val="20"/>
          <w:szCs w:val="20"/>
        </w:rPr>
        <w:t xml:space="preserve">NCSKEW, DUVOL </w:t>
      </w:r>
      <w:r w:rsidR="00546E9F" w:rsidRPr="00D23517">
        <w:rPr>
          <w:rFonts w:ascii="Times New Roman" w:hAnsi="Times New Roman" w:cs="Times New Roman"/>
          <w:sz w:val="20"/>
          <w:szCs w:val="20"/>
        </w:rPr>
        <w:t>and</w:t>
      </w:r>
      <w:r w:rsidR="00546E9F" w:rsidRPr="00D23517">
        <w:rPr>
          <w:rFonts w:ascii="Times New Roman" w:hAnsi="Times New Roman" w:cs="Times New Roman"/>
          <w:i/>
          <w:sz w:val="20"/>
          <w:szCs w:val="20"/>
        </w:rPr>
        <w:t xml:space="preserve"> COUNT</w:t>
      </w:r>
      <w:r w:rsidR="00546E9F" w:rsidRPr="00D23517">
        <w:rPr>
          <w:rFonts w:ascii="Times New Roman" w:hAnsi="Times New Roman" w:cs="Times New Roman"/>
          <w:sz w:val="20"/>
          <w:szCs w:val="20"/>
        </w:rPr>
        <w:t xml:space="preserve">). </w:t>
      </w:r>
      <w:r w:rsidR="00546E9F" w:rsidRPr="00D23517">
        <w:rPr>
          <w:rFonts w:ascii="Times New Roman" w:hAnsi="Times New Roman" w:cs="Times New Roman"/>
          <w:i/>
          <w:sz w:val="20"/>
          <w:szCs w:val="20"/>
        </w:rPr>
        <w:t>NCSKEW</w:t>
      </w:r>
      <w:r w:rsidR="00546E9F" w:rsidRPr="00D23517">
        <w:rPr>
          <w:rFonts w:ascii="Times New Roman" w:hAnsi="Times New Roman" w:cs="Times New Roman"/>
          <w:sz w:val="20"/>
          <w:szCs w:val="20"/>
        </w:rPr>
        <w:t xml:space="preserve"> is the negative conditional skewness of firm-specific weekly return, calculated as the negative third central moment of firm-specific weekly returns divided by the cubed standard deviation of firm-specific weekly returns.</w:t>
      </w:r>
      <w:r w:rsidR="00546E9F" w:rsidRPr="00D23517">
        <w:rPr>
          <w:rFonts w:ascii="Times New Roman" w:eastAsiaTheme="minorEastAsia" w:hAnsi="Times New Roman" w:cs="Times New Roman"/>
          <w:sz w:val="20"/>
          <w:szCs w:val="20"/>
        </w:rPr>
        <w:t xml:space="preserve"> </w:t>
      </w:r>
      <w:r w:rsidR="00546E9F" w:rsidRPr="00D23517">
        <w:rPr>
          <w:rFonts w:ascii="Times New Roman" w:eastAsiaTheme="minorEastAsia" w:hAnsi="Times New Roman" w:cs="Times New Roman"/>
          <w:i/>
          <w:sz w:val="20"/>
          <w:szCs w:val="20"/>
        </w:rPr>
        <w:t xml:space="preserve">DUVOL </w:t>
      </w:r>
      <w:r w:rsidR="00546E9F" w:rsidRPr="00D23517">
        <w:rPr>
          <w:rFonts w:ascii="Times New Roman" w:eastAsiaTheme="minorEastAsia" w:hAnsi="Times New Roman" w:cs="Times New Roman"/>
          <w:sz w:val="20"/>
          <w:szCs w:val="20"/>
        </w:rPr>
        <w:t>is the log of the ratio of the standard deviation on down weeks to the standard deviation on up weeks.</w:t>
      </w:r>
      <w:r w:rsidR="00546E9F" w:rsidRPr="00D23517">
        <w:rPr>
          <w:rFonts w:ascii="Times New Roman" w:hAnsi="Times New Roman" w:cs="Times New Roman"/>
          <w:i/>
          <w:sz w:val="20"/>
          <w:szCs w:val="20"/>
        </w:rPr>
        <w:t xml:space="preserve"> COUNT</w:t>
      </w:r>
      <w:r w:rsidR="00546E9F" w:rsidRPr="00D23517">
        <w:rPr>
          <w:rFonts w:ascii="Times New Roman" w:hAnsi="Times New Roman" w:cs="Times New Roman"/>
          <w:sz w:val="20"/>
          <w:szCs w:val="20"/>
        </w:rPr>
        <w:t xml:space="preserve"> is the number of crashes minus the number of jumps over the fiscal year. </w:t>
      </w:r>
      <w:r w:rsidR="00546E9F" w:rsidRPr="00D23517">
        <w:rPr>
          <w:rFonts w:ascii="Times New Roman" w:hAnsi="Times New Roman" w:cs="Times New Roman"/>
          <w:i/>
          <w:sz w:val="20"/>
          <w:szCs w:val="20"/>
        </w:rPr>
        <w:t>NONOPERINC</w:t>
      </w:r>
      <w:r w:rsidR="00546E9F" w:rsidRPr="00D23517">
        <w:rPr>
          <w:rFonts w:ascii="Times New Roman" w:hAnsi="Times New Roman" w:cs="Times New Roman"/>
          <w:sz w:val="20"/>
          <w:szCs w:val="20"/>
        </w:rPr>
        <w:t xml:space="preserve"> is the ratio of non-operating earnings to assets at the end of the fiscal year. </w:t>
      </w:r>
      <w:r w:rsidR="00546E9F" w:rsidRPr="00D23517">
        <w:rPr>
          <w:rFonts w:ascii="Times New Roman" w:hAnsi="Times New Roman" w:cs="Times New Roman"/>
          <w:i/>
          <w:sz w:val="20"/>
          <w:szCs w:val="20"/>
        </w:rPr>
        <w:t>OPERINC</w:t>
      </w:r>
      <w:r w:rsidR="00546E9F" w:rsidRPr="00D23517">
        <w:rPr>
          <w:rFonts w:ascii="Times New Roman" w:hAnsi="Times New Roman" w:cs="Times New Roman"/>
          <w:sz w:val="20"/>
          <w:szCs w:val="20"/>
        </w:rPr>
        <w:t xml:space="preserve"> is the ratio of operating earnings to assets at the end of the fiscal year. </w:t>
      </w:r>
      <w:r w:rsidR="00546E9F" w:rsidRPr="00D23517">
        <w:rPr>
          <w:rFonts w:ascii="Times New Roman" w:eastAsia="Times New Roman" w:hAnsi="Times New Roman" w:cs="Times New Roman"/>
          <w:i/>
          <w:iCs/>
          <w:color w:val="000000"/>
          <w:sz w:val="20"/>
          <w:szCs w:val="20"/>
        </w:rPr>
        <w:t xml:space="preserve">LNAT </w:t>
      </w:r>
      <w:r w:rsidR="00546E9F" w:rsidRPr="00D23517">
        <w:rPr>
          <w:rFonts w:ascii="Times New Roman" w:eastAsia="Times New Roman" w:hAnsi="Times New Roman" w:cs="Times New Roman"/>
          <w:iCs/>
          <w:color w:val="000000"/>
          <w:sz w:val="20"/>
          <w:szCs w:val="20"/>
        </w:rPr>
        <w:t>is</w:t>
      </w:r>
      <w:r w:rsidR="00546E9F" w:rsidRPr="00D23517">
        <w:rPr>
          <w:rFonts w:ascii="Times New Roman" w:eastAsia="Times New Roman" w:hAnsi="Times New Roman" w:cs="Times New Roman"/>
          <w:i/>
          <w:iCs/>
          <w:color w:val="000000"/>
          <w:sz w:val="20"/>
          <w:szCs w:val="20"/>
        </w:rPr>
        <w:t xml:space="preserve"> </w:t>
      </w:r>
      <w:r w:rsidR="00546E9F" w:rsidRPr="00D23517">
        <w:rPr>
          <w:rFonts w:ascii="Times New Roman" w:hAnsi="Times New Roman" w:cs="Times New Roman"/>
          <w:sz w:val="20"/>
          <w:szCs w:val="20"/>
        </w:rPr>
        <w:t xml:space="preserve">the natural log of total assets at the end of the fiscal year. </w:t>
      </w:r>
      <w:r w:rsidR="00546E9F" w:rsidRPr="00D23517">
        <w:rPr>
          <w:rFonts w:ascii="Times New Roman" w:hAnsi="Times New Roman" w:cs="Times New Roman"/>
          <w:i/>
          <w:sz w:val="20"/>
          <w:szCs w:val="20"/>
        </w:rPr>
        <w:t xml:space="preserve">RET </w:t>
      </w:r>
      <w:r w:rsidR="00546E9F" w:rsidRPr="00D23517">
        <w:rPr>
          <w:rFonts w:ascii="Times New Roman" w:hAnsi="Times New Roman" w:cs="Times New Roman"/>
          <w:sz w:val="20"/>
          <w:szCs w:val="20"/>
        </w:rPr>
        <w:t>is</w:t>
      </w:r>
      <w:r w:rsidR="00546E9F" w:rsidRPr="00D23517">
        <w:rPr>
          <w:rFonts w:ascii="Times New Roman" w:hAnsi="Times New Roman" w:cs="Times New Roman"/>
          <w:i/>
          <w:sz w:val="20"/>
          <w:szCs w:val="20"/>
        </w:rPr>
        <w:t xml:space="preserve"> </w:t>
      </w:r>
      <w:r w:rsidR="00546E9F" w:rsidRPr="00D23517">
        <w:rPr>
          <w:rFonts w:ascii="Times New Roman" w:hAnsi="Times New Roman" w:cs="Times New Roman"/>
          <w:sz w:val="20"/>
          <w:szCs w:val="20"/>
        </w:rPr>
        <w:t xml:space="preserve">the average of the firm-specific weekly returns over the preceding fiscal year. </w:t>
      </w:r>
      <w:r w:rsidR="00546E9F" w:rsidRPr="00D23517">
        <w:rPr>
          <w:rFonts w:ascii="Times New Roman" w:hAnsi="Times New Roman" w:cs="Times New Roman"/>
          <w:i/>
          <w:sz w:val="20"/>
          <w:szCs w:val="20"/>
        </w:rPr>
        <w:t>SIGMA</w:t>
      </w:r>
      <w:r w:rsidR="00546E9F" w:rsidRPr="00D23517">
        <w:rPr>
          <w:rFonts w:ascii="Times New Roman" w:hAnsi="Times New Roman" w:cs="Times New Roman"/>
          <w:sz w:val="20"/>
          <w:szCs w:val="20"/>
        </w:rPr>
        <w:t xml:space="preserve"> is the standard deviation of the firm-specific weekly returns over the preceding fiscal year. </w:t>
      </w:r>
      <w:r w:rsidR="00546E9F" w:rsidRPr="00D23517">
        <w:rPr>
          <w:rFonts w:ascii="Times New Roman" w:hAnsi="Times New Roman" w:cs="Times New Roman"/>
          <w:i/>
          <w:sz w:val="20"/>
          <w:szCs w:val="20"/>
        </w:rPr>
        <w:t xml:space="preserve">DTURN </w:t>
      </w:r>
      <w:r w:rsidR="00546E9F" w:rsidRPr="00D23517">
        <w:rPr>
          <w:rFonts w:ascii="Times New Roman" w:hAnsi="Times New Roman" w:cs="Times New Roman"/>
          <w:sz w:val="20"/>
          <w:szCs w:val="20"/>
        </w:rPr>
        <w:t xml:space="preserve">is the difference between average monthly turnover over fiscal year t-1 and the prior fiscal year’s average monthly turnover. </w:t>
      </w:r>
      <w:r w:rsidR="00546E9F" w:rsidRPr="00D23517">
        <w:rPr>
          <w:rFonts w:ascii="Times New Roman" w:eastAsia="Times New Roman" w:hAnsi="Times New Roman" w:cs="Times New Roman"/>
          <w:i/>
          <w:color w:val="000000"/>
          <w:sz w:val="20"/>
          <w:szCs w:val="20"/>
        </w:rPr>
        <w:t xml:space="preserve">MKBK is </w:t>
      </w:r>
      <w:r w:rsidR="00546E9F" w:rsidRPr="00D23517">
        <w:rPr>
          <w:rFonts w:ascii="Times New Roman" w:hAnsi="Times New Roman" w:cs="Times New Roman"/>
          <w:sz w:val="20"/>
          <w:szCs w:val="20"/>
        </w:rPr>
        <w:t xml:space="preserve">market-to-book ratio at the end of the fiscal year. </w:t>
      </w:r>
      <w:r w:rsidR="00546E9F" w:rsidRPr="00D23517">
        <w:rPr>
          <w:rFonts w:ascii="Times New Roman" w:hAnsi="Times New Roman" w:cs="Times New Roman"/>
          <w:i/>
          <w:sz w:val="20"/>
          <w:szCs w:val="20"/>
        </w:rPr>
        <w:t xml:space="preserve">DEBT </w:t>
      </w:r>
      <w:r w:rsidR="00546E9F" w:rsidRPr="00D23517">
        <w:rPr>
          <w:rFonts w:ascii="Times New Roman" w:hAnsi="Times New Roman" w:cs="Times New Roman"/>
          <w:sz w:val="20"/>
          <w:szCs w:val="20"/>
        </w:rPr>
        <w:t>is</w:t>
      </w:r>
      <w:r w:rsidR="00546E9F" w:rsidRPr="00D23517">
        <w:rPr>
          <w:rFonts w:ascii="Times New Roman" w:hAnsi="Times New Roman" w:cs="Times New Roman"/>
          <w:i/>
          <w:sz w:val="20"/>
          <w:szCs w:val="20"/>
        </w:rPr>
        <w:t xml:space="preserve"> </w:t>
      </w:r>
      <w:r w:rsidR="00546E9F" w:rsidRPr="00D23517">
        <w:rPr>
          <w:rFonts w:ascii="Times New Roman" w:hAnsi="Times New Roman" w:cs="Times New Roman"/>
          <w:sz w:val="20"/>
          <w:szCs w:val="20"/>
        </w:rPr>
        <w:t>the ratio of long-term debt to total assets</w:t>
      </w:r>
      <w:r w:rsidR="00546E9F" w:rsidRPr="00D23517">
        <w:rPr>
          <w:rFonts w:ascii="Times New Roman" w:hAnsi="Times New Roman" w:cs="Times New Roman"/>
        </w:rPr>
        <w:t xml:space="preserve"> </w:t>
      </w:r>
      <w:r w:rsidR="00546E9F" w:rsidRPr="00D23517">
        <w:rPr>
          <w:rFonts w:ascii="Times New Roman" w:hAnsi="Times New Roman" w:cs="Times New Roman"/>
          <w:sz w:val="20"/>
          <w:szCs w:val="20"/>
        </w:rPr>
        <w:t xml:space="preserve">at the end of the fiscal year. </w:t>
      </w:r>
      <w:r w:rsidR="00546E9F" w:rsidRPr="00F15FF6">
        <w:rPr>
          <w:rFonts w:ascii="Times New Roman" w:hAnsi="Times New Roman" w:cs="Times New Roman"/>
          <w:i/>
          <w:sz w:val="20"/>
          <w:szCs w:val="20"/>
        </w:rPr>
        <w:t>DISACC</w:t>
      </w:r>
      <w:r w:rsidR="00546E9F" w:rsidRPr="00D23517">
        <w:rPr>
          <w:rFonts w:ascii="Times New Roman" w:hAnsi="Times New Roman" w:cs="Times New Roman"/>
          <w:sz w:val="20"/>
          <w:szCs w:val="20"/>
        </w:rPr>
        <w:t xml:space="preserve"> is the abnormal discretionary accruals. </w:t>
      </w:r>
      <w:r w:rsidR="00546E9F" w:rsidRPr="00F15FF6">
        <w:rPr>
          <w:rFonts w:ascii="Times New Roman" w:hAnsi="Times New Roman" w:cs="Times New Roman"/>
          <w:i/>
          <w:sz w:val="20"/>
          <w:szCs w:val="20"/>
        </w:rPr>
        <w:t>REALEM</w:t>
      </w:r>
      <w:r w:rsidR="00546E9F" w:rsidRPr="00D23517">
        <w:rPr>
          <w:rFonts w:ascii="Times New Roman" w:hAnsi="Times New Roman" w:cs="Times New Roman"/>
          <w:sz w:val="20"/>
          <w:szCs w:val="20"/>
        </w:rPr>
        <w:t xml:space="preserve"> is the sum of abnormal production cost, abnormal discretionary expenditures</w:t>
      </w:r>
      <w:r w:rsidR="001A6AC3">
        <w:rPr>
          <w:rFonts w:ascii="Times New Roman" w:hAnsi="Times New Roman" w:cs="Times New Roman"/>
          <w:sz w:val="20"/>
          <w:szCs w:val="20"/>
        </w:rPr>
        <w:t>,</w:t>
      </w:r>
      <w:r w:rsidR="00546E9F" w:rsidRPr="00D23517">
        <w:rPr>
          <w:rFonts w:ascii="Times New Roman" w:hAnsi="Times New Roman" w:cs="Times New Roman"/>
          <w:sz w:val="20"/>
          <w:szCs w:val="20"/>
        </w:rPr>
        <w:t xml:space="preserve"> and abnormal operating cash flows. </w:t>
      </w:r>
      <w:r w:rsidR="00546E9F" w:rsidRPr="00F15FF6">
        <w:rPr>
          <w:rFonts w:ascii="Times New Roman" w:hAnsi="Times New Roman" w:cs="Times New Roman"/>
          <w:i/>
          <w:sz w:val="20"/>
          <w:szCs w:val="20"/>
        </w:rPr>
        <w:t>INSTOWN_TRAN/INSTOWN_QIX/</w:t>
      </w:r>
      <w:r w:rsidR="00546E9F" w:rsidRPr="00D23517">
        <w:rPr>
          <w:rFonts w:ascii="Times New Roman" w:hAnsi="Times New Roman" w:cs="Times New Roman"/>
          <w:sz w:val="20"/>
          <w:szCs w:val="20"/>
        </w:rPr>
        <w:t xml:space="preserve"> </w:t>
      </w:r>
      <w:r w:rsidR="00546E9F" w:rsidRPr="00F15FF6">
        <w:rPr>
          <w:rFonts w:ascii="Times New Roman" w:hAnsi="Times New Roman" w:cs="Times New Roman"/>
          <w:i/>
          <w:sz w:val="20"/>
          <w:szCs w:val="20"/>
        </w:rPr>
        <w:t>INSTOWN_DED</w:t>
      </w:r>
      <w:r w:rsidR="00546E9F" w:rsidRPr="00D23517">
        <w:rPr>
          <w:rFonts w:ascii="Times New Roman" w:hAnsi="Times New Roman" w:cs="Times New Roman"/>
          <w:sz w:val="20"/>
          <w:szCs w:val="20"/>
        </w:rPr>
        <w:t xml:space="preserve"> </w:t>
      </w:r>
      <w:r w:rsidR="00546E9F" w:rsidRPr="00D23517">
        <w:rPr>
          <w:rFonts w:ascii="Times New Roman" w:hAnsi="Times New Roman" w:cs="Times New Roman"/>
          <w:sz w:val="20"/>
          <w:szCs w:val="20"/>
        </w:rPr>
        <w:lastRenderedPageBreak/>
        <w:t xml:space="preserve">is the percentage of firm shares held by transient institutional owners/quasi-index institutional owners/dedicated institutional owners. </w:t>
      </w:r>
      <w:r w:rsidR="00D11CA0" w:rsidRPr="00D05DBE">
        <w:rPr>
          <w:rFonts w:ascii="Times New Roman" w:hAnsi="Times New Roman" w:cs="Times New Roman"/>
          <w:i/>
          <w:sz w:val="20"/>
          <w:szCs w:val="20"/>
        </w:rPr>
        <w:t>SKILL</w:t>
      </w:r>
      <w:r w:rsidR="00D11CA0" w:rsidRPr="00D05DBE">
        <w:rPr>
          <w:rFonts w:ascii="Times New Roman" w:hAnsi="Times New Roman" w:cs="Times New Roman"/>
          <w:sz w:val="20"/>
          <w:szCs w:val="20"/>
        </w:rPr>
        <w:t xml:space="preserve"> is</w:t>
      </w:r>
      <w:r w:rsidR="00D11CA0" w:rsidRPr="00D23517">
        <w:rPr>
          <w:rFonts w:ascii="Times New Roman" w:hAnsi="Times New Roman" w:cs="Times New Roman"/>
          <w:i/>
          <w:sz w:val="20"/>
          <w:szCs w:val="20"/>
        </w:rPr>
        <w:t xml:space="preserve"> </w:t>
      </w:r>
      <w:r w:rsidR="00D11CA0" w:rsidRPr="00D23517">
        <w:rPr>
          <w:rFonts w:ascii="Times New Roman" w:hAnsi="Times New Roman" w:cs="Times New Roman"/>
          <w:iCs/>
          <w:sz w:val="20"/>
          <w:szCs w:val="20"/>
        </w:rPr>
        <w:t>a</w:t>
      </w:r>
      <w:r w:rsidR="00D11CA0" w:rsidRPr="00D23517">
        <w:rPr>
          <w:rFonts w:ascii="Times New Roman" w:hAnsi="Times New Roman" w:cs="Times New Roman"/>
          <w:sz w:val="20"/>
          <w:szCs w:val="20"/>
        </w:rPr>
        <w:t xml:space="preserve"> dummy variable </w:t>
      </w:r>
      <w:r w:rsidR="00D11CA0">
        <w:rPr>
          <w:rFonts w:ascii="Times New Roman" w:hAnsi="Times New Roman" w:cs="Times New Roman"/>
          <w:sz w:val="20"/>
          <w:szCs w:val="20"/>
        </w:rPr>
        <w:t xml:space="preserve">that equals 1 </w:t>
      </w:r>
      <w:r w:rsidR="00D11CA0" w:rsidRPr="00D23517">
        <w:rPr>
          <w:rFonts w:ascii="Times New Roman" w:hAnsi="Times New Roman" w:cs="Times New Roman"/>
          <w:sz w:val="20"/>
          <w:szCs w:val="20"/>
        </w:rPr>
        <w:t xml:space="preserve">for firms with managerial ability </w:t>
      </w:r>
      <w:r w:rsidR="00E97357">
        <w:rPr>
          <w:rFonts w:ascii="Times New Roman" w:hAnsi="Times New Roman" w:cs="Times New Roman"/>
          <w:sz w:val="20"/>
          <w:szCs w:val="20"/>
        </w:rPr>
        <w:t xml:space="preserve">scores </w:t>
      </w:r>
      <w:r w:rsidR="00D11CA0" w:rsidRPr="00D23517">
        <w:rPr>
          <w:rFonts w:ascii="Times New Roman" w:hAnsi="Times New Roman" w:cs="Times New Roman"/>
          <w:sz w:val="20"/>
          <w:szCs w:val="20"/>
        </w:rPr>
        <w:t>above the industry median managerial ability</w:t>
      </w:r>
      <w:r w:rsidR="00E97357">
        <w:rPr>
          <w:rFonts w:ascii="Times New Roman" w:hAnsi="Times New Roman" w:cs="Times New Roman"/>
          <w:sz w:val="20"/>
          <w:szCs w:val="20"/>
        </w:rPr>
        <w:t xml:space="preserve"> </w:t>
      </w:r>
      <w:r w:rsidR="00E97357">
        <w:rPr>
          <w:rFonts w:ascii="Times New Roman" w:hAnsi="Times New Roman" w:cs="Times New Roman"/>
          <w:iCs/>
          <w:sz w:val="20"/>
          <w:szCs w:val="20"/>
        </w:rPr>
        <w:t>scores</w:t>
      </w:r>
      <w:r w:rsidR="00E97357" w:rsidRPr="00E97357">
        <w:rPr>
          <w:rFonts w:ascii="Times New Roman" w:hAnsi="Times New Roman" w:cs="Times New Roman"/>
          <w:iCs/>
          <w:sz w:val="20"/>
          <w:szCs w:val="20"/>
        </w:rPr>
        <w:t xml:space="preserve"> </w:t>
      </w:r>
      <w:r w:rsidR="00E97357" w:rsidRPr="00CF12A9">
        <w:rPr>
          <w:rFonts w:ascii="Times New Roman" w:hAnsi="Times New Roman" w:cs="Times New Roman"/>
          <w:iCs/>
          <w:sz w:val="20"/>
          <w:szCs w:val="20"/>
        </w:rPr>
        <w:t xml:space="preserve">in the </w:t>
      </w:r>
      <w:r w:rsidR="00E97357">
        <w:rPr>
          <w:rFonts w:ascii="Times New Roman" w:hAnsi="Times New Roman" w:cs="Times New Roman"/>
          <w:iCs/>
          <w:sz w:val="20"/>
          <w:szCs w:val="20"/>
        </w:rPr>
        <w:t>p</w:t>
      </w:r>
      <w:r w:rsidR="00E97357" w:rsidRPr="00CF12A9">
        <w:rPr>
          <w:rFonts w:ascii="Times New Roman" w:hAnsi="Times New Roman" w:cs="Times New Roman"/>
          <w:iCs/>
          <w:sz w:val="20"/>
          <w:szCs w:val="20"/>
        </w:rPr>
        <w:t>ast three years</w:t>
      </w:r>
      <w:r w:rsidR="00D11CA0">
        <w:rPr>
          <w:rFonts w:ascii="Times New Roman" w:hAnsi="Times New Roman" w:cs="Times New Roman"/>
          <w:sz w:val="20"/>
          <w:szCs w:val="20"/>
        </w:rPr>
        <w:t>, and 0 otherwise</w:t>
      </w:r>
      <w:r w:rsidR="00D11CA0" w:rsidRPr="00D23517">
        <w:rPr>
          <w:rFonts w:ascii="Times New Roman" w:hAnsi="Times New Roman" w:cs="Times New Roman"/>
          <w:sz w:val="20"/>
          <w:szCs w:val="20"/>
        </w:rPr>
        <w:t xml:space="preserve">. </w:t>
      </w:r>
      <w:r w:rsidR="00546E9F" w:rsidRPr="00F15FF6">
        <w:rPr>
          <w:rFonts w:ascii="Times New Roman" w:hAnsi="Times New Roman" w:cs="Times New Roman"/>
          <w:i/>
          <w:sz w:val="20"/>
          <w:szCs w:val="20"/>
        </w:rPr>
        <w:t>MKTCON</w:t>
      </w:r>
      <w:r w:rsidR="00546E9F" w:rsidRPr="00D23517">
        <w:rPr>
          <w:rFonts w:ascii="Times New Roman" w:hAnsi="Times New Roman" w:cs="Times New Roman"/>
          <w:sz w:val="20"/>
          <w:szCs w:val="20"/>
        </w:rPr>
        <w:t xml:space="preserve"> is the Herfindahl sales-based industry concentration index. *, ** and *** indicate the significance levels of 10%, 5% and 1%, respectively</w:t>
      </w:r>
    </w:p>
    <w:p w14:paraId="03C7B3E7" w14:textId="77777777" w:rsidR="006F4FAD" w:rsidRPr="00893E6D" w:rsidRDefault="006F4FAD" w:rsidP="00A1062B">
      <w:pPr>
        <w:jc w:val="both"/>
        <w:sectPr w:rsidR="006F4FAD" w:rsidRPr="00893E6D" w:rsidSect="00A87484">
          <w:pgSz w:w="12240" w:h="15840"/>
          <w:pgMar w:top="1440" w:right="1440" w:bottom="1440" w:left="1440" w:header="720" w:footer="720" w:gutter="0"/>
          <w:cols w:space="720"/>
          <w:docGrid w:linePitch="360"/>
        </w:sectPr>
      </w:pPr>
    </w:p>
    <w:tbl>
      <w:tblPr>
        <w:tblW w:w="5000" w:type="pct"/>
        <w:tblLook w:val="04A0" w:firstRow="1" w:lastRow="0" w:firstColumn="1" w:lastColumn="0" w:noHBand="0" w:noVBand="1"/>
      </w:tblPr>
      <w:tblGrid>
        <w:gridCol w:w="1944"/>
        <w:gridCol w:w="1636"/>
        <w:gridCol w:w="1501"/>
        <w:gridCol w:w="1411"/>
        <w:gridCol w:w="1465"/>
        <w:gridCol w:w="1684"/>
        <w:gridCol w:w="1246"/>
        <w:gridCol w:w="2073"/>
      </w:tblGrid>
      <w:tr w:rsidR="006F4FAD" w:rsidRPr="00D23517" w14:paraId="357C98EA" w14:textId="77777777" w:rsidTr="00102195">
        <w:trPr>
          <w:trHeight w:val="290"/>
        </w:trPr>
        <w:tc>
          <w:tcPr>
            <w:tcW w:w="5000" w:type="pct"/>
            <w:gridSpan w:val="8"/>
            <w:tcBorders>
              <w:top w:val="nil"/>
              <w:left w:val="nil"/>
              <w:bottom w:val="single" w:sz="4" w:space="0" w:color="auto"/>
              <w:right w:val="nil"/>
            </w:tcBorders>
            <w:shd w:val="clear" w:color="auto" w:fill="auto"/>
            <w:noWrap/>
            <w:vAlign w:val="bottom"/>
            <w:hideMark/>
          </w:tcPr>
          <w:p w14:paraId="30C29FE3" w14:textId="321DDA77" w:rsidR="006F4FAD" w:rsidRPr="00D23517" w:rsidRDefault="006F4FAD" w:rsidP="004C1989">
            <w:pPr>
              <w:pBdr>
                <w:bottom w:val="single" w:sz="4" w:space="1" w:color="auto"/>
              </w:pBdr>
              <w:spacing w:after="0" w:line="240" w:lineRule="auto"/>
              <w:jc w:val="both"/>
              <w:rPr>
                <w:rFonts w:ascii="Times New Roman" w:eastAsia="Times New Roman" w:hAnsi="Times New Roman" w:cs="Times New Roman"/>
                <w:b/>
                <w:color w:val="000000"/>
                <w:sz w:val="24"/>
                <w:szCs w:val="24"/>
              </w:rPr>
            </w:pPr>
            <w:r w:rsidRPr="00D23517">
              <w:rPr>
                <w:rFonts w:ascii="Times New Roman" w:eastAsia="Times New Roman" w:hAnsi="Times New Roman" w:cs="Times New Roman"/>
                <w:b/>
                <w:color w:val="000000"/>
                <w:sz w:val="24"/>
                <w:szCs w:val="24"/>
              </w:rPr>
              <w:lastRenderedPageBreak/>
              <w:t xml:space="preserve">Table </w:t>
            </w:r>
            <w:r w:rsidR="00696DC0" w:rsidRPr="00D23517">
              <w:rPr>
                <w:rFonts w:ascii="Times New Roman" w:eastAsia="Times New Roman" w:hAnsi="Times New Roman" w:cs="Times New Roman"/>
                <w:b/>
                <w:color w:val="000000"/>
                <w:sz w:val="24"/>
                <w:szCs w:val="24"/>
              </w:rPr>
              <w:t>6</w:t>
            </w:r>
            <w:r w:rsidR="00546E9F" w:rsidRPr="00D23517">
              <w:rPr>
                <w:rFonts w:ascii="Times New Roman" w:eastAsia="Times New Roman" w:hAnsi="Times New Roman" w:cs="Times New Roman"/>
                <w:b/>
                <w:color w:val="000000"/>
                <w:sz w:val="24"/>
                <w:szCs w:val="24"/>
              </w:rPr>
              <w:t xml:space="preserve">: </w:t>
            </w:r>
            <w:r w:rsidRPr="00D23517">
              <w:rPr>
                <w:rFonts w:ascii="Times New Roman" w:eastAsia="Times New Roman" w:hAnsi="Times New Roman" w:cs="Times New Roman"/>
                <w:b/>
                <w:color w:val="000000"/>
                <w:sz w:val="24"/>
                <w:szCs w:val="24"/>
              </w:rPr>
              <w:t xml:space="preserve">The Relation between </w:t>
            </w:r>
            <w:r w:rsidR="00AC74B2" w:rsidRPr="00D23517">
              <w:rPr>
                <w:rFonts w:ascii="Times New Roman" w:eastAsia="Times New Roman" w:hAnsi="Times New Roman" w:cs="Times New Roman"/>
                <w:b/>
                <w:color w:val="000000"/>
                <w:sz w:val="24"/>
                <w:szCs w:val="24"/>
              </w:rPr>
              <w:t>non</w:t>
            </w:r>
            <w:r w:rsidRPr="00D23517">
              <w:rPr>
                <w:rFonts w:ascii="Times New Roman" w:eastAsia="Times New Roman" w:hAnsi="Times New Roman" w:cs="Times New Roman"/>
                <w:b/>
                <w:color w:val="000000"/>
                <w:sz w:val="24"/>
                <w:szCs w:val="24"/>
              </w:rPr>
              <w:t>-</w:t>
            </w:r>
            <w:r w:rsidR="00AC74B2" w:rsidRPr="00D23517">
              <w:rPr>
                <w:rFonts w:ascii="Times New Roman" w:eastAsia="Times New Roman" w:hAnsi="Times New Roman" w:cs="Times New Roman"/>
                <w:b/>
                <w:color w:val="000000"/>
                <w:sz w:val="24"/>
                <w:szCs w:val="24"/>
              </w:rPr>
              <w:t>operating income</w:t>
            </w:r>
            <w:r w:rsidR="002A1376" w:rsidRPr="00D23517">
              <w:rPr>
                <w:rFonts w:ascii="Times New Roman" w:eastAsia="Times New Roman" w:hAnsi="Times New Roman" w:cs="Times New Roman"/>
                <w:b/>
                <w:color w:val="000000"/>
                <w:sz w:val="24"/>
                <w:szCs w:val="24"/>
              </w:rPr>
              <w:t xml:space="preserve"> and </w:t>
            </w:r>
            <w:r w:rsidR="003F1F10">
              <w:rPr>
                <w:rFonts w:ascii="Times New Roman" w:eastAsia="Times New Roman" w:hAnsi="Times New Roman" w:cs="Times New Roman"/>
                <w:b/>
                <w:color w:val="000000"/>
                <w:sz w:val="24"/>
                <w:szCs w:val="24"/>
              </w:rPr>
              <w:t>firm</w:t>
            </w:r>
            <w:r w:rsidR="00AC74B2" w:rsidRPr="00D23517">
              <w:rPr>
                <w:rFonts w:ascii="Times New Roman" w:eastAsia="Times New Roman" w:hAnsi="Times New Roman" w:cs="Times New Roman"/>
                <w:b/>
                <w:color w:val="000000"/>
                <w:sz w:val="24"/>
                <w:szCs w:val="24"/>
              </w:rPr>
              <w:t xml:space="preserve"> risk </w:t>
            </w:r>
            <w:r w:rsidRPr="00D23517">
              <w:rPr>
                <w:rFonts w:ascii="Times New Roman" w:eastAsia="Times New Roman" w:hAnsi="Times New Roman" w:cs="Times New Roman"/>
                <w:b/>
                <w:color w:val="000000"/>
                <w:sz w:val="24"/>
                <w:szCs w:val="24"/>
              </w:rPr>
              <w:t xml:space="preserve">– </w:t>
            </w:r>
            <w:r w:rsidR="00AC74B2" w:rsidRPr="00D23517">
              <w:rPr>
                <w:rFonts w:ascii="Times New Roman" w:eastAsia="Times New Roman" w:hAnsi="Times New Roman" w:cs="Times New Roman"/>
                <w:b/>
                <w:color w:val="000000"/>
                <w:sz w:val="24"/>
                <w:szCs w:val="24"/>
              </w:rPr>
              <w:t>Change regressions</w:t>
            </w:r>
          </w:p>
        </w:tc>
      </w:tr>
      <w:tr w:rsidR="006F4FAD" w:rsidRPr="00D23517" w14:paraId="69883B69" w14:textId="77777777" w:rsidTr="00102195">
        <w:trPr>
          <w:trHeight w:val="290"/>
        </w:trPr>
        <w:tc>
          <w:tcPr>
            <w:tcW w:w="746" w:type="pct"/>
            <w:tcBorders>
              <w:top w:val="single" w:sz="4" w:space="0" w:color="auto"/>
              <w:left w:val="nil"/>
              <w:right w:val="nil"/>
            </w:tcBorders>
            <w:shd w:val="clear" w:color="auto" w:fill="auto"/>
            <w:noWrap/>
            <w:vAlign w:val="bottom"/>
          </w:tcPr>
          <w:p w14:paraId="08030D7F" w14:textId="77777777" w:rsidR="006F4FAD" w:rsidRPr="00D23517" w:rsidRDefault="006F4FAD" w:rsidP="00A1062B">
            <w:pPr>
              <w:spacing w:after="0" w:line="240" w:lineRule="auto"/>
              <w:jc w:val="both"/>
              <w:rPr>
                <w:rFonts w:ascii="Times New Roman" w:eastAsia="Times New Roman" w:hAnsi="Times New Roman" w:cs="Times New Roman"/>
                <w:b/>
                <w:i/>
                <w:color w:val="000000"/>
                <w:sz w:val="20"/>
                <w:szCs w:val="20"/>
              </w:rPr>
            </w:pPr>
          </w:p>
        </w:tc>
        <w:tc>
          <w:tcPr>
            <w:tcW w:w="4254" w:type="pct"/>
            <w:gridSpan w:val="7"/>
            <w:tcBorders>
              <w:top w:val="single" w:sz="4" w:space="0" w:color="auto"/>
              <w:left w:val="nil"/>
              <w:right w:val="nil"/>
            </w:tcBorders>
            <w:shd w:val="clear" w:color="auto" w:fill="auto"/>
            <w:noWrap/>
            <w:vAlign w:val="bottom"/>
          </w:tcPr>
          <w:p w14:paraId="7829755C" w14:textId="77777777" w:rsidR="006F4FAD" w:rsidRPr="00D23517" w:rsidRDefault="006F4FAD"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Independent variables</w:t>
            </w:r>
          </w:p>
        </w:tc>
      </w:tr>
      <w:tr w:rsidR="00AC74B2" w:rsidRPr="00D23517" w14:paraId="1EC88E72" w14:textId="77777777" w:rsidTr="00102195">
        <w:trPr>
          <w:trHeight w:val="290"/>
        </w:trPr>
        <w:tc>
          <w:tcPr>
            <w:tcW w:w="746" w:type="pct"/>
            <w:tcBorders>
              <w:left w:val="nil"/>
              <w:bottom w:val="single" w:sz="4" w:space="0" w:color="auto"/>
              <w:right w:val="nil"/>
            </w:tcBorders>
            <w:shd w:val="clear" w:color="auto" w:fill="auto"/>
            <w:noWrap/>
            <w:vAlign w:val="bottom"/>
            <w:hideMark/>
          </w:tcPr>
          <w:p w14:paraId="2A5C280D" w14:textId="77777777" w:rsidR="006F4FAD" w:rsidRPr="00D23517" w:rsidRDefault="006F4FAD" w:rsidP="00A1062B">
            <w:pPr>
              <w:spacing w:after="0" w:line="240" w:lineRule="auto"/>
              <w:jc w:val="both"/>
              <w:rPr>
                <w:rFonts w:ascii="Times New Roman" w:eastAsia="Times New Roman" w:hAnsi="Times New Roman" w:cs="Times New Roman"/>
                <w:b/>
                <w:i/>
                <w:color w:val="000000"/>
                <w:sz w:val="20"/>
                <w:szCs w:val="20"/>
              </w:rPr>
            </w:pPr>
            <w:r w:rsidRPr="00D23517">
              <w:rPr>
                <w:rFonts w:ascii="Times New Roman" w:eastAsia="Times New Roman" w:hAnsi="Times New Roman" w:cs="Times New Roman"/>
                <w:b/>
                <w:i/>
                <w:color w:val="000000"/>
                <w:sz w:val="20"/>
                <w:szCs w:val="20"/>
              </w:rPr>
              <w:t>Dependent Variables</w:t>
            </w:r>
          </w:p>
        </w:tc>
        <w:tc>
          <w:tcPr>
            <w:tcW w:w="632" w:type="pct"/>
            <w:tcBorders>
              <w:left w:val="nil"/>
              <w:bottom w:val="single" w:sz="4" w:space="0" w:color="auto"/>
              <w:right w:val="nil"/>
            </w:tcBorders>
            <w:shd w:val="clear" w:color="auto" w:fill="auto"/>
            <w:noWrap/>
            <w:vAlign w:val="bottom"/>
            <w:hideMark/>
          </w:tcPr>
          <w:p w14:paraId="2C794CB2"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NONOPERINC</w:t>
            </w:r>
          </w:p>
        </w:tc>
        <w:tc>
          <w:tcPr>
            <w:tcW w:w="580" w:type="pct"/>
            <w:tcBorders>
              <w:left w:val="nil"/>
              <w:bottom w:val="single" w:sz="4" w:space="0" w:color="auto"/>
              <w:right w:val="nil"/>
            </w:tcBorders>
            <w:shd w:val="clear" w:color="auto" w:fill="auto"/>
            <w:noWrap/>
            <w:vAlign w:val="bottom"/>
            <w:hideMark/>
          </w:tcPr>
          <w:p w14:paraId="44801790"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p>
        </w:tc>
        <w:tc>
          <w:tcPr>
            <w:tcW w:w="545" w:type="pct"/>
            <w:tcBorders>
              <w:left w:val="nil"/>
              <w:bottom w:val="single" w:sz="4" w:space="0" w:color="auto"/>
              <w:right w:val="nil"/>
            </w:tcBorders>
            <w:shd w:val="clear" w:color="auto" w:fill="auto"/>
            <w:vAlign w:val="bottom"/>
          </w:tcPr>
          <w:p w14:paraId="0114D36C"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OPERINC</w:t>
            </w:r>
          </w:p>
        </w:tc>
        <w:tc>
          <w:tcPr>
            <w:tcW w:w="566" w:type="pct"/>
            <w:tcBorders>
              <w:left w:val="nil"/>
              <w:bottom w:val="single" w:sz="4" w:space="0" w:color="auto"/>
              <w:right w:val="nil"/>
            </w:tcBorders>
            <w:shd w:val="clear" w:color="auto" w:fill="auto"/>
            <w:noWrap/>
            <w:vAlign w:val="bottom"/>
            <w:hideMark/>
          </w:tcPr>
          <w:p w14:paraId="16FF7D20"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p>
        </w:tc>
        <w:tc>
          <w:tcPr>
            <w:tcW w:w="650" w:type="pct"/>
            <w:tcBorders>
              <w:left w:val="nil"/>
              <w:bottom w:val="single" w:sz="4" w:space="0" w:color="auto"/>
              <w:right w:val="nil"/>
            </w:tcBorders>
            <w:shd w:val="clear" w:color="auto" w:fill="auto"/>
            <w:vAlign w:val="bottom"/>
          </w:tcPr>
          <w:p w14:paraId="626FF284"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proofErr w:type="spellStart"/>
            <w:r w:rsidRPr="00D23517">
              <w:rPr>
                <w:rFonts w:ascii="Times New Roman" w:eastAsia="Times New Roman" w:hAnsi="Times New Roman" w:cs="Times New Roman"/>
                <w:color w:val="000000"/>
                <w:sz w:val="20"/>
                <w:szCs w:val="20"/>
              </w:rPr>
              <w:t>Adj.R</w:t>
            </w:r>
            <w:proofErr w:type="spellEnd"/>
            <w:r w:rsidRPr="00D23517">
              <w:rPr>
                <w:rFonts w:ascii="Times New Roman" w:eastAsia="Times New Roman" w:hAnsi="Times New Roman" w:cs="Times New Roman"/>
                <w:color w:val="000000"/>
                <w:sz w:val="20"/>
                <w:szCs w:val="20"/>
              </w:rPr>
              <w:t>-squared</w:t>
            </w:r>
          </w:p>
        </w:tc>
        <w:tc>
          <w:tcPr>
            <w:tcW w:w="481" w:type="pct"/>
            <w:tcBorders>
              <w:left w:val="nil"/>
              <w:bottom w:val="single" w:sz="4" w:space="0" w:color="auto"/>
              <w:right w:val="nil"/>
            </w:tcBorders>
            <w:shd w:val="clear" w:color="auto" w:fill="auto"/>
            <w:noWrap/>
            <w:vAlign w:val="bottom"/>
            <w:hideMark/>
          </w:tcPr>
          <w:p w14:paraId="7BB798A4"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N</w:t>
            </w:r>
          </w:p>
        </w:tc>
        <w:tc>
          <w:tcPr>
            <w:tcW w:w="799" w:type="pct"/>
            <w:tcBorders>
              <w:left w:val="nil"/>
              <w:bottom w:val="single" w:sz="4" w:space="0" w:color="auto"/>
              <w:right w:val="nil"/>
            </w:tcBorders>
            <w:vAlign w:val="bottom"/>
          </w:tcPr>
          <w:p w14:paraId="4D67B647"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Control variables</w:t>
            </w:r>
          </w:p>
        </w:tc>
      </w:tr>
      <w:tr w:rsidR="00AC74B2" w:rsidRPr="00D23517" w14:paraId="26D3FAB9" w14:textId="77777777" w:rsidTr="00102195">
        <w:trPr>
          <w:trHeight w:val="290"/>
        </w:trPr>
        <w:tc>
          <w:tcPr>
            <w:tcW w:w="746" w:type="pct"/>
            <w:tcBorders>
              <w:top w:val="nil"/>
              <w:left w:val="nil"/>
              <w:bottom w:val="nil"/>
              <w:right w:val="nil"/>
            </w:tcBorders>
            <w:shd w:val="clear" w:color="auto" w:fill="auto"/>
            <w:noWrap/>
            <w:vAlign w:val="bottom"/>
          </w:tcPr>
          <w:p w14:paraId="0F0D7E4A"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ROAVOL</w:t>
            </w:r>
          </w:p>
        </w:tc>
        <w:tc>
          <w:tcPr>
            <w:tcW w:w="632" w:type="pct"/>
            <w:tcBorders>
              <w:top w:val="nil"/>
              <w:left w:val="nil"/>
              <w:bottom w:val="nil"/>
              <w:right w:val="nil"/>
            </w:tcBorders>
            <w:shd w:val="clear" w:color="auto" w:fill="auto"/>
            <w:noWrap/>
            <w:vAlign w:val="bottom"/>
          </w:tcPr>
          <w:p w14:paraId="13B28C51" w14:textId="77777777" w:rsidR="006F4FAD" w:rsidRPr="00D23517" w:rsidRDefault="006F4FAD"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-0.021</w:t>
            </w:r>
          </w:p>
        </w:tc>
        <w:tc>
          <w:tcPr>
            <w:tcW w:w="580" w:type="pct"/>
            <w:tcBorders>
              <w:top w:val="nil"/>
              <w:left w:val="nil"/>
              <w:bottom w:val="nil"/>
              <w:right w:val="nil"/>
            </w:tcBorders>
            <w:shd w:val="clear" w:color="auto" w:fill="auto"/>
            <w:noWrap/>
            <w:vAlign w:val="bottom"/>
          </w:tcPr>
          <w:p w14:paraId="43BDB214" w14:textId="77777777" w:rsidR="006F4FAD" w:rsidRPr="00D23517" w:rsidRDefault="006F4FAD"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-3.845***</w:t>
            </w:r>
          </w:p>
        </w:tc>
        <w:tc>
          <w:tcPr>
            <w:tcW w:w="545" w:type="pct"/>
            <w:tcBorders>
              <w:top w:val="nil"/>
              <w:left w:val="nil"/>
              <w:bottom w:val="nil"/>
              <w:right w:val="nil"/>
            </w:tcBorders>
            <w:shd w:val="clear" w:color="auto" w:fill="auto"/>
            <w:noWrap/>
            <w:vAlign w:val="bottom"/>
          </w:tcPr>
          <w:p w14:paraId="5F657B03" w14:textId="77777777" w:rsidR="006F4FAD" w:rsidRPr="00D23517" w:rsidRDefault="006F4FAD"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-0.156</w:t>
            </w:r>
          </w:p>
        </w:tc>
        <w:tc>
          <w:tcPr>
            <w:tcW w:w="566" w:type="pct"/>
            <w:tcBorders>
              <w:top w:val="nil"/>
              <w:left w:val="nil"/>
              <w:bottom w:val="nil"/>
              <w:right w:val="nil"/>
            </w:tcBorders>
            <w:shd w:val="clear" w:color="auto" w:fill="auto"/>
            <w:noWrap/>
            <w:vAlign w:val="bottom"/>
          </w:tcPr>
          <w:p w14:paraId="532D0272" w14:textId="77777777" w:rsidR="006F4FAD" w:rsidRPr="00D23517" w:rsidRDefault="006F4FAD"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-12.657***</w:t>
            </w:r>
          </w:p>
        </w:tc>
        <w:tc>
          <w:tcPr>
            <w:tcW w:w="650" w:type="pct"/>
            <w:tcBorders>
              <w:top w:val="nil"/>
              <w:left w:val="nil"/>
              <w:bottom w:val="nil"/>
              <w:right w:val="nil"/>
            </w:tcBorders>
            <w:shd w:val="clear" w:color="auto" w:fill="auto"/>
            <w:noWrap/>
            <w:vAlign w:val="bottom"/>
          </w:tcPr>
          <w:p w14:paraId="00C3BFE3" w14:textId="77777777" w:rsidR="006F4FAD" w:rsidRPr="00D23517" w:rsidRDefault="006F4FAD"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0.109</w:t>
            </w:r>
          </w:p>
        </w:tc>
        <w:tc>
          <w:tcPr>
            <w:tcW w:w="481" w:type="pct"/>
            <w:tcBorders>
              <w:top w:val="nil"/>
              <w:left w:val="nil"/>
              <w:bottom w:val="nil"/>
              <w:right w:val="nil"/>
            </w:tcBorders>
            <w:shd w:val="clear" w:color="auto" w:fill="auto"/>
            <w:noWrap/>
            <w:vAlign w:val="bottom"/>
          </w:tcPr>
          <w:p w14:paraId="70A50D3A" w14:textId="77777777" w:rsidR="006F4FAD" w:rsidRPr="00D23517" w:rsidRDefault="006F4FAD" w:rsidP="00A1062B">
            <w:pPr>
              <w:spacing w:after="0" w:line="240" w:lineRule="auto"/>
              <w:jc w:val="both"/>
              <w:rPr>
                <w:rFonts w:ascii="Times New Roman" w:hAnsi="Times New Roman" w:cs="Times New Roman"/>
                <w:color w:val="000000"/>
                <w:sz w:val="20"/>
                <w:szCs w:val="20"/>
              </w:rPr>
            </w:pPr>
            <w:r w:rsidRPr="00D23517">
              <w:rPr>
                <w:rFonts w:ascii="Times New Roman" w:eastAsia="Times New Roman" w:hAnsi="Times New Roman" w:cs="Times New Roman"/>
                <w:color w:val="000000"/>
                <w:sz w:val="20"/>
                <w:szCs w:val="20"/>
              </w:rPr>
              <w:t>66,098</w:t>
            </w:r>
          </w:p>
        </w:tc>
        <w:tc>
          <w:tcPr>
            <w:tcW w:w="799" w:type="pct"/>
            <w:tcBorders>
              <w:top w:val="nil"/>
              <w:left w:val="nil"/>
              <w:bottom w:val="nil"/>
              <w:right w:val="nil"/>
            </w:tcBorders>
          </w:tcPr>
          <w:p w14:paraId="06F958E5" w14:textId="77777777" w:rsidR="006F4FAD" w:rsidRPr="00D23517" w:rsidRDefault="006F4FAD"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AC74B2" w:rsidRPr="00D23517" w14:paraId="5CB8FD9F" w14:textId="77777777" w:rsidTr="00102195">
        <w:trPr>
          <w:trHeight w:val="290"/>
        </w:trPr>
        <w:tc>
          <w:tcPr>
            <w:tcW w:w="746" w:type="pct"/>
            <w:tcBorders>
              <w:top w:val="nil"/>
              <w:left w:val="nil"/>
              <w:bottom w:val="nil"/>
              <w:right w:val="nil"/>
            </w:tcBorders>
            <w:shd w:val="clear" w:color="auto" w:fill="auto"/>
            <w:noWrap/>
            <w:vAlign w:val="bottom"/>
          </w:tcPr>
          <w:p w14:paraId="2D464128" w14:textId="77777777" w:rsidR="006F4FAD" w:rsidRPr="00D23517" w:rsidRDefault="006F4FAD" w:rsidP="00A1062B">
            <w:pPr>
              <w:spacing w:after="0" w:line="240" w:lineRule="auto"/>
              <w:jc w:val="both"/>
              <w:rPr>
                <w:rFonts w:ascii="Times New Roman" w:eastAsia="Times New Roman" w:hAnsi="Times New Roman" w:cs="Times New Roman"/>
                <w:i/>
                <w:color w:val="000000"/>
                <w:sz w:val="20"/>
                <w:szCs w:val="20"/>
              </w:rPr>
            </w:pPr>
            <w:r w:rsidRPr="00D23517">
              <w:rPr>
                <w:rFonts w:ascii="Times New Roman" w:eastAsia="Times New Roman" w:hAnsi="Times New Roman" w:cs="Times New Roman"/>
                <w:i/>
                <w:color w:val="000000"/>
                <w:sz w:val="20"/>
                <w:szCs w:val="20"/>
              </w:rPr>
              <w:t>TOTRISK</w:t>
            </w:r>
          </w:p>
        </w:tc>
        <w:tc>
          <w:tcPr>
            <w:tcW w:w="632" w:type="pct"/>
            <w:tcBorders>
              <w:top w:val="nil"/>
              <w:left w:val="nil"/>
              <w:bottom w:val="nil"/>
              <w:right w:val="nil"/>
            </w:tcBorders>
            <w:shd w:val="clear" w:color="auto" w:fill="auto"/>
            <w:noWrap/>
            <w:vAlign w:val="bottom"/>
          </w:tcPr>
          <w:p w14:paraId="7B3E6CFA" w14:textId="77777777" w:rsidR="006F4FAD" w:rsidRPr="00D23517" w:rsidRDefault="006F4FAD"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-0.020</w:t>
            </w:r>
          </w:p>
        </w:tc>
        <w:tc>
          <w:tcPr>
            <w:tcW w:w="580" w:type="pct"/>
            <w:tcBorders>
              <w:top w:val="nil"/>
              <w:left w:val="nil"/>
              <w:bottom w:val="nil"/>
              <w:right w:val="nil"/>
            </w:tcBorders>
            <w:shd w:val="clear" w:color="auto" w:fill="auto"/>
            <w:noWrap/>
            <w:vAlign w:val="bottom"/>
          </w:tcPr>
          <w:p w14:paraId="24E79DAC" w14:textId="77777777" w:rsidR="006F4FAD" w:rsidRPr="00D23517" w:rsidRDefault="006F4FAD"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-3.661***</w:t>
            </w:r>
          </w:p>
        </w:tc>
        <w:tc>
          <w:tcPr>
            <w:tcW w:w="545" w:type="pct"/>
            <w:tcBorders>
              <w:top w:val="nil"/>
              <w:left w:val="nil"/>
              <w:bottom w:val="nil"/>
              <w:right w:val="nil"/>
            </w:tcBorders>
            <w:shd w:val="clear" w:color="auto" w:fill="auto"/>
            <w:noWrap/>
            <w:vAlign w:val="bottom"/>
          </w:tcPr>
          <w:p w14:paraId="649883DB" w14:textId="77777777" w:rsidR="006F4FAD" w:rsidRPr="00D23517" w:rsidRDefault="006F4FAD"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-0.081</w:t>
            </w:r>
          </w:p>
        </w:tc>
        <w:tc>
          <w:tcPr>
            <w:tcW w:w="566" w:type="pct"/>
            <w:tcBorders>
              <w:top w:val="nil"/>
              <w:left w:val="nil"/>
              <w:bottom w:val="nil"/>
              <w:right w:val="nil"/>
            </w:tcBorders>
            <w:shd w:val="clear" w:color="auto" w:fill="auto"/>
            <w:noWrap/>
            <w:vAlign w:val="bottom"/>
          </w:tcPr>
          <w:p w14:paraId="4A07677D" w14:textId="77777777" w:rsidR="006F4FAD" w:rsidRPr="00D23517" w:rsidRDefault="006F4FAD"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-11.962***</w:t>
            </w:r>
          </w:p>
        </w:tc>
        <w:tc>
          <w:tcPr>
            <w:tcW w:w="650" w:type="pct"/>
            <w:tcBorders>
              <w:top w:val="nil"/>
              <w:left w:val="nil"/>
              <w:bottom w:val="nil"/>
              <w:right w:val="nil"/>
            </w:tcBorders>
            <w:shd w:val="clear" w:color="auto" w:fill="auto"/>
            <w:noWrap/>
            <w:vAlign w:val="bottom"/>
          </w:tcPr>
          <w:p w14:paraId="1919F4B7" w14:textId="77777777" w:rsidR="006F4FAD" w:rsidRPr="00D23517" w:rsidRDefault="006F4FAD"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0.219</w:t>
            </w:r>
          </w:p>
        </w:tc>
        <w:tc>
          <w:tcPr>
            <w:tcW w:w="481" w:type="pct"/>
            <w:tcBorders>
              <w:top w:val="nil"/>
              <w:left w:val="nil"/>
              <w:bottom w:val="nil"/>
              <w:right w:val="nil"/>
            </w:tcBorders>
            <w:shd w:val="clear" w:color="auto" w:fill="auto"/>
            <w:noWrap/>
            <w:vAlign w:val="bottom"/>
          </w:tcPr>
          <w:p w14:paraId="13CDBCD7" w14:textId="77777777" w:rsidR="006F4FAD" w:rsidRPr="00D23517" w:rsidRDefault="006F4FAD" w:rsidP="00A1062B">
            <w:pPr>
              <w:spacing w:after="0" w:line="240" w:lineRule="auto"/>
              <w:jc w:val="both"/>
              <w:rPr>
                <w:rFonts w:ascii="Times New Roman" w:hAnsi="Times New Roman" w:cs="Times New Roman"/>
                <w:color w:val="000000"/>
                <w:sz w:val="20"/>
                <w:szCs w:val="20"/>
              </w:rPr>
            </w:pPr>
            <w:r w:rsidRPr="00D23517">
              <w:rPr>
                <w:rFonts w:ascii="Times New Roman" w:eastAsia="Times New Roman" w:hAnsi="Times New Roman" w:cs="Times New Roman"/>
                <w:color w:val="000000"/>
                <w:sz w:val="20"/>
                <w:szCs w:val="20"/>
              </w:rPr>
              <w:t>66,098</w:t>
            </w:r>
          </w:p>
        </w:tc>
        <w:tc>
          <w:tcPr>
            <w:tcW w:w="799" w:type="pct"/>
            <w:tcBorders>
              <w:top w:val="nil"/>
              <w:left w:val="nil"/>
              <w:bottom w:val="nil"/>
              <w:right w:val="nil"/>
            </w:tcBorders>
          </w:tcPr>
          <w:p w14:paraId="56D24BF6" w14:textId="77777777" w:rsidR="006F4FAD" w:rsidRPr="00D23517" w:rsidRDefault="006F4FAD"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AC74B2" w:rsidRPr="00D23517" w14:paraId="2DA5179F" w14:textId="77777777" w:rsidTr="00102195">
        <w:trPr>
          <w:trHeight w:val="290"/>
        </w:trPr>
        <w:tc>
          <w:tcPr>
            <w:tcW w:w="746" w:type="pct"/>
            <w:tcBorders>
              <w:top w:val="nil"/>
              <w:left w:val="nil"/>
              <w:bottom w:val="nil"/>
              <w:right w:val="nil"/>
            </w:tcBorders>
            <w:shd w:val="clear" w:color="auto" w:fill="auto"/>
            <w:noWrap/>
            <w:vAlign w:val="bottom"/>
          </w:tcPr>
          <w:p w14:paraId="3FE6B41F"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IDIORISK</w:t>
            </w:r>
          </w:p>
        </w:tc>
        <w:tc>
          <w:tcPr>
            <w:tcW w:w="632" w:type="pct"/>
            <w:tcBorders>
              <w:top w:val="nil"/>
              <w:left w:val="nil"/>
              <w:bottom w:val="nil"/>
              <w:right w:val="nil"/>
            </w:tcBorders>
            <w:shd w:val="clear" w:color="auto" w:fill="auto"/>
            <w:noWrap/>
            <w:vAlign w:val="bottom"/>
          </w:tcPr>
          <w:p w14:paraId="1098F0AA"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-0.025</w:t>
            </w:r>
          </w:p>
        </w:tc>
        <w:tc>
          <w:tcPr>
            <w:tcW w:w="580" w:type="pct"/>
            <w:tcBorders>
              <w:top w:val="nil"/>
              <w:left w:val="nil"/>
              <w:bottom w:val="nil"/>
              <w:right w:val="nil"/>
            </w:tcBorders>
            <w:shd w:val="clear" w:color="auto" w:fill="auto"/>
            <w:noWrap/>
            <w:vAlign w:val="bottom"/>
          </w:tcPr>
          <w:p w14:paraId="565576B5"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-4.313***</w:t>
            </w:r>
          </w:p>
        </w:tc>
        <w:tc>
          <w:tcPr>
            <w:tcW w:w="545" w:type="pct"/>
            <w:tcBorders>
              <w:top w:val="nil"/>
              <w:left w:val="nil"/>
              <w:bottom w:val="nil"/>
              <w:right w:val="nil"/>
            </w:tcBorders>
            <w:shd w:val="clear" w:color="auto" w:fill="auto"/>
            <w:noWrap/>
            <w:vAlign w:val="bottom"/>
          </w:tcPr>
          <w:p w14:paraId="27B7EC80"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-0.084</w:t>
            </w:r>
          </w:p>
        </w:tc>
        <w:tc>
          <w:tcPr>
            <w:tcW w:w="566" w:type="pct"/>
            <w:tcBorders>
              <w:top w:val="nil"/>
              <w:left w:val="nil"/>
              <w:bottom w:val="nil"/>
              <w:right w:val="nil"/>
            </w:tcBorders>
            <w:shd w:val="clear" w:color="auto" w:fill="auto"/>
            <w:noWrap/>
            <w:vAlign w:val="bottom"/>
          </w:tcPr>
          <w:p w14:paraId="55F8AFCF"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-11.517***</w:t>
            </w:r>
          </w:p>
        </w:tc>
        <w:tc>
          <w:tcPr>
            <w:tcW w:w="650" w:type="pct"/>
            <w:tcBorders>
              <w:top w:val="nil"/>
              <w:left w:val="nil"/>
              <w:bottom w:val="nil"/>
              <w:right w:val="nil"/>
            </w:tcBorders>
            <w:shd w:val="clear" w:color="auto" w:fill="auto"/>
            <w:noWrap/>
            <w:vAlign w:val="bottom"/>
          </w:tcPr>
          <w:p w14:paraId="407D72B7"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0.168</w:t>
            </w:r>
          </w:p>
        </w:tc>
        <w:tc>
          <w:tcPr>
            <w:tcW w:w="481" w:type="pct"/>
            <w:tcBorders>
              <w:top w:val="nil"/>
              <w:left w:val="nil"/>
              <w:bottom w:val="nil"/>
              <w:right w:val="nil"/>
            </w:tcBorders>
            <w:shd w:val="clear" w:color="auto" w:fill="auto"/>
            <w:noWrap/>
            <w:vAlign w:val="bottom"/>
          </w:tcPr>
          <w:p w14:paraId="27A69A24"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color w:val="000000"/>
                <w:sz w:val="20"/>
                <w:szCs w:val="20"/>
              </w:rPr>
              <w:t>66,098</w:t>
            </w:r>
          </w:p>
        </w:tc>
        <w:tc>
          <w:tcPr>
            <w:tcW w:w="799" w:type="pct"/>
            <w:tcBorders>
              <w:top w:val="nil"/>
              <w:left w:val="nil"/>
              <w:bottom w:val="nil"/>
              <w:right w:val="nil"/>
            </w:tcBorders>
          </w:tcPr>
          <w:p w14:paraId="3D7431BE" w14:textId="77777777" w:rsidR="006F4FAD" w:rsidRPr="00D23517" w:rsidRDefault="006F4FAD"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AC74B2" w:rsidRPr="00D23517" w14:paraId="1A1816AA" w14:textId="77777777" w:rsidTr="00102195">
        <w:trPr>
          <w:trHeight w:val="290"/>
        </w:trPr>
        <w:tc>
          <w:tcPr>
            <w:tcW w:w="746" w:type="pct"/>
            <w:tcBorders>
              <w:top w:val="nil"/>
              <w:left w:val="nil"/>
              <w:right w:val="nil"/>
            </w:tcBorders>
            <w:shd w:val="clear" w:color="auto" w:fill="auto"/>
            <w:noWrap/>
            <w:vAlign w:val="bottom"/>
            <w:hideMark/>
          </w:tcPr>
          <w:p w14:paraId="3188012F"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eastAsia="Times New Roman" w:hAnsi="Times New Roman" w:cs="Times New Roman"/>
                <w:i/>
                <w:color w:val="000000"/>
                <w:sz w:val="20"/>
                <w:szCs w:val="20"/>
              </w:rPr>
              <w:t>NCSKEW</w:t>
            </w:r>
          </w:p>
        </w:tc>
        <w:tc>
          <w:tcPr>
            <w:tcW w:w="632" w:type="pct"/>
            <w:tcBorders>
              <w:top w:val="nil"/>
              <w:left w:val="nil"/>
              <w:bottom w:val="nil"/>
              <w:right w:val="nil"/>
            </w:tcBorders>
            <w:shd w:val="clear" w:color="auto" w:fill="auto"/>
            <w:noWrap/>
            <w:vAlign w:val="bottom"/>
          </w:tcPr>
          <w:p w14:paraId="49A23A6C"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-0.008</w:t>
            </w:r>
          </w:p>
        </w:tc>
        <w:tc>
          <w:tcPr>
            <w:tcW w:w="580" w:type="pct"/>
            <w:tcBorders>
              <w:top w:val="nil"/>
              <w:left w:val="nil"/>
              <w:bottom w:val="nil"/>
              <w:right w:val="nil"/>
            </w:tcBorders>
            <w:shd w:val="clear" w:color="auto" w:fill="auto"/>
            <w:noWrap/>
            <w:vAlign w:val="bottom"/>
          </w:tcPr>
          <w:p w14:paraId="6FA80C9C"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-1.964**</w:t>
            </w:r>
          </w:p>
        </w:tc>
        <w:tc>
          <w:tcPr>
            <w:tcW w:w="545" w:type="pct"/>
            <w:tcBorders>
              <w:top w:val="nil"/>
              <w:left w:val="nil"/>
              <w:bottom w:val="nil"/>
              <w:right w:val="nil"/>
            </w:tcBorders>
            <w:shd w:val="clear" w:color="auto" w:fill="auto"/>
            <w:noWrap/>
            <w:vAlign w:val="bottom"/>
          </w:tcPr>
          <w:p w14:paraId="1CF8B289"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-0.022</w:t>
            </w:r>
          </w:p>
        </w:tc>
        <w:tc>
          <w:tcPr>
            <w:tcW w:w="566" w:type="pct"/>
            <w:tcBorders>
              <w:top w:val="nil"/>
              <w:left w:val="nil"/>
              <w:bottom w:val="nil"/>
              <w:right w:val="nil"/>
            </w:tcBorders>
            <w:shd w:val="clear" w:color="auto" w:fill="auto"/>
            <w:noWrap/>
            <w:vAlign w:val="bottom"/>
          </w:tcPr>
          <w:p w14:paraId="0BE600F9"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-3.519***</w:t>
            </w:r>
          </w:p>
        </w:tc>
        <w:tc>
          <w:tcPr>
            <w:tcW w:w="650" w:type="pct"/>
            <w:tcBorders>
              <w:top w:val="nil"/>
              <w:left w:val="nil"/>
              <w:bottom w:val="nil"/>
              <w:right w:val="nil"/>
            </w:tcBorders>
            <w:shd w:val="clear" w:color="auto" w:fill="auto"/>
            <w:noWrap/>
            <w:vAlign w:val="bottom"/>
          </w:tcPr>
          <w:p w14:paraId="11C003B6"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0.034</w:t>
            </w:r>
          </w:p>
        </w:tc>
        <w:tc>
          <w:tcPr>
            <w:tcW w:w="481" w:type="pct"/>
            <w:tcBorders>
              <w:top w:val="nil"/>
              <w:left w:val="nil"/>
              <w:bottom w:val="nil"/>
              <w:right w:val="nil"/>
            </w:tcBorders>
            <w:shd w:val="clear" w:color="auto" w:fill="auto"/>
            <w:noWrap/>
            <w:vAlign w:val="bottom"/>
          </w:tcPr>
          <w:p w14:paraId="0E5B19E3"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r w:rsidRPr="00D23517">
              <w:rPr>
                <w:rFonts w:ascii="Times New Roman" w:hAnsi="Times New Roman" w:cs="Times New Roman"/>
                <w:color w:val="000000"/>
                <w:sz w:val="20"/>
                <w:szCs w:val="20"/>
              </w:rPr>
              <w:t>62,922</w:t>
            </w:r>
          </w:p>
        </w:tc>
        <w:tc>
          <w:tcPr>
            <w:tcW w:w="799" w:type="pct"/>
            <w:tcBorders>
              <w:top w:val="nil"/>
              <w:left w:val="nil"/>
              <w:right w:val="nil"/>
            </w:tcBorders>
          </w:tcPr>
          <w:p w14:paraId="57FCD8DA" w14:textId="77777777" w:rsidR="006F4FAD" w:rsidRPr="00D23517" w:rsidRDefault="006F4FAD" w:rsidP="00A1062B">
            <w:pPr>
              <w:spacing w:after="0" w:line="240" w:lineRule="auto"/>
              <w:jc w:val="both"/>
              <w:rPr>
                <w:rFonts w:ascii="Times New Roman" w:hAnsi="Times New Roman" w:cs="Times New Roman"/>
                <w:color w:val="000000"/>
                <w:sz w:val="20"/>
                <w:szCs w:val="20"/>
              </w:rPr>
            </w:pPr>
            <w:r w:rsidRPr="00D23517">
              <w:rPr>
                <w:rFonts w:ascii="Times New Roman" w:hAnsi="Times New Roman" w:cs="Times New Roman"/>
                <w:color w:val="000000"/>
                <w:sz w:val="20"/>
                <w:szCs w:val="20"/>
              </w:rPr>
              <w:t>Yes</w:t>
            </w:r>
          </w:p>
        </w:tc>
      </w:tr>
      <w:tr w:rsidR="00AC74B2" w:rsidRPr="00D23517" w14:paraId="42C58C3C" w14:textId="77777777" w:rsidTr="00102195">
        <w:trPr>
          <w:trHeight w:val="290"/>
        </w:trPr>
        <w:tc>
          <w:tcPr>
            <w:tcW w:w="746" w:type="pct"/>
            <w:tcBorders>
              <w:top w:val="nil"/>
              <w:left w:val="nil"/>
              <w:bottom w:val="single" w:sz="4" w:space="0" w:color="auto"/>
              <w:right w:val="nil"/>
            </w:tcBorders>
            <w:shd w:val="clear" w:color="auto" w:fill="auto"/>
            <w:noWrap/>
            <w:vAlign w:val="bottom"/>
            <w:hideMark/>
          </w:tcPr>
          <w:p w14:paraId="292A27B7" w14:textId="77777777" w:rsidR="006F4FAD" w:rsidRPr="00D23517" w:rsidRDefault="006F4FAD" w:rsidP="00A1062B">
            <w:pPr>
              <w:spacing w:after="0" w:line="240" w:lineRule="auto"/>
              <w:jc w:val="both"/>
              <w:rPr>
                <w:rFonts w:ascii="Times New Roman" w:eastAsia="Times New Roman" w:hAnsi="Times New Roman" w:cs="Times New Roman"/>
                <w:color w:val="000000"/>
                <w:sz w:val="20"/>
                <w:szCs w:val="20"/>
              </w:rPr>
            </w:pPr>
          </w:p>
        </w:tc>
        <w:tc>
          <w:tcPr>
            <w:tcW w:w="632" w:type="pct"/>
            <w:tcBorders>
              <w:top w:val="nil"/>
              <w:left w:val="nil"/>
              <w:bottom w:val="single" w:sz="4" w:space="0" w:color="auto"/>
              <w:right w:val="nil"/>
            </w:tcBorders>
            <w:shd w:val="clear" w:color="auto" w:fill="auto"/>
            <w:noWrap/>
            <w:vAlign w:val="bottom"/>
            <w:hideMark/>
          </w:tcPr>
          <w:p w14:paraId="5142548C"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80" w:type="pct"/>
            <w:tcBorders>
              <w:top w:val="nil"/>
              <w:left w:val="nil"/>
              <w:bottom w:val="single" w:sz="4" w:space="0" w:color="auto"/>
              <w:right w:val="nil"/>
            </w:tcBorders>
            <w:shd w:val="clear" w:color="auto" w:fill="auto"/>
            <w:noWrap/>
            <w:vAlign w:val="bottom"/>
            <w:hideMark/>
          </w:tcPr>
          <w:p w14:paraId="78B25A1E"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45" w:type="pct"/>
            <w:tcBorders>
              <w:top w:val="nil"/>
              <w:left w:val="nil"/>
              <w:bottom w:val="single" w:sz="4" w:space="0" w:color="auto"/>
              <w:right w:val="nil"/>
            </w:tcBorders>
            <w:shd w:val="clear" w:color="auto" w:fill="auto"/>
            <w:noWrap/>
            <w:vAlign w:val="bottom"/>
            <w:hideMark/>
          </w:tcPr>
          <w:p w14:paraId="6D383A3D"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566" w:type="pct"/>
            <w:tcBorders>
              <w:top w:val="nil"/>
              <w:left w:val="nil"/>
              <w:bottom w:val="single" w:sz="4" w:space="0" w:color="auto"/>
              <w:right w:val="nil"/>
            </w:tcBorders>
            <w:shd w:val="clear" w:color="auto" w:fill="auto"/>
            <w:noWrap/>
            <w:vAlign w:val="bottom"/>
            <w:hideMark/>
          </w:tcPr>
          <w:p w14:paraId="211F346B"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650" w:type="pct"/>
            <w:tcBorders>
              <w:top w:val="nil"/>
              <w:left w:val="nil"/>
              <w:bottom w:val="single" w:sz="4" w:space="0" w:color="auto"/>
              <w:right w:val="nil"/>
            </w:tcBorders>
            <w:shd w:val="clear" w:color="auto" w:fill="auto"/>
            <w:noWrap/>
            <w:vAlign w:val="bottom"/>
            <w:hideMark/>
          </w:tcPr>
          <w:p w14:paraId="452AA2E5"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481" w:type="pct"/>
            <w:tcBorders>
              <w:top w:val="nil"/>
              <w:left w:val="nil"/>
              <w:bottom w:val="single" w:sz="4" w:space="0" w:color="auto"/>
              <w:right w:val="nil"/>
            </w:tcBorders>
            <w:shd w:val="clear" w:color="auto" w:fill="auto"/>
            <w:noWrap/>
            <w:vAlign w:val="bottom"/>
            <w:hideMark/>
          </w:tcPr>
          <w:p w14:paraId="0FB8039C"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c>
          <w:tcPr>
            <w:tcW w:w="799" w:type="pct"/>
            <w:tcBorders>
              <w:top w:val="nil"/>
              <w:left w:val="nil"/>
              <w:bottom w:val="single" w:sz="4" w:space="0" w:color="auto"/>
              <w:right w:val="nil"/>
            </w:tcBorders>
          </w:tcPr>
          <w:p w14:paraId="216F380A" w14:textId="77777777" w:rsidR="006F4FAD" w:rsidRPr="00D23517" w:rsidRDefault="006F4FAD" w:rsidP="00A1062B">
            <w:pPr>
              <w:spacing w:after="0" w:line="240" w:lineRule="auto"/>
              <w:jc w:val="both"/>
              <w:rPr>
                <w:rFonts w:ascii="Times New Roman" w:eastAsia="Times New Roman" w:hAnsi="Times New Roman" w:cs="Times New Roman"/>
                <w:sz w:val="20"/>
                <w:szCs w:val="20"/>
              </w:rPr>
            </w:pPr>
          </w:p>
        </w:tc>
      </w:tr>
    </w:tbl>
    <w:p w14:paraId="024A267E" w14:textId="6A3CAFA5" w:rsidR="00546E9F" w:rsidRPr="005F4D86" w:rsidRDefault="009B6F98" w:rsidP="00546E9F">
      <w:pPr>
        <w:spacing w:after="0" w:line="240" w:lineRule="auto"/>
        <w:jc w:val="both"/>
        <w:rPr>
          <w:rFonts w:ascii="Times New Roman" w:hAnsi="Times New Roman" w:cs="Times New Roman"/>
          <w:sz w:val="20"/>
          <w:szCs w:val="20"/>
        </w:rPr>
      </w:pPr>
      <w:r w:rsidRPr="005F4D86">
        <w:rPr>
          <w:rFonts w:ascii="Times New Roman" w:hAnsi="Times New Roman" w:cs="Times New Roman"/>
          <w:sz w:val="20"/>
          <w:szCs w:val="20"/>
        </w:rPr>
        <w:t>Note</w:t>
      </w:r>
      <w:r w:rsidR="00546E9F" w:rsidRPr="005F4D86">
        <w:rPr>
          <w:rFonts w:ascii="Times New Roman" w:hAnsi="Times New Roman" w:cs="Times New Roman"/>
          <w:sz w:val="20"/>
          <w:szCs w:val="20"/>
        </w:rPr>
        <w:t>:</w:t>
      </w:r>
      <w:r w:rsidR="00546E9F" w:rsidRPr="005F4D86">
        <w:rPr>
          <w:sz w:val="20"/>
          <w:szCs w:val="20"/>
        </w:rPr>
        <w:t xml:space="preserve"> </w:t>
      </w:r>
      <w:r w:rsidR="00546E9F" w:rsidRPr="005F4D86">
        <w:rPr>
          <w:rFonts w:ascii="Times New Roman" w:hAnsi="Times New Roman" w:cs="Times New Roman"/>
          <w:sz w:val="20"/>
          <w:szCs w:val="20"/>
        </w:rPr>
        <w:t>This table reports the results from the panel data firm-fixed effect regressions of the change in ROA volatility, the changes in the two measures of stock price volatility (</w:t>
      </w:r>
      <w:r w:rsidR="00546E9F" w:rsidRPr="005F4D86">
        <w:rPr>
          <w:rFonts w:ascii="Times New Roman" w:hAnsi="Times New Roman" w:cs="Times New Roman"/>
          <w:i/>
          <w:sz w:val="20"/>
          <w:szCs w:val="20"/>
        </w:rPr>
        <w:t>TOTRISK</w:t>
      </w:r>
      <w:r w:rsidR="00546E9F" w:rsidRPr="005F4D86">
        <w:rPr>
          <w:rFonts w:ascii="Times New Roman" w:hAnsi="Times New Roman" w:cs="Times New Roman"/>
          <w:sz w:val="20"/>
          <w:szCs w:val="20"/>
        </w:rPr>
        <w:t xml:space="preserve"> and </w:t>
      </w:r>
      <w:r w:rsidR="00546E9F" w:rsidRPr="005F4D86">
        <w:rPr>
          <w:rFonts w:ascii="Times New Roman" w:hAnsi="Times New Roman" w:cs="Times New Roman"/>
          <w:i/>
          <w:sz w:val="20"/>
          <w:szCs w:val="20"/>
        </w:rPr>
        <w:t>IDIORISK</w:t>
      </w:r>
      <w:r w:rsidR="00546E9F" w:rsidRPr="005F4D86">
        <w:rPr>
          <w:rFonts w:ascii="Times New Roman" w:hAnsi="Times New Roman" w:cs="Times New Roman"/>
          <w:sz w:val="20"/>
          <w:szCs w:val="20"/>
        </w:rPr>
        <w:t>), and the change in stock price crash risk (</w:t>
      </w:r>
      <w:r w:rsidR="00546E9F" w:rsidRPr="005F4D86">
        <w:rPr>
          <w:rFonts w:ascii="Times New Roman" w:hAnsi="Times New Roman" w:cs="Times New Roman"/>
          <w:i/>
          <w:sz w:val="20"/>
          <w:szCs w:val="20"/>
        </w:rPr>
        <w:t>NCSKEW</w:t>
      </w:r>
      <w:r w:rsidR="00546E9F" w:rsidRPr="005F4D86">
        <w:rPr>
          <w:rFonts w:ascii="Times New Roman" w:hAnsi="Times New Roman" w:cs="Times New Roman"/>
          <w:sz w:val="20"/>
          <w:szCs w:val="20"/>
        </w:rPr>
        <w:t>). ROA volatility (</w:t>
      </w:r>
      <w:r w:rsidR="00546E9F" w:rsidRPr="005F4D86">
        <w:rPr>
          <w:rFonts w:ascii="Times New Roman" w:hAnsi="Times New Roman" w:cs="Times New Roman"/>
          <w:i/>
          <w:sz w:val="20"/>
          <w:szCs w:val="20"/>
        </w:rPr>
        <w:t>ROAVOL</w:t>
      </w:r>
      <w:r w:rsidR="00546E9F" w:rsidRPr="005F4D86">
        <w:rPr>
          <w:rFonts w:ascii="Times New Roman" w:hAnsi="Times New Roman" w:cs="Times New Roman"/>
          <w:sz w:val="20"/>
          <w:szCs w:val="20"/>
        </w:rPr>
        <w:t>) is the standard deviation of return on assets over 5 years (from year -4 to the current fiscal year).</w:t>
      </w:r>
      <w:r w:rsidR="00546E9F" w:rsidRPr="005F4D86">
        <w:rPr>
          <w:rFonts w:ascii="Times New Roman" w:hAnsi="Times New Roman" w:cs="Times New Roman"/>
          <w:i/>
          <w:sz w:val="20"/>
          <w:szCs w:val="20"/>
        </w:rPr>
        <w:t xml:space="preserve"> </w:t>
      </w:r>
      <w:r w:rsidR="00253677">
        <w:rPr>
          <w:rFonts w:ascii="Times New Roman" w:hAnsi="Times New Roman" w:cs="Times New Roman"/>
          <w:sz w:val="20"/>
          <w:szCs w:val="20"/>
        </w:rPr>
        <w:t>T</w:t>
      </w:r>
      <w:r w:rsidR="00253677" w:rsidRPr="005F4D86">
        <w:rPr>
          <w:rFonts w:ascii="Times New Roman" w:hAnsi="Times New Roman" w:cs="Times New Roman"/>
          <w:sz w:val="20"/>
          <w:szCs w:val="20"/>
        </w:rPr>
        <w:t>otal risk</w:t>
      </w:r>
      <w:r w:rsidR="00253677" w:rsidRPr="005F4D86">
        <w:rPr>
          <w:rFonts w:ascii="Times New Roman" w:hAnsi="Times New Roman" w:cs="Times New Roman"/>
          <w:i/>
          <w:sz w:val="20"/>
          <w:szCs w:val="20"/>
        </w:rPr>
        <w:t xml:space="preserve"> </w:t>
      </w:r>
      <w:r w:rsidR="00253677">
        <w:rPr>
          <w:rFonts w:ascii="Times New Roman" w:hAnsi="Times New Roman" w:cs="Times New Roman"/>
          <w:i/>
          <w:sz w:val="20"/>
          <w:szCs w:val="20"/>
        </w:rPr>
        <w:t>(</w:t>
      </w:r>
      <w:r w:rsidR="00253677" w:rsidRPr="005F4D86">
        <w:rPr>
          <w:rFonts w:ascii="Times New Roman" w:hAnsi="Times New Roman" w:cs="Times New Roman"/>
          <w:i/>
          <w:sz w:val="20"/>
          <w:szCs w:val="20"/>
        </w:rPr>
        <w:t>TOTRISK</w:t>
      </w:r>
      <w:r w:rsidR="00253677">
        <w:rPr>
          <w:rFonts w:ascii="Times New Roman" w:hAnsi="Times New Roman" w:cs="Times New Roman"/>
          <w:i/>
          <w:sz w:val="20"/>
          <w:szCs w:val="20"/>
        </w:rPr>
        <w:t>)</w:t>
      </w:r>
      <w:r w:rsidR="00546E9F" w:rsidRPr="005F4D86">
        <w:rPr>
          <w:rFonts w:ascii="Times New Roman" w:hAnsi="Times New Roman" w:cs="Times New Roman"/>
          <w:sz w:val="20"/>
          <w:szCs w:val="20"/>
        </w:rPr>
        <w:t xml:space="preserve"> is the annualized standard deviation of the daily stock returns in the year.</w:t>
      </w:r>
      <w:r w:rsidR="00546E9F" w:rsidRPr="005F4D86">
        <w:rPr>
          <w:rFonts w:ascii="Times New Roman" w:hAnsi="Times New Roman" w:cs="Times New Roman"/>
          <w:i/>
          <w:sz w:val="20"/>
          <w:szCs w:val="20"/>
        </w:rPr>
        <w:t xml:space="preserve"> </w:t>
      </w:r>
      <w:r w:rsidR="00546E9F" w:rsidRPr="005F4D86">
        <w:rPr>
          <w:rFonts w:ascii="Times New Roman" w:hAnsi="Times New Roman" w:cs="Times New Roman"/>
          <w:sz w:val="20"/>
          <w:szCs w:val="20"/>
        </w:rPr>
        <w:t xml:space="preserve"> </w:t>
      </w:r>
      <w:r w:rsidR="00FC6F5C" w:rsidRPr="00D05DBE">
        <w:rPr>
          <w:rFonts w:ascii="Times New Roman" w:hAnsi="Times New Roman" w:cs="Times New Roman"/>
          <w:sz w:val="20"/>
          <w:szCs w:val="20"/>
        </w:rPr>
        <w:t>Idiosyncratic</w:t>
      </w:r>
      <w:r w:rsidR="00FC6F5C" w:rsidRPr="005F4D86">
        <w:rPr>
          <w:rFonts w:ascii="Times New Roman" w:hAnsi="Times New Roman" w:cs="Times New Roman"/>
          <w:sz w:val="20"/>
          <w:szCs w:val="20"/>
        </w:rPr>
        <w:t xml:space="preserve"> risk</w:t>
      </w:r>
      <w:r w:rsidR="00FC6F5C">
        <w:rPr>
          <w:rFonts w:ascii="Times New Roman" w:hAnsi="Times New Roman" w:cs="Times New Roman"/>
          <w:sz w:val="20"/>
          <w:szCs w:val="20"/>
        </w:rPr>
        <w:t xml:space="preserve"> (</w:t>
      </w:r>
      <w:r w:rsidR="00FC6F5C" w:rsidRPr="005F4D86">
        <w:rPr>
          <w:rFonts w:ascii="Times New Roman" w:hAnsi="Times New Roman" w:cs="Times New Roman"/>
          <w:i/>
          <w:sz w:val="20"/>
          <w:szCs w:val="20"/>
        </w:rPr>
        <w:t>IDIORISK</w:t>
      </w:r>
      <w:r w:rsidR="00FC6F5C">
        <w:rPr>
          <w:rFonts w:ascii="Times New Roman" w:hAnsi="Times New Roman" w:cs="Times New Roman"/>
          <w:i/>
          <w:sz w:val="20"/>
          <w:szCs w:val="20"/>
        </w:rPr>
        <w:t>)</w:t>
      </w:r>
      <w:r w:rsidR="00546E9F" w:rsidRPr="005F4D86">
        <w:rPr>
          <w:rFonts w:ascii="Times New Roman" w:hAnsi="Times New Roman" w:cs="Times New Roman"/>
          <w:sz w:val="20"/>
          <w:szCs w:val="20"/>
        </w:rPr>
        <w:t xml:space="preserve"> is the annualized standard deviation of the residuals from the </w:t>
      </w:r>
      <w:proofErr w:type="spellStart"/>
      <w:r w:rsidR="00546E9F" w:rsidRPr="005F4D86">
        <w:rPr>
          <w:rFonts w:ascii="Times New Roman" w:hAnsi="Times New Roman" w:cs="Times New Roman"/>
          <w:sz w:val="20"/>
          <w:szCs w:val="20"/>
        </w:rPr>
        <w:t>Fama</w:t>
      </w:r>
      <w:proofErr w:type="spellEnd"/>
      <w:r w:rsidR="00546E9F" w:rsidRPr="005F4D86">
        <w:rPr>
          <w:rFonts w:ascii="Times New Roman" w:hAnsi="Times New Roman" w:cs="Times New Roman"/>
          <w:sz w:val="20"/>
          <w:szCs w:val="20"/>
        </w:rPr>
        <w:t>-French 4-factor model using daily stock returns in the year.</w:t>
      </w:r>
      <w:r w:rsidR="00546E9F" w:rsidRPr="005F4D86">
        <w:rPr>
          <w:rFonts w:ascii="Times New Roman" w:hAnsi="Times New Roman" w:cs="Times New Roman"/>
          <w:i/>
          <w:sz w:val="20"/>
          <w:szCs w:val="20"/>
        </w:rPr>
        <w:t xml:space="preserve"> NCSKEW</w:t>
      </w:r>
      <w:r w:rsidR="00546E9F" w:rsidRPr="005F4D86">
        <w:rPr>
          <w:rFonts w:ascii="Times New Roman" w:hAnsi="Times New Roman" w:cs="Times New Roman"/>
          <w:sz w:val="20"/>
          <w:szCs w:val="20"/>
        </w:rPr>
        <w:t xml:space="preserve"> is the negative conditional skewness of firm-specific weekly return, calculated as the negative third central moment of firm-specific weekly returns divided by the cubed standard deviation of firm-specific weekly returns.</w:t>
      </w:r>
      <w:r w:rsidR="00546E9F" w:rsidRPr="005F4D86">
        <w:rPr>
          <w:rFonts w:ascii="Times New Roman" w:eastAsiaTheme="minorEastAsia" w:hAnsi="Times New Roman" w:cs="Times New Roman"/>
          <w:sz w:val="20"/>
          <w:szCs w:val="20"/>
        </w:rPr>
        <w:t xml:space="preserve"> </w:t>
      </w:r>
      <w:r w:rsidR="00546E9F" w:rsidRPr="005F4D86">
        <w:rPr>
          <w:rFonts w:ascii="Times New Roman" w:hAnsi="Times New Roman" w:cs="Times New Roman"/>
          <w:i/>
          <w:sz w:val="20"/>
          <w:szCs w:val="20"/>
        </w:rPr>
        <w:t>NONOPERINC</w:t>
      </w:r>
      <w:r w:rsidR="00546E9F" w:rsidRPr="005F4D86">
        <w:rPr>
          <w:rFonts w:ascii="Times New Roman" w:hAnsi="Times New Roman" w:cs="Times New Roman"/>
          <w:sz w:val="20"/>
          <w:szCs w:val="20"/>
        </w:rPr>
        <w:t xml:space="preserve"> is the change in the ratio of non-operating earnings to assets at the end of the fiscal year. </w:t>
      </w:r>
      <w:r w:rsidR="00546E9F" w:rsidRPr="005F4D86">
        <w:rPr>
          <w:rFonts w:ascii="Times New Roman" w:hAnsi="Times New Roman" w:cs="Times New Roman"/>
          <w:i/>
          <w:sz w:val="20"/>
          <w:szCs w:val="20"/>
        </w:rPr>
        <w:t>OPERINC</w:t>
      </w:r>
      <w:r w:rsidR="00546E9F" w:rsidRPr="005F4D86">
        <w:rPr>
          <w:rFonts w:ascii="Times New Roman" w:hAnsi="Times New Roman" w:cs="Times New Roman"/>
          <w:sz w:val="20"/>
          <w:szCs w:val="20"/>
        </w:rPr>
        <w:t xml:space="preserve"> is the change in the ratio of operating earnings to assets at the end of the fiscal year. Other control variables are measured in the first difference</w:t>
      </w:r>
      <w:r w:rsidR="00CE009B">
        <w:rPr>
          <w:rFonts w:ascii="Times New Roman" w:hAnsi="Times New Roman" w:cs="Times New Roman"/>
          <w:sz w:val="20"/>
          <w:szCs w:val="20"/>
        </w:rPr>
        <w:t>.</w:t>
      </w:r>
      <w:r w:rsidR="00546E9F" w:rsidRPr="005F4D86">
        <w:rPr>
          <w:rFonts w:ascii="Times New Roman" w:hAnsi="Times New Roman" w:cs="Times New Roman"/>
          <w:sz w:val="20"/>
          <w:szCs w:val="20"/>
        </w:rPr>
        <w:t xml:space="preserve"> For brevity, only coefficients on </w:t>
      </w:r>
      <w:r w:rsidR="00546E9F" w:rsidRPr="005F4D86">
        <w:rPr>
          <w:rFonts w:ascii="Times New Roman" w:hAnsi="Times New Roman" w:cs="Times New Roman"/>
          <w:i/>
          <w:sz w:val="20"/>
          <w:szCs w:val="20"/>
        </w:rPr>
        <w:t>NONOPERINC</w:t>
      </w:r>
      <w:r w:rsidR="00546E9F" w:rsidRPr="005F4D86">
        <w:rPr>
          <w:rFonts w:ascii="Times New Roman" w:hAnsi="Times New Roman" w:cs="Times New Roman"/>
          <w:sz w:val="20"/>
          <w:szCs w:val="20"/>
        </w:rPr>
        <w:t xml:space="preserve"> and </w:t>
      </w:r>
      <w:r w:rsidR="00546E9F" w:rsidRPr="005F4D86">
        <w:rPr>
          <w:rFonts w:ascii="Times New Roman" w:hAnsi="Times New Roman" w:cs="Times New Roman"/>
          <w:i/>
          <w:sz w:val="20"/>
          <w:szCs w:val="20"/>
        </w:rPr>
        <w:t>OPERINC</w:t>
      </w:r>
      <w:r w:rsidR="00546E9F" w:rsidRPr="005F4D86">
        <w:rPr>
          <w:rFonts w:ascii="Times New Roman" w:hAnsi="Times New Roman" w:cs="Times New Roman"/>
          <w:sz w:val="20"/>
          <w:szCs w:val="20"/>
        </w:rPr>
        <w:t xml:space="preserve"> are reported. *, ** and *** indicate the significance levels of 10%, 5% and 1%, respectively.</w:t>
      </w:r>
    </w:p>
    <w:p w14:paraId="2DE48E45" w14:textId="30544311" w:rsidR="007265FA" w:rsidRPr="00893E6D" w:rsidRDefault="007265FA" w:rsidP="00A1062B">
      <w:pPr>
        <w:jc w:val="both"/>
        <w:sectPr w:rsidR="007265FA" w:rsidRPr="00893E6D" w:rsidSect="00067C9F">
          <w:pgSz w:w="15840" w:h="12240" w:orient="landscape"/>
          <w:pgMar w:top="1440" w:right="1440" w:bottom="1440" w:left="1440" w:header="720" w:footer="720" w:gutter="0"/>
          <w:cols w:space="720"/>
          <w:docGrid w:linePitch="360"/>
        </w:sectPr>
      </w:pPr>
    </w:p>
    <w:tbl>
      <w:tblPr>
        <w:tblW w:w="5000" w:type="pct"/>
        <w:tblLayout w:type="fixed"/>
        <w:tblLook w:val="04A0" w:firstRow="1" w:lastRow="0" w:firstColumn="1" w:lastColumn="0" w:noHBand="0" w:noVBand="1"/>
      </w:tblPr>
      <w:tblGrid>
        <w:gridCol w:w="1281"/>
        <w:gridCol w:w="70"/>
        <w:gridCol w:w="172"/>
        <w:gridCol w:w="243"/>
        <w:gridCol w:w="726"/>
        <w:gridCol w:w="335"/>
        <w:gridCol w:w="1050"/>
        <w:gridCol w:w="256"/>
        <w:gridCol w:w="1447"/>
        <w:gridCol w:w="313"/>
        <w:gridCol w:w="743"/>
        <w:gridCol w:w="266"/>
        <w:gridCol w:w="586"/>
        <w:gridCol w:w="260"/>
        <w:gridCol w:w="530"/>
        <w:gridCol w:w="1005"/>
        <w:gridCol w:w="77"/>
      </w:tblGrid>
      <w:tr w:rsidR="006F4FAD" w:rsidRPr="00B623B1" w14:paraId="276C3986" w14:textId="77777777" w:rsidTr="00F15FF6">
        <w:trPr>
          <w:gridAfter w:val="1"/>
          <w:wAfter w:w="41" w:type="pct"/>
          <w:trHeight w:val="144"/>
        </w:trPr>
        <w:tc>
          <w:tcPr>
            <w:tcW w:w="4959" w:type="pct"/>
            <w:gridSpan w:val="16"/>
            <w:tcBorders>
              <w:top w:val="nil"/>
              <w:left w:val="nil"/>
              <w:bottom w:val="single" w:sz="4" w:space="0" w:color="auto"/>
              <w:right w:val="nil"/>
            </w:tcBorders>
            <w:shd w:val="clear" w:color="auto" w:fill="auto"/>
            <w:noWrap/>
            <w:vAlign w:val="bottom"/>
            <w:hideMark/>
          </w:tcPr>
          <w:p w14:paraId="137FC318" w14:textId="18E350D5" w:rsidR="007265FA" w:rsidRPr="00D5375D" w:rsidRDefault="006F4FAD" w:rsidP="004C1989">
            <w:pPr>
              <w:pBdr>
                <w:bottom w:val="single" w:sz="4" w:space="1" w:color="auto"/>
              </w:pBdr>
              <w:spacing w:after="0" w:line="240" w:lineRule="auto"/>
              <w:jc w:val="both"/>
              <w:rPr>
                <w:rFonts w:ascii="Times New Roman" w:eastAsia="Times New Roman" w:hAnsi="Times New Roman" w:cs="Times New Roman"/>
                <w:b/>
                <w:color w:val="000000"/>
                <w:sz w:val="24"/>
                <w:szCs w:val="24"/>
              </w:rPr>
            </w:pPr>
            <w:r w:rsidRPr="00D5375D">
              <w:rPr>
                <w:rFonts w:ascii="Times New Roman" w:eastAsia="Times New Roman" w:hAnsi="Times New Roman" w:cs="Times New Roman"/>
                <w:b/>
                <w:color w:val="000000"/>
                <w:sz w:val="24"/>
                <w:szCs w:val="24"/>
              </w:rPr>
              <w:lastRenderedPageBreak/>
              <w:t xml:space="preserve">Table </w:t>
            </w:r>
            <w:r w:rsidR="00696DC0" w:rsidRPr="00D5375D">
              <w:rPr>
                <w:rFonts w:ascii="Times New Roman" w:eastAsia="Times New Roman" w:hAnsi="Times New Roman" w:cs="Times New Roman"/>
                <w:b/>
                <w:color w:val="000000"/>
                <w:sz w:val="24"/>
                <w:szCs w:val="24"/>
              </w:rPr>
              <w:t>7</w:t>
            </w:r>
            <w:r w:rsidR="00714B86" w:rsidRPr="00D5375D">
              <w:rPr>
                <w:rFonts w:ascii="Times New Roman" w:eastAsia="Times New Roman" w:hAnsi="Times New Roman" w:cs="Times New Roman"/>
                <w:b/>
                <w:color w:val="000000"/>
                <w:sz w:val="24"/>
                <w:szCs w:val="24"/>
              </w:rPr>
              <w:t xml:space="preserve">: </w:t>
            </w:r>
            <w:r w:rsidRPr="00D5375D">
              <w:rPr>
                <w:rFonts w:ascii="Times New Roman" w:eastAsia="Times New Roman" w:hAnsi="Times New Roman" w:cs="Times New Roman"/>
                <w:b/>
                <w:color w:val="000000"/>
                <w:sz w:val="24"/>
                <w:szCs w:val="24"/>
              </w:rPr>
              <w:t xml:space="preserve">The </w:t>
            </w:r>
            <w:r w:rsidR="00AC74B2" w:rsidRPr="00D5375D">
              <w:rPr>
                <w:rFonts w:ascii="Times New Roman" w:eastAsia="Times New Roman" w:hAnsi="Times New Roman" w:cs="Times New Roman"/>
                <w:b/>
                <w:color w:val="000000"/>
                <w:sz w:val="24"/>
                <w:szCs w:val="24"/>
              </w:rPr>
              <w:t xml:space="preserve">relation </w:t>
            </w:r>
            <w:r w:rsidRPr="00D5375D">
              <w:rPr>
                <w:rFonts w:ascii="Times New Roman" w:eastAsia="Times New Roman" w:hAnsi="Times New Roman" w:cs="Times New Roman"/>
                <w:b/>
                <w:color w:val="000000"/>
                <w:sz w:val="24"/>
                <w:szCs w:val="24"/>
              </w:rPr>
              <w:t xml:space="preserve">between </w:t>
            </w:r>
            <w:r w:rsidR="00AC74B2" w:rsidRPr="00D5375D">
              <w:rPr>
                <w:rFonts w:ascii="Times New Roman" w:eastAsia="Times New Roman" w:hAnsi="Times New Roman" w:cs="Times New Roman"/>
                <w:b/>
                <w:color w:val="000000"/>
                <w:sz w:val="24"/>
                <w:szCs w:val="24"/>
              </w:rPr>
              <w:t>non</w:t>
            </w:r>
            <w:r w:rsidRPr="00D5375D">
              <w:rPr>
                <w:rFonts w:ascii="Times New Roman" w:eastAsia="Times New Roman" w:hAnsi="Times New Roman" w:cs="Times New Roman"/>
                <w:b/>
                <w:color w:val="000000"/>
                <w:sz w:val="24"/>
                <w:szCs w:val="24"/>
              </w:rPr>
              <w:t>-</w:t>
            </w:r>
            <w:r w:rsidR="00AC74B2" w:rsidRPr="00D5375D">
              <w:rPr>
                <w:rFonts w:ascii="Times New Roman" w:eastAsia="Times New Roman" w:hAnsi="Times New Roman" w:cs="Times New Roman"/>
                <w:b/>
                <w:color w:val="000000"/>
                <w:sz w:val="24"/>
                <w:szCs w:val="24"/>
              </w:rPr>
              <w:t xml:space="preserve">operating income and </w:t>
            </w:r>
            <w:r w:rsidR="003F1F10">
              <w:rPr>
                <w:rFonts w:ascii="Times New Roman" w:eastAsia="Times New Roman" w:hAnsi="Times New Roman" w:cs="Times New Roman"/>
                <w:b/>
                <w:color w:val="000000"/>
                <w:sz w:val="24"/>
                <w:szCs w:val="24"/>
              </w:rPr>
              <w:t xml:space="preserve">firm </w:t>
            </w:r>
            <w:r w:rsidR="00AC74B2" w:rsidRPr="00D5375D">
              <w:rPr>
                <w:rFonts w:ascii="Times New Roman" w:eastAsia="Times New Roman" w:hAnsi="Times New Roman" w:cs="Times New Roman"/>
                <w:b/>
                <w:color w:val="000000"/>
                <w:sz w:val="24"/>
                <w:szCs w:val="24"/>
              </w:rPr>
              <w:t>risk</w:t>
            </w:r>
            <w:r w:rsidR="003F1F10">
              <w:rPr>
                <w:rFonts w:ascii="Times New Roman" w:eastAsia="Times New Roman" w:hAnsi="Times New Roman" w:cs="Times New Roman"/>
                <w:b/>
                <w:color w:val="000000"/>
                <w:sz w:val="24"/>
                <w:szCs w:val="24"/>
              </w:rPr>
              <w:t xml:space="preserve"> </w:t>
            </w:r>
            <w:r w:rsidRPr="00D5375D">
              <w:rPr>
                <w:rFonts w:ascii="Times New Roman" w:eastAsia="Times New Roman" w:hAnsi="Times New Roman" w:cs="Times New Roman"/>
                <w:b/>
                <w:color w:val="000000"/>
                <w:sz w:val="24"/>
                <w:szCs w:val="24"/>
              </w:rPr>
              <w:t xml:space="preserve">– Instrument </w:t>
            </w:r>
            <w:r w:rsidR="00AC74B2" w:rsidRPr="00D5375D">
              <w:rPr>
                <w:rFonts w:ascii="Times New Roman" w:eastAsia="Times New Roman" w:hAnsi="Times New Roman" w:cs="Times New Roman"/>
                <w:b/>
                <w:color w:val="000000"/>
                <w:sz w:val="24"/>
                <w:szCs w:val="24"/>
              </w:rPr>
              <w:t>variable analyses</w:t>
            </w:r>
          </w:p>
        </w:tc>
      </w:tr>
      <w:tr w:rsidR="006F4FAD" w:rsidRPr="00B623B1" w14:paraId="3843BC5A" w14:textId="77777777" w:rsidTr="00F15FF6">
        <w:trPr>
          <w:gridAfter w:val="1"/>
          <w:wAfter w:w="41" w:type="pct"/>
          <w:trHeight w:val="144"/>
        </w:trPr>
        <w:tc>
          <w:tcPr>
            <w:tcW w:w="1331" w:type="pct"/>
            <w:gridSpan w:val="5"/>
            <w:tcBorders>
              <w:top w:val="nil"/>
              <w:left w:val="nil"/>
              <w:right w:val="nil"/>
            </w:tcBorders>
            <w:shd w:val="clear" w:color="auto" w:fill="auto"/>
            <w:noWrap/>
            <w:vAlign w:val="bottom"/>
            <w:hideMark/>
          </w:tcPr>
          <w:p w14:paraId="7DE7A04B" w14:textId="77777777" w:rsidR="006F4FAD" w:rsidRPr="00F15FF6" w:rsidRDefault="006F4FAD" w:rsidP="00A1062B">
            <w:pPr>
              <w:spacing w:after="0" w:line="240" w:lineRule="auto"/>
              <w:jc w:val="both"/>
              <w:rPr>
                <w:rFonts w:ascii="Times New Roman" w:eastAsia="Times New Roman" w:hAnsi="Times New Roman" w:cs="Times New Roman"/>
                <w:b/>
                <w:i/>
                <w:color w:val="000000"/>
                <w:sz w:val="18"/>
                <w:szCs w:val="18"/>
              </w:rPr>
            </w:pPr>
            <w:r w:rsidRPr="00F15FF6">
              <w:rPr>
                <w:rFonts w:ascii="Times New Roman" w:eastAsia="Times New Roman" w:hAnsi="Times New Roman" w:cs="Times New Roman"/>
                <w:b/>
                <w:i/>
                <w:color w:val="000000"/>
                <w:sz w:val="18"/>
                <w:szCs w:val="18"/>
              </w:rPr>
              <w:t>Panel A - Stage 1</w:t>
            </w:r>
          </w:p>
        </w:tc>
        <w:tc>
          <w:tcPr>
            <w:tcW w:w="179" w:type="pct"/>
            <w:tcBorders>
              <w:top w:val="nil"/>
              <w:left w:val="nil"/>
              <w:bottom w:val="nil"/>
              <w:right w:val="nil"/>
            </w:tcBorders>
            <w:shd w:val="clear" w:color="auto" w:fill="auto"/>
            <w:noWrap/>
            <w:vAlign w:val="bottom"/>
            <w:hideMark/>
          </w:tcPr>
          <w:p w14:paraId="39FD5C8D" w14:textId="77777777" w:rsidR="006F4FAD" w:rsidRPr="00F15FF6" w:rsidRDefault="006F4FAD" w:rsidP="00A1062B">
            <w:pPr>
              <w:spacing w:after="0" w:line="240" w:lineRule="auto"/>
              <w:jc w:val="both"/>
              <w:rPr>
                <w:rFonts w:ascii="Times New Roman" w:eastAsia="Times New Roman" w:hAnsi="Times New Roman" w:cs="Times New Roman"/>
                <w:b/>
                <w:i/>
                <w:sz w:val="18"/>
                <w:szCs w:val="18"/>
              </w:rPr>
            </w:pPr>
          </w:p>
        </w:tc>
        <w:tc>
          <w:tcPr>
            <w:tcW w:w="3449" w:type="pct"/>
            <w:gridSpan w:val="10"/>
            <w:tcBorders>
              <w:top w:val="nil"/>
              <w:left w:val="nil"/>
              <w:bottom w:val="nil"/>
              <w:right w:val="nil"/>
            </w:tcBorders>
            <w:shd w:val="clear" w:color="auto" w:fill="auto"/>
            <w:noWrap/>
            <w:vAlign w:val="bottom"/>
            <w:hideMark/>
          </w:tcPr>
          <w:p w14:paraId="47D45813" w14:textId="77777777" w:rsidR="006F4FAD" w:rsidRPr="00F15FF6" w:rsidRDefault="006F4FAD" w:rsidP="00A1062B">
            <w:pPr>
              <w:spacing w:after="0" w:line="240" w:lineRule="auto"/>
              <w:jc w:val="both"/>
              <w:rPr>
                <w:rFonts w:ascii="Times New Roman" w:eastAsia="Times New Roman" w:hAnsi="Times New Roman" w:cs="Times New Roman"/>
                <w:b/>
                <w:i/>
                <w:sz w:val="18"/>
                <w:szCs w:val="18"/>
              </w:rPr>
            </w:pPr>
            <w:r w:rsidRPr="00F15FF6">
              <w:rPr>
                <w:rFonts w:ascii="Times New Roman" w:eastAsia="Times New Roman" w:hAnsi="Times New Roman" w:cs="Times New Roman"/>
                <w:b/>
                <w:i/>
                <w:color w:val="000000"/>
                <w:sz w:val="18"/>
                <w:szCs w:val="18"/>
              </w:rPr>
              <w:t xml:space="preserve">Panel B - Stage 2 </w:t>
            </w:r>
          </w:p>
        </w:tc>
      </w:tr>
      <w:tr w:rsidR="006F4FAD" w:rsidRPr="00B623B1" w14:paraId="3DF138D7" w14:textId="77777777" w:rsidTr="00F15FF6">
        <w:trPr>
          <w:gridAfter w:val="1"/>
          <w:wAfter w:w="41" w:type="pct"/>
          <w:trHeight w:val="144"/>
        </w:trPr>
        <w:tc>
          <w:tcPr>
            <w:tcW w:w="943" w:type="pct"/>
            <w:gridSpan w:val="4"/>
            <w:tcBorders>
              <w:top w:val="nil"/>
              <w:left w:val="nil"/>
              <w:bottom w:val="single" w:sz="4" w:space="0" w:color="auto"/>
              <w:right w:val="nil"/>
            </w:tcBorders>
            <w:shd w:val="clear" w:color="auto" w:fill="auto"/>
            <w:noWrap/>
            <w:vAlign w:val="bottom"/>
            <w:hideMark/>
          </w:tcPr>
          <w:p w14:paraId="199D8E4E"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eastAsia="Times New Roman" w:hAnsi="Times New Roman" w:cs="Times New Roman"/>
                <w:color w:val="000000"/>
                <w:sz w:val="18"/>
                <w:szCs w:val="18"/>
              </w:rPr>
              <w:t>Independent variables</w:t>
            </w:r>
          </w:p>
        </w:tc>
        <w:tc>
          <w:tcPr>
            <w:tcW w:w="388" w:type="pct"/>
            <w:tcBorders>
              <w:top w:val="nil"/>
              <w:left w:val="nil"/>
              <w:bottom w:val="single" w:sz="4" w:space="0" w:color="auto"/>
              <w:right w:val="nil"/>
            </w:tcBorders>
            <w:shd w:val="clear" w:color="auto" w:fill="auto"/>
            <w:noWrap/>
            <w:vAlign w:val="bottom"/>
            <w:hideMark/>
          </w:tcPr>
          <w:p w14:paraId="4F208C4A" w14:textId="77777777" w:rsidR="00606E3A"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eastAsia="Times New Roman" w:hAnsi="Times New Roman" w:cs="Times New Roman"/>
                <w:color w:val="000000"/>
                <w:sz w:val="18"/>
                <w:szCs w:val="18"/>
              </w:rPr>
              <w:t xml:space="preserve">Coef. </w:t>
            </w:r>
          </w:p>
          <w:p w14:paraId="4C69165C" w14:textId="125E84FD"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eastAsia="Times New Roman" w:hAnsi="Times New Roman" w:cs="Times New Roman"/>
                <w:color w:val="000000"/>
                <w:sz w:val="18"/>
                <w:szCs w:val="18"/>
              </w:rPr>
              <w:t>(t-stats)</w:t>
            </w:r>
          </w:p>
        </w:tc>
        <w:tc>
          <w:tcPr>
            <w:tcW w:w="179" w:type="pct"/>
            <w:tcBorders>
              <w:top w:val="nil"/>
              <w:left w:val="nil"/>
              <w:bottom w:val="nil"/>
              <w:right w:val="nil"/>
            </w:tcBorders>
            <w:shd w:val="clear" w:color="auto" w:fill="auto"/>
            <w:noWrap/>
            <w:vAlign w:val="bottom"/>
            <w:hideMark/>
          </w:tcPr>
          <w:p w14:paraId="768BA0F5"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698" w:type="pct"/>
            <w:gridSpan w:val="2"/>
            <w:tcBorders>
              <w:top w:val="nil"/>
              <w:left w:val="nil"/>
              <w:right w:val="nil"/>
            </w:tcBorders>
            <w:shd w:val="clear" w:color="auto" w:fill="auto"/>
            <w:noWrap/>
            <w:vAlign w:val="bottom"/>
            <w:hideMark/>
          </w:tcPr>
          <w:p w14:paraId="65AAD987"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2751" w:type="pct"/>
            <w:gridSpan w:val="8"/>
            <w:tcBorders>
              <w:top w:val="nil"/>
              <w:left w:val="nil"/>
              <w:right w:val="nil"/>
            </w:tcBorders>
            <w:shd w:val="clear" w:color="auto" w:fill="auto"/>
            <w:noWrap/>
            <w:vAlign w:val="bottom"/>
            <w:hideMark/>
          </w:tcPr>
          <w:p w14:paraId="6667FA11"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r w:rsidRPr="00F15FF6">
              <w:rPr>
                <w:rFonts w:ascii="Times New Roman" w:eastAsia="Times New Roman" w:hAnsi="Times New Roman" w:cs="Times New Roman"/>
                <w:color w:val="000000"/>
                <w:sz w:val="18"/>
                <w:szCs w:val="18"/>
              </w:rPr>
              <w:t>Independent variables</w:t>
            </w:r>
          </w:p>
        </w:tc>
      </w:tr>
      <w:tr w:rsidR="00B623B1" w:rsidRPr="00B623B1" w14:paraId="21C140BB" w14:textId="77777777" w:rsidTr="00B623B1">
        <w:trPr>
          <w:trHeight w:val="144"/>
        </w:trPr>
        <w:tc>
          <w:tcPr>
            <w:tcW w:w="684" w:type="pct"/>
            <w:tcBorders>
              <w:top w:val="single" w:sz="4" w:space="0" w:color="auto"/>
              <w:left w:val="nil"/>
              <w:bottom w:val="nil"/>
              <w:right w:val="nil"/>
            </w:tcBorders>
            <w:shd w:val="clear" w:color="auto" w:fill="auto"/>
            <w:noWrap/>
            <w:vAlign w:val="bottom"/>
            <w:hideMark/>
          </w:tcPr>
          <w:p w14:paraId="6A1E61B3" w14:textId="77777777" w:rsidR="006F4FAD" w:rsidRPr="00F15FF6" w:rsidRDefault="006F4FAD" w:rsidP="00A1062B">
            <w:pPr>
              <w:spacing w:after="0" w:line="240" w:lineRule="auto"/>
              <w:jc w:val="both"/>
              <w:rPr>
                <w:rFonts w:ascii="Times New Roman" w:eastAsia="Times New Roman" w:hAnsi="Times New Roman" w:cs="Times New Roman"/>
                <w:i/>
                <w:color w:val="000000"/>
                <w:sz w:val="18"/>
                <w:szCs w:val="18"/>
              </w:rPr>
            </w:pPr>
            <w:r w:rsidRPr="00F15FF6">
              <w:rPr>
                <w:rFonts w:ascii="Times New Roman" w:eastAsia="Times New Roman" w:hAnsi="Times New Roman" w:cs="Times New Roman"/>
                <w:i/>
                <w:color w:val="000000"/>
                <w:sz w:val="18"/>
                <w:szCs w:val="18"/>
              </w:rPr>
              <w:t>IND_NONOPERINC</w:t>
            </w:r>
          </w:p>
        </w:tc>
        <w:tc>
          <w:tcPr>
            <w:tcW w:w="647" w:type="pct"/>
            <w:gridSpan w:val="4"/>
            <w:tcBorders>
              <w:top w:val="nil"/>
              <w:left w:val="nil"/>
              <w:bottom w:val="nil"/>
              <w:right w:val="nil"/>
            </w:tcBorders>
            <w:shd w:val="clear" w:color="auto" w:fill="auto"/>
            <w:noWrap/>
            <w:vAlign w:val="bottom"/>
            <w:hideMark/>
          </w:tcPr>
          <w:p w14:paraId="2A9708D0"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0.132</w:t>
            </w:r>
          </w:p>
        </w:tc>
        <w:tc>
          <w:tcPr>
            <w:tcW w:w="179" w:type="pct"/>
            <w:tcBorders>
              <w:top w:val="nil"/>
              <w:left w:val="nil"/>
              <w:bottom w:val="nil"/>
              <w:right w:val="nil"/>
            </w:tcBorders>
            <w:shd w:val="clear" w:color="auto" w:fill="auto"/>
            <w:noWrap/>
            <w:vAlign w:val="bottom"/>
            <w:hideMark/>
          </w:tcPr>
          <w:p w14:paraId="7F39E5E8"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698" w:type="pct"/>
            <w:gridSpan w:val="2"/>
            <w:tcBorders>
              <w:top w:val="nil"/>
              <w:left w:val="nil"/>
              <w:bottom w:val="single" w:sz="4" w:space="0" w:color="auto"/>
              <w:right w:val="nil"/>
            </w:tcBorders>
            <w:shd w:val="clear" w:color="auto" w:fill="auto"/>
            <w:noWrap/>
            <w:vAlign w:val="bottom"/>
            <w:hideMark/>
          </w:tcPr>
          <w:p w14:paraId="6B35E705"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eastAsia="Times New Roman" w:hAnsi="Times New Roman" w:cs="Times New Roman"/>
                <w:color w:val="000000"/>
                <w:sz w:val="18"/>
                <w:szCs w:val="18"/>
              </w:rPr>
              <w:t>Dependent variables</w:t>
            </w:r>
          </w:p>
        </w:tc>
        <w:tc>
          <w:tcPr>
            <w:tcW w:w="940" w:type="pct"/>
            <w:gridSpan w:val="2"/>
            <w:tcBorders>
              <w:top w:val="nil"/>
              <w:left w:val="nil"/>
              <w:bottom w:val="single" w:sz="4" w:space="0" w:color="auto"/>
              <w:right w:val="nil"/>
            </w:tcBorders>
            <w:shd w:val="clear" w:color="auto" w:fill="auto"/>
            <w:noWrap/>
            <w:vAlign w:val="bottom"/>
            <w:hideMark/>
          </w:tcPr>
          <w:p w14:paraId="0DECA0D5"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eastAsia="Times New Roman" w:hAnsi="Times New Roman" w:cs="Times New Roman"/>
                <w:color w:val="000000"/>
                <w:sz w:val="18"/>
                <w:szCs w:val="18"/>
              </w:rPr>
              <w:t xml:space="preserve">Instrumented </w:t>
            </w:r>
            <w:r w:rsidRPr="00F15FF6">
              <w:rPr>
                <w:rFonts w:ascii="Times New Roman" w:eastAsia="Times New Roman" w:hAnsi="Times New Roman" w:cs="Times New Roman"/>
                <w:i/>
                <w:color w:val="000000"/>
                <w:sz w:val="18"/>
                <w:szCs w:val="18"/>
              </w:rPr>
              <w:t>NONOPERINC</w:t>
            </w:r>
          </w:p>
        </w:tc>
        <w:tc>
          <w:tcPr>
            <w:tcW w:w="397" w:type="pct"/>
            <w:tcBorders>
              <w:top w:val="nil"/>
              <w:left w:val="nil"/>
              <w:bottom w:val="single" w:sz="4" w:space="0" w:color="auto"/>
              <w:right w:val="nil"/>
            </w:tcBorders>
            <w:shd w:val="clear" w:color="auto" w:fill="auto"/>
            <w:noWrap/>
            <w:vAlign w:val="bottom"/>
            <w:hideMark/>
          </w:tcPr>
          <w:p w14:paraId="49E2C227" w14:textId="77777777" w:rsidR="006F4FAD" w:rsidRPr="00F15FF6" w:rsidRDefault="006F4FAD" w:rsidP="00A1062B">
            <w:pPr>
              <w:spacing w:after="0" w:line="240" w:lineRule="auto"/>
              <w:jc w:val="both"/>
              <w:rPr>
                <w:rFonts w:ascii="Times New Roman" w:eastAsia="Times New Roman" w:hAnsi="Times New Roman" w:cs="Times New Roman"/>
                <w:i/>
                <w:color w:val="000000"/>
                <w:sz w:val="18"/>
                <w:szCs w:val="18"/>
              </w:rPr>
            </w:pPr>
            <w:r w:rsidRPr="00F15FF6">
              <w:rPr>
                <w:rFonts w:ascii="Times New Roman" w:eastAsia="Times New Roman" w:hAnsi="Times New Roman" w:cs="Times New Roman"/>
                <w:i/>
                <w:color w:val="000000"/>
                <w:sz w:val="18"/>
                <w:szCs w:val="18"/>
              </w:rPr>
              <w:t>OPERINC</w:t>
            </w:r>
          </w:p>
        </w:tc>
        <w:tc>
          <w:tcPr>
            <w:tcW w:w="594" w:type="pct"/>
            <w:gridSpan w:val="3"/>
            <w:tcBorders>
              <w:top w:val="nil"/>
              <w:left w:val="nil"/>
              <w:bottom w:val="single" w:sz="4" w:space="0" w:color="auto"/>
              <w:right w:val="nil"/>
            </w:tcBorders>
            <w:shd w:val="clear" w:color="auto" w:fill="auto"/>
            <w:noWrap/>
            <w:vAlign w:val="bottom"/>
            <w:hideMark/>
          </w:tcPr>
          <w:p w14:paraId="1B3F238B"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eastAsia="Times New Roman" w:hAnsi="Times New Roman" w:cs="Times New Roman"/>
                <w:color w:val="000000"/>
                <w:sz w:val="18"/>
                <w:szCs w:val="18"/>
              </w:rPr>
              <w:t>Adj. R-squared</w:t>
            </w:r>
          </w:p>
        </w:tc>
        <w:tc>
          <w:tcPr>
            <w:tcW w:w="283" w:type="pct"/>
            <w:tcBorders>
              <w:top w:val="nil"/>
              <w:left w:val="nil"/>
              <w:bottom w:val="single" w:sz="4" w:space="0" w:color="auto"/>
              <w:right w:val="nil"/>
            </w:tcBorders>
            <w:shd w:val="clear" w:color="auto" w:fill="auto"/>
            <w:noWrap/>
            <w:vAlign w:val="bottom"/>
            <w:hideMark/>
          </w:tcPr>
          <w:p w14:paraId="60434903"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eastAsia="Times New Roman" w:hAnsi="Times New Roman" w:cs="Times New Roman"/>
                <w:color w:val="000000"/>
                <w:sz w:val="18"/>
                <w:szCs w:val="18"/>
              </w:rPr>
              <w:t>N</w:t>
            </w:r>
          </w:p>
        </w:tc>
        <w:tc>
          <w:tcPr>
            <w:tcW w:w="578" w:type="pct"/>
            <w:gridSpan w:val="2"/>
            <w:tcBorders>
              <w:top w:val="nil"/>
              <w:left w:val="nil"/>
              <w:bottom w:val="single" w:sz="4" w:space="0" w:color="auto"/>
              <w:right w:val="nil"/>
            </w:tcBorders>
            <w:shd w:val="clear" w:color="auto" w:fill="auto"/>
            <w:noWrap/>
            <w:vAlign w:val="bottom"/>
            <w:hideMark/>
          </w:tcPr>
          <w:p w14:paraId="1054D6CD"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eastAsia="Times New Roman" w:hAnsi="Times New Roman" w:cs="Times New Roman"/>
                <w:color w:val="000000"/>
                <w:sz w:val="18"/>
                <w:szCs w:val="18"/>
              </w:rPr>
              <w:t>Control variables</w:t>
            </w:r>
          </w:p>
        </w:tc>
      </w:tr>
      <w:tr w:rsidR="006F4FAD" w:rsidRPr="00B623B1" w14:paraId="3BA8A696" w14:textId="77777777" w:rsidTr="00F15FF6">
        <w:trPr>
          <w:trHeight w:val="144"/>
        </w:trPr>
        <w:tc>
          <w:tcPr>
            <w:tcW w:w="684" w:type="pct"/>
            <w:tcBorders>
              <w:top w:val="nil"/>
              <w:left w:val="nil"/>
              <w:bottom w:val="nil"/>
              <w:right w:val="nil"/>
            </w:tcBorders>
            <w:shd w:val="clear" w:color="auto" w:fill="auto"/>
            <w:noWrap/>
            <w:vAlign w:val="bottom"/>
            <w:hideMark/>
          </w:tcPr>
          <w:p w14:paraId="0DDCF9A3" w14:textId="77777777" w:rsidR="006F4FAD" w:rsidRPr="00F15FF6" w:rsidRDefault="006F4FAD" w:rsidP="00A1062B">
            <w:pPr>
              <w:spacing w:after="0" w:line="240" w:lineRule="auto"/>
              <w:jc w:val="both"/>
              <w:rPr>
                <w:rFonts w:ascii="Times New Roman" w:eastAsia="Times New Roman" w:hAnsi="Times New Roman" w:cs="Times New Roman"/>
                <w:i/>
                <w:color w:val="000000"/>
                <w:sz w:val="18"/>
                <w:szCs w:val="18"/>
              </w:rPr>
            </w:pPr>
          </w:p>
        </w:tc>
        <w:tc>
          <w:tcPr>
            <w:tcW w:w="647" w:type="pct"/>
            <w:gridSpan w:val="4"/>
            <w:tcBorders>
              <w:top w:val="nil"/>
              <w:left w:val="nil"/>
              <w:bottom w:val="nil"/>
              <w:right w:val="nil"/>
            </w:tcBorders>
            <w:shd w:val="clear" w:color="auto" w:fill="auto"/>
            <w:noWrap/>
            <w:vAlign w:val="bottom"/>
            <w:hideMark/>
          </w:tcPr>
          <w:p w14:paraId="7161A26D"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(10.539***)</w:t>
            </w:r>
          </w:p>
        </w:tc>
        <w:tc>
          <w:tcPr>
            <w:tcW w:w="179" w:type="pct"/>
            <w:tcBorders>
              <w:top w:val="nil"/>
              <w:left w:val="nil"/>
              <w:bottom w:val="nil"/>
              <w:right w:val="nil"/>
            </w:tcBorders>
            <w:shd w:val="clear" w:color="auto" w:fill="auto"/>
            <w:vAlign w:val="bottom"/>
          </w:tcPr>
          <w:p w14:paraId="49A122FD"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561" w:type="pct"/>
            <w:tcBorders>
              <w:top w:val="single" w:sz="4" w:space="0" w:color="auto"/>
              <w:left w:val="nil"/>
              <w:bottom w:val="nil"/>
              <w:right w:val="nil"/>
            </w:tcBorders>
            <w:shd w:val="clear" w:color="auto" w:fill="auto"/>
            <w:noWrap/>
            <w:vAlign w:val="bottom"/>
            <w:hideMark/>
          </w:tcPr>
          <w:p w14:paraId="45C81342" w14:textId="77777777" w:rsidR="006F4FAD" w:rsidRPr="00F15FF6" w:rsidRDefault="006F4FAD" w:rsidP="00A1062B">
            <w:pPr>
              <w:spacing w:after="0" w:line="240" w:lineRule="auto"/>
              <w:jc w:val="both"/>
              <w:rPr>
                <w:rFonts w:ascii="Times New Roman" w:eastAsia="Times New Roman" w:hAnsi="Times New Roman" w:cs="Times New Roman"/>
                <w:i/>
                <w:color w:val="000000"/>
                <w:sz w:val="18"/>
                <w:szCs w:val="18"/>
              </w:rPr>
            </w:pPr>
            <w:r w:rsidRPr="00F15FF6">
              <w:rPr>
                <w:rFonts w:ascii="Times New Roman" w:eastAsia="Times New Roman" w:hAnsi="Times New Roman" w:cs="Times New Roman"/>
                <w:i/>
                <w:color w:val="000000"/>
                <w:sz w:val="18"/>
                <w:szCs w:val="18"/>
              </w:rPr>
              <w:t>ROAVOL</w:t>
            </w:r>
          </w:p>
        </w:tc>
        <w:tc>
          <w:tcPr>
            <w:tcW w:w="910" w:type="pct"/>
            <w:gridSpan w:val="2"/>
            <w:tcBorders>
              <w:top w:val="nil"/>
              <w:left w:val="nil"/>
              <w:bottom w:val="nil"/>
              <w:right w:val="nil"/>
            </w:tcBorders>
            <w:shd w:val="clear" w:color="auto" w:fill="auto"/>
            <w:noWrap/>
            <w:vAlign w:val="bottom"/>
          </w:tcPr>
          <w:p w14:paraId="2797B287"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-0.006</w:t>
            </w:r>
          </w:p>
        </w:tc>
        <w:tc>
          <w:tcPr>
            <w:tcW w:w="706" w:type="pct"/>
            <w:gridSpan w:val="3"/>
            <w:tcBorders>
              <w:top w:val="nil"/>
              <w:left w:val="nil"/>
              <w:bottom w:val="nil"/>
              <w:right w:val="nil"/>
            </w:tcBorders>
            <w:shd w:val="clear" w:color="auto" w:fill="auto"/>
            <w:noWrap/>
            <w:vAlign w:val="bottom"/>
          </w:tcPr>
          <w:p w14:paraId="01A8BFEF"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-0.153</w:t>
            </w:r>
          </w:p>
        </w:tc>
        <w:tc>
          <w:tcPr>
            <w:tcW w:w="313" w:type="pct"/>
            <w:tcBorders>
              <w:top w:val="nil"/>
              <w:left w:val="nil"/>
              <w:bottom w:val="nil"/>
              <w:right w:val="nil"/>
            </w:tcBorders>
            <w:shd w:val="clear" w:color="auto" w:fill="auto"/>
            <w:noWrap/>
            <w:vAlign w:val="bottom"/>
          </w:tcPr>
          <w:p w14:paraId="41D7F3F7"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0.221</w:t>
            </w:r>
          </w:p>
        </w:tc>
        <w:tc>
          <w:tcPr>
            <w:tcW w:w="422" w:type="pct"/>
            <w:gridSpan w:val="2"/>
            <w:tcBorders>
              <w:top w:val="nil"/>
              <w:left w:val="nil"/>
              <w:bottom w:val="nil"/>
              <w:right w:val="nil"/>
            </w:tcBorders>
            <w:shd w:val="clear" w:color="auto" w:fill="auto"/>
            <w:noWrap/>
            <w:vAlign w:val="bottom"/>
          </w:tcPr>
          <w:p w14:paraId="14B710CB"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eastAsia="Times New Roman" w:hAnsi="Times New Roman" w:cs="Times New Roman"/>
                <w:color w:val="000000"/>
                <w:sz w:val="18"/>
                <w:szCs w:val="18"/>
              </w:rPr>
              <w:t>66,098</w:t>
            </w:r>
          </w:p>
        </w:tc>
        <w:tc>
          <w:tcPr>
            <w:tcW w:w="578" w:type="pct"/>
            <w:gridSpan w:val="2"/>
            <w:tcBorders>
              <w:top w:val="nil"/>
              <w:left w:val="nil"/>
              <w:bottom w:val="nil"/>
              <w:right w:val="nil"/>
            </w:tcBorders>
            <w:shd w:val="clear" w:color="auto" w:fill="auto"/>
            <w:noWrap/>
            <w:vAlign w:val="bottom"/>
          </w:tcPr>
          <w:p w14:paraId="4E0BF451"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Yes</w:t>
            </w:r>
          </w:p>
        </w:tc>
      </w:tr>
      <w:tr w:rsidR="00B623B1" w:rsidRPr="00B623B1" w14:paraId="217EAB2A" w14:textId="77777777" w:rsidTr="00B623B1">
        <w:trPr>
          <w:gridAfter w:val="1"/>
          <w:wAfter w:w="41" w:type="pct"/>
          <w:trHeight w:val="144"/>
        </w:trPr>
        <w:tc>
          <w:tcPr>
            <w:tcW w:w="684" w:type="pct"/>
            <w:tcBorders>
              <w:top w:val="nil"/>
              <w:left w:val="nil"/>
              <w:bottom w:val="nil"/>
              <w:right w:val="nil"/>
            </w:tcBorders>
            <w:shd w:val="clear" w:color="auto" w:fill="auto"/>
            <w:noWrap/>
            <w:vAlign w:val="bottom"/>
            <w:hideMark/>
          </w:tcPr>
          <w:p w14:paraId="500B9631" w14:textId="77777777" w:rsidR="006F4FAD" w:rsidRPr="00F15FF6" w:rsidRDefault="006F4FAD" w:rsidP="00A1062B">
            <w:pPr>
              <w:spacing w:after="0" w:line="240" w:lineRule="auto"/>
              <w:jc w:val="both"/>
              <w:rPr>
                <w:rFonts w:ascii="Times New Roman" w:eastAsia="Times New Roman" w:hAnsi="Times New Roman" w:cs="Times New Roman"/>
                <w:i/>
                <w:color w:val="000000"/>
                <w:sz w:val="18"/>
                <w:szCs w:val="18"/>
              </w:rPr>
            </w:pPr>
            <w:r w:rsidRPr="00F15FF6">
              <w:rPr>
                <w:rFonts w:ascii="Times New Roman" w:eastAsia="Times New Roman" w:hAnsi="Times New Roman" w:cs="Times New Roman"/>
                <w:i/>
                <w:color w:val="000000"/>
                <w:sz w:val="18"/>
                <w:szCs w:val="18"/>
              </w:rPr>
              <w:t>OPERINC</w:t>
            </w:r>
          </w:p>
        </w:tc>
        <w:tc>
          <w:tcPr>
            <w:tcW w:w="647" w:type="pct"/>
            <w:gridSpan w:val="4"/>
            <w:tcBorders>
              <w:top w:val="nil"/>
              <w:left w:val="nil"/>
              <w:bottom w:val="nil"/>
              <w:right w:val="nil"/>
            </w:tcBorders>
            <w:shd w:val="clear" w:color="auto" w:fill="auto"/>
            <w:noWrap/>
            <w:vAlign w:val="bottom"/>
            <w:hideMark/>
          </w:tcPr>
          <w:p w14:paraId="678DBD80"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-0.015</w:t>
            </w:r>
          </w:p>
        </w:tc>
        <w:tc>
          <w:tcPr>
            <w:tcW w:w="179" w:type="pct"/>
            <w:tcBorders>
              <w:top w:val="nil"/>
              <w:left w:val="nil"/>
              <w:bottom w:val="nil"/>
              <w:right w:val="nil"/>
            </w:tcBorders>
            <w:shd w:val="clear" w:color="auto" w:fill="auto"/>
            <w:noWrap/>
            <w:vAlign w:val="bottom"/>
            <w:hideMark/>
          </w:tcPr>
          <w:p w14:paraId="43ABC053"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561" w:type="pct"/>
            <w:tcBorders>
              <w:top w:val="nil"/>
              <w:left w:val="nil"/>
              <w:bottom w:val="nil"/>
              <w:right w:val="nil"/>
            </w:tcBorders>
            <w:shd w:val="clear" w:color="auto" w:fill="auto"/>
            <w:noWrap/>
            <w:vAlign w:val="bottom"/>
            <w:hideMark/>
          </w:tcPr>
          <w:p w14:paraId="2EFE0E6A" w14:textId="77777777" w:rsidR="006F4FAD" w:rsidRPr="00F15FF6" w:rsidRDefault="006F4FAD" w:rsidP="00A1062B">
            <w:pPr>
              <w:spacing w:after="0" w:line="240" w:lineRule="auto"/>
              <w:jc w:val="both"/>
              <w:rPr>
                <w:rFonts w:ascii="Times New Roman" w:eastAsia="Times New Roman" w:hAnsi="Times New Roman" w:cs="Times New Roman"/>
                <w:i/>
                <w:sz w:val="18"/>
                <w:szCs w:val="18"/>
              </w:rPr>
            </w:pPr>
          </w:p>
        </w:tc>
        <w:tc>
          <w:tcPr>
            <w:tcW w:w="910" w:type="pct"/>
            <w:gridSpan w:val="2"/>
            <w:tcBorders>
              <w:top w:val="nil"/>
              <w:left w:val="nil"/>
              <w:bottom w:val="nil"/>
              <w:right w:val="nil"/>
            </w:tcBorders>
            <w:shd w:val="clear" w:color="auto" w:fill="auto"/>
            <w:noWrap/>
            <w:vAlign w:val="bottom"/>
          </w:tcPr>
          <w:p w14:paraId="637BBF50"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(-2.254**)</w:t>
            </w:r>
          </w:p>
        </w:tc>
        <w:tc>
          <w:tcPr>
            <w:tcW w:w="706" w:type="pct"/>
            <w:gridSpan w:val="3"/>
            <w:tcBorders>
              <w:top w:val="nil"/>
              <w:left w:val="nil"/>
              <w:bottom w:val="nil"/>
              <w:right w:val="nil"/>
            </w:tcBorders>
            <w:shd w:val="clear" w:color="auto" w:fill="auto"/>
            <w:noWrap/>
            <w:vAlign w:val="bottom"/>
          </w:tcPr>
          <w:p w14:paraId="1D6752DB"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(-12.886***)</w:t>
            </w:r>
          </w:p>
        </w:tc>
        <w:tc>
          <w:tcPr>
            <w:tcW w:w="313" w:type="pct"/>
            <w:tcBorders>
              <w:top w:val="nil"/>
              <w:left w:val="nil"/>
              <w:bottom w:val="nil"/>
              <w:right w:val="nil"/>
            </w:tcBorders>
            <w:shd w:val="clear" w:color="auto" w:fill="auto"/>
            <w:vAlign w:val="bottom"/>
          </w:tcPr>
          <w:p w14:paraId="1FE25987"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422" w:type="pct"/>
            <w:gridSpan w:val="2"/>
            <w:tcBorders>
              <w:top w:val="nil"/>
              <w:left w:val="nil"/>
              <w:bottom w:val="nil"/>
              <w:right w:val="nil"/>
            </w:tcBorders>
            <w:shd w:val="clear" w:color="auto" w:fill="auto"/>
            <w:noWrap/>
            <w:vAlign w:val="bottom"/>
          </w:tcPr>
          <w:p w14:paraId="49914BD6"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537" w:type="pct"/>
            <w:tcBorders>
              <w:top w:val="nil"/>
              <w:left w:val="nil"/>
              <w:bottom w:val="nil"/>
              <w:right w:val="nil"/>
            </w:tcBorders>
            <w:shd w:val="clear" w:color="auto" w:fill="auto"/>
            <w:noWrap/>
            <w:vAlign w:val="bottom"/>
          </w:tcPr>
          <w:p w14:paraId="661728A2"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r>
      <w:tr w:rsidR="00B623B1" w:rsidRPr="00B623B1" w14:paraId="116CF7A4" w14:textId="77777777" w:rsidTr="00B623B1">
        <w:trPr>
          <w:gridAfter w:val="1"/>
          <w:wAfter w:w="41" w:type="pct"/>
          <w:trHeight w:val="144"/>
        </w:trPr>
        <w:tc>
          <w:tcPr>
            <w:tcW w:w="684" w:type="pct"/>
            <w:tcBorders>
              <w:top w:val="nil"/>
              <w:left w:val="nil"/>
              <w:bottom w:val="nil"/>
              <w:right w:val="nil"/>
            </w:tcBorders>
            <w:shd w:val="clear" w:color="auto" w:fill="auto"/>
            <w:noWrap/>
            <w:vAlign w:val="bottom"/>
            <w:hideMark/>
          </w:tcPr>
          <w:p w14:paraId="13793BB5" w14:textId="77777777" w:rsidR="006F4FAD" w:rsidRPr="00F15FF6" w:rsidRDefault="006F4FAD" w:rsidP="00A1062B">
            <w:pPr>
              <w:spacing w:after="0" w:line="240" w:lineRule="auto"/>
              <w:jc w:val="both"/>
              <w:rPr>
                <w:rFonts w:ascii="Times New Roman" w:eastAsia="Times New Roman" w:hAnsi="Times New Roman" w:cs="Times New Roman"/>
                <w:i/>
                <w:sz w:val="18"/>
                <w:szCs w:val="18"/>
              </w:rPr>
            </w:pPr>
          </w:p>
        </w:tc>
        <w:tc>
          <w:tcPr>
            <w:tcW w:w="647" w:type="pct"/>
            <w:gridSpan w:val="4"/>
            <w:tcBorders>
              <w:top w:val="nil"/>
              <w:left w:val="nil"/>
              <w:bottom w:val="nil"/>
              <w:right w:val="nil"/>
            </w:tcBorders>
            <w:shd w:val="clear" w:color="auto" w:fill="auto"/>
            <w:noWrap/>
            <w:vAlign w:val="bottom"/>
            <w:hideMark/>
          </w:tcPr>
          <w:p w14:paraId="2CF4533D"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(-2.431**)</w:t>
            </w:r>
          </w:p>
        </w:tc>
        <w:tc>
          <w:tcPr>
            <w:tcW w:w="179" w:type="pct"/>
            <w:tcBorders>
              <w:top w:val="nil"/>
              <w:left w:val="nil"/>
              <w:bottom w:val="nil"/>
              <w:right w:val="nil"/>
            </w:tcBorders>
            <w:shd w:val="clear" w:color="auto" w:fill="auto"/>
            <w:noWrap/>
            <w:vAlign w:val="bottom"/>
            <w:hideMark/>
          </w:tcPr>
          <w:p w14:paraId="342A25C0"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561" w:type="pct"/>
            <w:tcBorders>
              <w:top w:val="nil"/>
              <w:left w:val="nil"/>
              <w:bottom w:val="nil"/>
              <w:right w:val="nil"/>
            </w:tcBorders>
            <w:shd w:val="clear" w:color="auto" w:fill="auto"/>
            <w:noWrap/>
            <w:vAlign w:val="bottom"/>
            <w:hideMark/>
          </w:tcPr>
          <w:p w14:paraId="4FF70161" w14:textId="77777777" w:rsidR="006F4FAD" w:rsidRPr="00F15FF6" w:rsidRDefault="006F4FAD" w:rsidP="00A1062B">
            <w:pPr>
              <w:spacing w:after="0" w:line="240" w:lineRule="auto"/>
              <w:jc w:val="both"/>
              <w:rPr>
                <w:rFonts w:ascii="Times New Roman" w:eastAsia="Times New Roman" w:hAnsi="Times New Roman" w:cs="Times New Roman"/>
                <w:i/>
                <w:color w:val="000000"/>
                <w:sz w:val="18"/>
                <w:szCs w:val="18"/>
              </w:rPr>
            </w:pPr>
            <w:r w:rsidRPr="00F15FF6">
              <w:rPr>
                <w:rFonts w:ascii="Times New Roman" w:eastAsia="Times New Roman" w:hAnsi="Times New Roman" w:cs="Times New Roman"/>
                <w:i/>
                <w:color w:val="000000"/>
                <w:sz w:val="18"/>
                <w:szCs w:val="18"/>
              </w:rPr>
              <w:t>TOTRISK</w:t>
            </w:r>
          </w:p>
        </w:tc>
        <w:tc>
          <w:tcPr>
            <w:tcW w:w="910" w:type="pct"/>
            <w:gridSpan w:val="2"/>
            <w:tcBorders>
              <w:top w:val="nil"/>
              <w:left w:val="nil"/>
              <w:bottom w:val="nil"/>
              <w:right w:val="nil"/>
            </w:tcBorders>
            <w:shd w:val="clear" w:color="auto" w:fill="auto"/>
            <w:noWrap/>
            <w:vAlign w:val="bottom"/>
          </w:tcPr>
          <w:p w14:paraId="51FCBCC8"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-0.018</w:t>
            </w:r>
          </w:p>
        </w:tc>
        <w:tc>
          <w:tcPr>
            <w:tcW w:w="706" w:type="pct"/>
            <w:gridSpan w:val="3"/>
            <w:tcBorders>
              <w:top w:val="nil"/>
              <w:left w:val="nil"/>
              <w:bottom w:val="nil"/>
              <w:right w:val="nil"/>
            </w:tcBorders>
            <w:shd w:val="clear" w:color="auto" w:fill="auto"/>
            <w:noWrap/>
            <w:vAlign w:val="bottom"/>
          </w:tcPr>
          <w:p w14:paraId="67E316A0"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-0.199</w:t>
            </w:r>
          </w:p>
        </w:tc>
        <w:tc>
          <w:tcPr>
            <w:tcW w:w="313" w:type="pct"/>
            <w:tcBorders>
              <w:top w:val="nil"/>
              <w:left w:val="nil"/>
              <w:bottom w:val="nil"/>
              <w:right w:val="nil"/>
            </w:tcBorders>
            <w:shd w:val="clear" w:color="auto" w:fill="auto"/>
            <w:noWrap/>
            <w:vAlign w:val="bottom"/>
          </w:tcPr>
          <w:p w14:paraId="0DE7ED64"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0.485</w:t>
            </w:r>
          </w:p>
        </w:tc>
        <w:tc>
          <w:tcPr>
            <w:tcW w:w="422" w:type="pct"/>
            <w:gridSpan w:val="2"/>
            <w:tcBorders>
              <w:top w:val="nil"/>
              <w:left w:val="nil"/>
              <w:bottom w:val="nil"/>
              <w:right w:val="nil"/>
            </w:tcBorders>
            <w:shd w:val="clear" w:color="auto" w:fill="auto"/>
            <w:noWrap/>
            <w:vAlign w:val="bottom"/>
          </w:tcPr>
          <w:p w14:paraId="158AD312"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eastAsia="Times New Roman" w:hAnsi="Times New Roman" w:cs="Times New Roman"/>
                <w:color w:val="000000"/>
                <w:sz w:val="18"/>
                <w:szCs w:val="18"/>
              </w:rPr>
              <w:t>66,098</w:t>
            </w:r>
          </w:p>
        </w:tc>
        <w:tc>
          <w:tcPr>
            <w:tcW w:w="537" w:type="pct"/>
            <w:tcBorders>
              <w:top w:val="nil"/>
              <w:left w:val="nil"/>
              <w:bottom w:val="nil"/>
              <w:right w:val="nil"/>
            </w:tcBorders>
            <w:shd w:val="clear" w:color="auto" w:fill="auto"/>
            <w:noWrap/>
            <w:vAlign w:val="bottom"/>
          </w:tcPr>
          <w:p w14:paraId="09D026CB"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Yes</w:t>
            </w:r>
          </w:p>
        </w:tc>
      </w:tr>
      <w:tr w:rsidR="00B623B1" w:rsidRPr="00B623B1" w14:paraId="07A80282" w14:textId="77777777" w:rsidTr="00B623B1">
        <w:trPr>
          <w:gridAfter w:val="1"/>
          <w:wAfter w:w="41" w:type="pct"/>
          <w:trHeight w:val="144"/>
        </w:trPr>
        <w:tc>
          <w:tcPr>
            <w:tcW w:w="684" w:type="pct"/>
            <w:tcBorders>
              <w:top w:val="nil"/>
              <w:left w:val="nil"/>
              <w:bottom w:val="nil"/>
              <w:right w:val="nil"/>
            </w:tcBorders>
            <w:shd w:val="clear" w:color="auto" w:fill="auto"/>
            <w:noWrap/>
            <w:vAlign w:val="bottom"/>
            <w:hideMark/>
          </w:tcPr>
          <w:p w14:paraId="1C650368" w14:textId="77777777" w:rsidR="006F4FAD" w:rsidRPr="00F15FF6" w:rsidRDefault="006F4FAD" w:rsidP="00A1062B">
            <w:pPr>
              <w:spacing w:after="0" w:line="240" w:lineRule="auto"/>
              <w:jc w:val="both"/>
              <w:rPr>
                <w:rFonts w:ascii="Times New Roman" w:eastAsia="Times New Roman" w:hAnsi="Times New Roman" w:cs="Times New Roman"/>
                <w:i/>
                <w:color w:val="000000"/>
                <w:sz w:val="18"/>
                <w:szCs w:val="18"/>
              </w:rPr>
            </w:pPr>
            <w:r w:rsidRPr="00F15FF6">
              <w:rPr>
                <w:rFonts w:ascii="Times New Roman" w:eastAsia="Times New Roman" w:hAnsi="Times New Roman" w:cs="Times New Roman"/>
                <w:i/>
                <w:color w:val="000000"/>
                <w:sz w:val="18"/>
                <w:szCs w:val="18"/>
              </w:rPr>
              <w:t>LNAT</w:t>
            </w:r>
          </w:p>
        </w:tc>
        <w:tc>
          <w:tcPr>
            <w:tcW w:w="647" w:type="pct"/>
            <w:gridSpan w:val="4"/>
            <w:tcBorders>
              <w:top w:val="nil"/>
              <w:left w:val="nil"/>
              <w:bottom w:val="nil"/>
              <w:right w:val="nil"/>
            </w:tcBorders>
            <w:shd w:val="clear" w:color="auto" w:fill="auto"/>
            <w:noWrap/>
            <w:vAlign w:val="bottom"/>
            <w:hideMark/>
          </w:tcPr>
          <w:p w14:paraId="6A40626D"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-0.020</w:t>
            </w:r>
          </w:p>
        </w:tc>
        <w:tc>
          <w:tcPr>
            <w:tcW w:w="179" w:type="pct"/>
            <w:tcBorders>
              <w:top w:val="nil"/>
              <w:left w:val="nil"/>
              <w:bottom w:val="nil"/>
              <w:right w:val="nil"/>
            </w:tcBorders>
            <w:shd w:val="clear" w:color="auto" w:fill="auto"/>
            <w:noWrap/>
            <w:vAlign w:val="bottom"/>
            <w:hideMark/>
          </w:tcPr>
          <w:p w14:paraId="430CF1E6"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561" w:type="pct"/>
            <w:tcBorders>
              <w:top w:val="nil"/>
              <w:left w:val="nil"/>
              <w:bottom w:val="nil"/>
              <w:right w:val="nil"/>
            </w:tcBorders>
            <w:shd w:val="clear" w:color="auto" w:fill="auto"/>
            <w:noWrap/>
            <w:vAlign w:val="bottom"/>
            <w:hideMark/>
          </w:tcPr>
          <w:p w14:paraId="62A8D986" w14:textId="77777777" w:rsidR="006F4FAD" w:rsidRPr="00F15FF6" w:rsidRDefault="006F4FAD" w:rsidP="00A1062B">
            <w:pPr>
              <w:spacing w:after="0" w:line="240" w:lineRule="auto"/>
              <w:jc w:val="both"/>
              <w:rPr>
                <w:rFonts w:ascii="Times New Roman" w:eastAsia="Times New Roman" w:hAnsi="Times New Roman" w:cs="Times New Roman"/>
                <w:i/>
                <w:sz w:val="18"/>
                <w:szCs w:val="18"/>
              </w:rPr>
            </w:pPr>
          </w:p>
        </w:tc>
        <w:tc>
          <w:tcPr>
            <w:tcW w:w="910" w:type="pct"/>
            <w:gridSpan w:val="2"/>
            <w:tcBorders>
              <w:top w:val="nil"/>
              <w:left w:val="nil"/>
              <w:bottom w:val="nil"/>
              <w:right w:val="nil"/>
            </w:tcBorders>
            <w:shd w:val="clear" w:color="auto" w:fill="auto"/>
            <w:noWrap/>
            <w:vAlign w:val="bottom"/>
          </w:tcPr>
          <w:p w14:paraId="02ADC2C6"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(-4.222***)</w:t>
            </w:r>
          </w:p>
        </w:tc>
        <w:tc>
          <w:tcPr>
            <w:tcW w:w="706" w:type="pct"/>
            <w:gridSpan w:val="3"/>
            <w:tcBorders>
              <w:top w:val="nil"/>
              <w:left w:val="nil"/>
              <w:bottom w:val="nil"/>
              <w:right w:val="nil"/>
            </w:tcBorders>
            <w:shd w:val="clear" w:color="auto" w:fill="auto"/>
            <w:noWrap/>
            <w:vAlign w:val="bottom"/>
          </w:tcPr>
          <w:p w14:paraId="5F15D848"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(-28.740***)</w:t>
            </w:r>
          </w:p>
        </w:tc>
        <w:tc>
          <w:tcPr>
            <w:tcW w:w="313" w:type="pct"/>
            <w:tcBorders>
              <w:top w:val="nil"/>
              <w:left w:val="nil"/>
              <w:bottom w:val="nil"/>
              <w:right w:val="nil"/>
            </w:tcBorders>
            <w:shd w:val="clear" w:color="auto" w:fill="auto"/>
            <w:vAlign w:val="bottom"/>
          </w:tcPr>
          <w:p w14:paraId="64171E65"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422" w:type="pct"/>
            <w:gridSpan w:val="2"/>
            <w:tcBorders>
              <w:top w:val="nil"/>
              <w:left w:val="nil"/>
              <w:bottom w:val="nil"/>
              <w:right w:val="nil"/>
            </w:tcBorders>
            <w:shd w:val="clear" w:color="auto" w:fill="auto"/>
            <w:noWrap/>
            <w:vAlign w:val="bottom"/>
          </w:tcPr>
          <w:p w14:paraId="65F5EA2C"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537" w:type="pct"/>
            <w:tcBorders>
              <w:top w:val="nil"/>
              <w:left w:val="nil"/>
              <w:bottom w:val="nil"/>
              <w:right w:val="nil"/>
            </w:tcBorders>
            <w:shd w:val="clear" w:color="auto" w:fill="auto"/>
            <w:noWrap/>
            <w:vAlign w:val="bottom"/>
          </w:tcPr>
          <w:p w14:paraId="26257FE4"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r>
      <w:tr w:rsidR="00B623B1" w:rsidRPr="00B623B1" w14:paraId="754E6E13" w14:textId="77777777" w:rsidTr="00B623B1">
        <w:trPr>
          <w:gridAfter w:val="1"/>
          <w:wAfter w:w="41" w:type="pct"/>
          <w:trHeight w:val="144"/>
        </w:trPr>
        <w:tc>
          <w:tcPr>
            <w:tcW w:w="684" w:type="pct"/>
            <w:tcBorders>
              <w:top w:val="nil"/>
              <w:left w:val="nil"/>
              <w:bottom w:val="nil"/>
              <w:right w:val="nil"/>
            </w:tcBorders>
            <w:shd w:val="clear" w:color="auto" w:fill="auto"/>
            <w:noWrap/>
            <w:vAlign w:val="bottom"/>
            <w:hideMark/>
          </w:tcPr>
          <w:p w14:paraId="5374DCF0" w14:textId="77777777" w:rsidR="006F4FAD" w:rsidRPr="00F15FF6" w:rsidRDefault="006F4FAD" w:rsidP="00A1062B">
            <w:pPr>
              <w:spacing w:after="0" w:line="240" w:lineRule="auto"/>
              <w:jc w:val="both"/>
              <w:rPr>
                <w:rFonts w:ascii="Times New Roman" w:eastAsia="Times New Roman" w:hAnsi="Times New Roman" w:cs="Times New Roman"/>
                <w:i/>
                <w:sz w:val="18"/>
                <w:szCs w:val="18"/>
              </w:rPr>
            </w:pPr>
          </w:p>
        </w:tc>
        <w:tc>
          <w:tcPr>
            <w:tcW w:w="647" w:type="pct"/>
            <w:gridSpan w:val="4"/>
            <w:tcBorders>
              <w:top w:val="nil"/>
              <w:left w:val="nil"/>
              <w:bottom w:val="nil"/>
              <w:right w:val="nil"/>
            </w:tcBorders>
            <w:shd w:val="clear" w:color="auto" w:fill="auto"/>
            <w:noWrap/>
            <w:vAlign w:val="bottom"/>
            <w:hideMark/>
          </w:tcPr>
          <w:p w14:paraId="454CC75E"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(-0.702)</w:t>
            </w:r>
          </w:p>
        </w:tc>
        <w:tc>
          <w:tcPr>
            <w:tcW w:w="179" w:type="pct"/>
            <w:tcBorders>
              <w:top w:val="nil"/>
              <w:left w:val="nil"/>
              <w:bottom w:val="nil"/>
              <w:right w:val="nil"/>
            </w:tcBorders>
            <w:shd w:val="clear" w:color="auto" w:fill="auto"/>
            <w:noWrap/>
            <w:vAlign w:val="bottom"/>
            <w:hideMark/>
          </w:tcPr>
          <w:p w14:paraId="2D89355F"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561" w:type="pct"/>
            <w:tcBorders>
              <w:top w:val="nil"/>
              <w:left w:val="nil"/>
              <w:bottom w:val="nil"/>
              <w:right w:val="nil"/>
            </w:tcBorders>
            <w:shd w:val="clear" w:color="auto" w:fill="auto"/>
            <w:noWrap/>
            <w:vAlign w:val="bottom"/>
            <w:hideMark/>
          </w:tcPr>
          <w:p w14:paraId="03D13749" w14:textId="77777777" w:rsidR="006F4FAD" w:rsidRPr="00F15FF6" w:rsidRDefault="006F4FAD" w:rsidP="00A1062B">
            <w:pPr>
              <w:spacing w:after="0" w:line="240" w:lineRule="auto"/>
              <w:jc w:val="both"/>
              <w:rPr>
                <w:rFonts w:ascii="Times New Roman" w:eastAsia="Times New Roman" w:hAnsi="Times New Roman" w:cs="Times New Roman"/>
                <w:i/>
                <w:color w:val="000000"/>
                <w:sz w:val="18"/>
                <w:szCs w:val="18"/>
              </w:rPr>
            </w:pPr>
            <w:r w:rsidRPr="00F15FF6">
              <w:rPr>
                <w:rFonts w:ascii="Times New Roman" w:eastAsia="Times New Roman" w:hAnsi="Times New Roman" w:cs="Times New Roman"/>
                <w:i/>
                <w:color w:val="000000"/>
                <w:sz w:val="18"/>
                <w:szCs w:val="18"/>
              </w:rPr>
              <w:t>IDIORISK</w:t>
            </w:r>
          </w:p>
        </w:tc>
        <w:tc>
          <w:tcPr>
            <w:tcW w:w="910" w:type="pct"/>
            <w:gridSpan w:val="2"/>
            <w:tcBorders>
              <w:top w:val="nil"/>
              <w:left w:val="nil"/>
              <w:bottom w:val="nil"/>
              <w:right w:val="nil"/>
            </w:tcBorders>
            <w:shd w:val="clear" w:color="auto" w:fill="auto"/>
            <w:noWrap/>
            <w:vAlign w:val="bottom"/>
          </w:tcPr>
          <w:p w14:paraId="0C42A0B9"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-0.017</w:t>
            </w:r>
          </w:p>
        </w:tc>
        <w:tc>
          <w:tcPr>
            <w:tcW w:w="706" w:type="pct"/>
            <w:gridSpan w:val="3"/>
            <w:tcBorders>
              <w:top w:val="nil"/>
              <w:left w:val="nil"/>
              <w:bottom w:val="nil"/>
              <w:right w:val="nil"/>
            </w:tcBorders>
            <w:shd w:val="clear" w:color="auto" w:fill="auto"/>
            <w:noWrap/>
            <w:vAlign w:val="bottom"/>
          </w:tcPr>
          <w:p w14:paraId="731C8B55"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-0.189</w:t>
            </w:r>
          </w:p>
        </w:tc>
        <w:tc>
          <w:tcPr>
            <w:tcW w:w="313" w:type="pct"/>
            <w:tcBorders>
              <w:top w:val="nil"/>
              <w:left w:val="nil"/>
              <w:bottom w:val="nil"/>
              <w:right w:val="nil"/>
            </w:tcBorders>
            <w:shd w:val="clear" w:color="auto" w:fill="auto"/>
            <w:noWrap/>
            <w:vAlign w:val="bottom"/>
          </w:tcPr>
          <w:p w14:paraId="291A2993"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0.515</w:t>
            </w:r>
          </w:p>
        </w:tc>
        <w:tc>
          <w:tcPr>
            <w:tcW w:w="422" w:type="pct"/>
            <w:gridSpan w:val="2"/>
            <w:tcBorders>
              <w:top w:val="nil"/>
              <w:left w:val="nil"/>
              <w:bottom w:val="nil"/>
              <w:right w:val="nil"/>
            </w:tcBorders>
            <w:shd w:val="clear" w:color="auto" w:fill="auto"/>
            <w:noWrap/>
            <w:vAlign w:val="bottom"/>
          </w:tcPr>
          <w:p w14:paraId="6BB9C33E"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eastAsia="Times New Roman" w:hAnsi="Times New Roman" w:cs="Times New Roman"/>
                <w:color w:val="000000"/>
                <w:sz w:val="18"/>
                <w:szCs w:val="18"/>
              </w:rPr>
              <w:t>66,098</w:t>
            </w:r>
          </w:p>
        </w:tc>
        <w:tc>
          <w:tcPr>
            <w:tcW w:w="537" w:type="pct"/>
            <w:tcBorders>
              <w:top w:val="nil"/>
              <w:left w:val="nil"/>
              <w:bottom w:val="nil"/>
              <w:right w:val="nil"/>
            </w:tcBorders>
            <w:shd w:val="clear" w:color="auto" w:fill="auto"/>
            <w:noWrap/>
            <w:vAlign w:val="bottom"/>
          </w:tcPr>
          <w:p w14:paraId="50840F5E"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Yes</w:t>
            </w:r>
          </w:p>
        </w:tc>
      </w:tr>
      <w:tr w:rsidR="00B623B1" w:rsidRPr="00B623B1" w14:paraId="60AD9C63" w14:textId="77777777" w:rsidTr="00B623B1">
        <w:trPr>
          <w:gridAfter w:val="1"/>
          <w:wAfter w:w="41" w:type="pct"/>
          <w:trHeight w:val="144"/>
        </w:trPr>
        <w:tc>
          <w:tcPr>
            <w:tcW w:w="684" w:type="pct"/>
            <w:tcBorders>
              <w:top w:val="nil"/>
              <w:left w:val="nil"/>
              <w:bottom w:val="nil"/>
              <w:right w:val="nil"/>
            </w:tcBorders>
            <w:shd w:val="clear" w:color="auto" w:fill="auto"/>
            <w:noWrap/>
            <w:vAlign w:val="bottom"/>
            <w:hideMark/>
          </w:tcPr>
          <w:p w14:paraId="5CE1C271" w14:textId="77777777" w:rsidR="006F4FAD" w:rsidRPr="00F15FF6" w:rsidRDefault="006F4FAD" w:rsidP="00A1062B">
            <w:pPr>
              <w:spacing w:after="0" w:line="240" w:lineRule="auto"/>
              <w:jc w:val="both"/>
              <w:rPr>
                <w:rFonts w:ascii="Times New Roman" w:eastAsia="Times New Roman" w:hAnsi="Times New Roman" w:cs="Times New Roman"/>
                <w:i/>
                <w:color w:val="000000"/>
                <w:sz w:val="18"/>
                <w:szCs w:val="18"/>
              </w:rPr>
            </w:pPr>
            <w:r w:rsidRPr="00F15FF6">
              <w:rPr>
                <w:rFonts w:ascii="Times New Roman" w:eastAsia="Times New Roman" w:hAnsi="Times New Roman" w:cs="Times New Roman"/>
                <w:i/>
                <w:color w:val="000000"/>
                <w:sz w:val="18"/>
                <w:szCs w:val="18"/>
              </w:rPr>
              <w:t>MKTCON</w:t>
            </w:r>
          </w:p>
        </w:tc>
        <w:tc>
          <w:tcPr>
            <w:tcW w:w="647" w:type="pct"/>
            <w:gridSpan w:val="4"/>
            <w:tcBorders>
              <w:top w:val="nil"/>
              <w:left w:val="nil"/>
              <w:bottom w:val="nil"/>
              <w:right w:val="nil"/>
            </w:tcBorders>
            <w:shd w:val="clear" w:color="auto" w:fill="auto"/>
            <w:noWrap/>
            <w:vAlign w:val="bottom"/>
            <w:hideMark/>
          </w:tcPr>
          <w:p w14:paraId="5BED467C"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0.010</w:t>
            </w:r>
          </w:p>
        </w:tc>
        <w:tc>
          <w:tcPr>
            <w:tcW w:w="179" w:type="pct"/>
            <w:tcBorders>
              <w:top w:val="nil"/>
              <w:left w:val="nil"/>
              <w:bottom w:val="nil"/>
              <w:right w:val="nil"/>
            </w:tcBorders>
            <w:shd w:val="clear" w:color="auto" w:fill="auto"/>
            <w:noWrap/>
            <w:vAlign w:val="bottom"/>
            <w:hideMark/>
          </w:tcPr>
          <w:p w14:paraId="38B5F04B"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561" w:type="pct"/>
            <w:tcBorders>
              <w:top w:val="nil"/>
              <w:left w:val="nil"/>
              <w:bottom w:val="nil"/>
              <w:right w:val="nil"/>
            </w:tcBorders>
            <w:shd w:val="clear" w:color="auto" w:fill="auto"/>
            <w:noWrap/>
            <w:vAlign w:val="bottom"/>
            <w:hideMark/>
          </w:tcPr>
          <w:p w14:paraId="36D040A4" w14:textId="77777777" w:rsidR="006F4FAD" w:rsidRPr="00F15FF6" w:rsidRDefault="006F4FAD" w:rsidP="00A1062B">
            <w:pPr>
              <w:spacing w:after="0" w:line="240" w:lineRule="auto"/>
              <w:jc w:val="both"/>
              <w:rPr>
                <w:rFonts w:ascii="Times New Roman" w:eastAsia="Times New Roman" w:hAnsi="Times New Roman" w:cs="Times New Roman"/>
                <w:i/>
                <w:sz w:val="18"/>
                <w:szCs w:val="18"/>
              </w:rPr>
            </w:pPr>
          </w:p>
        </w:tc>
        <w:tc>
          <w:tcPr>
            <w:tcW w:w="910" w:type="pct"/>
            <w:gridSpan w:val="2"/>
            <w:tcBorders>
              <w:top w:val="nil"/>
              <w:left w:val="nil"/>
              <w:bottom w:val="nil"/>
              <w:right w:val="nil"/>
            </w:tcBorders>
            <w:shd w:val="clear" w:color="auto" w:fill="auto"/>
            <w:noWrap/>
            <w:vAlign w:val="bottom"/>
          </w:tcPr>
          <w:p w14:paraId="6E4CB3C9"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(-4.842***)</w:t>
            </w:r>
          </w:p>
        </w:tc>
        <w:tc>
          <w:tcPr>
            <w:tcW w:w="706" w:type="pct"/>
            <w:gridSpan w:val="3"/>
            <w:tcBorders>
              <w:top w:val="nil"/>
              <w:left w:val="nil"/>
              <w:bottom w:val="nil"/>
              <w:right w:val="nil"/>
            </w:tcBorders>
            <w:shd w:val="clear" w:color="auto" w:fill="auto"/>
            <w:noWrap/>
            <w:vAlign w:val="bottom"/>
          </w:tcPr>
          <w:p w14:paraId="0F9A088E"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(-28.038***)</w:t>
            </w:r>
          </w:p>
        </w:tc>
        <w:tc>
          <w:tcPr>
            <w:tcW w:w="313" w:type="pct"/>
            <w:tcBorders>
              <w:top w:val="nil"/>
              <w:left w:val="nil"/>
              <w:bottom w:val="nil"/>
              <w:right w:val="nil"/>
            </w:tcBorders>
            <w:shd w:val="clear" w:color="auto" w:fill="auto"/>
            <w:vAlign w:val="bottom"/>
          </w:tcPr>
          <w:p w14:paraId="2346DDAB"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422" w:type="pct"/>
            <w:gridSpan w:val="2"/>
            <w:tcBorders>
              <w:top w:val="nil"/>
              <w:left w:val="nil"/>
              <w:bottom w:val="nil"/>
              <w:right w:val="nil"/>
            </w:tcBorders>
            <w:shd w:val="clear" w:color="auto" w:fill="auto"/>
            <w:noWrap/>
            <w:vAlign w:val="bottom"/>
          </w:tcPr>
          <w:p w14:paraId="70B2B7CB"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537" w:type="pct"/>
            <w:tcBorders>
              <w:top w:val="nil"/>
              <w:left w:val="nil"/>
              <w:bottom w:val="nil"/>
              <w:right w:val="nil"/>
            </w:tcBorders>
            <w:shd w:val="clear" w:color="auto" w:fill="auto"/>
            <w:noWrap/>
            <w:vAlign w:val="bottom"/>
          </w:tcPr>
          <w:p w14:paraId="1341DC50"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r>
      <w:tr w:rsidR="00B623B1" w:rsidRPr="00B623B1" w14:paraId="6408786C" w14:textId="77777777" w:rsidTr="00B623B1">
        <w:trPr>
          <w:gridAfter w:val="1"/>
          <w:wAfter w:w="41" w:type="pct"/>
          <w:trHeight w:val="144"/>
        </w:trPr>
        <w:tc>
          <w:tcPr>
            <w:tcW w:w="684" w:type="pct"/>
            <w:tcBorders>
              <w:top w:val="nil"/>
              <w:left w:val="nil"/>
              <w:bottom w:val="nil"/>
              <w:right w:val="nil"/>
            </w:tcBorders>
            <w:shd w:val="clear" w:color="auto" w:fill="auto"/>
            <w:noWrap/>
            <w:vAlign w:val="bottom"/>
            <w:hideMark/>
          </w:tcPr>
          <w:p w14:paraId="7F556C0F"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647" w:type="pct"/>
            <w:gridSpan w:val="4"/>
            <w:tcBorders>
              <w:top w:val="nil"/>
              <w:left w:val="nil"/>
              <w:bottom w:val="nil"/>
              <w:right w:val="nil"/>
            </w:tcBorders>
            <w:shd w:val="clear" w:color="auto" w:fill="auto"/>
            <w:noWrap/>
            <w:vAlign w:val="bottom"/>
            <w:hideMark/>
          </w:tcPr>
          <w:p w14:paraId="0B1F8373"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(0.637)</w:t>
            </w:r>
          </w:p>
        </w:tc>
        <w:tc>
          <w:tcPr>
            <w:tcW w:w="179" w:type="pct"/>
            <w:tcBorders>
              <w:top w:val="nil"/>
              <w:left w:val="nil"/>
              <w:bottom w:val="nil"/>
              <w:right w:val="nil"/>
            </w:tcBorders>
            <w:shd w:val="clear" w:color="auto" w:fill="auto"/>
            <w:noWrap/>
            <w:vAlign w:val="bottom"/>
            <w:hideMark/>
          </w:tcPr>
          <w:p w14:paraId="530279F7"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561" w:type="pct"/>
            <w:tcBorders>
              <w:top w:val="nil"/>
              <w:left w:val="nil"/>
              <w:bottom w:val="nil"/>
              <w:right w:val="nil"/>
            </w:tcBorders>
            <w:shd w:val="clear" w:color="auto" w:fill="auto"/>
            <w:noWrap/>
            <w:vAlign w:val="bottom"/>
            <w:hideMark/>
          </w:tcPr>
          <w:p w14:paraId="210DD27F" w14:textId="77777777" w:rsidR="006F4FAD" w:rsidRPr="00F15FF6" w:rsidRDefault="006F4FAD" w:rsidP="00A1062B">
            <w:pPr>
              <w:spacing w:after="0" w:line="240" w:lineRule="auto"/>
              <w:jc w:val="both"/>
              <w:rPr>
                <w:rFonts w:ascii="Times New Roman" w:eastAsia="Times New Roman" w:hAnsi="Times New Roman" w:cs="Times New Roman"/>
                <w:i/>
                <w:color w:val="000000"/>
                <w:sz w:val="18"/>
                <w:szCs w:val="18"/>
              </w:rPr>
            </w:pPr>
            <w:r w:rsidRPr="00F15FF6">
              <w:rPr>
                <w:rFonts w:ascii="Times New Roman" w:eastAsia="Times New Roman" w:hAnsi="Times New Roman" w:cs="Times New Roman"/>
                <w:i/>
                <w:color w:val="000000"/>
                <w:sz w:val="18"/>
                <w:szCs w:val="18"/>
              </w:rPr>
              <w:t>NCSKEW</w:t>
            </w:r>
          </w:p>
        </w:tc>
        <w:tc>
          <w:tcPr>
            <w:tcW w:w="910" w:type="pct"/>
            <w:gridSpan w:val="2"/>
            <w:tcBorders>
              <w:top w:val="nil"/>
              <w:left w:val="nil"/>
              <w:bottom w:val="nil"/>
              <w:right w:val="nil"/>
            </w:tcBorders>
            <w:shd w:val="clear" w:color="auto" w:fill="auto"/>
            <w:noWrap/>
            <w:vAlign w:val="bottom"/>
          </w:tcPr>
          <w:p w14:paraId="2A511CD8"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-0.021</w:t>
            </w:r>
          </w:p>
        </w:tc>
        <w:tc>
          <w:tcPr>
            <w:tcW w:w="706" w:type="pct"/>
            <w:gridSpan w:val="3"/>
            <w:tcBorders>
              <w:top w:val="nil"/>
              <w:left w:val="nil"/>
              <w:bottom w:val="nil"/>
              <w:right w:val="nil"/>
            </w:tcBorders>
            <w:shd w:val="clear" w:color="auto" w:fill="auto"/>
            <w:noWrap/>
            <w:vAlign w:val="bottom"/>
          </w:tcPr>
          <w:p w14:paraId="04CC419F"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-0.077</w:t>
            </w:r>
          </w:p>
        </w:tc>
        <w:tc>
          <w:tcPr>
            <w:tcW w:w="313" w:type="pct"/>
            <w:tcBorders>
              <w:top w:val="nil"/>
              <w:left w:val="nil"/>
              <w:bottom w:val="nil"/>
              <w:right w:val="nil"/>
            </w:tcBorders>
            <w:shd w:val="clear" w:color="auto" w:fill="auto"/>
            <w:noWrap/>
            <w:vAlign w:val="bottom"/>
          </w:tcPr>
          <w:p w14:paraId="2AFE1840"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0.0433</w:t>
            </w:r>
          </w:p>
        </w:tc>
        <w:tc>
          <w:tcPr>
            <w:tcW w:w="422" w:type="pct"/>
            <w:gridSpan w:val="2"/>
            <w:tcBorders>
              <w:top w:val="nil"/>
              <w:left w:val="nil"/>
              <w:bottom w:val="nil"/>
              <w:right w:val="nil"/>
            </w:tcBorders>
            <w:shd w:val="clear" w:color="auto" w:fill="auto"/>
            <w:noWrap/>
            <w:vAlign w:val="bottom"/>
          </w:tcPr>
          <w:p w14:paraId="70F51E85"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62,922</w:t>
            </w:r>
          </w:p>
        </w:tc>
        <w:tc>
          <w:tcPr>
            <w:tcW w:w="537" w:type="pct"/>
            <w:tcBorders>
              <w:top w:val="nil"/>
              <w:left w:val="nil"/>
              <w:bottom w:val="nil"/>
              <w:right w:val="nil"/>
            </w:tcBorders>
            <w:shd w:val="clear" w:color="auto" w:fill="auto"/>
            <w:noWrap/>
            <w:vAlign w:val="bottom"/>
          </w:tcPr>
          <w:p w14:paraId="06A0DB44"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Yes</w:t>
            </w:r>
          </w:p>
        </w:tc>
      </w:tr>
      <w:tr w:rsidR="006F4FAD" w:rsidRPr="00B623B1" w14:paraId="5A7F152D" w14:textId="77777777" w:rsidTr="00F15FF6">
        <w:trPr>
          <w:gridAfter w:val="1"/>
          <w:wAfter w:w="41" w:type="pct"/>
          <w:trHeight w:val="144"/>
        </w:trPr>
        <w:tc>
          <w:tcPr>
            <w:tcW w:w="684" w:type="pct"/>
            <w:tcBorders>
              <w:top w:val="nil"/>
              <w:left w:val="nil"/>
              <w:bottom w:val="nil"/>
              <w:right w:val="nil"/>
            </w:tcBorders>
            <w:shd w:val="clear" w:color="auto" w:fill="auto"/>
            <w:noWrap/>
            <w:vAlign w:val="bottom"/>
          </w:tcPr>
          <w:p w14:paraId="3400B455" w14:textId="77777777" w:rsidR="006F4FAD" w:rsidRPr="00F15FF6" w:rsidRDefault="006F4FAD" w:rsidP="00A1062B">
            <w:pPr>
              <w:spacing w:after="0" w:line="240" w:lineRule="auto"/>
              <w:jc w:val="both"/>
              <w:rPr>
                <w:rFonts w:ascii="Times New Roman" w:eastAsia="Times New Roman" w:hAnsi="Times New Roman" w:cs="Times New Roman"/>
                <w:i/>
                <w:color w:val="000000"/>
                <w:sz w:val="18"/>
                <w:szCs w:val="18"/>
              </w:rPr>
            </w:pPr>
            <w:r w:rsidRPr="00F15FF6">
              <w:rPr>
                <w:rFonts w:ascii="Times New Roman" w:eastAsia="Times New Roman" w:hAnsi="Times New Roman" w:cs="Times New Roman"/>
                <w:i/>
                <w:color w:val="000000"/>
                <w:sz w:val="18"/>
                <w:szCs w:val="18"/>
              </w:rPr>
              <w:t>SKILL</w:t>
            </w:r>
          </w:p>
        </w:tc>
        <w:tc>
          <w:tcPr>
            <w:tcW w:w="647" w:type="pct"/>
            <w:gridSpan w:val="4"/>
            <w:tcBorders>
              <w:top w:val="nil"/>
              <w:left w:val="nil"/>
              <w:bottom w:val="nil"/>
              <w:right w:val="nil"/>
            </w:tcBorders>
            <w:shd w:val="clear" w:color="auto" w:fill="auto"/>
            <w:noWrap/>
            <w:vAlign w:val="bottom"/>
          </w:tcPr>
          <w:p w14:paraId="1A12E657"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-0.021</w:t>
            </w:r>
          </w:p>
        </w:tc>
        <w:tc>
          <w:tcPr>
            <w:tcW w:w="179" w:type="pct"/>
            <w:tcBorders>
              <w:top w:val="nil"/>
              <w:left w:val="nil"/>
              <w:bottom w:val="nil"/>
              <w:right w:val="nil"/>
            </w:tcBorders>
            <w:shd w:val="clear" w:color="auto" w:fill="auto"/>
            <w:noWrap/>
            <w:vAlign w:val="bottom"/>
          </w:tcPr>
          <w:p w14:paraId="621B59B1"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561" w:type="pct"/>
            <w:tcBorders>
              <w:top w:val="nil"/>
              <w:left w:val="nil"/>
              <w:bottom w:val="nil"/>
              <w:right w:val="nil"/>
            </w:tcBorders>
            <w:shd w:val="clear" w:color="auto" w:fill="auto"/>
            <w:noWrap/>
            <w:vAlign w:val="bottom"/>
          </w:tcPr>
          <w:p w14:paraId="4E4CBD15"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910" w:type="pct"/>
            <w:gridSpan w:val="2"/>
            <w:tcBorders>
              <w:top w:val="nil"/>
              <w:left w:val="nil"/>
              <w:bottom w:val="nil"/>
              <w:right w:val="nil"/>
            </w:tcBorders>
            <w:shd w:val="clear" w:color="auto" w:fill="auto"/>
            <w:noWrap/>
            <w:vAlign w:val="bottom"/>
          </w:tcPr>
          <w:p w14:paraId="70FEAA0A"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(-3.782***)</w:t>
            </w:r>
          </w:p>
        </w:tc>
        <w:tc>
          <w:tcPr>
            <w:tcW w:w="1158" w:type="pct"/>
            <w:gridSpan w:val="5"/>
            <w:tcBorders>
              <w:top w:val="nil"/>
              <w:left w:val="nil"/>
              <w:bottom w:val="nil"/>
              <w:right w:val="nil"/>
            </w:tcBorders>
            <w:shd w:val="clear" w:color="auto" w:fill="auto"/>
            <w:noWrap/>
            <w:vAlign w:val="bottom"/>
          </w:tcPr>
          <w:p w14:paraId="74CE328C"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(-9.482***)</w:t>
            </w:r>
          </w:p>
        </w:tc>
        <w:tc>
          <w:tcPr>
            <w:tcW w:w="283" w:type="pct"/>
            <w:tcBorders>
              <w:top w:val="nil"/>
              <w:left w:val="nil"/>
              <w:bottom w:val="nil"/>
              <w:right w:val="nil"/>
            </w:tcBorders>
            <w:shd w:val="clear" w:color="auto" w:fill="auto"/>
            <w:noWrap/>
            <w:vAlign w:val="bottom"/>
          </w:tcPr>
          <w:p w14:paraId="25761AE0"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537" w:type="pct"/>
            <w:tcBorders>
              <w:top w:val="nil"/>
              <w:left w:val="nil"/>
              <w:bottom w:val="nil"/>
              <w:right w:val="nil"/>
            </w:tcBorders>
            <w:shd w:val="clear" w:color="auto" w:fill="auto"/>
            <w:noWrap/>
            <w:vAlign w:val="bottom"/>
          </w:tcPr>
          <w:p w14:paraId="3EF1BA26"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r>
      <w:tr w:rsidR="006F4FAD" w:rsidRPr="00B623B1" w14:paraId="429B8485" w14:textId="77777777" w:rsidTr="00F15FF6">
        <w:trPr>
          <w:gridAfter w:val="1"/>
          <w:wAfter w:w="41" w:type="pct"/>
          <w:trHeight w:val="144"/>
        </w:trPr>
        <w:tc>
          <w:tcPr>
            <w:tcW w:w="684" w:type="pct"/>
            <w:tcBorders>
              <w:top w:val="nil"/>
              <w:left w:val="nil"/>
              <w:bottom w:val="nil"/>
              <w:right w:val="nil"/>
            </w:tcBorders>
            <w:shd w:val="clear" w:color="auto" w:fill="auto"/>
            <w:noWrap/>
            <w:vAlign w:val="bottom"/>
          </w:tcPr>
          <w:p w14:paraId="585C433A"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647" w:type="pct"/>
            <w:gridSpan w:val="4"/>
            <w:tcBorders>
              <w:top w:val="nil"/>
              <w:left w:val="nil"/>
              <w:bottom w:val="nil"/>
              <w:right w:val="nil"/>
            </w:tcBorders>
            <w:shd w:val="clear" w:color="auto" w:fill="auto"/>
            <w:noWrap/>
            <w:vAlign w:val="bottom"/>
          </w:tcPr>
          <w:p w14:paraId="668BE6C7"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(-3.599***)</w:t>
            </w:r>
          </w:p>
        </w:tc>
        <w:tc>
          <w:tcPr>
            <w:tcW w:w="179" w:type="pct"/>
            <w:tcBorders>
              <w:top w:val="nil"/>
              <w:left w:val="nil"/>
              <w:bottom w:val="nil"/>
              <w:right w:val="nil"/>
            </w:tcBorders>
            <w:shd w:val="clear" w:color="auto" w:fill="auto"/>
            <w:noWrap/>
            <w:vAlign w:val="bottom"/>
          </w:tcPr>
          <w:p w14:paraId="202150EA"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561" w:type="pct"/>
            <w:tcBorders>
              <w:top w:val="nil"/>
              <w:left w:val="nil"/>
              <w:bottom w:val="nil"/>
              <w:right w:val="nil"/>
            </w:tcBorders>
            <w:shd w:val="clear" w:color="auto" w:fill="auto"/>
            <w:noWrap/>
            <w:vAlign w:val="bottom"/>
          </w:tcPr>
          <w:p w14:paraId="3929D4B6"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910" w:type="pct"/>
            <w:gridSpan w:val="2"/>
            <w:tcBorders>
              <w:top w:val="nil"/>
              <w:left w:val="nil"/>
              <w:bottom w:val="nil"/>
              <w:right w:val="nil"/>
            </w:tcBorders>
            <w:shd w:val="clear" w:color="auto" w:fill="auto"/>
            <w:noWrap/>
            <w:vAlign w:val="bottom"/>
          </w:tcPr>
          <w:p w14:paraId="14D20A55"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1158" w:type="pct"/>
            <w:gridSpan w:val="5"/>
            <w:tcBorders>
              <w:top w:val="nil"/>
              <w:left w:val="nil"/>
              <w:bottom w:val="nil"/>
              <w:right w:val="nil"/>
            </w:tcBorders>
            <w:shd w:val="clear" w:color="auto" w:fill="auto"/>
            <w:noWrap/>
            <w:vAlign w:val="bottom"/>
          </w:tcPr>
          <w:p w14:paraId="58E32BE7"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283" w:type="pct"/>
            <w:tcBorders>
              <w:top w:val="nil"/>
              <w:left w:val="nil"/>
              <w:bottom w:val="nil"/>
              <w:right w:val="nil"/>
            </w:tcBorders>
            <w:shd w:val="clear" w:color="auto" w:fill="auto"/>
            <w:noWrap/>
            <w:vAlign w:val="bottom"/>
          </w:tcPr>
          <w:p w14:paraId="1E1832A2"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537" w:type="pct"/>
            <w:tcBorders>
              <w:top w:val="nil"/>
              <w:left w:val="nil"/>
              <w:bottom w:val="nil"/>
              <w:right w:val="nil"/>
            </w:tcBorders>
            <w:shd w:val="clear" w:color="auto" w:fill="auto"/>
            <w:noWrap/>
            <w:vAlign w:val="bottom"/>
          </w:tcPr>
          <w:p w14:paraId="215B320B"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r>
      <w:tr w:rsidR="006F4FAD" w:rsidRPr="00B623B1" w14:paraId="497AB3A2" w14:textId="77777777" w:rsidTr="00F15FF6">
        <w:trPr>
          <w:gridAfter w:val="1"/>
          <w:wAfter w:w="41" w:type="pct"/>
          <w:trHeight w:val="144"/>
        </w:trPr>
        <w:tc>
          <w:tcPr>
            <w:tcW w:w="684" w:type="pct"/>
            <w:tcBorders>
              <w:top w:val="nil"/>
              <w:left w:val="nil"/>
              <w:bottom w:val="nil"/>
              <w:right w:val="nil"/>
            </w:tcBorders>
            <w:shd w:val="clear" w:color="auto" w:fill="auto"/>
            <w:noWrap/>
            <w:vAlign w:val="bottom"/>
            <w:hideMark/>
          </w:tcPr>
          <w:p w14:paraId="6337C8D1"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eastAsia="Times New Roman" w:hAnsi="Times New Roman" w:cs="Times New Roman"/>
                <w:color w:val="000000"/>
                <w:sz w:val="18"/>
                <w:szCs w:val="18"/>
              </w:rPr>
              <w:t>Constant</w:t>
            </w:r>
          </w:p>
        </w:tc>
        <w:tc>
          <w:tcPr>
            <w:tcW w:w="647" w:type="pct"/>
            <w:gridSpan w:val="4"/>
            <w:tcBorders>
              <w:top w:val="nil"/>
              <w:left w:val="nil"/>
              <w:bottom w:val="nil"/>
              <w:right w:val="nil"/>
            </w:tcBorders>
            <w:shd w:val="clear" w:color="auto" w:fill="auto"/>
            <w:noWrap/>
            <w:vAlign w:val="bottom"/>
            <w:hideMark/>
          </w:tcPr>
          <w:p w14:paraId="6E1FE658"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0.008</w:t>
            </w:r>
          </w:p>
        </w:tc>
        <w:tc>
          <w:tcPr>
            <w:tcW w:w="179" w:type="pct"/>
            <w:tcBorders>
              <w:top w:val="nil"/>
              <w:left w:val="nil"/>
              <w:bottom w:val="nil"/>
              <w:right w:val="nil"/>
            </w:tcBorders>
            <w:shd w:val="clear" w:color="auto" w:fill="auto"/>
            <w:noWrap/>
            <w:vAlign w:val="bottom"/>
            <w:hideMark/>
          </w:tcPr>
          <w:p w14:paraId="58D4B7CD"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698" w:type="pct"/>
            <w:gridSpan w:val="2"/>
            <w:tcBorders>
              <w:top w:val="nil"/>
              <w:left w:val="nil"/>
              <w:bottom w:val="nil"/>
              <w:right w:val="nil"/>
            </w:tcBorders>
            <w:shd w:val="clear" w:color="auto" w:fill="auto"/>
            <w:noWrap/>
            <w:vAlign w:val="bottom"/>
            <w:hideMark/>
          </w:tcPr>
          <w:p w14:paraId="739C1ACC"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773" w:type="pct"/>
            <w:tcBorders>
              <w:top w:val="nil"/>
              <w:left w:val="nil"/>
              <w:bottom w:val="nil"/>
              <w:right w:val="nil"/>
            </w:tcBorders>
            <w:shd w:val="clear" w:color="auto" w:fill="auto"/>
            <w:noWrap/>
            <w:vAlign w:val="bottom"/>
          </w:tcPr>
          <w:p w14:paraId="46BCF075"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1158" w:type="pct"/>
            <w:gridSpan w:val="5"/>
            <w:tcBorders>
              <w:top w:val="nil"/>
              <w:left w:val="nil"/>
              <w:bottom w:val="nil"/>
              <w:right w:val="nil"/>
            </w:tcBorders>
            <w:shd w:val="clear" w:color="auto" w:fill="auto"/>
            <w:noWrap/>
            <w:vAlign w:val="bottom"/>
          </w:tcPr>
          <w:p w14:paraId="59618528"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283" w:type="pct"/>
            <w:tcBorders>
              <w:top w:val="nil"/>
              <w:left w:val="nil"/>
              <w:bottom w:val="nil"/>
              <w:right w:val="nil"/>
            </w:tcBorders>
            <w:shd w:val="clear" w:color="auto" w:fill="auto"/>
            <w:noWrap/>
            <w:vAlign w:val="bottom"/>
          </w:tcPr>
          <w:p w14:paraId="0D3E2268"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537" w:type="pct"/>
            <w:tcBorders>
              <w:top w:val="nil"/>
              <w:left w:val="nil"/>
              <w:bottom w:val="nil"/>
              <w:right w:val="nil"/>
            </w:tcBorders>
            <w:shd w:val="clear" w:color="auto" w:fill="auto"/>
            <w:noWrap/>
            <w:vAlign w:val="bottom"/>
          </w:tcPr>
          <w:p w14:paraId="23BA9F37"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r>
      <w:tr w:rsidR="006F4FAD" w:rsidRPr="00B623B1" w14:paraId="5EC3BD13" w14:textId="77777777" w:rsidTr="00F15FF6">
        <w:trPr>
          <w:gridAfter w:val="1"/>
          <w:wAfter w:w="41" w:type="pct"/>
          <w:trHeight w:val="144"/>
        </w:trPr>
        <w:tc>
          <w:tcPr>
            <w:tcW w:w="721" w:type="pct"/>
            <w:gridSpan w:val="2"/>
            <w:tcBorders>
              <w:top w:val="nil"/>
              <w:left w:val="nil"/>
              <w:bottom w:val="nil"/>
              <w:right w:val="nil"/>
            </w:tcBorders>
            <w:shd w:val="clear" w:color="auto" w:fill="auto"/>
            <w:noWrap/>
            <w:vAlign w:val="bottom"/>
            <w:hideMark/>
          </w:tcPr>
          <w:p w14:paraId="034A1F9A"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610" w:type="pct"/>
            <w:gridSpan w:val="3"/>
            <w:tcBorders>
              <w:top w:val="nil"/>
              <w:left w:val="nil"/>
              <w:bottom w:val="nil"/>
              <w:right w:val="nil"/>
            </w:tcBorders>
            <w:shd w:val="clear" w:color="auto" w:fill="auto"/>
            <w:noWrap/>
            <w:vAlign w:val="bottom"/>
            <w:hideMark/>
          </w:tcPr>
          <w:p w14:paraId="4DAB10F0"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hAnsi="Times New Roman" w:cs="Times New Roman"/>
                <w:color w:val="000000"/>
                <w:sz w:val="18"/>
                <w:szCs w:val="18"/>
              </w:rPr>
              <w:t>(6.527***)</w:t>
            </w:r>
          </w:p>
        </w:tc>
        <w:tc>
          <w:tcPr>
            <w:tcW w:w="179" w:type="pct"/>
            <w:tcBorders>
              <w:top w:val="nil"/>
              <w:left w:val="nil"/>
              <w:bottom w:val="nil"/>
              <w:right w:val="nil"/>
            </w:tcBorders>
            <w:shd w:val="clear" w:color="auto" w:fill="auto"/>
            <w:vAlign w:val="bottom"/>
          </w:tcPr>
          <w:p w14:paraId="36B5B7A8"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1471" w:type="pct"/>
            <w:gridSpan w:val="3"/>
            <w:tcBorders>
              <w:top w:val="nil"/>
              <w:left w:val="nil"/>
              <w:bottom w:val="nil"/>
              <w:right w:val="nil"/>
            </w:tcBorders>
            <w:shd w:val="clear" w:color="auto" w:fill="auto"/>
            <w:noWrap/>
            <w:vAlign w:val="bottom"/>
          </w:tcPr>
          <w:p w14:paraId="74538B29"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eastAsia="Times New Roman" w:hAnsi="Times New Roman" w:cs="Times New Roman"/>
                <w:color w:val="000000"/>
                <w:sz w:val="18"/>
                <w:szCs w:val="18"/>
              </w:rPr>
              <w:t>Hansen J-statistics = 0.271</w:t>
            </w:r>
          </w:p>
        </w:tc>
        <w:tc>
          <w:tcPr>
            <w:tcW w:w="564" w:type="pct"/>
            <w:gridSpan w:val="2"/>
            <w:tcBorders>
              <w:top w:val="nil"/>
              <w:left w:val="nil"/>
              <w:bottom w:val="nil"/>
              <w:right w:val="nil"/>
            </w:tcBorders>
            <w:shd w:val="clear" w:color="auto" w:fill="auto"/>
            <w:noWrap/>
            <w:vAlign w:val="bottom"/>
          </w:tcPr>
          <w:p w14:paraId="440E89A6"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594" w:type="pct"/>
            <w:gridSpan w:val="3"/>
            <w:tcBorders>
              <w:top w:val="nil"/>
              <w:left w:val="nil"/>
              <w:bottom w:val="nil"/>
              <w:right w:val="nil"/>
            </w:tcBorders>
            <w:shd w:val="clear" w:color="auto" w:fill="auto"/>
            <w:noWrap/>
            <w:vAlign w:val="bottom"/>
          </w:tcPr>
          <w:p w14:paraId="7CC3728D"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283" w:type="pct"/>
            <w:tcBorders>
              <w:top w:val="nil"/>
              <w:left w:val="nil"/>
              <w:bottom w:val="nil"/>
              <w:right w:val="nil"/>
            </w:tcBorders>
            <w:shd w:val="clear" w:color="auto" w:fill="auto"/>
            <w:noWrap/>
            <w:vAlign w:val="bottom"/>
          </w:tcPr>
          <w:p w14:paraId="710E95D6"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537" w:type="pct"/>
            <w:tcBorders>
              <w:top w:val="nil"/>
              <w:left w:val="nil"/>
              <w:bottom w:val="nil"/>
              <w:right w:val="nil"/>
            </w:tcBorders>
            <w:shd w:val="clear" w:color="auto" w:fill="auto"/>
            <w:noWrap/>
            <w:vAlign w:val="bottom"/>
          </w:tcPr>
          <w:p w14:paraId="57973471"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r>
      <w:tr w:rsidR="00B623B1" w:rsidRPr="00B623B1" w14:paraId="7081BD8A" w14:textId="77777777" w:rsidTr="00B623B1">
        <w:trPr>
          <w:gridAfter w:val="1"/>
          <w:wAfter w:w="41" w:type="pct"/>
          <w:trHeight w:val="144"/>
        </w:trPr>
        <w:tc>
          <w:tcPr>
            <w:tcW w:w="721" w:type="pct"/>
            <w:gridSpan w:val="2"/>
            <w:tcBorders>
              <w:top w:val="nil"/>
              <w:left w:val="nil"/>
              <w:bottom w:val="nil"/>
              <w:right w:val="nil"/>
            </w:tcBorders>
            <w:shd w:val="clear" w:color="auto" w:fill="auto"/>
            <w:noWrap/>
            <w:vAlign w:val="bottom"/>
            <w:hideMark/>
          </w:tcPr>
          <w:p w14:paraId="2EB4B9AE"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eastAsia="Times New Roman" w:hAnsi="Times New Roman" w:cs="Times New Roman"/>
                <w:color w:val="000000"/>
                <w:sz w:val="18"/>
                <w:szCs w:val="18"/>
              </w:rPr>
              <w:t>Adj. R-squared</w:t>
            </w:r>
          </w:p>
        </w:tc>
        <w:tc>
          <w:tcPr>
            <w:tcW w:w="610" w:type="pct"/>
            <w:gridSpan w:val="3"/>
            <w:tcBorders>
              <w:top w:val="nil"/>
              <w:left w:val="nil"/>
              <w:bottom w:val="nil"/>
              <w:right w:val="nil"/>
            </w:tcBorders>
            <w:shd w:val="clear" w:color="auto" w:fill="auto"/>
            <w:noWrap/>
            <w:vAlign w:val="bottom"/>
            <w:hideMark/>
          </w:tcPr>
          <w:p w14:paraId="664418D5"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eastAsia="Times New Roman" w:hAnsi="Times New Roman" w:cs="Times New Roman"/>
                <w:color w:val="000000"/>
                <w:sz w:val="18"/>
                <w:szCs w:val="18"/>
              </w:rPr>
              <w:t>0.0633</w:t>
            </w:r>
          </w:p>
        </w:tc>
        <w:tc>
          <w:tcPr>
            <w:tcW w:w="179" w:type="pct"/>
            <w:tcBorders>
              <w:top w:val="nil"/>
              <w:left w:val="nil"/>
              <w:bottom w:val="nil"/>
              <w:right w:val="nil"/>
            </w:tcBorders>
            <w:shd w:val="clear" w:color="auto" w:fill="auto"/>
            <w:noWrap/>
            <w:vAlign w:val="bottom"/>
            <w:hideMark/>
          </w:tcPr>
          <w:p w14:paraId="5D798E4D"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698" w:type="pct"/>
            <w:gridSpan w:val="2"/>
            <w:tcBorders>
              <w:top w:val="nil"/>
              <w:left w:val="nil"/>
              <w:bottom w:val="nil"/>
              <w:right w:val="nil"/>
            </w:tcBorders>
            <w:shd w:val="clear" w:color="auto" w:fill="auto"/>
            <w:noWrap/>
            <w:vAlign w:val="bottom"/>
            <w:hideMark/>
          </w:tcPr>
          <w:p w14:paraId="1B550188"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773" w:type="pct"/>
            <w:tcBorders>
              <w:top w:val="nil"/>
              <w:left w:val="nil"/>
              <w:bottom w:val="nil"/>
              <w:right w:val="nil"/>
            </w:tcBorders>
            <w:shd w:val="clear" w:color="auto" w:fill="auto"/>
            <w:noWrap/>
            <w:vAlign w:val="bottom"/>
            <w:hideMark/>
          </w:tcPr>
          <w:p w14:paraId="272884EA"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564" w:type="pct"/>
            <w:gridSpan w:val="2"/>
            <w:tcBorders>
              <w:top w:val="nil"/>
              <w:left w:val="nil"/>
              <w:bottom w:val="nil"/>
              <w:right w:val="nil"/>
            </w:tcBorders>
            <w:shd w:val="clear" w:color="auto" w:fill="auto"/>
            <w:noWrap/>
            <w:vAlign w:val="bottom"/>
            <w:hideMark/>
          </w:tcPr>
          <w:p w14:paraId="587FDBEC"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594" w:type="pct"/>
            <w:gridSpan w:val="3"/>
            <w:tcBorders>
              <w:top w:val="nil"/>
              <w:left w:val="nil"/>
              <w:bottom w:val="nil"/>
              <w:right w:val="nil"/>
            </w:tcBorders>
            <w:shd w:val="clear" w:color="auto" w:fill="auto"/>
            <w:noWrap/>
            <w:vAlign w:val="bottom"/>
            <w:hideMark/>
          </w:tcPr>
          <w:p w14:paraId="3C24E18C"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283" w:type="pct"/>
            <w:tcBorders>
              <w:top w:val="nil"/>
              <w:left w:val="nil"/>
              <w:bottom w:val="nil"/>
              <w:right w:val="nil"/>
            </w:tcBorders>
            <w:shd w:val="clear" w:color="auto" w:fill="auto"/>
            <w:noWrap/>
            <w:vAlign w:val="bottom"/>
            <w:hideMark/>
          </w:tcPr>
          <w:p w14:paraId="6DED9884"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537" w:type="pct"/>
            <w:tcBorders>
              <w:top w:val="nil"/>
              <w:left w:val="nil"/>
              <w:bottom w:val="nil"/>
              <w:right w:val="nil"/>
            </w:tcBorders>
            <w:shd w:val="clear" w:color="auto" w:fill="auto"/>
            <w:noWrap/>
            <w:vAlign w:val="bottom"/>
            <w:hideMark/>
          </w:tcPr>
          <w:p w14:paraId="4F00E5EE"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r>
      <w:tr w:rsidR="00B623B1" w:rsidRPr="00B623B1" w14:paraId="4B15F79B" w14:textId="77777777" w:rsidTr="00B623B1">
        <w:trPr>
          <w:gridAfter w:val="1"/>
          <w:wAfter w:w="41" w:type="pct"/>
          <w:trHeight w:val="144"/>
        </w:trPr>
        <w:tc>
          <w:tcPr>
            <w:tcW w:w="721" w:type="pct"/>
            <w:gridSpan w:val="2"/>
            <w:tcBorders>
              <w:top w:val="nil"/>
              <w:left w:val="nil"/>
              <w:bottom w:val="nil"/>
              <w:right w:val="nil"/>
            </w:tcBorders>
            <w:shd w:val="clear" w:color="auto" w:fill="auto"/>
            <w:noWrap/>
            <w:vAlign w:val="bottom"/>
            <w:hideMark/>
          </w:tcPr>
          <w:p w14:paraId="72B6BF99"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eastAsia="Times New Roman" w:hAnsi="Times New Roman" w:cs="Times New Roman"/>
                <w:color w:val="000000"/>
                <w:sz w:val="18"/>
                <w:szCs w:val="18"/>
              </w:rPr>
              <w:t>Number of firms</w:t>
            </w:r>
          </w:p>
        </w:tc>
        <w:tc>
          <w:tcPr>
            <w:tcW w:w="610" w:type="pct"/>
            <w:gridSpan w:val="3"/>
            <w:tcBorders>
              <w:top w:val="nil"/>
              <w:left w:val="nil"/>
              <w:bottom w:val="nil"/>
              <w:right w:val="nil"/>
            </w:tcBorders>
            <w:shd w:val="clear" w:color="auto" w:fill="auto"/>
            <w:noWrap/>
            <w:vAlign w:val="bottom"/>
            <w:hideMark/>
          </w:tcPr>
          <w:p w14:paraId="67E14A6A"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eastAsia="Times New Roman" w:hAnsi="Times New Roman" w:cs="Times New Roman"/>
                <w:color w:val="000000"/>
                <w:sz w:val="18"/>
                <w:szCs w:val="18"/>
              </w:rPr>
              <w:t>8,058</w:t>
            </w:r>
          </w:p>
        </w:tc>
        <w:tc>
          <w:tcPr>
            <w:tcW w:w="179" w:type="pct"/>
            <w:tcBorders>
              <w:top w:val="nil"/>
              <w:left w:val="nil"/>
              <w:bottom w:val="nil"/>
              <w:right w:val="nil"/>
            </w:tcBorders>
            <w:shd w:val="clear" w:color="auto" w:fill="auto"/>
            <w:noWrap/>
            <w:vAlign w:val="bottom"/>
            <w:hideMark/>
          </w:tcPr>
          <w:p w14:paraId="48F0ABD5"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698" w:type="pct"/>
            <w:gridSpan w:val="2"/>
            <w:tcBorders>
              <w:top w:val="nil"/>
              <w:left w:val="nil"/>
              <w:bottom w:val="nil"/>
              <w:right w:val="nil"/>
            </w:tcBorders>
            <w:shd w:val="clear" w:color="auto" w:fill="auto"/>
            <w:noWrap/>
            <w:vAlign w:val="bottom"/>
            <w:hideMark/>
          </w:tcPr>
          <w:p w14:paraId="53FCF6B9"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773" w:type="pct"/>
            <w:tcBorders>
              <w:top w:val="nil"/>
              <w:left w:val="nil"/>
              <w:bottom w:val="nil"/>
              <w:right w:val="nil"/>
            </w:tcBorders>
            <w:shd w:val="clear" w:color="auto" w:fill="auto"/>
            <w:noWrap/>
            <w:vAlign w:val="bottom"/>
            <w:hideMark/>
          </w:tcPr>
          <w:p w14:paraId="2A920A13"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564" w:type="pct"/>
            <w:gridSpan w:val="2"/>
            <w:tcBorders>
              <w:top w:val="nil"/>
              <w:left w:val="nil"/>
              <w:bottom w:val="nil"/>
              <w:right w:val="nil"/>
            </w:tcBorders>
            <w:shd w:val="clear" w:color="auto" w:fill="auto"/>
            <w:noWrap/>
            <w:vAlign w:val="bottom"/>
            <w:hideMark/>
          </w:tcPr>
          <w:p w14:paraId="3F993FD6"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594" w:type="pct"/>
            <w:gridSpan w:val="3"/>
            <w:tcBorders>
              <w:top w:val="nil"/>
              <w:left w:val="nil"/>
              <w:bottom w:val="nil"/>
              <w:right w:val="nil"/>
            </w:tcBorders>
            <w:shd w:val="clear" w:color="auto" w:fill="auto"/>
            <w:noWrap/>
            <w:vAlign w:val="bottom"/>
            <w:hideMark/>
          </w:tcPr>
          <w:p w14:paraId="7532D2C6"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283" w:type="pct"/>
            <w:tcBorders>
              <w:top w:val="nil"/>
              <w:left w:val="nil"/>
              <w:bottom w:val="nil"/>
              <w:right w:val="nil"/>
            </w:tcBorders>
            <w:shd w:val="clear" w:color="auto" w:fill="auto"/>
            <w:noWrap/>
            <w:vAlign w:val="bottom"/>
            <w:hideMark/>
          </w:tcPr>
          <w:p w14:paraId="39CCF48F"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537" w:type="pct"/>
            <w:tcBorders>
              <w:top w:val="nil"/>
              <w:left w:val="nil"/>
              <w:bottom w:val="nil"/>
              <w:right w:val="nil"/>
            </w:tcBorders>
            <w:shd w:val="clear" w:color="auto" w:fill="auto"/>
            <w:noWrap/>
            <w:vAlign w:val="bottom"/>
            <w:hideMark/>
          </w:tcPr>
          <w:p w14:paraId="06CEEAE5"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r>
      <w:tr w:rsidR="00B623B1" w:rsidRPr="00B623B1" w14:paraId="7B4D454F" w14:textId="77777777" w:rsidTr="00B623B1">
        <w:trPr>
          <w:gridAfter w:val="1"/>
          <w:wAfter w:w="41" w:type="pct"/>
          <w:trHeight w:val="144"/>
        </w:trPr>
        <w:tc>
          <w:tcPr>
            <w:tcW w:w="721" w:type="pct"/>
            <w:gridSpan w:val="2"/>
            <w:tcBorders>
              <w:top w:val="nil"/>
              <w:left w:val="nil"/>
              <w:bottom w:val="nil"/>
              <w:right w:val="nil"/>
            </w:tcBorders>
            <w:shd w:val="clear" w:color="auto" w:fill="auto"/>
            <w:noWrap/>
            <w:vAlign w:val="bottom"/>
            <w:hideMark/>
          </w:tcPr>
          <w:p w14:paraId="24C8D9CA"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eastAsia="Times New Roman" w:hAnsi="Times New Roman" w:cs="Times New Roman"/>
                <w:color w:val="000000"/>
                <w:sz w:val="18"/>
                <w:szCs w:val="18"/>
              </w:rPr>
              <w:t>Year fixed effect</w:t>
            </w:r>
          </w:p>
        </w:tc>
        <w:tc>
          <w:tcPr>
            <w:tcW w:w="610" w:type="pct"/>
            <w:gridSpan w:val="3"/>
            <w:tcBorders>
              <w:top w:val="nil"/>
              <w:left w:val="nil"/>
              <w:bottom w:val="nil"/>
              <w:right w:val="nil"/>
            </w:tcBorders>
            <w:shd w:val="clear" w:color="auto" w:fill="auto"/>
            <w:noWrap/>
            <w:vAlign w:val="bottom"/>
            <w:hideMark/>
          </w:tcPr>
          <w:p w14:paraId="4857E41D"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eastAsia="Times New Roman" w:hAnsi="Times New Roman" w:cs="Times New Roman"/>
                <w:color w:val="000000"/>
                <w:sz w:val="18"/>
                <w:szCs w:val="18"/>
              </w:rPr>
              <w:t>Yes</w:t>
            </w:r>
          </w:p>
        </w:tc>
        <w:tc>
          <w:tcPr>
            <w:tcW w:w="179" w:type="pct"/>
            <w:tcBorders>
              <w:top w:val="nil"/>
              <w:left w:val="nil"/>
              <w:bottom w:val="nil"/>
              <w:right w:val="nil"/>
            </w:tcBorders>
            <w:shd w:val="clear" w:color="auto" w:fill="auto"/>
            <w:noWrap/>
            <w:vAlign w:val="bottom"/>
            <w:hideMark/>
          </w:tcPr>
          <w:p w14:paraId="6ED6FC2E"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698" w:type="pct"/>
            <w:gridSpan w:val="2"/>
            <w:tcBorders>
              <w:top w:val="nil"/>
              <w:left w:val="nil"/>
              <w:bottom w:val="nil"/>
              <w:right w:val="nil"/>
            </w:tcBorders>
            <w:shd w:val="clear" w:color="auto" w:fill="auto"/>
            <w:noWrap/>
            <w:vAlign w:val="bottom"/>
            <w:hideMark/>
          </w:tcPr>
          <w:p w14:paraId="48957423"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773" w:type="pct"/>
            <w:tcBorders>
              <w:top w:val="nil"/>
              <w:left w:val="nil"/>
              <w:bottom w:val="nil"/>
              <w:right w:val="nil"/>
            </w:tcBorders>
            <w:shd w:val="clear" w:color="auto" w:fill="auto"/>
            <w:noWrap/>
            <w:vAlign w:val="bottom"/>
            <w:hideMark/>
          </w:tcPr>
          <w:p w14:paraId="28952D45"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564" w:type="pct"/>
            <w:gridSpan w:val="2"/>
            <w:tcBorders>
              <w:top w:val="nil"/>
              <w:left w:val="nil"/>
              <w:bottom w:val="nil"/>
              <w:right w:val="nil"/>
            </w:tcBorders>
            <w:shd w:val="clear" w:color="auto" w:fill="auto"/>
            <w:noWrap/>
            <w:vAlign w:val="bottom"/>
            <w:hideMark/>
          </w:tcPr>
          <w:p w14:paraId="7DF67FA3"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594" w:type="pct"/>
            <w:gridSpan w:val="3"/>
            <w:tcBorders>
              <w:top w:val="nil"/>
              <w:left w:val="nil"/>
              <w:bottom w:val="nil"/>
              <w:right w:val="nil"/>
            </w:tcBorders>
            <w:shd w:val="clear" w:color="auto" w:fill="auto"/>
            <w:noWrap/>
            <w:vAlign w:val="bottom"/>
            <w:hideMark/>
          </w:tcPr>
          <w:p w14:paraId="748B8CAB"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283" w:type="pct"/>
            <w:tcBorders>
              <w:top w:val="nil"/>
              <w:left w:val="nil"/>
              <w:bottom w:val="nil"/>
              <w:right w:val="nil"/>
            </w:tcBorders>
            <w:shd w:val="clear" w:color="auto" w:fill="auto"/>
            <w:noWrap/>
            <w:vAlign w:val="bottom"/>
            <w:hideMark/>
          </w:tcPr>
          <w:p w14:paraId="28A07116"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537" w:type="pct"/>
            <w:tcBorders>
              <w:top w:val="nil"/>
              <w:left w:val="nil"/>
              <w:bottom w:val="nil"/>
              <w:right w:val="nil"/>
            </w:tcBorders>
            <w:shd w:val="clear" w:color="auto" w:fill="auto"/>
            <w:noWrap/>
            <w:vAlign w:val="bottom"/>
            <w:hideMark/>
          </w:tcPr>
          <w:p w14:paraId="2E1F214D"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r>
      <w:tr w:rsidR="00B623B1" w:rsidRPr="00B623B1" w14:paraId="69AF3D00" w14:textId="77777777" w:rsidTr="00B623B1">
        <w:trPr>
          <w:gridAfter w:val="1"/>
          <w:wAfter w:w="41" w:type="pct"/>
          <w:trHeight w:val="144"/>
        </w:trPr>
        <w:tc>
          <w:tcPr>
            <w:tcW w:w="721" w:type="pct"/>
            <w:gridSpan w:val="2"/>
            <w:tcBorders>
              <w:top w:val="nil"/>
              <w:left w:val="nil"/>
              <w:right w:val="nil"/>
            </w:tcBorders>
            <w:shd w:val="clear" w:color="auto" w:fill="auto"/>
            <w:noWrap/>
            <w:vAlign w:val="bottom"/>
            <w:hideMark/>
          </w:tcPr>
          <w:p w14:paraId="5E68ECB2"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eastAsia="Times New Roman" w:hAnsi="Times New Roman" w:cs="Times New Roman"/>
                <w:color w:val="000000"/>
                <w:sz w:val="18"/>
                <w:szCs w:val="18"/>
              </w:rPr>
              <w:t>Firms fixed effect</w:t>
            </w:r>
          </w:p>
        </w:tc>
        <w:tc>
          <w:tcPr>
            <w:tcW w:w="610" w:type="pct"/>
            <w:gridSpan w:val="3"/>
            <w:tcBorders>
              <w:top w:val="nil"/>
              <w:left w:val="nil"/>
              <w:right w:val="nil"/>
            </w:tcBorders>
            <w:shd w:val="clear" w:color="auto" w:fill="auto"/>
            <w:noWrap/>
            <w:vAlign w:val="bottom"/>
            <w:hideMark/>
          </w:tcPr>
          <w:p w14:paraId="7A4D5262"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eastAsia="Times New Roman" w:hAnsi="Times New Roman" w:cs="Times New Roman"/>
                <w:color w:val="000000"/>
                <w:sz w:val="18"/>
                <w:szCs w:val="18"/>
              </w:rPr>
              <w:t>Yes</w:t>
            </w:r>
          </w:p>
        </w:tc>
        <w:tc>
          <w:tcPr>
            <w:tcW w:w="179" w:type="pct"/>
            <w:tcBorders>
              <w:top w:val="nil"/>
              <w:left w:val="nil"/>
              <w:right w:val="nil"/>
            </w:tcBorders>
            <w:shd w:val="clear" w:color="auto" w:fill="auto"/>
            <w:noWrap/>
            <w:vAlign w:val="bottom"/>
            <w:hideMark/>
          </w:tcPr>
          <w:p w14:paraId="035E851F"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698" w:type="pct"/>
            <w:gridSpan w:val="2"/>
            <w:tcBorders>
              <w:top w:val="nil"/>
              <w:left w:val="nil"/>
              <w:right w:val="nil"/>
            </w:tcBorders>
            <w:shd w:val="clear" w:color="auto" w:fill="auto"/>
            <w:noWrap/>
            <w:vAlign w:val="bottom"/>
            <w:hideMark/>
          </w:tcPr>
          <w:p w14:paraId="5C25B221"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773" w:type="pct"/>
            <w:tcBorders>
              <w:top w:val="nil"/>
              <w:left w:val="nil"/>
              <w:right w:val="nil"/>
            </w:tcBorders>
            <w:shd w:val="clear" w:color="auto" w:fill="auto"/>
            <w:noWrap/>
            <w:vAlign w:val="bottom"/>
            <w:hideMark/>
          </w:tcPr>
          <w:p w14:paraId="2D2F7AD9"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564" w:type="pct"/>
            <w:gridSpan w:val="2"/>
            <w:tcBorders>
              <w:top w:val="nil"/>
              <w:left w:val="nil"/>
              <w:right w:val="nil"/>
            </w:tcBorders>
            <w:shd w:val="clear" w:color="auto" w:fill="auto"/>
            <w:noWrap/>
            <w:vAlign w:val="bottom"/>
            <w:hideMark/>
          </w:tcPr>
          <w:p w14:paraId="1188AF07"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594" w:type="pct"/>
            <w:gridSpan w:val="3"/>
            <w:tcBorders>
              <w:top w:val="nil"/>
              <w:left w:val="nil"/>
              <w:right w:val="nil"/>
            </w:tcBorders>
            <w:shd w:val="clear" w:color="auto" w:fill="auto"/>
            <w:noWrap/>
            <w:vAlign w:val="bottom"/>
            <w:hideMark/>
          </w:tcPr>
          <w:p w14:paraId="43AF4B00"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283" w:type="pct"/>
            <w:tcBorders>
              <w:top w:val="nil"/>
              <w:left w:val="nil"/>
              <w:right w:val="nil"/>
            </w:tcBorders>
            <w:shd w:val="clear" w:color="auto" w:fill="auto"/>
            <w:noWrap/>
            <w:vAlign w:val="bottom"/>
            <w:hideMark/>
          </w:tcPr>
          <w:p w14:paraId="36DD2654"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537" w:type="pct"/>
            <w:tcBorders>
              <w:top w:val="nil"/>
              <w:left w:val="nil"/>
              <w:right w:val="nil"/>
            </w:tcBorders>
            <w:shd w:val="clear" w:color="auto" w:fill="auto"/>
            <w:noWrap/>
            <w:vAlign w:val="bottom"/>
            <w:hideMark/>
          </w:tcPr>
          <w:p w14:paraId="5D142A7F"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r>
      <w:tr w:rsidR="00B623B1" w:rsidRPr="00B623B1" w14:paraId="4C93A116" w14:textId="77777777" w:rsidTr="00B623B1">
        <w:trPr>
          <w:gridAfter w:val="1"/>
          <w:wAfter w:w="41" w:type="pct"/>
          <w:trHeight w:val="144"/>
        </w:trPr>
        <w:tc>
          <w:tcPr>
            <w:tcW w:w="721" w:type="pct"/>
            <w:gridSpan w:val="2"/>
            <w:tcBorders>
              <w:top w:val="nil"/>
              <w:left w:val="nil"/>
              <w:right w:val="nil"/>
            </w:tcBorders>
            <w:shd w:val="clear" w:color="auto" w:fill="auto"/>
            <w:noWrap/>
            <w:vAlign w:val="bottom"/>
            <w:hideMark/>
          </w:tcPr>
          <w:p w14:paraId="02C4144D"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eastAsia="Times New Roman" w:hAnsi="Times New Roman" w:cs="Times New Roman"/>
                <w:color w:val="000000"/>
                <w:sz w:val="18"/>
                <w:szCs w:val="18"/>
              </w:rPr>
              <w:t>Clustered std err by firm</w:t>
            </w:r>
          </w:p>
        </w:tc>
        <w:tc>
          <w:tcPr>
            <w:tcW w:w="610" w:type="pct"/>
            <w:gridSpan w:val="3"/>
            <w:tcBorders>
              <w:top w:val="nil"/>
              <w:left w:val="nil"/>
              <w:right w:val="nil"/>
            </w:tcBorders>
            <w:shd w:val="clear" w:color="auto" w:fill="auto"/>
            <w:noWrap/>
            <w:vAlign w:val="bottom"/>
            <w:hideMark/>
          </w:tcPr>
          <w:p w14:paraId="374B85A5"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r w:rsidRPr="00F15FF6">
              <w:rPr>
                <w:rFonts w:ascii="Times New Roman" w:eastAsia="Times New Roman" w:hAnsi="Times New Roman" w:cs="Times New Roman"/>
                <w:color w:val="000000"/>
                <w:sz w:val="18"/>
                <w:szCs w:val="18"/>
              </w:rPr>
              <w:t>Yes</w:t>
            </w:r>
          </w:p>
        </w:tc>
        <w:tc>
          <w:tcPr>
            <w:tcW w:w="179" w:type="pct"/>
            <w:tcBorders>
              <w:top w:val="nil"/>
              <w:left w:val="nil"/>
              <w:right w:val="nil"/>
            </w:tcBorders>
            <w:shd w:val="clear" w:color="auto" w:fill="auto"/>
            <w:noWrap/>
            <w:vAlign w:val="bottom"/>
            <w:hideMark/>
          </w:tcPr>
          <w:p w14:paraId="6752E335" w14:textId="77777777" w:rsidR="006F4FAD" w:rsidRPr="00F15FF6" w:rsidRDefault="006F4FAD" w:rsidP="00A1062B">
            <w:pPr>
              <w:spacing w:after="0" w:line="240" w:lineRule="auto"/>
              <w:jc w:val="both"/>
              <w:rPr>
                <w:rFonts w:ascii="Times New Roman" w:eastAsia="Times New Roman" w:hAnsi="Times New Roman" w:cs="Times New Roman"/>
                <w:color w:val="000000"/>
                <w:sz w:val="18"/>
                <w:szCs w:val="18"/>
              </w:rPr>
            </w:pPr>
          </w:p>
        </w:tc>
        <w:tc>
          <w:tcPr>
            <w:tcW w:w="698" w:type="pct"/>
            <w:gridSpan w:val="2"/>
            <w:tcBorders>
              <w:top w:val="nil"/>
              <w:left w:val="nil"/>
              <w:right w:val="nil"/>
            </w:tcBorders>
            <w:shd w:val="clear" w:color="auto" w:fill="auto"/>
            <w:noWrap/>
            <w:vAlign w:val="bottom"/>
            <w:hideMark/>
          </w:tcPr>
          <w:p w14:paraId="71E3580B"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773" w:type="pct"/>
            <w:tcBorders>
              <w:top w:val="nil"/>
              <w:left w:val="nil"/>
              <w:right w:val="nil"/>
            </w:tcBorders>
            <w:shd w:val="clear" w:color="auto" w:fill="auto"/>
            <w:noWrap/>
            <w:vAlign w:val="bottom"/>
            <w:hideMark/>
          </w:tcPr>
          <w:p w14:paraId="39B59E80"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564" w:type="pct"/>
            <w:gridSpan w:val="2"/>
            <w:tcBorders>
              <w:top w:val="nil"/>
              <w:left w:val="nil"/>
              <w:right w:val="nil"/>
            </w:tcBorders>
            <w:shd w:val="clear" w:color="auto" w:fill="auto"/>
            <w:noWrap/>
            <w:vAlign w:val="bottom"/>
            <w:hideMark/>
          </w:tcPr>
          <w:p w14:paraId="078E5BC3"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594" w:type="pct"/>
            <w:gridSpan w:val="3"/>
            <w:tcBorders>
              <w:top w:val="nil"/>
              <w:left w:val="nil"/>
              <w:right w:val="nil"/>
            </w:tcBorders>
            <w:shd w:val="clear" w:color="auto" w:fill="auto"/>
            <w:noWrap/>
            <w:vAlign w:val="bottom"/>
            <w:hideMark/>
          </w:tcPr>
          <w:p w14:paraId="7B62F159"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283" w:type="pct"/>
            <w:tcBorders>
              <w:top w:val="nil"/>
              <w:left w:val="nil"/>
              <w:right w:val="nil"/>
            </w:tcBorders>
            <w:shd w:val="clear" w:color="auto" w:fill="auto"/>
            <w:noWrap/>
            <w:vAlign w:val="bottom"/>
            <w:hideMark/>
          </w:tcPr>
          <w:p w14:paraId="1DD1D54D"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c>
          <w:tcPr>
            <w:tcW w:w="537" w:type="pct"/>
            <w:tcBorders>
              <w:top w:val="nil"/>
              <w:left w:val="nil"/>
              <w:right w:val="nil"/>
            </w:tcBorders>
            <w:shd w:val="clear" w:color="auto" w:fill="auto"/>
            <w:noWrap/>
            <w:vAlign w:val="bottom"/>
            <w:hideMark/>
          </w:tcPr>
          <w:p w14:paraId="15F0A917" w14:textId="77777777" w:rsidR="006F4FAD" w:rsidRPr="00F15FF6" w:rsidRDefault="006F4FAD" w:rsidP="00A1062B">
            <w:pPr>
              <w:spacing w:after="0" w:line="240" w:lineRule="auto"/>
              <w:jc w:val="both"/>
              <w:rPr>
                <w:rFonts w:ascii="Times New Roman" w:eastAsia="Times New Roman" w:hAnsi="Times New Roman" w:cs="Times New Roman"/>
                <w:sz w:val="18"/>
                <w:szCs w:val="18"/>
              </w:rPr>
            </w:pPr>
          </w:p>
        </w:tc>
      </w:tr>
      <w:tr w:rsidR="00714B86" w:rsidRPr="00B623B1" w14:paraId="02C4E4A1" w14:textId="77777777" w:rsidTr="00F15FF6">
        <w:trPr>
          <w:gridAfter w:val="1"/>
          <w:wAfter w:w="41" w:type="pct"/>
          <w:trHeight w:val="144"/>
        </w:trPr>
        <w:tc>
          <w:tcPr>
            <w:tcW w:w="813" w:type="pct"/>
            <w:gridSpan w:val="3"/>
            <w:tcBorders>
              <w:top w:val="nil"/>
              <w:left w:val="nil"/>
              <w:bottom w:val="single" w:sz="4" w:space="0" w:color="auto"/>
              <w:right w:val="nil"/>
            </w:tcBorders>
            <w:shd w:val="clear" w:color="auto" w:fill="auto"/>
            <w:noWrap/>
            <w:vAlign w:val="bottom"/>
          </w:tcPr>
          <w:p w14:paraId="14CF1325" w14:textId="77777777" w:rsidR="00714B86" w:rsidRPr="00F15FF6" w:rsidRDefault="00714B86" w:rsidP="00A1062B">
            <w:pPr>
              <w:spacing w:after="0" w:line="240" w:lineRule="auto"/>
              <w:jc w:val="both"/>
              <w:rPr>
                <w:rFonts w:ascii="Times New Roman" w:eastAsia="Times New Roman" w:hAnsi="Times New Roman" w:cs="Times New Roman"/>
                <w:color w:val="000000"/>
                <w:sz w:val="18"/>
                <w:szCs w:val="18"/>
              </w:rPr>
            </w:pPr>
          </w:p>
        </w:tc>
        <w:tc>
          <w:tcPr>
            <w:tcW w:w="518" w:type="pct"/>
            <w:gridSpan w:val="2"/>
            <w:tcBorders>
              <w:top w:val="nil"/>
              <w:left w:val="nil"/>
              <w:bottom w:val="single" w:sz="4" w:space="0" w:color="auto"/>
              <w:right w:val="nil"/>
            </w:tcBorders>
            <w:shd w:val="clear" w:color="auto" w:fill="auto"/>
            <w:noWrap/>
            <w:vAlign w:val="bottom"/>
          </w:tcPr>
          <w:p w14:paraId="671E1DBF" w14:textId="77777777" w:rsidR="00714B86" w:rsidRPr="00F15FF6" w:rsidRDefault="00714B86" w:rsidP="00A1062B">
            <w:pPr>
              <w:spacing w:after="0" w:line="240" w:lineRule="auto"/>
              <w:jc w:val="both"/>
              <w:rPr>
                <w:rFonts w:ascii="Times New Roman" w:eastAsia="Times New Roman" w:hAnsi="Times New Roman" w:cs="Times New Roman"/>
                <w:color w:val="000000"/>
                <w:sz w:val="18"/>
                <w:szCs w:val="18"/>
              </w:rPr>
            </w:pPr>
          </w:p>
        </w:tc>
        <w:tc>
          <w:tcPr>
            <w:tcW w:w="179" w:type="pct"/>
            <w:tcBorders>
              <w:top w:val="nil"/>
              <w:left w:val="nil"/>
              <w:bottom w:val="single" w:sz="4" w:space="0" w:color="auto"/>
              <w:right w:val="nil"/>
            </w:tcBorders>
            <w:shd w:val="clear" w:color="auto" w:fill="auto"/>
            <w:noWrap/>
            <w:vAlign w:val="bottom"/>
          </w:tcPr>
          <w:p w14:paraId="09682825" w14:textId="77777777" w:rsidR="00714B86" w:rsidRPr="00F15FF6" w:rsidRDefault="00714B86" w:rsidP="00A1062B">
            <w:pPr>
              <w:spacing w:after="0" w:line="240" w:lineRule="auto"/>
              <w:jc w:val="both"/>
              <w:rPr>
                <w:rFonts w:ascii="Times New Roman" w:eastAsia="Times New Roman" w:hAnsi="Times New Roman" w:cs="Times New Roman"/>
                <w:color w:val="000000"/>
                <w:sz w:val="18"/>
                <w:szCs w:val="18"/>
              </w:rPr>
            </w:pPr>
          </w:p>
        </w:tc>
        <w:tc>
          <w:tcPr>
            <w:tcW w:w="698" w:type="pct"/>
            <w:gridSpan w:val="2"/>
            <w:tcBorders>
              <w:top w:val="nil"/>
              <w:left w:val="nil"/>
              <w:bottom w:val="single" w:sz="4" w:space="0" w:color="auto"/>
              <w:right w:val="nil"/>
            </w:tcBorders>
            <w:shd w:val="clear" w:color="auto" w:fill="auto"/>
            <w:noWrap/>
            <w:vAlign w:val="bottom"/>
          </w:tcPr>
          <w:p w14:paraId="7BD8BB4D" w14:textId="77777777" w:rsidR="00714B86" w:rsidRPr="00F15FF6" w:rsidRDefault="00714B86" w:rsidP="00A1062B">
            <w:pPr>
              <w:spacing w:after="0" w:line="240" w:lineRule="auto"/>
              <w:jc w:val="both"/>
              <w:rPr>
                <w:rFonts w:ascii="Times New Roman" w:eastAsia="Times New Roman" w:hAnsi="Times New Roman" w:cs="Times New Roman"/>
                <w:sz w:val="18"/>
                <w:szCs w:val="18"/>
              </w:rPr>
            </w:pPr>
          </w:p>
        </w:tc>
        <w:tc>
          <w:tcPr>
            <w:tcW w:w="773" w:type="pct"/>
            <w:tcBorders>
              <w:top w:val="nil"/>
              <w:left w:val="nil"/>
              <w:bottom w:val="single" w:sz="4" w:space="0" w:color="auto"/>
              <w:right w:val="nil"/>
            </w:tcBorders>
            <w:shd w:val="clear" w:color="auto" w:fill="auto"/>
            <w:noWrap/>
            <w:vAlign w:val="bottom"/>
          </w:tcPr>
          <w:p w14:paraId="44966B17" w14:textId="77777777" w:rsidR="00714B86" w:rsidRPr="00F15FF6" w:rsidRDefault="00714B86" w:rsidP="00A1062B">
            <w:pPr>
              <w:spacing w:after="0" w:line="240" w:lineRule="auto"/>
              <w:jc w:val="both"/>
              <w:rPr>
                <w:rFonts w:ascii="Times New Roman" w:eastAsia="Times New Roman" w:hAnsi="Times New Roman" w:cs="Times New Roman"/>
                <w:sz w:val="18"/>
                <w:szCs w:val="18"/>
              </w:rPr>
            </w:pPr>
          </w:p>
        </w:tc>
        <w:tc>
          <w:tcPr>
            <w:tcW w:w="564" w:type="pct"/>
            <w:gridSpan w:val="2"/>
            <w:tcBorders>
              <w:top w:val="nil"/>
              <w:left w:val="nil"/>
              <w:bottom w:val="single" w:sz="4" w:space="0" w:color="auto"/>
              <w:right w:val="nil"/>
            </w:tcBorders>
            <w:shd w:val="clear" w:color="auto" w:fill="auto"/>
            <w:noWrap/>
            <w:vAlign w:val="bottom"/>
          </w:tcPr>
          <w:p w14:paraId="59971D68" w14:textId="77777777" w:rsidR="00714B86" w:rsidRPr="00F15FF6" w:rsidRDefault="00714B86" w:rsidP="00A1062B">
            <w:pPr>
              <w:spacing w:after="0" w:line="240" w:lineRule="auto"/>
              <w:jc w:val="both"/>
              <w:rPr>
                <w:rFonts w:ascii="Times New Roman" w:eastAsia="Times New Roman" w:hAnsi="Times New Roman" w:cs="Times New Roman"/>
                <w:sz w:val="18"/>
                <w:szCs w:val="18"/>
              </w:rPr>
            </w:pPr>
          </w:p>
        </w:tc>
        <w:tc>
          <w:tcPr>
            <w:tcW w:w="594" w:type="pct"/>
            <w:gridSpan w:val="3"/>
            <w:tcBorders>
              <w:top w:val="nil"/>
              <w:left w:val="nil"/>
              <w:bottom w:val="single" w:sz="4" w:space="0" w:color="auto"/>
              <w:right w:val="nil"/>
            </w:tcBorders>
            <w:shd w:val="clear" w:color="auto" w:fill="auto"/>
            <w:noWrap/>
            <w:vAlign w:val="bottom"/>
          </w:tcPr>
          <w:p w14:paraId="155006A3" w14:textId="77777777" w:rsidR="00714B86" w:rsidRPr="00F15FF6" w:rsidRDefault="00714B86" w:rsidP="00A1062B">
            <w:pPr>
              <w:spacing w:after="0" w:line="240" w:lineRule="auto"/>
              <w:jc w:val="both"/>
              <w:rPr>
                <w:rFonts w:ascii="Times New Roman" w:eastAsia="Times New Roman" w:hAnsi="Times New Roman" w:cs="Times New Roman"/>
                <w:sz w:val="18"/>
                <w:szCs w:val="18"/>
              </w:rPr>
            </w:pPr>
          </w:p>
        </w:tc>
        <w:tc>
          <w:tcPr>
            <w:tcW w:w="283" w:type="pct"/>
            <w:tcBorders>
              <w:top w:val="nil"/>
              <w:left w:val="nil"/>
              <w:bottom w:val="single" w:sz="4" w:space="0" w:color="auto"/>
              <w:right w:val="nil"/>
            </w:tcBorders>
            <w:shd w:val="clear" w:color="auto" w:fill="auto"/>
            <w:noWrap/>
            <w:vAlign w:val="bottom"/>
          </w:tcPr>
          <w:p w14:paraId="3A1B4540" w14:textId="77777777" w:rsidR="00714B86" w:rsidRPr="00F15FF6" w:rsidRDefault="00714B86" w:rsidP="00A1062B">
            <w:pPr>
              <w:spacing w:after="0" w:line="240" w:lineRule="auto"/>
              <w:jc w:val="both"/>
              <w:rPr>
                <w:rFonts w:ascii="Times New Roman" w:eastAsia="Times New Roman" w:hAnsi="Times New Roman" w:cs="Times New Roman"/>
                <w:sz w:val="18"/>
                <w:szCs w:val="18"/>
              </w:rPr>
            </w:pPr>
          </w:p>
        </w:tc>
        <w:tc>
          <w:tcPr>
            <w:tcW w:w="537" w:type="pct"/>
            <w:tcBorders>
              <w:top w:val="nil"/>
              <w:left w:val="nil"/>
              <w:bottom w:val="single" w:sz="4" w:space="0" w:color="auto"/>
              <w:right w:val="nil"/>
            </w:tcBorders>
            <w:shd w:val="clear" w:color="auto" w:fill="auto"/>
            <w:noWrap/>
            <w:vAlign w:val="bottom"/>
          </w:tcPr>
          <w:p w14:paraId="433C7E45" w14:textId="77777777" w:rsidR="00714B86" w:rsidRPr="00F15FF6" w:rsidRDefault="00714B86" w:rsidP="00A1062B">
            <w:pPr>
              <w:spacing w:after="0" w:line="240" w:lineRule="auto"/>
              <w:jc w:val="both"/>
              <w:rPr>
                <w:rFonts w:ascii="Times New Roman" w:eastAsia="Times New Roman" w:hAnsi="Times New Roman" w:cs="Times New Roman"/>
                <w:sz w:val="18"/>
                <w:szCs w:val="18"/>
              </w:rPr>
            </w:pPr>
          </w:p>
        </w:tc>
      </w:tr>
    </w:tbl>
    <w:p w14:paraId="139BABAF" w14:textId="2623EF7B" w:rsidR="00714B86" w:rsidRDefault="009B6F98" w:rsidP="00714B86">
      <w:pPr>
        <w:spacing w:after="0" w:line="240" w:lineRule="auto"/>
        <w:jc w:val="both"/>
        <w:rPr>
          <w:rFonts w:ascii="Times New Roman" w:hAnsi="Times New Roman" w:cs="Times New Roman"/>
          <w:sz w:val="20"/>
          <w:szCs w:val="20"/>
        </w:rPr>
      </w:pPr>
      <w:r w:rsidRPr="005F4D86">
        <w:rPr>
          <w:rFonts w:ascii="Times New Roman" w:hAnsi="Times New Roman" w:cs="Times New Roman"/>
          <w:sz w:val="20"/>
          <w:szCs w:val="20"/>
        </w:rPr>
        <w:t>Note</w:t>
      </w:r>
      <w:r w:rsidR="00714B86" w:rsidRPr="005F4D86">
        <w:rPr>
          <w:rFonts w:ascii="Times New Roman" w:hAnsi="Times New Roman" w:cs="Times New Roman"/>
          <w:sz w:val="20"/>
          <w:szCs w:val="20"/>
        </w:rPr>
        <w:t xml:space="preserve">: This table reports the results </w:t>
      </w:r>
      <w:r w:rsidR="00C23CF4">
        <w:rPr>
          <w:rFonts w:ascii="Times New Roman" w:hAnsi="Times New Roman" w:cs="Times New Roman"/>
          <w:sz w:val="20"/>
          <w:szCs w:val="20"/>
        </w:rPr>
        <w:t xml:space="preserve">of </w:t>
      </w:r>
      <w:r w:rsidR="00B623B1" w:rsidRPr="00F15FF6">
        <w:rPr>
          <w:rFonts w:ascii="Times New Roman" w:hAnsi="Times New Roman" w:cs="Times New Roman"/>
          <w:sz w:val="20"/>
          <w:szCs w:val="20"/>
        </w:rPr>
        <w:t>the relation</w:t>
      </w:r>
      <w:r w:rsidR="00013163">
        <w:rPr>
          <w:rFonts w:ascii="Times New Roman" w:hAnsi="Times New Roman" w:cs="Times New Roman"/>
          <w:sz w:val="20"/>
          <w:szCs w:val="20"/>
        </w:rPr>
        <w:t>s</w:t>
      </w:r>
      <w:r w:rsidR="00B623B1" w:rsidRPr="00F15FF6">
        <w:rPr>
          <w:rFonts w:ascii="Times New Roman" w:hAnsi="Times New Roman" w:cs="Times New Roman"/>
          <w:sz w:val="20"/>
          <w:szCs w:val="20"/>
        </w:rPr>
        <w:t xml:space="preserve"> between non-operating income and the risk </w:t>
      </w:r>
      <w:r w:rsidR="00B623B1">
        <w:rPr>
          <w:rFonts w:ascii="Times New Roman" w:hAnsi="Times New Roman" w:cs="Times New Roman"/>
          <w:sz w:val="20"/>
          <w:szCs w:val="20"/>
        </w:rPr>
        <w:t>measures</w:t>
      </w:r>
      <w:r w:rsidR="00B623B1">
        <w:rPr>
          <w:rFonts w:ascii="Times New Roman" w:eastAsia="Times New Roman" w:hAnsi="Times New Roman" w:cs="Times New Roman"/>
          <w:b/>
          <w:color w:val="000000"/>
          <w:sz w:val="24"/>
          <w:szCs w:val="24"/>
        </w:rPr>
        <w:t xml:space="preserve"> </w:t>
      </w:r>
      <w:r w:rsidR="00B623B1" w:rsidRPr="00AE652A">
        <w:rPr>
          <w:rFonts w:ascii="Times New Roman" w:hAnsi="Times New Roman" w:cs="Times New Roman"/>
          <w:sz w:val="20"/>
          <w:szCs w:val="20"/>
        </w:rPr>
        <w:t xml:space="preserve">using </w:t>
      </w:r>
      <w:r w:rsidR="00B623B1">
        <w:rPr>
          <w:rFonts w:ascii="Times New Roman" w:hAnsi="Times New Roman" w:cs="Times New Roman"/>
          <w:sz w:val="20"/>
          <w:szCs w:val="20"/>
        </w:rPr>
        <w:t xml:space="preserve">an </w:t>
      </w:r>
      <w:r w:rsidR="00B623B1" w:rsidRPr="00AE652A">
        <w:rPr>
          <w:rFonts w:ascii="Times New Roman" w:hAnsi="Times New Roman" w:cs="Times New Roman"/>
          <w:sz w:val="20"/>
          <w:szCs w:val="20"/>
        </w:rPr>
        <w:t>instrumental variable approach</w:t>
      </w:r>
      <w:r w:rsidR="00B623B1">
        <w:rPr>
          <w:rFonts w:ascii="Times New Roman" w:hAnsi="Times New Roman" w:cs="Times New Roman"/>
          <w:sz w:val="20"/>
          <w:szCs w:val="20"/>
        </w:rPr>
        <w:t xml:space="preserve">. </w:t>
      </w:r>
      <w:r w:rsidR="00D5375D">
        <w:rPr>
          <w:rFonts w:ascii="Times New Roman" w:hAnsi="Times New Roman" w:cs="Times New Roman"/>
          <w:sz w:val="20"/>
          <w:szCs w:val="20"/>
        </w:rPr>
        <w:t xml:space="preserve">Panel A </w:t>
      </w:r>
      <w:r w:rsidR="00013163">
        <w:rPr>
          <w:rFonts w:ascii="Times New Roman" w:hAnsi="Times New Roman" w:cs="Times New Roman"/>
          <w:sz w:val="20"/>
          <w:szCs w:val="20"/>
        </w:rPr>
        <w:t>report</w:t>
      </w:r>
      <w:r w:rsidR="00D5375D">
        <w:rPr>
          <w:rFonts w:ascii="Times New Roman" w:hAnsi="Times New Roman" w:cs="Times New Roman"/>
          <w:sz w:val="20"/>
          <w:szCs w:val="20"/>
        </w:rPr>
        <w:t>s</w:t>
      </w:r>
      <w:r w:rsidR="00B623B1" w:rsidRPr="00F15FF6">
        <w:rPr>
          <w:rFonts w:ascii="Times New Roman" w:hAnsi="Times New Roman" w:cs="Times New Roman"/>
          <w:sz w:val="20"/>
          <w:szCs w:val="20"/>
        </w:rPr>
        <w:t xml:space="preserve"> the first stage</w:t>
      </w:r>
      <w:r w:rsidR="00D5375D">
        <w:rPr>
          <w:rFonts w:ascii="Times New Roman" w:hAnsi="Times New Roman" w:cs="Times New Roman"/>
          <w:sz w:val="20"/>
          <w:szCs w:val="20"/>
        </w:rPr>
        <w:t xml:space="preserve"> regression results </w:t>
      </w:r>
      <w:r w:rsidR="0015199B">
        <w:rPr>
          <w:rFonts w:ascii="Times New Roman" w:hAnsi="Times New Roman" w:cs="Times New Roman"/>
          <w:sz w:val="20"/>
          <w:szCs w:val="20"/>
        </w:rPr>
        <w:t xml:space="preserve">of 2SLS. </w:t>
      </w:r>
      <w:r w:rsidR="00916433">
        <w:rPr>
          <w:rFonts w:ascii="Times New Roman" w:hAnsi="Times New Roman" w:cs="Times New Roman"/>
          <w:sz w:val="20"/>
          <w:szCs w:val="20"/>
        </w:rPr>
        <w:t>T</w:t>
      </w:r>
      <w:r w:rsidR="00916433" w:rsidRPr="00D05DBE">
        <w:rPr>
          <w:rFonts w:ascii="Times New Roman" w:hAnsi="Times New Roman" w:cs="Times New Roman"/>
          <w:sz w:val="20"/>
          <w:szCs w:val="20"/>
        </w:rPr>
        <w:t xml:space="preserve">he median non-operating earnings of firms in the same </w:t>
      </w:r>
      <w:proofErr w:type="spellStart"/>
      <w:r w:rsidR="00916433" w:rsidRPr="00D05DBE">
        <w:rPr>
          <w:rFonts w:ascii="Times New Roman" w:hAnsi="Times New Roman" w:cs="Times New Roman"/>
          <w:sz w:val="20"/>
          <w:szCs w:val="20"/>
        </w:rPr>
        <w:t>Fama</w:t>
      </w:r>
      <w:proofErr w:type="spellEnd"/>
      <w:r w:rsidR="00916433" w:rsidRPr="00D05DBE">
        <w:rPr>
          <w:rFonts w:ascii="Times New Roman" w:hAnsi="Times New Roman" w:cs="Times New Roman"/>
          <w:sz w:val="20"/>
          <w:szCs w:val="20"/>
        </w:rPr>
        <w:t xml:space="preserve">-French 48 sector classification </w:t>
      </w:r>
      <w:r w:rsidR="00916433">
        <w:rPr>
          <w:rFonts w:ascii="Times New Roman" w:hAnsi="Times New Roman" w:cs="Times New Roman"/>
          <w:sz w:val="20"/>
          <w:szCs w:val="20"/>
        </w:rPr>
        <w:t>(</w:t>
      </w:r>
      <w:r w:rsidR="00916433" w:rsidRPr="00F15FF6">
        <w:rPr>
          <w:rFonts w:ascii="Times New Roman" w:hAnsi="Times New Roman" w:cs="Times New Roman"/>
          <w:i/>
          <w:sz w:val="20"/>
          <w:szCs w:val="20"/>
        </w:rPr>
        <w:t>IND_NONOPERINC</w:t>
      </w:r>
      <w:r w:rsidR="00916433">
        <w:rPr>
          <w:rFonts w:ascii="Times New Roman" w:hAnsi="Times New Roman" w:cs="Times New Roman"/>
          <w:sz w:val="20"/>
          <w:szCs w:val="20"/>
        </w:rPr>
        <w:t xml:space="preserve">) is used </w:t>
      </w:r>
      <w:r w:rsidR="00916433" w:rsidRPr="00D05DBE">
        <w:rPr>
          <w:rFonts w:ascii="Times New Roman" w:hAnsi="Times New Roman" w:cs="Times New Roman"/>
          <w:sz w:val="20"/>
          <w:szCs w:val="20"/>
        </w:rPr>
        <w:t xml:space="preserve">as an instrument </w:t>
      </w:r>
      <w:r w:rsidR="003D0448">
        <w:rPr>
          <w:rFonts w:ascii="Times New Roman" w:hAnsi="Times New Roman" w:cs="Times New Roman"/>
          <w:sz w:val="20"/>
          <w:szCs w:val="20"/>
        </w:rPr>
        <w:t xml:space="preserve">variable </w:t>
      </w:r>
      <w:r w:rsidR="00916433" w:rsidRPr="00D05DBE">
        <w:rPr>
          <w:rFonts w:ascii="Times New Roman" w:hAnsi="Times New Roman" w:cs="Times New Roman"/>
          <w:sz w:val="20"/>
          <w:szCs w:val="20"/>
        </w:rPr>
        <w:t>for a firm’s non-operating earnings</w:t>
      </w:r>
      <w:r w:rsidR="003D0448">
        <w:rPr>
          <w:rFonts w:ascii="Times New Roman" w:hAnsi="Times New Roman" w:cs="Times New Roman"/>
          <w:sz w:val="20"/>
          <w:szCs w:val="20"/>
        </w:rPr>
        <w:t xml:space="preserve"> (</w:t>
      </w:r>
      <w:r w:rsidR="003D0448" w:rsidRPr="005F4D86">
        <w:rPr>
          <w:rFonts w:ascii="Times New Roman" w:hAnsi="Times New Roman" w:cs="Times New Roman"/>
          <w:i/>
          <w:sz w:val="20"/>
          <w:szCs w:val="20"/>
        </w:rPr>
        <w:t>NONOPERINC</w:t>
      </w:r>
      <w:r w:rsidR="003D0448">
        <w:rPr>
          <w:rFonts w:ascii="Times New Roman" w:hAnsi="Times New Roman" w:cs="Times New Roman"/>
          <w:i/>
          <w:sz w:val="20"/>
          <w:szCs w:val="20"/>
        </w:rPr>
        <w:t>)</w:t>
      </w:r>
      <w:r w:rsidR="00916433" w:rsidRPr="00D05DBE">
        <w:rPr>
          <w:rFonts w:ascii="Times New Roman" w:hAnsi="Times New Roman" w:cs="Times New Roman"/>
          <w:sz w:val="20"/>
          <w:szCs w:val="20"/>
        </w:rPr>
        <w:t xml:space="preserve">. </w:t>
      </w:r>
      <w:r w:rsidR="00916433">
        <w:rPr>
          <w:rFonts w:ascii="Times New Roman" w:hAnsi="Times New Roman" w:cs="Times New Roman"/>
          <w:sz w:val="20"/>
          <w:szCs w:val="20"/>
        </w:rPr>
        <w:t>We regress</w:t>
      </w:r>
      <w:r w:rsidR="00D5375D">
        <w:rPr>
          <w:rFonts w:ascii="Times New Roman" w:hAnsi="Times New Roman" w:cs="Times New Roman"/>
          <w:sz w:val="20"/>
          <w:szCs w:val="20"/>
        </w:rPr>
        <w:t xml:space="preserve"> </w:t>
      </w:r>
      <w:r w:rsidR="00072BC4" w:rsidRPr="005F4D86">
        <w:rPr>
          <w:rFonts w:ascii="Times New Roman" w:hAnsi="Times New Roman" w:cs="Times New Roman"/>
          <w:i/>
          <w:sz w:val="20"/>
          <w:szCs w:val="20"/>
        </w:rPr>
        <w:t>NONOPERINC</w:t>
      </w:r>
      <w:r w:rsidR="00B623B1" w:rsidRPr="00F15FF6">
        <w:rPr>
          <w:rFonts w:ascii="Times New Roman" w:hAnsi="Times New Roman" w:cs="Times New Roman"/>
          <w:sz w:val="20"/>
          <w:szCs w:val="20"/>
        </w:rPr>
        <w:t xml:space="preserve"> on </w:t>
      </w:r>
      <w:r w:rsidR="00574E4D" w:rsidRPr="00F15FF6">
        <w:rPr>
          <w:rFonts w:ascii="Times New Roman" w:hAnsi="Times New Roman" w:cs="Times New Roman"/>
          <w:i/>
          <w:sz w:val="20"/>
          <w:szCs w:val="20"/>
        </w:rPr>
        <w:t>IND_NONOPERINC</w:t>
      </w:r>
      <w:r w:rsidR="00B623B1" w:rsidRPr="00F15FF6">
        <w:rPr>
          <w:rFonts w:ascii="Times New Roman" w:hAnsi="Times New Roman" w:cs="Times New Roman"/>
          <w:sz w:val="20"/>
          <w:szCs w:val="20"/>
        </w:rPr>
        <w:t xml:space="preserve"> and other firm characteristics with firm fixed effects</w:t>
      </w:r>
      <w:r w:rsidR="00D5375D">
        <w:rPr>
          <w:rFonts w:ascii="Times New Roman" w:hAnsi="Times New Roman" w:cs="Times New Roman"/>
          <w:sz w:val="20"/>
          <w:szCs w:val="20"/>
        </w:rPr>
        <w:t xml:space="preserve">. </w:t>
      </w:r>
      <w:r w:rsidR="00072BC4" w:rsidRPr="005F4D86">
        <w:rPr>
          <w:rFonts w:ascii="Times New Roman" w:hAnsi="Times New Roman" w:cs="Times New Roman"/>
          <w:i/>
          <w:sz w:val="20"/>
          <w:szCs w:val="20"/>
        </w:rPr>
        <w:t>NONOPERINC</w:t>
      </w:r>
      <w:r w:rsidR="00072BC4" w:rsidRPr="005F4D86">
        <w:rPr>
          <w:rFonts w:ascii="Times New Roman" w:hAnsi="Times New Roman" w:cs="Times New Roman"/>
          <w:sz w:val="20"/>
          <w:szCs w:val="20"/>
        </w:rPr>
        <w:t xml:space="preserve"> is the ratio of non-operating income to assets at the end of the fiscal year. </w:t>
      </w:r>
      <w:r w:rsidR="00D363DD" w:rsidRPr="005F4D86">
        <w:rPr>
          <w:rFonts w:ascii="Times New Roman" w:hAnsi="Times New Roman" w:cs="Times New Roman"/>
          <w:i/>
          <w:sz w:val="20"/>
          <w:szCs w:val="20"/>
        </w:rPr>
        <w:t>OPERINC</w:t>
      </w:r>
      <w:r w:rsidR="00D363DD" w:rsidRPr="005F4D86">
        <w:rPr>
          <w:rFonts w:ascii="Times New Roman" w:hAnsi="Times New Roman" w:cs="Times New Roman"/>
          <w:sz w:val="20"/>
          <w:szCs w:val="20"/>
        </w:rPr>
        <w:t xml:space="preserve"> is the ratio of operating income to assets at the end of the fiscal year. </w:t>
      </w:r>
      <w:r w:rsidR="00D363DD" w:rsidRPr="005F4D86">
        <w:rPr>
          <w:rFonts w:ascii="Times New Roman" w:eastAsia="Times New Roman" w:hAnsi="Times New Roman" w:cs="Times New Roman"/>
          <w:i/>
          <w:iCs/>
          <w:color w:val="000000"/>
          <w:sz w:val="20"/>
          <w:szCs w:val="20"/>
        </w:rPr>
        <w:t xml:space="preserve">LNAT </w:t>
      </w:r>
      <w:r w:rsidR="00D363DD" w:rsidRPr="005F4D86">
        <w:rPr>
          <w:rFonts w:ascii="Times New Roman" w:eastAsia="Times New Roman" w:hAnsi="Times New Roman" w:cs="Times New Roman"/>
          <w:iCs/>
          <w:color w:val="000000"/>
          <w:sz w:val="20"/>
          <w:szCs w:val="20"/>
        </w:rPr>
        <w:t>is</w:t>
      </w:r>
      <w:r w:rsidR="00D363DD" w:rsidRPr="005F4D86">
        <w:rPr>
          <w:rFonts w:ascii="Times New Roman" w:eastAsia="Times New Roman" w:hAnsi="Times New Roman" w:cs="Times New Roman"/>
          <w:i/>
          <w:iCs/>
          <w:color w:val="000000"/>
          <w:sz w:val="20"/>
          <w:szCs w:val="20"/>
        </w:rPr>
        <w:t xml:space="preserve"> </w:t>
      </w:r>
      <w:r w:rsidR="00D363DD" w:rsidRPr="005F4D86">
        <w:rPr>
          <w:rFonts w:ascii="Times New Roman" w:hAnsi="Times New Roman" w:cs="Times New Roman"/>
          <w:sz w:val="20"/>
          <w:szCs w:val="20"/>
        </w:rPr>
        <w:t xml:space="preserve">the natural log of total assets at the end of the fiscal year. </w:t>
      </w:r>
      <w:r w:rsidR="003D0448" w:rsidRPr="005F4D86">
        <w:rPr>
          <w:rFonts w:ascii="Times New Roman" w:hAnsi="Times New Roman" w:cs="Times New Roman"/>
          <w:i/>
          <w:sz w:val="20"/>
          <w:szCs w:val="20"/>
        </w:rPr>
        <w:t xml:space="preserve">MKTCON </w:t>
      </w:r>
      <w:r w:rsidR="003D0448" w:rsidRPr="005F4D86">
        <w:rPr>
          <w:rFonts w:ascii="Times New Roman" w:hAnsi="Times New Roman" w:cs="Times New Roman"/>
          <w:sz w:val="20"/>
          <w:szCs w:val="20"/>
        </w:rPr>
        <w:t>is</w:t>
      </w:r>
      <w:r w:rsidR="003D0448" w:rsidRPr="005F4D86">
        <w:rPr>
          <w:rFonts w:ascii="Times New Roman" w:hAnsi="Times New Roman" w:cs="Times New Roman"/>
          <w:i/>
          <w:sz w:val="20"/>
          <w:szCs w:val="20"/>
        </w:rPr>
        <w:t xml:space="preserve"> </w:t>
      </w:r>
      <w:r w:rsidR="003D0448" w:rsidRPr="005F4D86">
        <w:rPr>
          <w:rFonts w:ascii="Times New Roman" w:hAnsi="Times New Roman" w:cs="Times New Roman"/>
          <w:sz w:val="20"/>
          <w:szCs w:val="20"/>
        </w:rPr>
        <w:t>the Herfindahl sales-based industry concentration index.</w:t>
      </w:r>
      <w:r w:rsidR="00B10DC7">
        <w:rPr>
          <w:rFonts w:ascii="Times New Roman" w:hAnsi="Times New Roman" w:cs="Times New Roman"/>
          <w:sz w:val="20"/>
          <w:szCs w:val="20"/>
        </w:rPr>
        <w:t xml:space="preserve"> </w:t>
      </w:r>
      <w:r w:rsidR="00D363DD" w:rsidRPr="005F4D86">
        <w:rPr>
          <w:rFonts w:ascii="Times New Roman" w:hAnsi="Times New Roman" w:cs="Times New Roman"/>
          <w:i/>
          <w:sz w:val="20"/>
          <w:szCs w:val="20"/>
        </w:rPr>
        <w:t xml:space="preserve">SKILL is </w:t>
      </w:r>
      <w:r w:rsidR="00D363DD" w:rsidRPr="005F4D86">
        <w:rPr>
          <w:rFonts w:ascii="Times New Roman" w:hAnsi="Times New Roman" w:cs="Times New Roman"/>
          <w:iCs/>
          <w:sz w:val="20"/>
          <w:szCs w:val="20"/>
        </w:rPr>
        <w:t>a</w:t>
      </w:r>
      <w:r w:rsidR="00D363DD" w:rsidRPr="005F4D86">
        <w:rPr>
          <w:rFonts w:ascii="Times New Roman" w:hAnsi="Times New Roman" w:cs="Times New Roman"/>
          <w:sz w:val="20"/>
          <w:szCs w:val="20"/>
        </w:rPr>
        <w:t xml:space="preserve"> dummy variable </w:t>
      </w:r>
      <w:r w:rsidR="00574E4D">
        <w:rPr>
          <w:rFonts w:ascii="Times New Roman" w:hAnsi="Times New Roman" w:cs="Times New Roman"/>
          <w:sz w:val="20"/>
          <w:szCs w:val="20"/>
        </w:rPr>
        <w:t xml:space="preserve">that equals 1 </w:t>
      </w:r>
      <w:r w:rsidR="00574E4D" w:rsidRPr="00D23517">
        <w:rPr>
          <w:rFonts w:ascii="Times New Roman" w:hAnsi="Times New Roman" w:cs="Times New Roman"/>
          <w:sz w:val="20"/>
          <w:szCs w:val="20"/>
        </w:rPr>
        <w:t>for firms with managerial ability</w:t>
      </w:r>
      <w:r w:rsidR="00C81D0F">
        <w:rPr>
          <w:rFonts w:ascii="Times New Roman" w:hAnsi="Times New Roman" w:cs="Times New Roman"/>
          <w:sz w:val="20"/>
          <w:szCs w:val="20"/>
        </w:rPr>
        <w:t xml:space="preserve"> </w:t>
      </w:r>
      <w:r w:rsidR="009754B9">
        <w:rPr>
          <w:rFonts w:ascii="Times New Roman" w:hAnsi="Times New Roman" w:cs="Times New Roman"/>
          <w:sz w:val="20"/>
          <w:szCs w:val="20"/>
        </w:rPr>
        <w:t xml:space="preserve">scores </w:t>
      </w:r>
      <w:r w:rsidR="00574E4D" w:rsidRPr="00D23517">
        <w:rPr>
          <w:rFonts w:ascii="Times New Roman" w:hAnsi="Times New Roman" w:cs="Times New Roman"/>
          <w:sz w:val="20"/>
          <w:szCs w:val="20"/>
        </w:rPr>
        <w:t>above the industry median managerial ability</w:t>
      </w:r>
      <w:r w:rsidR="009754B9">
        <w:rPr>
          <w:rFonts w:ascii="Times New Roman" w:hAnsi="Times New Roman" w:cs="Times New Roman"/>
          <w:sz w:val="20"/>
          <w:szCs w:val="20"/>
        </w:rPr>
        <w:t xml:space="preserve"> scores in the past three years</w:t>
      </w:r>
      <w:r w:rsidR="00574E4D">
        <w:rPr>
          <w:rFonts w:ascii="Times New Roman" w:hAnsi="Times New Roman" w:cs="Times New Roman"/>
          <w:sz w:val="20"/>
          <w:szCs w:val="20"/>
        </w:rPr>
        <w:t>, and 0 otherwise</w:t>
      </w:r>
      <w:r w:rsidR="00574E4D" w:rsidRPr="00D23517">
        <w:rPr>
          <w:rFonts w:ascii="Times New Roman" w:hAnsi="Times New Roman" w:cs="Times New Roman"/>
          <w:sz w:val="20"/>
          <w:szCs w:val="20"/>
        </w:rPr>
        <w:t>.</w:t>
      </w:r>
      <w:r w:rsidR="00574E4D">
        <w:rPr>
          <w:rFonts w:ascii="Times New Roman" w:hAnsi="Times New Roman" w:cs="Times New Roman"/>
          <w:sz w:val="20"/>
          <w:szCs w:val="20"/>
        </w:rPr>
        <w:t xml:space="preserve"> </w:t>
      </w:r>
      <w:r w:rsidR="00D5375D">
        <w:rPr>
          <w:rFonts w:ascii="Times New Roman" w:hAnsi="Times New Roman" w:cs="Times New Roman"/>
          <w:sz w:val="20"/>
          <w:szCs w:val="20"/>
        </w:rPr>
        <w:t xml:space="preserve">Panel B </w:t>
      </w:r>
      <w:r w:rsidR="007E7581">
        <w:rPr>
          <w:rFonts w:ascii="Times New Roman" w:hAnsi="Times New Roman" w:cs="Times New Roman"/>
          <w:sz w:val="20"/>
          <w:szCs w:val="20"/>
        </w:rPr>
        <w:t>report</w:t>
      </w:r>
      <w:r w:rsidR="00072BC4">
        <w:rPr>
          <w:rFonts w:ascii="Times New Roman" w:hAnsi="Times New Roman" w:cs="Times New Roman"/>
          <w:sz w:val="20"/>
          <w:szCs w:val="20"/>
        </w:rPr>
        <w:t>s</w:t>
      </w:r>
      <w:r w:rsidR="00D5375D">
        <w:rPr>
          <w:rFonts w:ascii="Times New Roman" w:hAnsi="Times New Roman" w:cs="Times New Roman"/>
          <w:sz w:val="20"/>
          <w:szCs w:val="20"/>
        </w:rPr>
        <w:t xml:space="preserve"> </w:t>
      </w:r>
      <w:r w:rsidR="00D5375D" w:rsidRPr="00F15FF6">
        <w:rPr>
          <w:rFonts w:ascii="Times New Roman" w:hAnsi="Times New Roman" w:cs="Times New Roman"/>
          <w:sz w:val="20"/>
          <w:szCs w:val="20"/>
        </w:rPr>
        <w:t xml:space="preserve">the results of </w:t>
      </w:r>
      <w:r w:rsidR="00B623B1" w:rsidRPr="00F15FF6">
        <w:rPr>
          <w:rFonts w:ascii="Times New Roman" w:hAnsi="Times New Roman" w:cs="Times New Roman"/>
          <w:sz w:val="20"/>
          <w:szCs w:val="20"/>
        </w:rPr>
        <w:t>the second stage</w:t>
      </w:r>
      <w:r w:rsidR="00D5375D" w:rsidRPr="00F15FF6">
        <w:rPr>
          <w:rFonts w:ascii="Times New Roman" w:hAnsi="Times New Roman" w:cs="Times New Roman"/>
          <w:sz w:val="20"/>
          <w:szCs w:val="20"/>
        </w:rPr>
        <w:t xml:space="preserve"> regressions where</w:t>
      </w:r>
      <w:r w:rsidR="00B623B1" w:rsidRPr="00F15FF6">
        <w:rPr>
          <w:rFonts w:ascii="Times New Roman" w:hAnsi="Times New Roman" w:cs="Times New Roman"/>
          <w:sz w:val="20"/>
          <w:szCs w:val="20"/>
        </w:rPr>
        <w:t xml:space="preserve"> we</w:t>
      </w:r>
      <w:r w:rsidR="00D5375D" w:rsidRPr="00F15FF6">
        <w:rPr>
          <w:rFonts w:ascii="Times New Roman" w:hAnsi="Times New Roman" w:cs="Times New Roman"/>
          <w:sz w:val="20"/>
          <w:szCs w:val="20"/>
        </w:rPr>
        <w:t xml:space="preserve"> </w:t>
      </w:r>
      <w:r w:rsidR="007A5EF9">
        <w:rPr>
          <w:rFonts w:ascii="Times New Roman" w:hAnsi="Times New Roman" w:cs="Times New Roman"/>
          <w:sz w:val="20"/>
          <w:szCs w:val="20"/>
        </w:rPr>
        <w:t>run</w:t>
      </w:r>
      <w:r w:rsidR="007A5EF9" w:rsidRPr="00AE652A">
        <w:rPr>
          <w:rFonts w:ascii="Times New Roman" w:hAnsi="Times New Roman" w:cs="Times New Roman"/>
          <w:sz w:val="20"/>
          <w:szCs w:val="20"/>
        </w:rPr>
        <w:t xml:space="preserve"> </w:t>
      </w:r>
      <w:r w:rsidR="00D5375D" w:rsidRPr="00AE652A">
        <w:rPr>
          <w:rFonts w:ascii="Times New Roman" w:hAnsi="Times New Roman" w:cs="Times New Roman"/>
          <w:sz w:val="20"/>
          <w:szCs w:val="20"/>
        </w:rPr>
        <w:t>the tests in Table</w:t>
      </w:r>
      <w:r w:rsidR="00072BC4">
        <w:rPr>
          <w:rFonts w:ascii="Times New Roman" w:hAnsi="Times New Roman" w:cs="Times New Roman"/>
          <w:sz w:val="20"/>
          <w:szCs w:val="20"/>
        </w:rPr>
        <w:t>s 3-</w:t>
      </w:r>
      <w:r w:rsidR="00D5375D">
        <w:rPr>
          <w:rFonts w:ascii="Times New Roman" w:hAnsi="Times New Roman" w:cs="Times New Roman"/>
          <w:sz w:val="20"/>
          <w:szCs w:val="20"/>
        </w:rPr>
        <w:t>5 by</w:t>
      </w:r>
      <w:r w:rsidR="00D5375D" w:rsidRPr="00AE652A">
        <w:rPr>
          <w:rFonts w:ascii="Times New Roman" w:hAnsi="Times New Roman" w:cs="Times New Roman"/>
          <w:sz w:val="20"/>
          <w:szCs w:val="20"/>
        </w:rPr>
        <w:t xml:space="preserve"> </w:t>
      </w:r>
      <w:r w:rsidR="00B623B1" w:rsidRPr="00F15FF6">
        <w:rPr>
          <w:rFonts w:ascii="Times New Roman" w:hAnsi="Times New Roman" w:cs="Times New Roman"/>
          <w:sz w:val="20"/>
          <w:szCs w:val="20"/>
        </w:rPr>
        <w:t>replac</w:t>
      </w:r>
      <w:r w:rsidR="00D5375D" w:rsidRPr="00F15FF6">
        <w:rPr>
          <w:rFonts w:ascii="Times New Roman" w:hAnsi="Times New Roman" w:cs="Times New Roman"/>
          <w:sz w:val="20"/>
          <w:szCs w:val="20"/>
        </w:rPr>
        <w:t>ing</w:t>
      </w:r>
      <w:r w:rsidR="00B623B1" w:rsidRPr="00F15FF6">
        <w:rPr>
          <w:rFonts w:ascii="Times New Roman" w:hAnsi="Times New Roman" w:cs="Times New Roman"/>
          <w:sz w:val="20"/>
          <w:szCs w:val="20"/>
        </w:rPr>
        <w:t xml:space="preserve"> the actual non-operating earnings </w:t>
      </w:r>
      <w:r w:rsidR="00574E4D">
        <w:rPr>
          <w:rFonts w:ascii="Times New Roman" w:hAnsi="Times New Roman" w:cs="Times New Roman"/>
          <w:sz w:val="20"/>
          <w:szCs w:val="20"/>
        </w:rPr>
        <w:t>(</w:t>
      </w:r>
      <w:r w:rsidR="00574E4D" w:rsidRPr="005F4D86">
        <w:rPr>
          <w:rFonts w:ascii="Times New Roman" w:hAnsi="Times New Roman" w:cs="Times New Roman"/>
          <w:i/>
          <w:sz w:val="20"/>
          <w:szCs w:val="20"/>
        </w:rPr>
        <w:t>NONOPERINC</w:t>
      </w:r>
      <w:r w:rsidR="00574E4D">
        <w:rPr>
          <w:rFonts w:ascii="Times New Roman" w:hAnsi="Times New Roman" w:cs="Times New Roman"/>
          <w:i/>
          <w:sz w:val="20"/>
          <w:szCs w:val="20"/>
        </w:rPr>
        <w:t>)</w:t>
      </w:r>
      <w:r w:rsidR="00574E4D" w:rsidRPr="00072BC4">
        <w:rPr>
          <w:rFonts w:ascii="Times New Roman" w:hAnsi="Times New Roman" w:cs="Times New Roman"/>
          <w:sz w:val="20"/>
          <w:szCs w:val="20"/>
        </w:rPr>
        <w:t xml:space="preserve"> </w:t>
      </w:r>
      <w:r w:rsidR="00B623B1" w:rsidRPr="00F15FF6">
        <w:rPr>
          <w:rFonts w:ascii="Times New Roman" w:hAnsi="Times New Roman" w:cs="Times New Roman"/>
          <w:sz w:val="20"/>
          <w:szCs w:val="20"/>
        </w:rPr>
        <w:t xml:space="preserve">with </w:t>
      </w:r>
      <w:r w:rsidR="003D0448">
        <w:rPr>
          <w:rFonts w:ascii="Times New Roman" w:hAnsi="Times New Roman" w:cs="Times New Roman"/>
          <w:sz w:val="20"/>
          <w:szCs w:val="20"/>
        </w:rPr>
        <w:t>the</w:t>
      </w:r>
      <w:r w:rsidR="00B623B1" w:rsidRPr="00F15FF6">
        <w:rPr>
          <w:rFonts w:ascii="Times New Roman" w:hAnsi="Times New Roman" w:cs="Times New Roman"/>
          <w:sz w:val="20"/>
          <w:szCs w:val="20"/>
        </w:rPr>
        <w:t xml:space="preserve"> predicted value</w:t>
      </w:r>
      <w:r w:rsidR="003D0448">
        <w:rPr>
          <w:rFonts w:ascii="Times New Roman" w:hAnsi="Times New Roman" w:cs="Times New Roman"/>
          <w:sz w:val="20"/>
          <w:szCs w:val="20"/>
        </w:rPr>
        <w:t>s</w:t>
      </w:r>
      <w:r w:rsidR="00B623B1" w:rsidRPr="00F15FF6">
        <w:rPr>
          <w:rFonts w:ascii="Times New Roman" w:hAnsi="Times New Roman" w:cs="Times New Roman"/>
          <w:sz w:val="20"/>
          <w:szCs w:val="20"/>
        </w:rPr>
        <w:t xml:space="preserve"> from the first stage regression. </w:t>
      </w:r>
      <w:r w:rsidR="00714B86" w:rsidRPr="005F4D86">
        <w:rPr>
          <w:rFonts w:ascii="Times New Roman" w:hAnsi="Times New Roman" w:cs="Times New Roman"/>
          <w:sz w:val="20"/>
          <w:szCs w:val="20"/>
        </w:rPr>
        <w:t>ROA volatility (</w:t>
      </w:r>
      <w:r w:rsidR="00714B86" w:rsidRPr="007E7581">
        <w:rPr>
          <w:rFonts w:ascii="Times New Roman" w:hAnsi="Times New Roman" w:cs="Times New Roman"/>
          <w:i/>
          <w:sz w:val="20"/>
          <w:szCs w:val="20"/>
        </w:rPr>
        <w:t>ROAVOL</w:t>
      </w:r>
      <w:r w:rsidR="00714B86" w:rsidRPr="005F4D86">
        <w:rPr>
          <w:rFonts w:ascii="Times New Roman" w:hAnsi="Times New Roman" w:cs="Times New Roman"/>
          <w:sz w:val="20"/>
          <w:szCs w:val="20"/>
        </w:rPr>
        <w:t>) is the standard deviation of return on assets over 5 years (from year -4 to the current fiscal year).</w:t>
      </w:r>
      <w:r w:rsidR="00714B86" w:rsidRPr="00F15FF6">
        <w:rPr>
          <w:rFonts w:ascii="Times New Roman" w:hAnsi="Times New Roman" w:cs="Times New Roman"/>
          <w:sz w:val="20"/>
          <w:szCs w:val="20"/>
        </w:rPr>
        <w:t xml:space="preserve"> </w:t>
      </w:r>
      <w:r w:rsidR="00253677">
        <w:rPr>
          <w:rFonts w:ascii="Times New Roman" w:hAnsi="Times New Roman" w:cs="Times New Roman"/>
          <w:sz w:val="20"/>
          <w:szCs w:val="20"/>
        </w:rPr>
        <w:t>T</w:t>
      </w:r>
      <w:r w:rsidR="00253677" w:rsidRPr="005F4D86">
        <w:rPr>
          <w:rFonts w:ascii="Times New Roman" w:hAnsi="Times New Roman" w:cs="Times New Roman"/>
          <w:sz w:val="20"/>
          <w:szCs w:val="20"/>
        </w:rPr>
        <w:t>otal risk</w:t>
      </w:r>
      <w:r w:rsidR="00253677" w:rsidRPr="00F15FF6">
        <w:rPr>
          <w:rFonts w:ascii="Times New Roman" w:hAnsi="Times New Roman" w:cs="Times New Roman"/>
          <w:sz w:val="20"/>
          <w:szCs w:val="20"/>
        </w:rPr>
        <w:t xml:space="preserve"> (</w:t>
      </w:r>
      <w:r w:rsidR="00253677" w:rsidRPr="007E7581">
        <w:rPr>
          <w:rFonts w:ascii="Times New Roman" w:hAnsi="Times New Roman" w:cs="Times New Roman"/>
          <w:i/>
          <w:sz w:val="20"/>
          <w:szCs w:val="20"/>
        </w:rPr>
        <w:t>TOTRISK</w:t>
      </w:r>
      <w:r w:rsidR="00253677" w:rsidRPr="00F15FF6">
        <w:rPr>
          <w:rFonts w:ascii="Times New Roman" w:hAnsi="Times New Roman" w:cs="Times New Roman"/>
          <w:sz w:val="20"/>
          <w:szCs w:val="20"/>
        </w:rPr>
        <w:t>)</w:t>
      </w:r>
      <w:r w:rsidR="00714B86" w:rsidRPr="005F4D86">
        <w:rPr>
          <w:rFonts w:ascii="Times New Roman" w:hAnsi="Times New Roman" w:cs="Times New Roman"/>
          <w:sz w:val="20"/>
          <w:szCs w:val="20"/>
        </w:rPr>
        <w:t xml:space="preserve"> is the annualized standard deviation of the daily stock returns in the year. </w:t>
      </w:r>
      <w:r w:rsidR="00FC6F5C" w:rsidRPr="00D05DBE">
        <w:rPr>
          <w:rFonts w:ascii="Times New Roman" w:hAnsi="Times New Roman" w:cs="Times New Roman"/>
          <w:sz w:val="20"/>
          <w:szCs w:val="20"/>
        </w:rPr>
        <w:t>Idiosyncratic</w:t>
      </w:r>
      <w:r w:rsidR="00FC6F5C" w:rsidRPr="005F4D86">
        <w:rPr>
          <w:rFonts w:ascii="Times New Roman" w:hAnsi="Times New Roman" w:cs="Times New Roman"/>
          <w:sz w:val="20"/>
          <w:szCs w:val="20"/>
        </w:rPr>
        <w:t xml:space="preserve"> risk</w:t>
      </w:r>
      <w:r w:rsidR="00FC6F5C">
        <w:rPr>
          <w:rFonts w:ascii="Times New Roman" w:hAnsi="Times New Roman" w:cs="Times New Roman"/>
          <w:sz w:val="20"/>
          <w:szCs w:val="20"/>
        </w:rPr>
        <w:t xml:space="preserve"> (</w:t>
      </w:r>
      <w:r w:rsidR="00FC6F5C" w:rsidRPr="007E7581">
        <w:rPr>
          <w:rFonts w:ascii="Times New Roman" w:hAnsi="Times New Roman" w:cs="Times New Roman"/>
          <w:i/>
          <w:sz w:val="20"/>
          <w:szCs w:val="20"/>
        </w:rPr>
        <w:t>IDIORISK</w:t>
      </w:r>
      <w:r w:rsidR="00FC6F5C" w:rsidRPr="00F15FF6">
        <w:rPr>
          <w:rFonts w:ascii="Times New Roman" w:hAnsi="Times New Roman" w:cs="Times New Roman"/>
          <w:sz w:val="20"/>
          <w:szCs w:val="20"/>
        </w:rPr>
        <w:t xml:space="preserve">) </w:t>
      </w:r>
      <w:r w:rsidR="00714B86" w:rsidRPr="005F4D86">
        <w:rPr>
          <w:rFonts w:ascii="Times New Roman" w:hAnsi="Times New Roman" w:cs="Times New Roman"/>
          <w:sz w:val="20"/>
          <w:szCs w:val="20"/>
        </w:rPr>
        <w:t xml:space="preserve">is the annualized standard deviation of the residuals from the </w:t>
      </w:r>
      <w:proofErr w:type="spellStart"/>
      <w:r w:rsidR="00714B86" w:rsidRPr="005F4D86">
        <w:rPr>
          <w:rFonts w:ascii="Times New Roman" w:hAnsi="Times New Roman" w:cs="Times New Roman"/>
          <w:sz w:val="20"/>
          <w:szCs w:val="20"/>
        </w:rPr>
        <w:t>Fama</w:t>
      </w:r>
      <w:proofErr w:type="spellEnd"/>
      <w:r w:rsidR="00714B86" w:rsidRPr="005F4D86">
        <w:rPr>
          <w:rFonts w:ascii="Times New Roman" w:hAnsi="Times New Roman" w:cs="Times New Roman"/>
          <w:sz w:val="20"/>
          <w:szCs w:val="20"/>
        </w:rPr>
        <w:t>-French 4-factor model using daily stock returns in the year.</w:t>
      </w:r>
      <w:r w:rsidR="00714B86" w:rsidRPr="00F15FF6">
        <w:rPr>
          <w:rFonts w:ascii="Times New Roman" w:hAnsi="Times New Roman" w:cs="Times New Roman"/>
          <w:sz w:val="20"/>
          <w:szCs w:val="20"/>
        </w:rPr>
        <w:t xml:space="preserve"> </w:t>
      </w:r>
      <w:r w:rsidR="00714B86" w:rsidRPr="007E7581">
        <w:rPr>
          <w:rFonts w:ascii="Times New Roman" w:hAnsi="Times New Roman" w:cs="Times New Roman"/>
          <w:i/>
          <w:sz w:val="20"/>
          <w:szCs w:val="20"/>
        </w:rPr>
        <w:t>NCSKEW</w:t>
      </w:r>
      <w:r w:rsidR="00714B86" w:rsidRPr="005F4D86">
        <w:rPr>
          <w:rFonts w:ascii="Times New Roman" w:hAnsi="Times New Roman" w:cs="Times New Roman"/>
          <w:sz w:val="20"/>
          <w:szCs w:val="20"/>
        </w:rPr>
        <w:t xml:space="preserve"> is the negative conditional skewness of firm-specific weekly return, calculated as the negative third central moment of firm-specific weekly returns divided by the cubed standard deviation of firm-specific weekly returns.</w:t>
      </w:r>
      <w:r w:rsidR="00714B86" w:rsidRPr="00F15FF6">
        <w:rPr>
          <w:rFonts w:ascii="Times New Roman" w:hAnsi="Times New Roman" w:cs="Times New Roman"/>
          <w:sz w:val="20"/>
          <w:szCs w:val="20"/>
        </w:rPr>
        <w:t xml:space="preserve"> </w:t>
      </w:r>
      <w:r w:rsidR="00714B86" w:rsidRPr="005F4D86">
        <w:rPr>
          <w:rFonts w:ascii="Times New Roman" w:hAnsi="Times New Roman" w:cs="Times New Roman"/>
          <w:sz w:val="20"/>
          <w:szCs w:val="20"/>
        </w:rPr>
        <w:t xml:space="preserve"> </w:t>
      </w:r>
      <w:r w:rsidR="006713AE" w:rsidRPr="005F4D86">
        <w:rPr>
          <w:rFonts w:ascii="Times New Roman" w:hAnsi="Times New Roman" w:cs="Times New Roman"/>
          <w:sz w:val="20"/>
          <w:szCs w:val="20"/>
        </w:rPr>
        <w:t>Firm fixed effects and year fixed effects are included. We calculate the significance levels of the variables using standard errors adjusted for firm clustering effects.</w:t>
      </w:r>
      <w:r w:rsidR="006713AE">
        <w:rPr>
          <w:rFonts w:ascii="Times New Roman" w:hAnsi="Times New Roman" w:cs="Times New Roman"/>
          <w:sz w:val="20"/>
          <w:szCs w:val="20"/>
        </w:rPr>
        <w:t xml:space="preserve"> </w:t>
      </w:r>
      <w:r w:rsidR="00953DA0" w:rsidRPr="005F4D86">
        <w:rPr>
          <w:rFonts w:ascii="Times New Roman" w:hAnsi="Times New Roman" w:cs="Times New Roman"/>
          <w:sz w:val="20"/>
          <w:szCs w:val="20"/>
        </w:rPr>
        <w:t xml:space="preserve">For brevity, only coefficients on </w:t>
      </w:r>
      <w:r w:rsidR="00953DA0" w:rsidRPr="005F4D86">
        <w:rPr>
          <w:rFonts w:ascii="Times New Roman" w:hAnsi="Times New Roman" w:cs="Times New Roman"/>
          <w:i/>
          <w:sz w:val="20"/>
          <w:szCs w:val="20"/>
        </w:rPr>
        <w:t>NONOPERINC</w:t>
      </w:r>
      <w:r w:rsidR="00953DA0" w:rsidRPr="005F4D86">
        <w:rPr>
          <w:rFonts w:ascii="Times New Roman" w:hAnsi="Times New Roman" w:cs="Times New Roman"/>
          <w:sz w:val="20"/>
          <w:szCs w:val="20"/>
        </w:rPr>
        <w:t xml:space="preserve"> and </w:t>
      </w:r>
      <w:r w:rsidR="00953DA0" w:rsidRPr="005F4D86">
        <w:rPr>
          <w:rFonts w:ascii="Times New Roman" w:hAnsi="Times New Roman" w:cs="Times New Roman"/>
          <w:i/>
          <w:sz w:val="20"/>
          <w:szCs w:val="20"/>
        </w:rPr>
        <w:t>OPERINC</w:t>
      </w:r>
      <w:r w:rsidR="00953DA0" w:rsidRPr="005F4D86">
        <w:rPr>
          <w:rFonts w:ascii="Times New Roman" w:hAnsi="Times New Roman" w:cs="Times New Roman"/>
          <w:sz w:val="20"/>
          <w:szCs w:val="20"/>
        </w:rPr>
        <w:t xml:space="preserve"> are reported</w:t>
      </w:r>
      <w:r w:rsidR="00714B86" w:rsidRPr="005F4D86">
        <w:rPr>
          <w:rFonts w:ascii="Times New Roman" w:hAnsi="Times New Roman" w:cs="Times New Roman"/>
          <w:sz w:val="20"/>
          <w:szCs w:val="20"/>
        </w:rPr>
        <w:t xml:space="preserve"> in </w:t>
      </w:r>
      <w:r w:rsidR="007E7581">
        <w:rPr>
          <w:rFonts w:ascii="Times New Roman" w:hAnsi="Times New Roman" w:cs="Times New Roman"/>
          <w:sz w:val="20"/>
          <w:szCs w:val="20"/>
        </w:rPr>
        <w:t>Panel B</w:t>
      </w:r>
      <w:r w:rsidR="00714B86" w:rsidRPr="005F4D86">
        <w:rPr>
          <w:rFonts w:ascii="Times New Roman" w:hAnsi="Times New Roman" w:cs="Times New Roman"/>
          <w:sz w:val="20"/>
          <w:szCs w:val="20"/>
        </w:rPr>
        <w:t>. *, ** and *** indicate the significance</w:t>
      </w:r>
      <w:r w:rsidR="00714B86" w:rsidRPr="00893E6D">
        <w:rPr>
          <w:rFonts w:ascii="Times New Roman" w:hAnsi="Times New Roman" w:cs="Times New Roman"/>
          <w:sz w:val="20"/>
          <w:szCs w:val="20"/>
        </w:rPr>
        <w:t xml:space="preserve"> levels of 10%, 5% and 1%, respectively.</w:t>
      </w:r>
      <w:r w:rsidR="00714B86">
        <w:rPr>
          <w:rFonts w:ascii="Times New Roman" w:hAnsi="Times New Roman" w:cs="Times New Roman"/>
          <w:sz w:val="20"/>
          <w:szCs w:val="20"/>
        </w:rPr>
        <w:t xml:space="preserve"> </w:t>
      </w:r>
      <w:r w:rsidR="00714B86">
        <w:rPr>
          <w:rFonts w:ascii="Times New Roman" w:hAnsi="Times New Roman" w:cs="Times New Roman"/>
          <w:sz w:val="20"/>
          <w:szCs w:val="20"/>
        </w:rPr>
        <w:br w:type="page"/>
      </w:r>
    </w:p>
    <w:tbl>
      <w:tblPr>
        <w:tblW w:w="5000" w:type="pct"/>
        <w:tblLayout w:type="fixed"/>
        <w:tblLook w:val="04A0" w:firstRow="1" w:lastRow="0" w:firstColumn="1" w:lastColumn="0" w:noHBand="0" w:noVBand="1"/>
      </w:tblPr>
      <w:tblGrid>
        <w:gridCol w:w="3674"/>
        <w:gridCol w:w="1421"/>
        <w:gridCol w:w="1421"/>
        <w:gridCol w:w="1421"/>
        <w:gridCol w:w="1423"/>
      </w:tblGrid>
      <w:tr w:rsidR="0006491D" w:rsidRPr="00D23517" w14:paraId="54C060FC" w14:textId="77777777" w:rsidTr="00626B11">
        <w:trPr>
          <w:trHeight w:val="260"/>
        </w:trPr>
        <w:tc>
          <w:tcPr>
            <w:tcW w:w="5000" w:type="pct"/>
            <w:gridSpan w:val="5"/>
            <w:tcBorders>
              <w:left w:val="nil"/>
              <w:bottom w:val="single" w:sz="4" w:space="0" w:color="auto"/>
              <w:right w:val="nil"/>
            </w:tcBorders>
            <w:shd w:val="clear" w:color="auto" w:fill="auto"/>
            <w:noWrap/>
            <w:vAlign w:val="bottom"/>
          </w:tcPr>
          <w:p w14:paraId="0D2B64A2" w14:textId="720875E9" w:rsidR="0006491D" w:rsidRPr="00D23517" w:rsidRDefault="001734AA" w:rsidP="00714B86">
            <w:pPr>
              <w:pBdr>
                <w:bottom w:val="single" w:sz="4" w:space="1" w:color="auto"/>
              </w:pBdr>
              <w:spacing w:after="0" w:line="240" w:lineRule="auto"/>
              <w:jc w:val="both"/>
              <w:rPr>
                <w:rFonts w:ascii="Times New Roman" w:eastAsia="Times New Roman" w:hAnsi="Times New Roman" w:cs="Times New Roman"/>
                <w:b/>
                <w:bCs/>
                <w:i/>
                <w:iCs/>
                <w:sz w:val="24"/>
                <w:szCs w:val="24"/>
              </w:rPr>
            </w:pPr>
            <w:r w:rsidRPr="00D23517">
              <w:rPr>
                <w:rFonts w:ascii="Times New Roman" w:hAnsi="Times New Roman" w:cs="Times New Roman"/>
                <w:sz w:val="20"/>
                <w:szCs w:val="20"/>
              </w:rPr>
              <w:lastRenderedPageBreak/>
              <w:br w:type="page"/>
            </w:r>
            <w:r w:rsidR="0006491D" w:rsidRPr="00D23517">
              <w:rPr>
                <w:rFonts w:ascii="Times New Roman" w:hAnsi="Times New Roman" w:cs="Times New Roman"/>
                <w:b/>
                <w:sz w:val="24"/>
                <w:szCs w:val="24"/>
              </w:rPr>
              <w:t xml:space="preserve">Table </w:t>
            </w:r>
            <w:r w:rsidR="00696DC0" w:rsidRPr="00D23517">
              <w:rPr>
                <w:rFonts w:ascii="Times New Roman" w:hAnsi="Times New Roman" w:cs="Times New Roman"/>
                <w:b/>
                <w:sz w:val="24"/>
                <w:szCs w:val="24"/>
              </w:rPr>
              <w:t>8</w:t>
            </w:r>
            <w:r w:rsidR="00714B86" w:rsidRPr="00D23517">
              <w:rPr>
                <w:rFonts w:ascii="Times New Roman" w:hAnsi="Times New Roman" w:cs="Times New Roman"/>
                <w:b/>
                <w:sz w:val="24"/>
                <w:szCs w:val="24"/>
              </w:rPr>
              <w:t xml:space="preserve">: </w:t>
            </w:r>
            <w:r w:rsidR="0006491D" w:rsidRPr="00D23517">
              <w:rPr>
                <w:rFonts w:ascii="Times New Roman" w:hAnsi="Times New Roman" w:cs="Times New Roman"/>
                <w:b/>
                <w:sz w:val="24"/>
                <w:szCs w:val="24"/>
              </w:rPr>
              <w:t xml:space="preserve">Components of </w:t>
            </w:r>
            <w:r w:rsidR="002A1376" w:rsidRPr="00D23517">
              <w:rPr>
                <w:rFonts w:ascii="Times New Roman" w:hAnsi="Times New Roman" w:cs="Times New Roman"/>
                <w:b/>
                <w:sz w:val="24"/>
                <w:szCs w:val="24"/>
              </w:rPr>
              <w:t>non</w:t>
            </w:r>
            <w:r w:rsidR="0006491D" w:rsidRPr="00D23517">
              <w:rPr>
                <w:rFonts w:ascii="Times New Roman" w:hAnsi="Times New Roman" w:cs="Times New Roman"/>
                <w:b/>
                <w:sz w:val="24"/>
                <w:szCs w:val="24"/>
              </w:rPr>
              <w:t>-</w:t>
            </w:r>
            <w:r w:rsidR="002A1376" w:rsidRPr="00D23517">
              <w:rPr>
                <w:rFonts w:ascii="Times New Roman" w:hAnsi="Times New Roman" w:cs="Times New Roman"/>
                <w:b/>
                <w:sz w:val="24"/>
                <w:szCs w:val="24"/>
              </w:rPr>
              <w:t>operating earnings</w:t>
            </w:r>
            <w:r w:rsidR="00991932">
              <w:rPr>
                <w:rFonts w:ascii="Times New Roman" w:hAnsi="Times New Roman" w:cs="Times New Roman"/>
                <w:b/>
                <w:sz w:val="24"/>
                <w:szCs w:val="24"/>
              </w:rPr>
              <w:t xml:space="preserve"> and firm risk </w:t>
            </w:r>
          </w:p>
        </w:tc>
      </w:tr>
      <w:tr w:rsidR="0006491D" w:rsidRPr="00D23517" w14:paraId="11B03522" w14:textId="77777777" w:rsidTr="00626B11">
        <w:trPr>
          <w:trHeight w:val="260"/>
        </w:trPr>
        <w:tc>
          <w:tcPr>
            <w:tcW w:w="1963" w:type="pct"/>
            <w:tcBorders>
              <w:top w:val="single" w:sz="4" w:space="0" w:color="auto"/>
              <w:left w:val="nil"/>
              <w:bottom w:val="single" w:sz="4" w:space="0" w:color="auto"/>
              <w:right w:val="nil"/>
            </w:tcBorders>
            <w:shd w:val="clear" w:color="auto" w:fill="auto"/>
            <w:noWrap/>
            <w:vAlign w:val="bottom"/>
            <w:hideMark/>
          </w:tcPr>
          <w:p w14:paraId="73557DFC" w14:textId="77777777" w:rsidR="0006491D" w:rsidRPr="00D23517" w:rsidRDefault="0006491D" w:rsidP="00A1062B">
            <w:pPr>
              <w:spacing w:after="0" w:line="240" w:lineRule="auto"/>
              <w:jc w:val="both"/>
              <w:rPr>
                <w:rFonts w:ascii="Times New Roman" w:eastAsia="Times New Roman" w:hAnsi="Times New Roman" w:cs="Times New Roman"/>
                <w:b/>
                <w:bCs/>
                <w:i/>
                <w:iCs/>
                <w:sz w:val="20"/>
                <w:szCs w:val="20"/>
              </w:rPr>
            </w:pPr>
            <w:r w:rsidRPr="00D23517">
              <w:rPr>
                <w:rFonts w:ascii="Times New Roman" w:eastAsia="Times New Roman" w:hAnsi="Times New Roman" w:cs="Times New Roman"/>
                <w:b/>
                <w:bCs/>
                <w:i/>
                <w:iCs/>
                <w:sz w:val="20"/>
                <w:szCs w:val="20"/>
              </w:rPr>
              <w:t>VARIABLES</w:t>
            </w:r>
          </w:p>
        </w:tc>
        <w:tc>
          <w:tcPr>
            <w:tcW w:w="759" w:type="pct"/>
            <w:tcBorders>
              <w:top w:val="single" w:sz="4" w:space="0" w:color="auto"/>
              <w:left w:val="nil"/>
              <w:bottom w:val="single" w:sz="4" w:space="0" w:color="auto"/>
              <w:right w:val="nil"/>
            </w:tcBorders>
            <w:shd w:val="clear" w:color="auto" w:fill="auto"/>
            <w:noWrap/>
            <w:vAlign w:val="bottom"/>
            <w:hideMark/>
          </w:tcPr>
          <w:p w14:paraId="31CF0F9A" w14:textId="77777777" w:rsidR="0006491D" w:rsidRPr="00D23517" w:rsidRDefault="0006491D" w:rsidP="00A1062B">
            <w:pPr>
              <w:spacing w:after="0" w:line="240" w:lineRule="auto"/>
              <w:jc w:val="both"/>
              <w:rPr>
                <w:rFonts w:ascii="Times New Roman" w:eastAsia="Times New Roman" w:hAnsi="Times New Roman" w:cs="Times New Roman"/>
                <w:b/>
                <w:bCs/>
                <w:i/>
                <w:iCs/>
                <w:sz w:val="20"/>
                <w:szCs w:val="20"/>
              </w:rPr>
            </w:pPr>
            <w:r w:rsidRPr="00D23517">
              <w:rPr>
                <w:rFonts w:ascii="Times New Roman" w:eastAsia="Times New Roman" w:hAnsi="Times New Roman" w:cs="Times New Roman"/>
                <w:b/>
                <w:bCs/>
                <w:i/>
                <w:iCs/>
                <w:sz w:val="20"/>
                <w:szCs w:val="20"/>
              </w:rPr>
              <w:t>ROAVOL</w:t>
            </w:r>
          </w:p>
        </w:tc>
        <w:tc>
          <w:tcPr>
            <w:tcW w:w="759" w:type="pct"/>
            <w:tcBorders>
              <w:top w:val="single" w:sz="4" w:space="0" w:color="auto"/>
              <w:left w:val="nil"/>
              <w:bottom w:val="single" w:sz="4" w:space="0" w:color="auto"/>
              <w:right w:val="nil"/>
            </w:tcBorders>
            <w:shd w:val="clear" w:color="auto" w:fill="auto"/>
            <w:noWrap/>
            <w:vAlign w:val="bottom"/>
            <w:hideMark/>
          </w:tcPr>
          <w:p w14:paraId="6F9665E0" w14:textId="77777777" w:rsidR="0006491D" w:rsidRPr="00D23517" w:rsidRDefault="0006491D" w:rsidP="00A1062B">
            <w:pPr>
              <w:spacing w:after="0" w:line="240" w:lineRule="auto"/>
              <w:jc w:val="both"/>
              <w:rPr>
                <w:rFonts w:ascii="Times New Roman" w:eastAsia="Times New Roman" w:hAnsi="Times New Roman" w:cs="Times New Roman"/>
                <w:b/>
                <w:bCs/>
                <w:i/>
                <w:iCs/>
                <w:sz w:val="20"/>
                <w:szCs w:val="20"/>
              </w:rPr>
            </w:pPr>
            <w:r w:rsidRPr="00D23517">
              <w:rPr>
                <w:rFonts w:ascii="Times New Roman" w:eastAsia="Times New Roman" w:hAnsi="Times New Roman" w:cs="Times New Roman"/>
                <w:b/>
                <w:bCs/>
                <w:i/>
                <w:iCs/>
                <w:sz w:val="20"/>
                <w:szCs w:val="20"/>
              </w:rPr>
              <w:t>TOTRISK</w:t>
            </w:r>
          </w:p>
        </w:tc>
        <w:tc>
          <w:tcPr>
            <w:tcW w:w="759" w:type="pct"/>
            <w:tcBorders>
              <w:top w:val="single" w:sz="4" w:space="0" w:color="auto"/>
              <w:left w:val="nil"/>
              <w:bottom w:val="single" w:sz="4" w:space="0" w:color="auto"/>
              <w:right w:val="nil"/>
            </w:tcBorders>
            <w:shd w:val="clear" w:color="auto" w:fill="auto"/>
            <w:noWrap/>
            <w:vAlign w:val="bottom"/>
            <w:hideMark/>
          </w:tcPr>
          <w:p w14:paraId="77CF47E5" w14:textId="77777777" w:rsidR="0006491D" w:rsidRPr="00D23517" w:rsidRDefault="0006491D" w:rsidP="00A1062B">
            <w:pPr>
              <w:spacing w:after="0" w:line="240" w:lineRule="auto"/>
              <w:jc w:val="both"/>
              <w:rPr>
                <w:rFonts w:ascii="Times New Roman" w:eastAsia="Times New Roman" w:hAnsi="Times New Roman" w:cs="Times New Roman"/>
                <w:b/>
                <w:bCs/>
                <w:i/>
                <w:iCs/>
                <w:sz w:val="20"/>
                <w:szCs w:val="20"/>
              </w:rPr>
            </w:pPr>
            <w:r w:rsidRPr="00D23517">
              <w:rPr>
                <w:rFonts w:ascii="Times New Roman" w:eastAsia="Times New Roman" w:hAnsi="Times New Roman" w:cs="Times New Roman"/>
                <w:b/>
                <w:bCs/>
                <w:i/>
                <w:iCs/>
                <w:sz w:val="20"/>
                <w:szCs w:val="20"/>
              </w:rPr>
              <w:t>IDIORISK</w:t>
            </w:r>
          </w:p>
        </w:tc>
        <w:tc>
          <w:tcPr>
            <w:tcW w:w="760" w:type="pct"/>
            <w:tcBorders>
              <w:top w:val="single" w:sz="4" w:space="0" w:color="auto"/>
              <w:left w:val="nil"/>
              <w:bottom w:val="single" w:sz="4" w:space="0" w:color="auto"/>
              <w:right w:val="nil"/>
            </w:tcBorders>
            <w:shd w:val="clear" w:color="auto" w:fill="auto"/>
            <w:noWrap/>
            <w:vAlign w:val="bottom"/>
            <w:hideMark/>
          </w:tcPr>
          <w:p w14:paraId="66061067" w14:textId="77777777" w:rsidR="0006491D" w:rsidRPr="00D23517" w:rsidRDefault="0006491D" w:rsidP="00A1062B">
            <w:pPr>
              <w:spacing w:after="0" w:line="240" w:lineRule="auto"/>
              <w:jc w:val="both"/>
              <w:rPr>
                <w:rFonts w:ascii="Times New Roman" w:eastAsia="Times New Roman" w:hAnsi="Times New Roman" w:cs="Times New Roman"/>
                <w:b/>
                <w:bCs/>
                <w:i/>
                <w:iCs/>
                <w:sz w:val="20"/>
                <w:szCs w:val="20"/>
              </w:rPr>
            </w:pPr>
            <w:r w:rsidRPr="00D23517">
              <w:rPr>
                <w:rFonts w:ascii="Times New Roman" w:eastAsia="Times New Roman" w:hAnsi="Times New Roman" w:cs="Times New Roman"/>
                <w:b/>
                <w:bCs/>
                <w:i/>
                <w:iCs/>
                <w:sz w:val="20"/>
                <w:szCs w:val="20"/>
              </w:rPr>
              <w:t>NCSKEW</w:t>
            </w:r>
          </w:p>
        </w:tc>
      </w:tr>
      <w:tr w:rsidR="0006491D" w:rsidRPr="00D23517" w14:paraId="0BFF3906" w14:textId="77777777" w:rsidTr="005E3678">
        <w:trPr>
          <w:trHeight w:val="260"/>
        </w:trPr>
        <w:tc>
          <w:tcPr>
            <w:tcW w:w="1963" w:type="pct"/>
            <w:tcBorders>
              <w:top w:val="single" w:sz="4" w:space="0" w:color="auto"/>
              <w:left w:val="nil"/>
              <w:bottom w:val="nil"/>
              <w:right w:val="nil"/>
            </w:tcBorders>
            <w:shd w:val="clear" w:color="auto" w:fill="auto"/>
            <w:noWrap/>
            <w:vAlign w:val="bottom"/>
            <w:hideMark/>
          </w:tcPr>
          <w:p w14:paraId="2FF31A8A" w14:textId="77777777" w:rsidR="0006491D" w:rsidRPr="00D23517" w:rsidRDefault="0006491D" w:rsidP="00A1062B">
            <w:pPr>
              <w:spacing w:after="0" w:line="240" w:lineRule="auto"/>
              <w:jc w:val="both"/>
              <w:rPr>
                <w:rFonts w:ascii="Times New Roman" w:eastAsia="Times New Roman" w:hAnsi="Times New Roman" w:cs="Times New Roman"/>
                <w:i/>
                <w:iCs/>
                <w:sz w:val="20"/>
                <w:szCs w:val="20"/>
              </w:rPr>
            </w:pPr>
            <w:r w:rsidRPr="00D23517">
              <w:rPr>
                <w:rFonts w:ascii="Times New Roman" w:eastAsia="Times New Roman" w:hAnsi="Times New Roman" w:cs="Times New Roman"/>
                <w:i/>
                <w:iCs/>
                <w:sz w:val="20"/>
                <w:szCs w:val="20"/>
              </w:rPr>
              <w:t>ESUB</w:t>
            </w:r>
          </w:p>
        </w:tc>
        <w:tc>
          <w:tcPr>
            <w:tcW w:w="759" w:type="pct"/>
            <w:tcBorders>
              <w:top w:val="single" w:sz="4" w:space="0" w:color="auto"/>
              <w:left w:val="nil"/>
              <w:bottom w:val="nil"/>
              <w:right w:val="nil"/>
            </w:tcBorders>
            <w:shd w:val="clear" w:color="auto" w:fill="auto"/>
            <w:noWrap/>
            <w:vAlign w:val="bottom"/>
            <w:hideMark/>
          </w:tcPr>
          <w:p w14:paraId="1C4DFB06"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-0.015</w:t>
            </w:r>
          </w:p>
        </w:tc>
        <w:tc>
          <w:tcPr>
            <w:tcW w:w="759" w:type="pct"/>
            <w:tcBorders>
              <w:top w:val="single" w:sz="4" w:space="0" w:color="auto"/>
              <w:left w:val="nil"/>
              <w:bottom w:val="nil"/>
              <w:right w:val="nil"/>
            </w:tcBorders>
            <w:shd w:val="clear" w:color="auto" w:fill="auto"/>
            <w:noWrap/>
            <w:vAlign w:val="bottom"/>
            <w:hideMark/>
          </w:tcPr>
          <w:p w14:paraId="76A3D551"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-0.007</w:t>
            </w:r>
          </w:p>
        </w:tc>
        <w:tc>
          <w:tcPr>
            <w:tcW w:w="759" w:type="pct"/>
            <w:tcBorders>
              <w:top w:val="single" w:sz="4" w:space="0" w:color="auto"/>
              <w:left w:val="nil"/>
              <w:bottom w:val="nil"/>
              <w:right w:val="nil"/>
            </w:tcBorders>
            <w:shd w:val="clear" w:color="auto" w:fill="auto"/>
            <w:noWrap/>
            <w:vAlign w:val="bottom"/>
            <w:hideMark/>
          </w:tcPr>
          <w:p w14:paraId="063B70DA"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-0.006</w:t>
            </w:r>
          </w:p>
        </w:tc>
        <w:tc>
          <w:tcPr>
            <w:tcW w:w="760" w:type="pct"/>
            <w:tcBorders>
              <w:top w:val="single" w:sz="4" w:space="0" w:color="auto"/>
              <w:left w:val="nil"/>
              <w:bottom w:val="nil"/>
              <w:right w:val="nil"/>
            </w:tcBorders>
            <w:shd w:val="clear" w:color="auto" w:fill="auto"/>
            <w:noWrap/>
            <w:vAlign w:val="bottom"/>
            <w:hideMark/>
          </w:tcPr>
          <w:p w14:paraId="31650861"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-0.004</w:t>
            </w:r>
          </w:p>
        </w:tc>
      </w:tr>
      <w:tr w:rsidR="0006491D" w:rsidRPr="00D23517" w14:paraId="579CB7F9" w14:textId="77777777" w:rsidTr="005E3678">
        <w:trPr>
          <w:trHeight w:val="260"/>
        </w:trPr>
        <w:tc>
          <w:tcPr>
            <w:tcW w:w="1963" w:type="pct"/>
            <w:tcBorders>
              <w:top w:val="nil"/>
              <w:left w:val="nil"/>
              <w:bottom w:val="nil"/>
              <w:right w:val="nil"/>
            </w:tcBorders>
            <w:shd w:val="clear" w:color="auto" w:fill="auto"/>
            <w:noWrap/>
            <w:vAlign w:val="bottom"/>
            <w:hideMark/>
          </w:tcPr>
          <w:p w14:paraId="593B4F1B"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p>
        </w:tc>
        <w:tc>
          <w:tcPr>
            <w:tcW w:w="759" w:type="pct"/>
            <w:tcBorders>
              <w:top w:val="nil"/>
              <w:left w:val="nil"/>
              <w:bottom w:val="nil"/>
              <w:right w:val="nil"/>
            </w:tcBorders>
            <w:shd w:val="clear" w:color="auto" w:fill="auto"/>
            <w:noWrap/>
            <w:vAlign w:val="bottom"/>
            <w:hideMark/>
          </w:tcPr>
          <w:p w14:paraId="535693ED"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(-2.833***)</w:t>
            </w:r>
          </w:p>
        </w:tc>
        <w:tc>
          <w:tcPr>
            <w:tcW w:w="759" w:type="pct"/>
            <w:tcBorders>
              <w:top w:val="nil"/>
              <w:left w:val="nil"/>
              <w:bottom w:val="nil"/>
              <w:right w:val="nil"/>
            </w:tcBorders>
            <w:shd w:val="clear" w:color="auto" w:fill="auto"/>
            <w:noWrap/>
            <w:vAlign w:val="bottom"/>
            <w:hideMark/>
          </w:tcPr>
          <w:p w14:paraId="3B75D220"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(-1.776*)</w:t>
            </w:r>
          </w:p>
        </w:tc>
        <w:tc>
          <w:tcPr>
            <w:tcW w:w="759" w:type="pct"/>
            <w:tcBorders>
              <w:top w:val="nil"/>
              <w:left w:val="nil"/>
              <w:bottom w:val="nil"/>
              <w:right w:val="nil"/>
            </w:tcBorders>
            <w:shd w:val="clear" w:color="auto" w:fill="auto"/>
            <w:noWrap/>
            <w:vAlign w:val="bottom"/>
            <w:hideMark/>
          </w:tcPr>
          <w:p w14:paraId="320AE619"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(-1.754*)</w:t>
            </w:r>
          </w:p>
        </w:tc>
        <w:tc>
          <w:tcPr>
            <w:tcW w:w="760" w:type="pct"/>
            <w:tcBorders>
              <w:top w:val="nil"/>
              <w:left w:val="nil"/>
              <w:bottom w:val="nil"/>
              <w:right w:val="nil"/>
            </w:tcBorders>
            <w:shd w:val="clear" w:color="auto" w:fill="auto"/>
            <w:noWrap/>
            <w:vAlign w:val="bottom"/>
            <w:hideMark/>
          </w:tcPr>
          <w:p w14:paraId="672A2A11"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(-1.128)</w:t>
            </w:r>
          </w:p>
        </w:tc>
      </w:tr>
      <w:tr w:rsidR="0006491D" w:rsidRPr="00D23517" w14:paraId="5340FB6D" w14:textId="77777777" w:rsidTr="005E3678">
        <w:trPr>
          <w:trHeight w:val="260"/>
        </w:trPr>
        <w:tc>
          <w:tcPr>
            <w:tcW w:w="1963" w:type="pct"/>
            <w:tcBorders>
              <w:top w:val="nil"/>
              <w:left w:val="nil"/>
              <w:bottom w:val="nil"/>
              <w:right w:val="nil"/>
            </w:tcBorders>
            <w:shd w:val="clear" w:color="auto" w:fill="auto"/>
            <w:noWrap/>
            <w:vAlign w:val="bottom"/>
            <w:hideMark/>
          </w:tcPr>
          <w:p w14:paraId="324AB794" w14:textId="77777777" w:rsidR="0006491D" w:rsidRPr="00D23517" w:rsidRDefault="0006491D" w:rsidP="00A1062B">
            <w:pPr>
              <w:spacing w:after="0" w:line="240" w:lineRule="auto"/>
              <w:jc w:val="both"/>
              <w:rPr>
                <w:rFonts w:ascii="Times New Roman" w:eastAsia="Times New Roman" w:hAnsi="Times New Roman" w:cs="Times New Roman"/>
                <w:i/>
                <w:iCs/>
                <w:sz w:val="20"/>
                <w:szCs w:val="20"/>
              </w:rPr>
            </w:pPr>
            <w:r w:rsidRPr="00D23517">
              <w:rPr>
                <w:rFonts w:ascii="Times New Roman" w:eastAsia="Times New Roman" w:hAnsi="Times New Roman" w:cs="Times New Roman"/>
                <w:i/>
                <w:iCs/>
                <w:sz w:val="20"/>
                <w:szCs w:val="20"/>
              </w:rPr>
              <w:t>IRENT</w:t>
            </w:r>
          </w:p>
        </w:tc>
        <w:tc>
          <w:tcPr>
            <w:tcW w:w="759" w:type="pct"/>
            <w:tcBorders>
              <w:top w:val="nil"/>
              <w:left w:val="nil"/>
              <w:bottom w:val="nil"/>
              <w:right w:val="nil"/>
            </w:tcBorders>
            <w:shd w:val="clear" w:color="auto" w:fill="auto"/>
            <w:noWrap/>
            <w:vAlign w:val="bottom"/>
            <w:hideMark/>
          </w:tcPr>
          <w:p w14:paraId="777186B9"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0.001</w:t>
            </w:r>
          </w:p>
        </w:tc>
        <w:tc>
          <w:tcPr>
            <w:tcW w:w="759" w:type="pct"/>
            <w:tcBorders>
              <w:top w:val="nil"/>
              <w:left w:val="nil"/>
              <w:bottom w:val="nil"/>
              <w:right w:val="nil"/>
            </w:tcBorders>
            <w:shd w:val="clear" w:color="auto" w:fill="auto"/>
            <w:noWrap/>
            <w:vAlign w:val="bottom"/>
            <w:hideMark/>
          </w:tcPr>
          <w:p w14:paraId="594A5EDE"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0.006</w:t>
            </w:r>
          </w:p>
        </w:tc>
        <w:tc>
          <w:tcPr>
            <w:tcW w:w="759" w:type="pct"/>
            <w:tcBorders>
              <w:top w:val="nil"/>
              <w:left w:val="nil"/>
              <w:bottom w:val="nil"/>
              <w:right w:val="nil"/>
            </w:tcBorders>
            <w:shd w:val="clear" w:color="auto" w:fill="auto"/>
            <w:noWrap/>
            <w:vAlign w:val="bottom"/>
            <w:hideMark/>
          </w:tcPr>
          <w:p w14:paraId="152647A3"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0.006</w:t>
            </w:r>
          </w:p>
        </w:tc>
        <w:tc>
          <w:tcPr>
            <w:tcW w:w="760" w:type="pct"/>
            <w:tcBorders>
              <w:top w:val="nil"/>
              <w:left w:val="nil"/>
              <w:bottom w:val="nil"/>
              <w:right w:val="nil"/>
            </w:tcBorders>
            <w:shd w:val="clear" w:color="auto" w:fill="auto"/>
            <w:noWrap/>
            <w:vAlign w:val="bottom"/>
            <w:hideMark/>
          </w:tcPr>
          <w:p w14:paraId="7896FBA6"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0.003</w:t>
            </w:r>
          </w:p>
        </w:tc>
      </w:tr>
      <w:tr w:rsidR="0006491D" w:rsidRPr="00D23517" w14:paraId="4596E5DC" w14:textId="77777777" w:rsidTr="005E3678">
        <w:trPr>
          <w:trHeight w:val="260"/>
        </w:trPr>
        <w:tc>
          <w:tcPr>
            <w:tcW w:w="1963" w:type="pct"/>
            <w:tcBorders>
              <w:top w:val="nil"/>
              <w:left w:val="nil"/>
              <w:bottom w:val="nil"/>
              <w:right w:val="nil"/>
            </w:tcBorders>
            <w:shd w:val="clear" w:color="auto" w:fill="auto"/>
            <w:noWrap/>
            <w:vAlign w:val="bottom"/>
            <w:hideMark/>
          </w:tcPr>
          <w:p w14:paraId="7EFA62A1"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p>
        </w:tc>
        <w:tc>
          <w:tcPr>
            <w:tcW w:w="759" w:type="pct"/>
            <w:tcBorders>
              <w:top w:val="nil"/>
              <w:left w:val="nil"/>
              <w:bottom w:val="nil"/>
              <w:right w:val="nil"/>
            </w:tcBorders>
            <w:shd w:val="clear" w:color="auto" w:fill="auto"/>
            <w:noWrap/>
            <w:vAlign w:val="bottom"/>
            <w:hideMark/>
          </w:tcPr>
          <w:p w14:paraId="66A6B91D"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(0.062)</w:t>
            </w:r>
          </w:p>
        </w:tc>
        <w:tc>
          <w:tcPr>
            <w:tcW w:w="759" w:type="pct"/>
            <w:tcBorders>
              <w:top w:val="nil"/>
              <w:left w:val="nil"/>
              <w:bottom w:val="nil"/>
              <w:right w:val="nil"/>
            </w:tcBorders>
            <w:shd w:val="clear" w:color="auto" w:fill="auto"/>
            <w:noWrap/>
            <w:vAlign w:val="bottom"/>
            <w:hideMark/>
          </w:tcPr>
          <w:p w14:paraId="25188CD7"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(1.055)</w:t>
            </w:r>
          </w:p>
        </w:tc>
        <w:tc>
          <w:tcPr>
            <w:tcW w:w="759" w:type="pct"/>
            <w:tcBorders>
              <w:top w:val="nil"/>
              <w:left w:val="nil"/>
              <w:bottom w:val="nil"/>
              <w:right w:val="nil"/>
            </w:tcBorders>
            <w:shd w:val="clear" w:color="auto" w:fill="auto"/>
            <w:noWrap/>
            <w:vAlign w:val="bottom"/>
            <w:hideMark/>
          </w:tcPr>
          <w:p w14:paraId="39DFDEE2"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(1.044)</w:t>
            </w:r>
          </w:p>
        </w:tc>
        <w:tc>
          <w:tcPr>
            <w:tcW w:w="760" w:type="pct"/>
            <w:tcBorders>
              <w:top w:val="nil"/>
              <w:left w:val="nil"/>
              <w:bottom w:val="nil"/>
              <w:right w:val="nil"/>
            </w:tcBorders>
            <w:shd w:val="clear" w:color="auto" w:fill="auto"/>
            <w:noWrap/>
            <w:vAlign w:val="bottom"/>
            <w:hideMark/>
          </w:tcPr>
          <w:p w14:paraId="5C766894"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(0.416)</w:t>
            </w:r>
          </w:p>
        </w:tc>
      </w:tr>
      <w:tr w:rsidR="0006491D" w:rsidRPr="00D23517" w14:paraId="2AD52C42" w14:textId="77777777" w:rsidTr="005E3678">
        <w:trPr>
          <w:trHeight w:val="260"/>
        </w:trPr>
        <w:tc>
          <w:tcPr>
            <w:tcW w:w="1963" w:type="pct"/>
            <w:tcBorders>
              <w:top w:val="nil"/>
              <w:left w:val="nil"/>
              <w:bottom w:val="nil"/>
              <w:right w:val="nil"/>
            </w:tcBorders>
            <w:shd w:val="clear" w:color="auto" w:fill="auto"/>
            <w:noWrap/>
            <w:vAlign w:val="bottom"/>
            <w:hideMark/>
          </w:tcPr>
          <w:p w14:paraId="48FCF892" w14:textId="77777777" w:rsidR="0006491D" w:rsidRPr="00D23517" w:rsidRDefault="0006491D" w:rsidP="00A1062B">
            <w:pPr>
              <w:spacing w:after="0" w:line="240" w:lineRule="auto"/>
              <w:jc w:val="both"/>
              <w:rPr>
                <w:rFonts w:ascii="Times New Roman" w:eastAsia="Times New Roman" w:hAnsi="Times New Roman" w:cs="Times New Roman"/>
                <w:i/>
                <w:iCs/>
                <w:sz w:val="20"/>
                <w:szCs w:val="20"/>
              </w:rPr>
            </w:pPr>
            <w:r w:rsidRPr="00D23517">
              <w:rPr>
                <w:rFonts w:ascii="Times New Roman" w:eastAsia="Times New Roman" w:hAnsi="Times New Roman" w:cs="Times New Roman"/>
                <w:i/>
                <w:iCs/>
                <w:sz w:val="20"/>
                <w:szCs w:val="20"/>
              </w:rPr>
              <w:t>IDIT</w:t>
            </w:r>
          </w:p>
        </w:tc>
        <w:tc>
          <w:tcPr>
            <w:tcW w:w="759" w:type="pct"/>
            <w:tcBorders>
              <w:top w:val="nil"/>
              <w:left w:val="nil"/>
              <w:bottom w:val="nil"/>
              <w:right w:val="nil"/>
            </w:tcBorders>
            <w:shd w:val="clear" w:color="auto" w:fill="auto"/>
            <w:noWrap/>
            <w:vAlign w:val="bottom"/>
            <w:hideMark/>
          </w:tcPr>
          <w:p w14:paraId="2BD8D61A"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-0.008</w:t>
            </w:r>
          </w:p>
        </w:tc>
        <w:tc>
          <w:tcPr>
            <w:tcW w:w="759" w:type="pct"/>
            <w:tcBorders>
              <w:top w:val="nil"/>
              <w:left w:val="nil"/>
              <w:bottom w:val="nil"/>
              <w:right w:val="nil"/>
            </w:tcBorders>
            <w:shd w:val="clear" w:color="auto" w:fill="auto"/>
            <w:noWrap/>
            <w:vAlign w:val="bottom"/>
            <w:hideMark/>
          </w:tcPr>
          <w:p w14:paraId="389A6DDA"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0.006</w:t>
            </w:r>
          </w:p>
        </w:tc>
        <w:tc>
          <w:tcPr>
            <w:tcW w:w="759" w:type="pct"/>
            <w:tcBorders>
              <w:top w:val="nil"/>
              <w:left w:val="nil"/>
              <w:bottom w:val="nil"/>
              <w:right w:val="nil"/>
            </w:tcBorders>
            <w:shd w:val="clear" w:color="auto" w:fill="auto"/>
            <w:noWrap/>
            <w:vAlign w:val="bottom"/>
            <w:hideMark/>
          </w:tcPr>
          <w:p w14:paraId="177505D6"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0.002</w:t>
            </w:r>
          </w:p>
        </w:tc>
        <w:tc>
          <w:tcPr>
            <w:tcW w:w="760" w:type="pct"/>
            <w:tcBorders>
              <w:top w:val="nil"/>
              <w:left w:val="nil"/>
              <w:bottom w:val="nil"/>
              <w:right w:val="nil"/>
            </w:tcBorders>
            <w:shd w:val="clear" w:color="auto" w:fill="auto"/>
            <w:noWrap/>
            <w:vAlign w:val="bottom"/>
            <w:hideMark/>
          </w:tcPr>
          <w:p w14:paraId="7F6D9AB6"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-0.018</w:t>
            </w:r>
          </w:p>
        </w:tc>
      </w:tr>
      <w:tr w:rsidR="0006491D" w:rsidRPr="00D23517" w14:paraId="5BC1D533" w14:textId="77777777" w:rsidTr="005E3678">
        <w:trPr>
          <w:trHeight w:val="260"/>
        </w:trPr>
        <w:tc>
          <w:tcPr>
            <w:tcW w:w="1963" w:type="pct"/>
            <w:tcBorders>
              <w:top w:val="nil"/>
              <w:left w:val="nil"/>
              <w:bottom w:val="nil"/>
              <w:right w:val="nil"/>
            </w:tcBorders>
            <w:shd w:val="clear" w:color="auto" w:fill="auto"/>
            <w:noWrap/>
            <w:vAlign w:val="bottom"/>
            <w:hideMark/>
          </w:tcPr>
          <w:p w14:paraId="4F0FA86E"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p>
        </w:tc>
        <w:tc>
          <w:tcPr>
            <w:tcW w:w="759" w:type="pct"/>
            <w:tcBorders>
              <w:top w:val="nil"/>
              <w:left w:val="nil"/>
              <w:bottom w:val="nil"/>
              <w:right w:val="nil"/>
            </w:tcBorders>
            <w:shd w:val="clear" w:color="auto" w:fill="auto"/>
            <w:noWrap/>
            <w:vAlign w:val="bottom"/>
            <w:hideMark/>
          </w:tcPr>
          <w:p w14:paraId="26BD769A"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(-1.156)</w:t>
            </w:r>
          </w:p>
        </w:tc>
        <w:tc>
          <w:tcPr>
            <w:tcW w:w="759" w:type="pct"/>
            <w:tcBorders>
              <w:top w:val="nil"/>
              <w:left w:val="nil"/>
              <w:bottom w:val="nil"/>
              <w:right w:val="nil"/>
            </w:tcBorders>
            <w:shd w:val="clear" w:color="auto" w:fill="auto"/>
            <w:noWrap/>
            <w:vAlign w:val="bottom"/>
            <w:hideMark/>
          </w:tcPr>
          <w:p w14:paraId="4D7BC856"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(1.070)</w:t>
            </w:r>
          </w:p>
        </w:tc>
        <w:tc>
          <w:tcPr>
            <w:tcW w:w="759" w:type="pct"/>
            <w:tcBorders>
              <w:top w:val="nil"/>
              <w:left w:val="nil"/>
              <w:bottom w:val="nil"/>
              <w:right w:val="nil"/>
            </w:tcBorders>
            <w:shd w:val="clear" w:color="auto" w:fill="auto"/>
            <w:noWrap/>
            <w:vAlign w:val="bottom"/>
            <w:hideMark/>
          </w:tcPr>
          <w:p w14:paraId="20C175A5"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(0.446)</w:t>
            </w:r>
          </w:p>
        </w:tc>
        <w:tc>
          <w:tcPr>
            <w:tcW w:w="760" w:type="pct"/>
            <w:tcBorders>
              <w:top w:val="nil"/>
              <w:left w:val="nil"/>
              <w:bottom w:val="nil"/>
              <w:right w:val="nil"/>
            </w:tcBorders>
            <w:shd w:val="clear" w:color="auto" w:fill="auto"/>
            <w:noWrap/>
            <w:vAlign w:val="bottom"/>
            <w:hideMark/>
          </w:tcPr>
          <w:p w14:paraId="38CAEBB8"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(-2.503**)</w:t>
            </w:r>
          </w:p>
        </w:tc>
      </w:tr>
      <w:tr w:rsidR="0006491D" w:rsidRPr="00D23517" w14:paraId="6C746FF3" w14:textId="77777777" w:rsidTr="005E3678">
        <w:trPr>
          <w:trHeight w:val="260"/>
        </w:trPr>
        <w:tc>
          <w:tcPr>
            <w:tcW w:w="1963" w:type="pct"/>
            <w:tcBorders>
              <w:top w:val="nil"/>
              <w:left w:val="nil"/>
              <w:bottom w:val="nil"/>
              <w:right w:val="nil"/>
            </w:tcBorders>
            <w:shd w:val="clear" w:color="auto" w:fill="auto"/>
            <w:noWrap/>
            <w:vAlign w:val="bottom"/>
            <w:hideMark/>
          </w:tcPr>
          <w:p w14:paraId="361CD9D3" w14:textId="77777777" w:rsidR="0006491D" w:rsidRPr="00D23517" w:rsidRDefault="0006491D" w:rsidP="00A1062B">
            <w:pPr>
              <w:spacing w:after="0" w:line="240" w:lineRule="auto"/>
              <w:jc w:val="both"/>
              <w:rPr>
                <w:rFonts w:ascii="Times New Roman" w:eastAsia="Times New Roman" w:hAnsi="Times New Roman" w:cs="Times New Roman"/>
                <w:i/>
                <w:iCs/>
                <w:sz w:val="20"/>
                <w:szCs w:val="20"/>
              </w:rPr>
            </w:pPr>
            <w:r w:rsidRPr="00D23517">
              <w:rPr>
                <w:rFonts w:ascii="Times New Roman" w:eastAsia="Times New Roman" w:hAnsi="Times New Roman" w:cs="Times New Roman"/>
                <w:i/>
                <w:iCs/>
                <w:sz w:val="20"/>
                <w:szCs w:val="20"/>
              </w:rPr>
              <w:t>INTC</w:t>
            </w:r>
          </w:p>
        </w:tc>
        <w:tc>
          <w:tcPr>
            <w:tcW w:w="759" w:type="pct"/>
            <w:tcBorders>
              <w:top w:val="nil"/>
              <w:left w:val="nil"/>
              <w:bottom w:val="nil"/>
              <w:right w:val="nil"/>
            </w:tcBorders>
            <w:shd w:val="clear" w:color="auto" w:fill="auto"/>
            <w:noWrap/>
            <w:vAlign w:val="bottom"/>
            <w:hideMark/>
          </w:tcPr>
          <w:p w14:paraId="0BDD3465"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0.002</w:t>
            </w:r>
          </w:p>
        </w:tc>
        <w:tc>
          <w:tcPr>
            <w:tcW w:w="759" w:type="pct"/>
            <w:tcBorders>
              <w:top w:val="nil"/>
              <w:left w:val="nil"/>
              <w:bottom w:val="nil"/>
              <w:right w:val="nil"/>
            </w:tcBorders>
            <w:shd w:val="clear" w:color="auto" w:fill="auto"/>
            <w:noWrap/>
            <w:vAlign w:val="bottom"/>
            <w:hideMark/>
          </w:tcPr>
          <w:p w14:paraId="402FB7C5"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0.003</w:t>
            </w:r>
          </w:p>
        </w:tc>
        <w:tc>
          <w:tcPr>
            <w:tcW w:w="759" w:type="pct"/>
            <w:tcBorders>
              <w:top w:val="nil"/>
              <w:left w:val="nil"/>
              <w:bottom w:val="nil"/>
              <w:right w:val="nil"/>
            </w:tcBorders>
            <w:shd w:val="clear" w:color="auto" w:fill="auto"/>
            <w:noWrap/>
            <w:vAlign w:val="bottom"/>
            <w:hideMark/>
          </w:tcPr>
          <w:p w14:paraId="01A9D96F"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0.001</w:t>
            </w:r>
          </w:p>
        </w:tc>
        <w:tc>
          <w:tcPr>
            <w:tcW w:w="760" w:type="pct"/>
            <w:tcBorders>
              <w:top w:val="nil"/>
              <w:left w:val="nil"/>
              <w:bottom w:val="nil"/>
              <w:right w:val="nil"/>
            </w:tcBorders>
            <w:shd w:val="clear" w:color="auto" w:fill="auto"/>
            <w:noWrap/>
            <w:vAlign w:val="bottom"/>
            <w:hideMark/>
          </w:tcPr>
          <w:p w14:paraId="6C073B22"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0.003</w:t>
            </w:r>
          </w:p>
        </w:tc>
      </w:tr>
      <w:tr w:rsidR="0006491D" w:rsidRPr="00D23517" w14:paraId="27BA4B6C" w14:textId="77777777" w:rsidTr="005E3678">
        <w:trPr>
          <w:trHeight w:val="260"/>
        </w:trPr>
        <w:tc>
          <w:tcPr>
            <w:tcW w:w="1963" w:type="pct"/>
            <w:tcBorders>
              <w:top w:val="nil"/>
              <w:left w:val="nil"/>
              <w:bottom w:val="nil"/>
              <w:right w:val="nil"/>
            </w:tcBorders>
            <w:shd w:val="clear" w:color="auto" w:fill="auto"/>
            <w:noWrap/>
            <w:vAlign w:val="bottom"/>
            <w:hideMark/>
          </w:tcPr>
          <w:p w14:paraId="49F7B889"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p>
        </w:tc>
        <w:tc>
          <w:tcPr>
            <w:tcW w:w="759" w:type="pct"/>
            <w:tcBorders>
              <w:top w:val="nil"/>
              <w:left w:val="nil"/>
              <w:bottom w:val="nil"/>
              <w:right w:val="nil"/>
            </w:tcBorders>
            <w:shd w:val="clear" w:color="auto" w:fill="auto"/>
            <w:noWrap/>
            <w:vAlign w:val="bottom"/>
            <w:hideMark/>
          </w:tcPr>
          <w:p w14:paraId="3F6F31F7"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(0.207)</w:t>
            </w:r>
          </w:p>
        </w:tc>
        <w:tc>
          <w:tcPr>
            <w:tcW w:w="759" w:type="pct"/>
            <w:tcBorders>
              <w:top w:val="nil"/>
              <w:left w:val="nil"/>
              <w:bottom w:val="nil"/>
              <w:right w:val="nil"/>
            </w:tcBorders>
            <w:shd w:val="clear" w:color="auto" w:fill="auto"/>
            <w:noWrap/>
            <w:vAlign w:val="bottom"/>
            <w:hideMark/>
          </w:tcPr>
          <w:p w14:paraId="27DCB489"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(0.297)</w:t>
            </w:r>
          </w:p>
        </w:tc>
        <w:tc>
          <w:tcPr>
            <w:tcW w:w="759" w:type="pct"/>
            <w:tcBorders>
              <w:top w:val="nil"/>
              <w:left w:val="nil"/>
              <w:bottom w:val="nil"/>
              <w:right w:val="nil"/>
            </w:tcBorders>
            <w:shd w:val="clear" w:color="auto" w:fill="auto"/>
            <w:noWrap/>
            <w:vAlign w:val="bottom"/>
            <w:hideMark/>
          </w:tcPr>
          <w:p w14:paraId="5906C382"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(0.101)</w:t>
            </w:r>
          </w:p>
        </w:tc>
        <w:tc>
          <w:tcPr>
            <w:tcW w:w="760" w:type="pct"/>
            <w:tcBorders>
              <w:top w:val="nil"/>
              <w:left w:val="nil"/>
              <w:bottom w:val="nil"/>
              <w:right w:val="nil"/>
            </w:tcBorders>
            <w:shd w:val="clear" w:color="auto" w:fill="auto"/>
            <w:noWrap/>
            <w:vAlign w:val="bottom"/>
            <w:hideMark/>
          </w:tcPr>
          <w:p w14:paraId="738746F6"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(0.347)</w:t>
            </w:r>
          </w:p>
        </w:tc>
      </w:tr>
      <w:tr w:rsidR="0006491D" w:rsidRPr="00D23517" w14:paraId="45C835FE" w14:textId="77777777" w:rsidTr="005E3678">
        <w:trPr>
          <w:trHeight w:val="260"/>
        </w:trPr>
        <w:tc>
          <w:tcPr>
            <w:tcW w:w="1963" w:type="pct"/>
            <w:tcBorders>
              <w:top w:val="nil"/>
              <w:left w:val="nil"/>
              <w:bottom w:val="nil"/>
              <w:right w:val="nil"/>
            </w:tcBorders>
            <w:shd w:val="clear" w:color="auto" w:fill="auto"/>
            <w:noWrap/>
            <w:vAlign w:val="bottom"/>
            <w:hideMark/>
          </w:tcPr>
          <w:p w14:paraId="30EC320C" w14:textId="77777777" w:rsidR="0006491D" w:rsidRPr="00D23517" w:rsidRDefault="0006491D" w:rsidP="00A1062B">
            <w:pPr>
              <w:spacing w:after="0" w:line="240" w:lineRule="auto"/>
              <w:jc w:val="both"/>
              <w:rPr>
                <w:rFonts w:ascii="Times New Roman" w:eastAsia="Times New Roman" w:hAnsi="Times New Roman" w:cs="Times New Roman"/>
                <w:i/>
                <w:iCs/>
                <w:sz w:val="20"/>
                <w:szCs w:val="20"/>
              </w:rPr>
            </w:pPr>
            <w:r w:rsidRPr="00D23517">
              <w:rPr>
                <w:rFonts w:ascii="Times New Roman" w:eastAsia="Times New Roman" w:hAnsi="Times New Roman" w:cs="Times New Roman"/>
                <w:i/>
                <w:iCs/>
                <w:sz w:val="20"/>
                <w:szCs w:val="20"/>
              </w:rPr>
              <w:t>AM</w:t>
            </w:r>
          </w:p>
        </w:tc>
        <w:tc>
          <w:tcPr>
            <w:tcW w:w="759" w:type="pct"/>
            <w:tcBorders>
              <w:top w:val="nil"/>
              <w:left w:val="nil"/>
              <w:bottom w:val="nil"/>
              <w:right w:val="nil"/>
            </w:tcBorders>
            <w:shd w:val="clear" w:color="auto" w:fill="auto"/>
            <w:noWrap/>
            <w:vAlign w:val="bottom"/>
            <w:hideMark/>
          </w:tcPr>
          <w:p w14:paraId="7048B898"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0.024</w:t>
            </w:r>
          </w:p>
        </w:tc>
        <w:tc>
          <w:tcPr>
            <w:tcW w:w="759" w:type="pct"/>
            <w:tcBorders>
              <w:top w:val="nil"/>
              <w:left w:val="nil"/>
              <w:bottom w:val="nil"/>
              <w:right w:val="nil"/>
            </w:tcBorders>
            <w:shd w:val="clear" w:color="auto" w:fill="auto"/>
            <w:noWrap/>
            <w:vAlign w:val="bottom"/>
            <w:hideMark/>
          </w:tcPr>
          <w:p w14:paraId="30DE8EF0"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0.009</w:t>
            </w:r>
          </w:p>
        </w:tc>
        <w:tc>
          <w:tcPr>
            <w:tcW w:w="759" w:type="pct"/>
            <w:tcBorders>
              <w:top w:val="nil"/>
              <w:left w:val="nil"/>
              <w:bottom w:val="nil"/>
              <w:right w:val="nil"/>
            </w:tcBorders>
            <w:shd w:val="clear" w:color="auto" w:fill="auto"/>
            <w:noWrap/>
            <w:vAlign w:val="bottom"/>
            <w:hideMark/>
          </w:tcPr>
          <w:p w14:paraId="651E606E"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0.007</w:t>
            </w:r>
          </w:p>
        </w:tc>
        <w:tc>
          <w:tcPr>
            <w:tcW w:w="760" w:type="pct"/>
            <w:tcBorders>
              <w:top w:val="nil"/>
              <w:left w:val="nil"/>
              <w:bottom w:val="nil"/>
              <w:right w:val="nil"/>
            </w:tcBorders>
            <w:shd w:val="clear" w:color="auto" w:fill="auto"/>
            <w:noWrap/>
            <w:vAlign w:val="bottom"/>
            <w:hideMark/>
          </w:tcPr>
          <w:p w14:paraId="59665498"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0.000</w:t>
            </w:r>
          </w:p>
        </w:tc>
      </w:tr>
      <w:tr w:rsidR="0006491D" w:rsidRPr="00D23517" w14:paraId="7797799D" w14:textId="77777777" w:rsidTr="005E3678">
        <w:trPr>
          <w:trHeight w:val="260"/>
        </w:trPr>
        <w:tc>
          <w:tcPr>
            <w:tcW w:w="1963" w:type="pct"/>
            <w:tcBorders>
              <w:top w:val="nil"/>
              <w:left w:val="nil"/>
              <w:bottom w:val="nil"/>
              <w:right w:val="nil"/>
            </w:tcBorders>
            <w:shd w:val="clear" w:color="auto" w:fill="auto"/>
            <w:noWrap/>
            <w:vAlign w:val="bottom"/>
            <w:hideMark/>
          </w:tcPr>
          <w:p w14:paraId="2CCC24E5"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p>
        </w:tc>
        <w:tc>
          <w:tcPr>
            <w:tcW w:w="759" w:type="pct"/>
            <w:tcBorders>
              <w:top w:val="nil"/>
              <w:left w:val="nil"/>
              <w:bottom w:val="nil"/>
              <w:right w:val="nil"/>
            </w:tcBorders>
            <w:shd w:val="clear" w:color="auto" w:fill="auto"/>
            <w:noWrap/>
            <w:vAlign w:val="bottom"/>
            <w:hideMark/>
          </w:tcPr>
          <w:p w14:paraId="2EB033F1"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(2.549**)</w:t>
            </w:r>
          </w:p>
        </w:tc>
        <w:tc>
          <w:tcPr>
            <w:tcW w:w="759" w:type="pct"/>
            <w:tcBorders>
              <w:top w:val="nil"/>
              <w:left w:val="nil"/>
              <w:bottom w:val="nil"/>
              <w:right w:val="nil"/>
            </w:tcBorders>
            <w:shd w:val="clear" w:color="auto" w:fill="auto"/>
            <w:noWrap/>
            <w:vAlign w:val="bottom"/>
            <w:hideMark/>
          </w:tcPr>
          <w:p w14:paraId="38C57AB8"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(1.940*)</w:t>
            </w:r>
          </w:p>
        </w:tc>
        <w:tc>
          <w:tcPr>
            <w:tcW w:w="759" w:type="pct"/>
            <w:tcBorders>
              <w:top w:val="nil"/>
              <w:left w:val="nil"/>
              <w:bottom w:val="nil"/>
              <w:right w:val="nil"/>
            </w:tcBorders>
            <w:shd w:val="clear" w:color="auto" w:fill="auto"/>
            <w:noWrap/>
            <w:vAlign w:val="bottom"/>
            <w:hideMark/>
          </w:tcPr>
          <w:p w14:paraId="0B01BA57"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(1.558)</w:t>
            </w:r>
          </w:p>
        </w:tc>
        <w:tc>
          <w:tcPr>
            <w:tcW w:w="760" w:type="pct"/>
            <w:tcBorders>
              <w:top w:val="nil"/>
              <w:left w:val="nil"/>
              <w:bottom w:val="nil"/>
              <w:right w:val="nil"/>
            </w:tcBorders>
            <w:shd w:val="clear" w:color="auto" w:fill="auto"/>
            <w:noWrap/>
            <w:vAlign w:val="bottom"/>
            <w:hideMark/>
          </w:tcPr>
          <w:p w14:paraId="5C5658BF"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(0.074)</w:t>
            </w:r>
          </w:p>
        </w:tc>
      </w:tr>
      <w:tr w:rsidR="0006491D" w:rsidRPr="00D23517" w14:paraId="5716D6D1" w14:textId="77777777" w:rsidTr="005E3678">
        <w:trPr>
          <w:trHeight w:val="260"/>
        </w:trPr>
        <w:tc>
          <w:tcPr>
            <w:tcW w:w="1963" w:type="pct"/>
            <w:tcBorders>
              <w:top w:val="nil"/>
              <w:left w:val="nil"/>
              <w:bottom w:val="nil"/>
              <w:right w:val="nil"/>
            </w:tcBorders>
            <w:shd w:val="clear" w:color="auto" w:fill="auto"/>
            <w:noWrap/>
            <w:vAlign w:val="bottom"/>
            <w:hideMark/>
          </w:tcPr>
          <w:p w14:paraId="09218143" w14:textId="77777777" w:rsidR="0006491D" w:rsidRPr="00D23517" w:rsidRDefault="0006491D" w:rsidP="00A1062B">
            <w:pPr>
              <w:spacing w:after="0" w:line="240" w:lineRule="auto"/>
              <w:jc w:val="both"/>
              <w:rPr>
                <w:rFonts w:ascii="Times New Roman" w:eastAsia="Times New Roman" w:hAnsi="Times New Roman" w:cs="Times New Roman"/>
                <w:i/>
                <w:iCs/>
                <w:sz w:val="20"/>
                <w:szCs w:val="20"/>
              </w:rPr>
            </w:pPr>
            <w:r w:rsidRPr="00D23517">
              <w:rPr>
                <w:rFonts w:ascii="Times New Roman" w:eastAsia="Times New Roman" w:hAnsi="Times New Roman" w:cs="Times New Roman"/>
                <w:i/>
                <w:iCs/>
                <w:sz w:val="20"/>
                <w:szCs w:val="20"/>
              </w:rPr>
              <w:t>FCA</w:t>
            </w:r>
          </w:p>
        </w:tc>
        <w:tc>
          <w:tcPr>
            <w:tcW w:w="759" w:type="pct"/>
            <w:tcBorders>
              <w:top w:val="nil"/>
              <w:left w:val="nil"/>
              <w:bottom w:val="nil"/>
              <w:right w:val="nil"/>
            </w:tcBorders>
            <w:shd w:val="clear" w:color="auto" w:fill="auto"/>
            <w:noWrap/>
            <w:vAlign w:val="bottom"/>
            <w:hideMark/>
          </w:tcPr>
          <w:p w14:paraId="65689951"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-0.001</w:t>
            </w:r>
          </w:p>
        </w:tc>
        <w:tc>
          <w:tcPr>
            <w:tcW w:w="759" w:type="pct"/>
            <w:tcBorders>
              <w:top w:val="nil"/>
              <w:left w:val="nil"/>
              <w:bottom w:val="nil"/>
              <w:right w:val="nil"/>
            </w:tcBorders>
            <w:shd w:val="clear" w:color="auto" w:fill="auto"/>
            <w:noWrap/>
            <w:vAlign w:val="bottom"/>
            <w:hideMark/>
          </w:tcPr>
          <w:p w14:paraId="78CE982E"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-0.001</w:t>
            </w:r>
          </w:p>
        </w:tc>
        <w:tc>
          <w:tcPr>
            <w:tcW w:w="759" w:type="pct"/>
            <w:tcBorders>
              <w:top w:val="nil"/>
              <w:left w:val="nil"/>
              <w:bottom w:val="nil"/>
              <w:right w:val="nil"/>
            </w:tcBorders>
            <w:shd w:val="clear" w:color="auto" w:fill="auto"/>
            <w:noWrap/>
            <w:vAlign w:val="bottom"/>
            <w:hideMark/>
          </w:tcPr>
          <w:p w14:paraId="28B12229"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-0.001</w:t>
            </w:r>
          </w:p>
        </w:tc>
        <w:tc>
          <w:tcPr>
            <w:tcW w:w="760" w:type="pct"/>
            <w:tcBorders>
              <w:top w:val="nil"/>
              <w:left w:val="nil"/>
              <w:bottom w:val="nil"/>
              <w:right w:val="nil"/>
            </w:tcBorders>
            <w:shd w:val="clear" w:color="auto" w:fill="auto"/>
            <w:noWrap/>
            <w:vAlign w:val="bottom"/>
            <w:hideMark/>
          </w:tcPr>
          <w:p w14:paraId="2E7845B4"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-0.003</w:t>
            </w:r>
          </w:p>
        </w:tc>
      </w:tr>
      <w:tr w:rsidR="0006491D" w:rsidRPr="00D23517" w14:paraId="3BED3032" w14:textId="77777777" w:rsidTr="005E3678">
        <w:trPr>
          <w:trHeight w:val="260"/>
        </w:trPr>
        <w:tc>
          <w:tcPr>
            <w:tcW w:w="1963" w:type="pct"/>
            <w:tcBorders>
              <w:top w:val="nil"/>
              <w:left w:val="nil"/>
              <w:bottom w:val="nil"/>
              <w:right w:val="nil"/>
            </w:tcBorders>
            <w:shd w:val="clear" w:color="auto" w:fill="auto"/>
            <w:noWrap/>
            <w:vAlign w:val="bottom"/>
            <w:hideMark/>
          </w:tcPr>
          <w:p w14:paraId="223BF442"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p>
        </w:tc>
        <w:tc>
          <w:tcPr>
            <w:tcW w:w="759" w:type="pct"/>
            <w:tcBorders>
              <w:top w:val="nil"/>
              <w:left w:val="nil"/>
              <w:bottom w:val="nil"/>
              <w:right w:val="nil"/>
            </w:tcBorders>
            <w:shd w:val="clear" w:color="auto" w:fill="auto"/>
            <w:noWrap/>
            <w:vAlign w:val="bottom"/>
            <w:hideMark/>
          </w:tcPr>
          <w:p w14:paraId="711643C4"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(-0.563)</w:t>
            </w:r>
          </w:p>
        </w:tc>
        <w:tc>
          <w:tcPr>
            <w:tcW w:w="759" w:type="pct"/>
            <w:tcBorders>
              <w:top w:val="nil"/>
              <w:left w:val="nil"/>
              <w:bottom w:val="nil"/>
              <w:right w:val="nil"/>
            </w:tcBorders>
            <w:shd w:val="clear" w:color="auto" w:fill="auto"/>
            <w:noWrap/>
            <w:vAlign w:val="bottom"/>
            <w:hideMark/>
          </w:tcPr>
          <w:p w14:paraId="7E32B474"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(-1.225)</w:t>
            </w:r>
          </w:p>
        </w:tc>
        <w:tc>
          <w:tcPr>
            <w:tcW w:w="759" w:type="pct"/>
            <w:tcBorders>
              <w:top w:val="nil"/>
              <w:left w:val="nil"/>
              <w:bottom w:val="nil"/>
              <w:right w:val="nil"/>
            </w:tcBorders>
            <w:shd w:val="clear" w:color="auto" w:fill="auto"/>
            <w:noWrap/>
            <w:vAlign w:val="bottom"/>
            <w:hideMark/>
          </w:tcPr>
          <w:p w14:paraId="7A41C8E3"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(-0.963)</w:t>
            </w:r>
          </w:p>
        </w:tc>
        <w:tc>
          <w:tcPr>
            <w:tcW w:w="760" w:type="pct"/>
            <w:tcBorders>
              <w:top w:val="nil"/>
              <w:left w:val="nil"/>
              <w:bottom w:val="nil"/>
              <w:right w:val="nil"/>
            </w:tcBorders>
            <w:shd w:val="clear" w:color="auto" w:fill="auto"/>
            <w:noWrap/>
            <w:vAlign w:val="bottom"/>
            <w:hideMark/>
          </w:tcPr>
          <w:p w14:paraId="48C4AB51"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(-2.563**)</w:t>
            </w:r>
          </w:p>
        </w:tc>
      </w:tr>
      <w:tr w:rsidR="0006491D" w:rsidRPr="00D23517" w14:paraId="4C6287C1" w14:textId="77777777" w:rsidTr="005E3678">
        <w:trPr>
          <w:trHeight w:val="260"/>
        </w:trPr>
        <w:tc>
          <w:tcPr>
            <w:tcW w:w="1963" w:type="pct"/>
            <w:tcBorders>
              <w:top w:val="nil"/>
              <w:left w:val="nil"/>
              <w:bottom w:val="nil"/>
              <w:right w:val="nil"/>
            </w:tcBorders>
            <w:shd w:val="clear" w:color="auto" w:fill="auto"/>
            <w:noWrap/>
            <w:vAlign w:val="bottom"/>
            <w:hideMark/>
          </w:tcPr>
          <w:p w14:paraId="155ECBFA" w14:textId="77777777" w:rsidR="0006491D" w:rsidRPr="00D23517" w:rsidRDefault="0006491D" w:rsidP="00A1062B">
            <w:pPr>
              <w:spacing w:after="0" w:line="240" w:lineRule="auto"/>
              <w:jc w:val="both"/>
              <w:rPr>
                <w:rFonts w:ascii="Times New Roman" w:eastAsia="Times New Roman" w:hAnsi="Times New Roman" w:cs="Times New Roman"/>
                <w:i/>
                <w:iCs/>
                <w:sz w:val="20"/>
                <w:szCs w:val="20"/>
              </w:rPr>
            </w:pPr>
            <w:r w:rsidRPr="00D23517">
              <w:rPr>
                <w:rFonts w:ascii="Times New Roman" w:eastAsia="Times New Roman" w:hAnsi="Times New Roman" w:cs="Times New Roman"/>
                <w:i/>
                <w:iCs/>
                <w:sz w:val="20"/>
                <w:szCs w:val="20"/>
              </w:rPr>
              <w:t>OPERINC</w:t>
            </w:r>
          </w:p>
        </w:tc>
        <w:tc>
          <w:tcPr>
            <w:tcW w:w="759" w:type="pct"/>
            <w:tcBorders>
              <w:top w:val="nil"/>
              <w:left w:val="nil"/>
              <w:bottom w:val="nil"/>
              <w:right w:val="nil"/>
            </w:tcBorders>
            <w:shd w:val="clear" w:color="auto" w:fill="auto"/>
            <w:noWrap/>
            <w:vAlign w:val="bottom"/>
            <w:hideMark/>
          </w:tcPr>
          <w:p w14:paraId="70C3F92E"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-0.163</w:t>
            </w:r>
          </w:p>
        </w:tc>
        <w:tc>
          <w:tcPr>
            <w:tcW w:w="759" w:type="pct"/>
            <w:tcBorders>
              <w:top w:val="nil"/>
              <w:left w:val="nil"/>
              <w:bottom w:val="nil"/>
              <w:right w:val="nil"/>
            </w:tcBorders>
            <w:shd w:val="clear" w:color="auto" w:fill="auto"/>
            <w:noWrap/>
            <w:vAlign w:val="bottom"/>
            <w:hideMark/>
          </w:tcPr>
          <w:p w14:paraId="293B3EDE"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-0.208</w:t>
            </w:r>
          </w:p>
        </w:tc>
        <w:tc>
          <w:tcPr>
            <w:tcW w:w="759" w:type="pct"/>
            <w:tcBorders>
              <w:top w:val="nil"/>
              <w:left w:val="nil"/>
              <w:bottom w:val="nil"/>
              <w:right w:val="nil"/>
            </w:tcBorders>
            <w:shd w:val="clear" w:color="auto" w:fill="auto"/>
            <w:noWrap/>
            <w:vAlign w:val="bottom"/>
            <w:hideMark/>
          </w:tcPr>
          <w:p w14:paraId="60E78684"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-0.200</w:t>
            </w:r>
          </w:p>
        </w:tc>
        <w:tc>
          <w:tcPr>
            <w:tcW w:w="760" w:type="pct"/>
            <w:tcBorders>
              <w:top w:val="nil"/>
              <w:left w:val="nil"/>
              <w:bottom w:val="nil"/>
              <w:right w:val="nil"/>
            </w:tcBorders>
            <w:shd w:val="clear" w:color="auto" w:fill="auto"/>
            <w:noWrap/>
            <w:vAlign w:val="bottom"/>
            <w:hideMark/>
          </w:tcPr>
          <w:p w14:paraId="2D2054D0"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-0.076</w:t>
            </w:r>
          </w:p>
        </w:tc>
      </w:tr>
      <w:tr w:rsidR="0006491D" w:rsidRPr="00D23517" w14:paraId="171CF01D" w14:textId="77777777" w:rsidTr="005E3678">
        <w:trPr>
          <w:trHeight w:val="260"/>
        </w:trPr>
        <w:tc>
          <w:tcPr>
            <w:tcW w:w="1963" w:type="pct"/>
            <w:tcBorders>
              <w:top w:val="nil"/>
              <w:left w:val="nil"/>
              <w:bottom w:val="nil"/>
              <w:right w:val="nil"/>
            </w:tcBorders>
            <w:shd w:val="clear" w:color="auto" w:fill="auto"/>
            <w:noWrap/>
            <w:vAlign w:val="bottom"/>
            <w:hideMark/>
          </w:tcPr>
          <w:p w14:paraId="7AFEC8EF"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p>
        </w:tc>
        <w:tc>
          <w:tcPr>
            <w:tcW w:w="759" w:type="pct"/>
            <w:tcBorders>
              <w:top w:val="nil"/>
              <w:left w:val="nil"/>
              <w:bottom w:val="nil"/>
              <w:right w:val="nil"/>
            </w:tcBorders>
            <w:shd w:val="clear" w:color="auto" w:fill="auto"/>
            <w:noWrap/>
            <w:vAlign w:val="bottom"/>
            <w:hideMark/>
          </w:tcPr>
          <w:p w14:paraId="1B6F6027"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(-14.639***)</w:t>
            </w:r>
          </w:p>
        </w:tc>
        <w:tc>
          <w:tcPr>
            <w:tcW w:w="759" w:type="pct"/>
            <w:tcBorders>
              <w:top w:val="nil"/>
              <w:left w:val="nil"/>
              <w:bottom w:val="nil"/>
              <w:right w:val="nil"/>
            </w:tcBorders>
            <w:shd w:val="clear" w:color="auto" w:fill="auto"/>
            <w:noWrap/>
            <w:vAlign w:val="bottom"/>
            <w:hideMark/>
          </w:tcPr>
          <w:p w14:paraId="1AC87E3B"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(-30.262***)</w:t>
            </w:r>
          </w:p>
        </w:tc>
        <w:tc>
          <w:tcPr>
            <w:tcW w:w="759" w:type="pct"/>
            <w:tcBorders>
              <w:top w:val="nil"/>
              <w:left w:val="nil"/>
              <w:bottom w:val="nil"/>
              <w:right w:val="nil"/>
            </w:tcBorders>
            <w:shd w:val="clear" w:color="auto" w:fill="auto"/>
            <w:noWrap/>
            <w:vAlign w:val="bottom"/>
            <w:hideMark/>
          </w:tcPr>
          <w:p w14:paraId="189F4A8B"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(-29.707***)</w:t>
            </w:r>
          </w:p>
        </w:tc>
        <w:tc>
          <w:tcPr>
            <w:tcW w:w="760" w:type="pct"/>
            <w:tcBorders>
              <w:top w:val="nil"/>
              <w:left w:val="nil"/>
              <w:bottom w:val="nil"/>
              <w:right w:val="nil"/>
            </w:tcBorders>
            <w:shd w:val="clear" w:color="auto" w:fill="auto"/>
            <w:noWrap/>
            <w:vAlign w:val="bottom"/>
            <w:hideMark/>
          </w:tcPr>
          <w:p w14:paraId="31FB774F"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(-9.240***)</w:t>
            </w:r>
          </w:p>
        </w:tc>
      </w:tr>
      <w:tr w:rsidR="0006491D" w:rsidRPr="00D23517" w14:paraId="17A9F226" w14:textId="77777777" w:rsidTr="005E3678">
        <w:trPr>
          <w:trHeight w:val="260"/>
        </w:trPr>
        <w:tc>
          <w:tcPr>
            <w:tcW w:w="1963" w:type="pct"/>
            <w:tcBorders>
              <w:top w:val="nil"/>
              <w:left w:val="nil"/>
              <w:bottom w:val="nil"/>
              <w:right w:val="nil"/>
            </w:tcBorders>
            <w:shd w:val="clear" w:color="auto" w:fill="auto"/>
            <w:noWrap/>
            <w:vAlign w:val="bottom"/>
            <w:hideMark/>
          </w:tcPr>
          <w:p w14:paraId="4C3436EA"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p>
        </w:tc>
        <w:tc>
          <w:tcPr>
            <w:tcW w:w="759" w:type="pct"/>
            <w:tcBorders>
              <w:top w:val="nil"/>
              <w:left w:val="nil"/>
              <w:bottom w:val="nil"/>
              <w:right w:val="nil"/>
            </w:tcBorders>
            <w:shd w:val="clear" w:color="auto" w:fill="auto"/>
            <w:noWrap/>
            <w:vAlign w:val="bottom"/>
            <w:hideMark/>
          </w:tcPr>
          <w:p w14:paraId="0A2B998F"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p>
        </w:tc>
        <w:tc>
          <w:tcPr>
            <w:tcW w:w="759" w:type="pct"/>
            <w:tcBorders>
              <w:top w:val="nil"/>
              <w:left w:val="nil"/>
              <w:bottom w:val="nil"/>
              <w:right w:val="nil"/>
            </w:tcBorders>
            <w:shd w:val="clear" w:color="auto" w:fill="auto"/>
            <w:noWrap/>
            <w:vAlign w:val="bottom"/>
            <w:hideMark/>
          </w:tcPr>
          <w:p w14:paraId="45AEC1AA"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p>
        </w:tc>
        <w:tc>
          <w:tcPr>
            <w:tcW w:w="759" w:type="pct"/>
            <w:tcBorders>
              <w:top w:val="nil"/>
              <w:left w:val="nil"/>
              <w:bottom w:val="nil"/>
              <w:right w:val="nil"/>
            </w:tcBorders>
            <w:shd w:val="clear" w:color="auto" w:fill="auto"/>
            <w:noWrap/>
            <w:vAlign w:val="bottom"/>
            <w:hideMark/>
          </w:tcPr>
          <w:p w14:paraId="5C4871DF"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p>
        </w:tc>
        <w:tc>
          <w:tcPr>
            <w:tcW w:w="760" w:type="pct"/>
            <w:tcBorders>
              <w:top w:val="nil"/>
              <w:left w:val="nil"/>
              <w:bottom w:val="nil"/>
              <w:right w:val="nil"/>
            </w:tcBorders>
            <w:shd w:val="clear" w:color="auto" w:fill="auto"/>
            <w:noWrap/>
            <w:vAlign w:val="bottom"/>
            <w:hideMark/>
          </w:tcPr>
          <w:p w14:paraId="62454D0E"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p>
        </w:tc>
      </w:tr>
      <w:tr w:rsidR="0006491D" w:rsidRPr="00D23517" w14:paraId="60F6EF35" w14:textId="77777777" w:rsidTr="005E3678">
        <w:trPr>
          <w:trHeight w:val="260"/>
        </w:trPr>
        <w:tc>
          <w:tcPr>
            <w:tcW w:w="1963" w:type="pct"/>
            <w:tcBorders>
              <w:top w:val="nil"/>
              <w:left w:val="nil"/>
              <w:bottom w:val="nil"/>
              <w:right w:val="nil"/>
            </w:tcBorders>
            <w:shd w:val="clear" w:color="auto" w:fill="auto"/>
            <w:noWrap/>
            <w:vAlign w:val="bottom"/>
            <w:hideMark/>
          </w:tcPr>
          <w:p w14:paraId="6DBB4A08"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Adj. R-squared</w:t>
            </w:r>
          </w:p>
        </w:tc>
        <w:tc>
          <w:tcPr>
            <w:tcW w:w="759" w:type="pct"/>
            <w:tcBorders>
              <w:top w:val="nil"/>
              <w:left w:val="nil"/>
              <w:bottom w:val="nil"/>
              <w:right w:val="nil"/>
            </w:tcBorders>
            <w:shd w:val="clear" w:color="auto" w:fill="auto"/>
            <w:noWrap/>
            <w:vAlign w:val="bottom"/>
            <w:hideMark/>
          </w:tcPr>
          <w:p w14:paraId="451417E2"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0.249</w:t>
            </w:r>
          </w:p>
        </w:tc>
        <w:tc>
          <w:tcPr>
            <w:tcW w:w="759" w:type="pct"/>
            <w:tcBorders>
              <w:top w:val="nil"/>
              <w:left w:val="nil"/>
              <w:bottom w:val="nil"/>
              <w:right w:val="nil"/>
            </w:tcBorders>
            <w:shd w:val="clear" w:color="auto" w:fill="auto"/>
            <w:noWrap/>
            <w:vAlign w:val="bottom"/>
            <w:hideMark/>
          </w:tcPr>
          <w:p w14:paraId="2EE5000F"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0.492</w:t>
            </w:r>
          </w:p>
        </w:tc>
        <w:tc>
          <w:tcPr>
            <w:tcW w:w="759" w:type="pct"/>
            <w:tcBorders>
              <w:top w:val="nil"/>
              <w:left w:val="nil"/>
              <w:bottom w:val="nil"/>
              <w:right w:val="nil"/>
            </w:tcBorders>
            <w:shd w:val="clear" w:color="auto" w:fill="auto"/>
            <w:noWrap/>
            <w:vAlign w:val="bottom"/>
            <w:hideMark/>
          </w:tcPr>
          <w:p w14:paraId="224019D1"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0.521</w:t>
            </w:r>
          </w:p>
        </w:tc>
        <w:tc>
          <w:tcPr>
            <w:tcW w:w="760" w:type="pct"/>
            <w:tcBorders>
              <w:top w:val="nil"/>
              <w:left w:val="nil"/>
              <w:bottom w:val="nil"/>
              <w:right w:val="nil"/>
            </w:tcBorders>
            <w:shd w:val="clear" w:color="auto" w:fill="auto"/>
            <w:noWrap/>
            <w:vAlign w:val="bottom"/>
            <w:hideMark/>
          </w:tcPr>
          <w:p w14:paraId="102B1CA7"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0.0427</w:t>
            </w:r>
          </w:p>
        </w:tc>
      </w:tr>
      <w:tr w:rsidR="0006491D" w:rsidRPr="00D23517" w14:paraId="7F8E04F3" w14:textId="77777777" w:rsidTr="005E3678">
        <w:trPr>
          <w:trHeight w:val="260"/>
        </w:trPr>
        <w:tc>
          <w:tcPr>
            <w:tcW w:w="1963" w:type="pct"/>
            <w:tcBorders>
              <w:top w:val="nil"/>
              <w:left w:val="nil"/>
              <w:bottom w:val="nil"/>
              <w:right w:val="nil"/>
            </w:tcBorders>
            <w:shd w:val="clear" w:color="auto" w:fill="auto"/>
            <w:noWrap/>
            <w:vAlign w:val="bottom"/>
            <w:hideMark/>
          </w:tcPr>
          <w:p w14:paraId="7C43BB76"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Year fixed effects</w:t>
            </w:r>
          </w:p>
        </w:tc>
        <w:tc>
          <w:tcPr>
            <w:tcW w:w="759" w:type="pct"/>
            <w:tcBorders>
              <w:top w:val="nil"/>
              <w:left w:val="nil"/>
              <w:bottom w:val="nil"/>
              <w:right w:val="nil"/>
            </w:tcBorders>
            <w:shd w:val="clear" w:color="auto" w:fill="auto"/>
            <w:noWrap/>
            <w:vAlign w:val="bottom"/>
            <w:hideMark/>
          </w:tcPr>
          <w:p w14:paraId="4D7B9DB2"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Yes</w:t>
            </w:r>
          </w:p>
        </w:tc>
        <w:tc>
          <w:tcPr>
            <w:tcW w:w="759" w:type="pct"/>
            <w:tcBorders>
              <w:top w:val="nil"/>
              <w:left w:val="nil"/>
              <w:bottom w:val="nil"/>
              <w:right w:val="nil"/>
            </w:tcBorders>
            <w:shd w:val="clear" w:color="auto" w:fill="auto"/>
            <w:noWrap/>
            <w:vAlign w:val="bottom"/>
            <w:hideMark/>
          </w:tcPr>
          <w:p w14:paraId="1A5D8B03"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Yes</w:t>
            </w:r>
          </w:p>
        </w:tc>
        <w:tc>
          <w:tcPr>
            <w:tcW w:w="759" w:type="pct"/>
            <w:tcBorders>
              <w:top w:val="nil"/>
              <w:left w:val="nil"/>
              <w:bottom w:val="nil"/>
              <w:right w:val="nil"/>
            </w:tcBorders>
            <w:shd w:val="clear" w:color="auto" w:fill="auto"/>
            <w:noWrap/>
            <w:vAlign w:val="bottom"/>
            <w:hideMark/>
          </w:tcPr>
          <w:p w14:paraId="11AAA14C"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Yes</w:t>
            </w:r>
          </w:p>
        </w:tc>
        <w:tc>
          <w:tcPr>
            <w:tcW w:w="760" w:type="pct"/>
            <w:tcBorders>
              <w:top w:val="nil"/>
              <w:left w:val="nil"/>
              <w:bottom w:val="nil"/>
              <w:right w:val="nil"/>
            </w:tcBorders>
            <w:shd w:val="clear" w:color="auto" w:fill="auto"/>
            <w:noWrap/>
            <w:vAlign w:val="bottom"/>
            <w:hideMark/>
          </w:tcPr>
          <w:p w14:paraId="59FAA4B8"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Yes</w:t>
            </w:r>
          </w:p>
        </w:tc>
      </w:tr>
      <w:tr w:rsidR="0006491D" w:rsidRPr="00D23517" w14:paraId="3E69E982" w14:textId="77777777" w:rsidTr="005E3678">
        <w:trPr>
          <w:trHeight w:val="260"/>
        </w:trPr>
        <w:tc>
          <w:tcPr>
            <w:tcW w:w="1963" w:type="pct"/>
            <w:tcBorders>
              <w:top w:val="nil"/>
              <w:left w:val="nil"/>
              <w:bottom w:val="nil"/>
              <w:right w:val="nil"/>
            </w:tcBorders>
            <w:shd w:val="clear" w:color="auto" w:fill="auto"/>
            <w:noWrap/>
            <w:vAlign w:val="bottom"/>
            <w:hideMark/>
          </w:tcPr>
          <w:p w14:paraId="0660E3E1"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Firm fixed effects</w:t>
            </w:r>
          </w:p>
        </w:tc>
        <w:tc>
          <w:tcPr>
            <w:tcW w:w="759" w:type="pct"/>
            <w:tcBorders>
              <w:top w:val="nil"/>
              <w:left w:val="nil"/>
              <w:bottom w:val="nil"/>
              <w:right w:val="nil"/>
            </w:tcBorders>
            <w:shd w:val="clear" w:color="auto" w:fill="auto"/>
            <w:noWrap/>
            <w:vAlign w:val="bottom"/>
            <w:hideMark/>
          </w:tcPr>
          <w:p w14:paraId="4E12DD1E"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Yes</w:t>
            </w:r>
          </w:p>
        </w:tc>
        <w:tc>
          <w:tcPr>
            <w:tcW w:w="759" w:type="pct"/>
            <w:tcBorders>
              <w:top w:val="nil"/>
              <w:left w:val="nil"/>
              <w:bottom w:val="nil"/>
              <w:right w:val="nil"/>
            </w:tcBorders>
            <w:shd w:val="clear" w:color="auto" w:fill="auto"/>
            <w:noWrap/>
            <w:vAlign w:val="bottom"/>
            <w:hideMark/>
          </w:tcPr>
          <w:p w14:paraId="44B9B272"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Yes</w:t>
            </w:r>
          </w:p>
        </w:tc>
        <w:tc>
          <w:tcPr>
            <w:tcW w:w="759" w:type="pct"/>
            <w:tcBorders>
              <w:top w:val="nil"/>
              <w:left w:val="nil"/>
              <w:bottom w:val="nil"/>
              <w:right w:val="nil"/>
            </w:tcBorders>
            <w:shd w:val="clear" w:color="auto" w:fill="auto"/>
            <w:noWrap/>
            <w:vAlign w:val="bottom"/>
            <w:hideMark/>
          </w:tcPr>
          <w:p w14:paraId="22FFA47F"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Yes</w:t>
            </w:r>
          </w:p>
        </w:tc>
        <w:tc>
          <w:tcPr>
            <w:tcW w:w="760" w:type="pct"/>
            <w:tcBorders>
              <w:top w:val="nil"/>
              <w:left w:val="nil"/>
              <w:bottom w:val="nil"/>
              <w:right w:val="nil"/>
            </w:tcBorders>
            <w:shd w:val="clear" w:color="auto" w:fill="auto"/>
            <w:noWrap/>
            <w:vAlign w:val="bottom"/>
            <w:hideMark/>
          </w:tcPr>
          <w:p w14:paraId="445650E3"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Yes</w:t>
            </w:r>
          </w:p>
        </w:tc>
      </w:tr>
      <w:tr w:rsidR="0006491D" w:rsidRPr="00D23517" w14:paraId="3BF00EFC" w14:textId="77777777" w:rsidTr="005E3678">
        <w:trPr>
          <w:trHeight w:val="260"/>
        </w:trPr>
        <w:tc>
          <w:tcPr>
            <w:tcW w:w="1963" w:type="pct"/>
            <w:tcBorders>
              <w:top w:val="nil"/>
              <w:left w:val="nil"/>
              <w:bottom w:val="nil"/>
              <w:right w:val="nil"/>
            </w:tcBorders>
            <w:shd w:val="clear" w:color="auto" w:fill="auto"/>
            <w:noWrap/>
            <w:vAlign w:val="bottom"/>
            <w:hideMark/>
          </w:tcPr>
          <w:p w14:paraId="0030004A"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Clustered std err by firm</w:t>
            </w:r>
          </w:p>
        </w:tc>
        <w:tc>
          <w:tcPr>
            <w:tcW w:w="759" w:type="pct"/>
            <w:tcBorders>
              <w:top w:val="nil"/>
              <w:left w:val="nil"/>
              <w:bottom w:val="nil"/>
              <w:right w:val="nil"/>
            </w:tcBorders>
            <w:shd w:val="clear" w:color="auto" w:fill="auto"/>
            <w:noWrap/>
            <w:vAlign w:val="bottom"/>
            <w:hideMark/>
          </w:tcPr>
          <w:p w14:paraId="4C87C51D"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Yes</w:t>
            </w:r>
          </w:p>
        </w:tc>
        <w:tc>
          <w:tcPr>
            <w:tcW w:w="759" w:type="pct"/>
            <w:tcBorders>
              <w:top w:val="nil"/>
              <w:left w:val="nil"/>
              <w:bottom w:val="nil"/>
              <w:right w:val="nil"/>
            </w:tcBorders>
            <w:shd w:val="clear" w:color="auto" w:fill="auto"/>
            <w:noWrap/>
            <w:vAlign w:val="bottom"/>
            <w:hideMark/>
          </w:tcPr>
          <w:p w14:paraId="0FA1C627"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Yes</w:t>
            </w:r>
          </w:p>
        </w:tc>
        <w:tc>
          <w:tcPr>
            <w:tcW w:w="759" w:type="pct"/>
            <w:tcBorders>
              <w:top w:val="nil"/>
              <w:left w:val="nil"/>
              <w:bottom w:val="nil"/>
              <w:right w:val="nil"/>
            </w:tcBorders>
            <w:shd w:val="clear" w:color="auto" w:fill="auto"/>
            <w:noWrap/>
            <w:vAlign w:val="bottom"/>
            <w:hideMark/>
          </w:tcPr>
          <w:p w14:paraId="4C3B7526"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Yes</w:t>
            </w:r>
          </w:p>
        </w:tc>
        <w:tc>
          <w:tcPr>
            <w:tcW w:w="760" w:type="pct"/>
            <w:tcBorders>
              <w:top w:val="nil"/>
              <w:left w:val="nil"/>
              <w:bottom w:val="nil"/>
              <w:right w:val="nil"/>
            </w:tcBorders>
            <w:shd w:val="clear" w:color="auto" w:fill="auto"/>
            <w:noWrap/>
            <w:vAlign w:val="bottom"/>
            <w:hideMark/>
          </w:tcPr>
          <w:p w14:paraId="200A0860"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Yes</w:t>
            </w:r>
          </w:p>
        </w:tc>
      </w:tr>
      <w:tr w:rsidR="0006491D" w:rsidRPr="00D23517" w14:paraId="1DACA154" w14:textId="77777777" w:rsidTr="005E3678">
        <w:trPr>
          <w:trHeight w:val="260"/>
        </w:trPr>
        <w:tc>
          <w:tcPr>
            <w:tcW w:w="1963" w:type="pct"/>
            <w:tcBorders>
              <w:top w:val="nil"/>
              <w:left w:val="nil"/>
              <w:bottom w:val="nil"/>
              <w:right w:val="nil"/>
            </w:tcBorders>
            <w:shd w:val="clear" w:color="auto" w:fill="auto"/>
            <w:noWrap/>
            <w:vAlign w:val="bottom"/>
            <w:hideMark/>
          </w:tcPr>
          <w:p w14:paraId="037BB7A9"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Control variables</w:t>
            </w:r>
          </w:p>
        </w:tc>
        <w:tc>
          <w:tcPr>
            <w:tcW w:w="759" w:type="pct"/>
            <w:tcBorders>
              <w:top w:val="nil"/>
              <w:left w:val="nil"/>
              <w:bottom w:val="nil"/>
              <w:right w:val="nil"/>
            </w:tcBorders>
            <w:shd w:val="clear" w:color="auto" w:fill="auto"/>
            <w:noWrap/>
            <w:vAlign w:val="bottom"/>
            <w:hideMark/>
          </w:tcPr>
          <w:p w14:paraId="3C418744"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Yes</w:t>
            </w:r>
          </w:p>
        </w:tc>
        <w:tc>
          <w:tcPr>
            <w:tcW w:w="759" w:type="pct"/>
            <w:tcBorders>
              <w:top w:val="nil"/>
              <w:left w:val="nil"/>
              <w:bottom w:val="nil"/>
              <w:right w:val="nil"/>
            </w:tcBorders>
            <w:shd w:val="clear" w:color="auto" w:fill="auto"/>
            <w:noWrap/>
            <w:vAlign w:val="bottom"/>
            <w:hideMark/>
          </w:tcPr>
          <w:p w14:paraId="38EF105F"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Yes</w:t>
            </w:r>
          </w:p>
        </w:tc>
        <w:tc>
          <w:tcPr>
            <w:tcW w:w="759" w:type="pct"/>
            <w:tcBorders>
              <w:top w:val="nil"/>
              <w:left w:val="nil"/>
              <w:bottom w:val="nil"/>
              <w:right w:val="nil"/>
            </w:tcBorders>
            <w:shd w:val="clear" w:color="auto" w:fill="auto"/>
            <w:noWrap/>
            <w:vAlign w:val="bottom"/>
            <w:hideMark/>
          </w:tcPr>
          <w:p w14:paraId="4653F017"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Yes</w:t>
            </w:r>
          </w:p>
        </w:tc>
        <w:tc>
          <w:tcPr>
            <w:tcW w:w="760" w:type="pct"/>
            <w:tcBorders>
              <w:top w:val="nil"/>
              <w:left w:val="nil"/>
              <w:bottom w:val="nil"/>
              <w:right w:val="nil"/>
            </w:tcBorders>
            <w:shd w:val="clear" w:color="auto" w:fill="auto"/>
            <w:noWrap/>
            <w:vAlign w:val="bottom"/>
            <w:hideMark/>
          </w:tcPr>
          <w:p w14:paraId="1D2E8B8F"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Yes</w:t>
            </w:r>
          </w:p>
        </w:tc>
      </w:tr>
      <w:tr w:rsidR="0006491D" w:rsidRPr="00D23517" w14:paraId="0C12412E" w14:textId="77777777" w:rsidTr="005E3678">
        <w:trPr>
          <w:trHeight w:val="260"/>
        </w:trPr>
        <w:tc>
          <w:tcPr>
            <w:tcW w:w="1963" w:type="pct"/>
            <w:tcBorders>
              <w:top w:val="nil"/>
              <w:left w:val="nil"/>
              <w:bottom w:val="nil"/>
              <w:right w:val="nil"/>
            </w:tcBorders>
            <w:shd w:val="clear" w:color="auto" w:fill="auto"/>
            <w:noWrap/>
            <w:vAlign w:val="bottom"/>
            <w:hideMark/>
          </w:tcPr>
          <w:p w14:paraId="02B5C5B9"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Observations</w:t>
            </w:r>
          </w:p>
        </w:tc>
        <w:tc>
          <w:tcPr>
            <w:tcW w:w="759" w:type="pct"/>
            <w:tcBorders>
              <w:top w:val="nil"/>
              <w:left w:val="nil"/>
              <w:bottom w:val="nil"/>
              <w:right w:val="nil"/>
            </w:tcBorders>
            <w:shd w:val="clear" w:color="auto" w:fill="auto"/>
            <w:noWrap/>
            <w:vAlign w:val="bottom"/>
            <w:hideMark/>
          </w:tcPr>
          <w:p w14:paraId="126EF226"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71,906</w:t>
            </w:r>
          </w:p>
        </w:tc>
        <w:tc>
          <w:tcPr>
            <w:tcW w:w="759" w:type="pct"/>
            <w:tcBorders>
              <w:top w:val="nil"/>
              <w:left w:val="nil"/>
              <w:bottom w:val="nil"/>
              <w:right w:val="nil"/>
            </w:tcBorders>
            <w:shd w:val="clear" w:color="auto" w:fill="auto"/>
            <w:noWrap/>
            <w:vAlign w:val="bottom"/>
            <w:hideMark/>
          </w:tcPr>
          <w:p w14:paraId="454C482A"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72,024</w:t>
            </w:r>
          </w:p>
        </w:tc>
        <w:tc>
          <w:tcPr>
            <w:tcW w:w="759" w:type="pct"/>
            <w:tcBorders>
              <w:top w:val="nil"/>
              <w:left w:val="nil"/>
              <w:bottom w:val="nil"/>
              <w:right w:val="nil"/>
            </w:tcBorders>
            <w:shd w:val="clear" w:color="auto" w:fill="auto"/>
            <w:noWrap/>
            <w:vAlign w:val="bottom"/>
            <w:hideMark/>
          </w:tcPr>
          <w:p w14:paraId="1A79521F"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72,024</w:t>
            </w:r>
          </w:p>
        </w:tc>
        <w:tc>
          <w:tcPr>
            <w:tcW w:w="760" w:type="pct"/>
            <w:tcBorders>
              <w:top w:val="nil"/>
              <w:left w:val="nil"/>
              <w:bottom w:val="nil"/>
              <w:right w:val="nil"/>
            </w:tcBorders>
            <w:shd w:val="clear" w:color="auto" w:fill="auto"/>
            <w:noWrap/>
            <w:vAlign w:val="bottom"/>
            <w:hideMark/>
          </w:tcPr>
          <w:p w14:paraId="3B502117"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55,095</w:t>
            </w:r>
          </w:p>
        </w:tc>
      </w:tr>
      <w:tr w:rsidR="0006491D" w:rsidRPr="00D23517" w14:paraId="22627D9B" w14:textId="77777777" w:rsidTr="005E3678">
        <w:trPr>
          <w:trHeight w:val="260"/>
        </w:trPr>
        <w:tc>
          <w:tcPr>
            <w:tcW w:w="1963" w:type="pct"/>
            <w:tcBorders>
              <w:top w:val="nil"/>
              <w:left w:val="nil"/>
              <w:bottom w:val="single" w:sz="4" w:space="0" w:color="auto"/>
              <w:right w:val="nil"/>
            </w:tcBorders>
            <w:shd w:val="clear" w:color="auto" w:fill="auto"/>
            <w:noWrap/>
            <w:vAlign w:val="bottom"/>
            <w:hideMark/>
          </w:tcPr>
          <w:p w14:paraId="335B42AD"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Number of firms</w:t>
            </w:r>
          </w:p>
        </w:tc>
        <w:tc>
          <w:tcPr>
            <w:tcW w:w="759" w:type="pct"/>
            <w:tcBorders>
              <w:top w:val="nil"/>
              <w:left w:val="nil"/>
              <w:bottom w:val="single" w:sz="4" w:space="0" w:color="auto"/>
              <w:right w:val="nil"/>
            </w:tcBorders>
            <w:shd w:val="clear" w:color="auto" w:fill="auto"/>
            <w:noWrap/>
            <w:vAlign w:val="bottom"/>
            <w:hideMark/>
          </w:tcPr>
          <w:p w14:paraId="4F19ACD5"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9,659</w:t>
            </w:r>
          </w:p>
        </w:tc>
        <w:tc>
          <w:tcPr>
            <w:tcW w:w="759" w:type="pct"/>
            <w:tcBorders>
              <w:top w:val="nil"/>
              <w:left w:val="nil"/>
              <w:bottom w:val="single" w:sz="4" w:space="0" w:color="auto"/>
              <w:right w:val="nil"/>
            </w:tcBorders>
            <w:shd w:val="clear" w:color="auto" w:fill="auto"/>
            <w:noWrap/>
            <w:vAlign w:val="bottom"/>
            <w:hideMark/>
          </w:tcPr>
          <w:p w14:paraId="270833E2"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9,659</w:t>
            </w:r>
          </w:p>
        </w:tc>
        <w:tc>
          <w:tcPr>
            <w:tcW w:w="759" w:type="pct"/>
            <w:tcBorders>
              <w:top w:val="nil"/>
              <w:left w:val="nil"/>
              <w:bottom w:val="single" w:sz="4" w:space="0" w:color="auto"/>
              <w:right w:val="nil"/>
            </w:tcBorders>
            <w:shd w:val="clear" w:color="auto" w:fill="auto"/>
            <w:noWrap/>
            <w:vAlign w:val="bottom"/>
            <w:hideMark/>
          </w:tcPr>
          <w:p w14:paraId="00BB2A0A"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9,659</w:t>
            </w:r>
          </w:p>
        </w:tc>
        <w:tc>
          <w:tcPr>
            <w:tcW w:w="760" w:type="pct"/>
            <w:tcBorders>
              <w:top w:val="nil"/>
              <w:left w:val="nil"/>
              <w:bottom w:val="single" w:sz="4" w:space="0" w:color="auto"/>
              <w:right w:val="nil"/>
            </w:tcBorders>
            <w:shd w:val="clear" w:color="auto" w:fill="auto"/>
            <w:noWrap/>
            <w:vAlign w:val="bottom"/>
            <w:hideMark/>
          </w:tcPr>
          <w:p w14:paraId="2748794E" w14:textId="77777777" w:rsidR="0006491D" w:rsidRPr="00D23517" w:rsidRDefault="0006491D"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6,998</w:t>
            </w:r>
          </w:p>
        </w:tc>
      </w:tr>
    </w:tbl>
    <w:p w14:paraId="54C1ED39" w14:textId="4BA7098A" w:rsidR="00903DCE" w:rsidRDefault="009B6F98" w:rsidP="00A1062B">
      <w:pPr>
        <w:jc w:val="both"/>
        <w:rPr>
          <w:rFonts w:ascii="Times New Roman" w:eastAsia="Times New Roman" w:hAnsi="Times New Roman" w:cs="Times New Roman"/>
          <w:b/>
          <w:bCs/>
          <w:i/>
          <w:iCs/>
        </w:rPr>
        <w:sectPr w:rsidR="00903DCE" w:rsidSect="00903DCE">
          <w:footerReference w:type="default" r:id="rId14"/>
          <w:pgSz w:w="12240" w:h="15840"/>
          <w:pgMar w:top="1440" w:right="1440" w:bottom="1440" w:left="1440" w:header="720" w:footer="720" w:gutter="0"/>
          <w:cols w:space="720"/>
          <w:docGrid w:linePitch="360"/>
        </w:sectPr>
      </w:pPr>
      <w:r>
        <w:rPr>
          <w:rFonts w:ascii="Times New Roman" w:hAnsi="Times New Roman" w:cs="Times New Roman"/>
          <w:sz w:val="20"/>
          <w:szCs w:val="20"/>
        </w:rPr>
        <w:t>Note</w:t>
      </w:r>
      <w:r w:rsidR="00714B86">
        <w:rPr>
          <w:rFonts w:ascii="Times New Roman" w:hAnsi="Times New Roman" w:cs="Times New Roman"/>
          <w:sz w:val="20"/>
          <w:szCs w:val="20"/>
        </w:rPr>
        <w:t xml:space="preserve">: </w:t>
      </w:r>
      <w:r w:rsidR="00714B86" w:rsidRPr="00893E6D">
        <w:rPr>
          <w:rFonts w:ascii="Times New Roman" w:hAnsi="Times New Roman" w:cs="Times New Roman"/>
          <w:sz w:val="20"/>
          <w:szCs w:val="20"/>
        </w:rPr>
        <w:t xml:space="preserve">This table reports the results from the panel data firm-fixed effect regressions of ROA volatility, </w:t>
      </w:r>
      <w:r w:rsidR="00714B86" w:rsidRPr="00893E6D">
        <w:rPr>
          <w:rFonts w:ascii="Times New Roman" w:hAnsi="Times New Roman" w:cs="Times New Roman"/>
          <w:i/>
          <w:sz w:val="20"/>
          <w:szCs w:val="20"/>
        </w:rPr>
        <w:t>TOTRISK, IDIORISK</w:t>
      </w:r>
      <w:r w:rsidR="000110A0">
        <w:rPr>
          <w:rFonts w:ascii="Times New Roman" w:hAnsi="Times New Roman" w:cs="Times New Roman"/>
          <w:i/>
          <w:sz w:val="20"/>
          <w:szCs w:val="20"/>
        </w:rPr>
        <w:t>,</w:t>
      </w:r>
      <w:r w:rsidR="00714B86" w:rsidRPr="00893E6D">
        <w:rPr>
          <w:rFonts w:ascii="Times New Roman" w:hAnsi="Times New Roman" w:cs="Times New Roman"/>
          <w:sz w:val="20"/>
          <w:szCs w:val="20"/>
        </w:rPr>
        <w:t xml:space="preserve"> and crash risk </w:t>
      </w:r>
      <w:r w:rsidR="007C253A">
        <w:rPr>
          <w:rFonts w:ascii="Times New Roman" w:hAnsi="Times New Roman" w:cs="Times New Roman"/>
          <w:sz w:val="20"/>
          <w:szCs w:val="20"/>
        </w:rPr>
        <w:t>(</w:t>
      </w:r>
      <w:r w:rsidR="00714B86" w:rsidRPr="00893E6D">
        <w:rPr>
          <w:rFonts w:ascii="Times New Roman" w:hAnsi="Times New Roman" w:cs="Times New Roman"/>
          <w:i/>
          <w:sz w:val="20"/>
          <w:szCs w:val="20"/>
        </w:rPr>
        <w:t>NCSKEW</w:t>
      </w:r>
      <w:r w:rsidR="007C253A">
        <w:rPr>
          <w:rFonts w:ascii="Times New Roman" w:hAnsi="Times New Roman" w:cs="Times New Roman"/>
          <w:i/>
          <w:sz w:val="20"/>
          <w:szCs w:val="20"/>
        </w:rPr>
        <w:t>)</w:t>
      </w:r>
      <w:r w:rsidR="00714B86" w:rsidRPr="00893E6D">
        <w:rPr>
          <w:rFonts w:ascii="Times New Roman" w:hAnsi="Times New Roman" w:cs="Times New Roman"/>
          <w:sz w:val="20"/>
          <w:szCs w:val="20"/>
        </w:rPr>
        <w:t xml:space="preserve"> on the components of non</w:t>
      </w:r>
      <w:r w:rsidR="00053ADA">
        <w:rPr>
          <w:rFonts w:ascii="Times New Roman" w:hAnsi="Times New Roman" w:cs="Times New Roman"/>
          <w:sz w:val="20"/>
          <w:szCs w:val="20"/>
        </w:rPr>
        <w:t>-</w:t>
      </w:r>
      <w:r w:rsidR="00714B86" w:rsidRPr="00893E6D">
        <w:rPr>
          <w:rFonts w:ascii="Times New Roman" w:hAnsi="Times New Roman" w:cs="Times New Roman"/>
          <w:sz w:val="20"/>
          <w:szCs w:val="20"/>
        </w:rPr>
        <w:t>operating income. ROA volatility (</w:t>
      </w:r>
      <w:r w:rsidR="00714B86" w:rsidRPr="00893E6D">
        <w:rPr>
          <w:rFonts w:ascii="Times New Roman" w:hAnsi="Times New Roman" w:cs="Times New Roman"/>
          <w:i/>
          <w:sz w:val="20"/>
          <w:szCs w:val="20"/>
        </w:rPr>
        <w:t>ROAVOL</w:t>
      </w:r>
      <w:r w:rsidR="00714B86" w:rsidRPr="00893E6D">
        <w:rPr>
          <w:rFonts w:ascii="Times New Roman" w:hAnsi="Times New Roman" w:cs="Times New Roman"/>
          <w:sz w:val="20"/>
          <w:szCs w:val="20"/>
        </w:rPr>
        <w:t>) is the standard deviation of return on assets over 5 years (from year -4 to the current fiscal year).</w:t>
      </w:r>
      <w:r w:rsidR="00714B86" w:rsidRPr="00893E6D">
        <w:rPr>
          <w:rFonts w:ascii="Times New Roman" w:hAnsi="Times New Roman" w:cs="Times New Roman"/>
          <w:i/>
          <w:sz w:val="20"/>
          <w:szCs w:val="20"/>
        </w:rPr>
        <w:t xml:space="preserve"> </w:t>
      </w:r>
      <w:r w:rsidR="00253677">
        <w:rPr>
          <w:rFonts w:ascii="Times New Roman" w:hAnsi="Times New Roman" w:cs="Times New Roman"/>
          <w:sz w:val="20"/>
          <w:szCs w:val="20"/>
        </w:rPr>
        <w:t>T</w:t>
      </w:r>
      <w:r w:rsidR="00253677" w:rsidRPr="005F4D86">
        <w:rPr>
          <w:rFonts w:ascii="Times New Roman" w:hAnsi="Times New Roman" w:cs="Times New Roman"/>
          <w:sz w:val="20"/>
          <w:szCs w:val="20"/>
        </w:rPr>
        <w:t>otal risk</w:t>
      </w:r>
      <w:r w:rsidR="00253677" w:rsidRPr="005F4D86">
        <w:rPr>
          <w:rFonts w:ascii="Times New Roman" w:hAnsi="Times New Roman" w:cs="Times New Roman"/>
          <w:i/>
          <w:sz w:val="20"/>
          <w:szCs w:val="20"/>
        </w:rPr>
        <w:t xml:space="preserve"> </w:t>
      </w:r>
      <w:r w:rsidR="00253677">
        <w:rPr>
          <w:rFonts w:ascii="Times New Roman" w:hAnsi="Times New Roman" w:cs="Times New Roman"/>
          <w:i/>
          <w:sz w:val="20"/>
          <w:szCs w:val="20"/>
        </w:rPr>
        <w:t>(</w:t>
      </w:r>
      <w:r w:rsidR="00253677" w:rsidRPr="005F4D86">
        <w:rPr>
          <w:rFonts w:ascii="Times New Roman" w:hAnsi="Times New Roman" w:cs="Times New Roman"/>
          <w:i/>
          <w:sz w:val="20"/>
          <w:szCs w:val="20"/>
        </w:rPr>
        <w:t>TOTRISK</w:t>
      </w:r>
      <w:r w:rsidR="00253677">
        <w:rPr>
          <w:rFonts w:ascii="Times New Roman" w:hAnsi="Times New Roman" w:cs="Times New Roman"/>
          <w:i/>
          <w:sz w:val="20"/>
          <w:szCs w:val="20"/>
        </w:rPr>
        <w:t>)</w:t>
      </w:r>
      <w:r w:rsidR="00714B86" w:rsidRPr="00893E6D">
        <w:rPr>
          <w:rFonts w:ascii="Times New Roman" w:hAnsi="Times New Roman" w:cs="Times New Roman"/>
          <w:sz w:val="20"/>
          <w:szCs w:val="20"/>
        </w:rPr>
        <w:t xml:space="preserve"> is the annualized standard deviation of the daily stock returns in the year.</w:t>
      </w:r>
      <w:r w:rsidR="00714B86" w:rsidRPr="00893E6D">
        <w:rPr>
          <w:rFonts w:ascii="Times New Roman" w:hAnsi="Times New Roman" w:cs="Times New Roman"/>
          <w:i/>
          <w:sz w:val="20"/>
          <w:szCs w:val="20"/>
        </w:rPr>
        <w:t xml:space="preserve"> </w:t>
      </w:r>
      <w:r w:rsidR="00FC6F5C" w:rsidRPr="00D05DBE">
        <w:rPr>
          <w:rFonts w:ascii="Times New Roman" w:hAnsi="Times New Roman" w:cs="Times New Roman"/>
          <w:sz w:val="20"/>
          <w:szCs w:val="20"/>
        </w:rPr>
        <w:t>Idiosyncratic</w:t>
      </w:r>
      <w:r w:rsidR="00FC6F5C" w:rsidRPr="005F4D86">
        <w:rPr>
          <w:rFonts w:ascii="Times New Roman" w:hAnsi="Times New Roman" w:cs="Times New Roman"/>
          <w:sz w:val="20"/>
          <w:szCs w:val="20"/>
        </w:rPr>
        <w:t xml:space="preserve"> risk</w:t>
      </w:r>
      <w:r w:rsidR="00FC6F5C">
        <w:rPr>
          <w:rFonts w:ascii="Times New Roman" w:hAnsi="Times New Roman" w:cs="Times New Roman"/>
          <w:sz w:val="20"/>
          <w:szCs w:val="20"/>
        </w:rPr>
        <w:t xml:space="preserve"> (</w:t>
      </w:r>
      <w:r w:rsidR="00FC6F5C" w:rsidRPr="005F4D86">
        <w:rPr>
          <w:rFonts w:ascii="Times New Roman" w:hAnsi="Times New Roman" w:cs="Times New Roman"/>
          <w:i/>
          <w:sz w:val="20"/>
          <w:szCs w:val="20"/>
        </w:rPr>
        <w:t>IDIORISK</w:t>
      </w:r>
      <w:r w:rsidR="00FC6F5C">
        <w:rPr>
          <w:rFonts w:ascii="Times New Roman" w:hAnsi="Times New Roman" w:cs="Times New Roman"/>
          <w:i/>
          <w:sz w:val="20"/>
          <w:szCs w:val="20"/>
        </w:rPr>
        <w:t>)</w:t>
      </w:r>
      <w:r w:rsidR="00974CED">
        <w:rPr>
          <w:rFonts w:ascii="Times New Roman" w:hAnsi="Times New Roman" w:cs="Times New Roman"/>
          <w:i/>
          <w:sz w:val="20"/>
          <w:szCs w:val="20"/>
        </w:rPr>
        <w:t xml:space="preserve"> </w:t>
      </w:r>
      <w:r w:rsidR="00714B86" w:rsidRPr="00893E6D">
        <w:rPr>
          <w:rFonts w:ascii="Times New Roman" w:hAnsi="Times New Roman" w:cs="Times New Roman"/>
          <w:sz w:val="20"/>
          <w:szCs w:val="20"/>
        </w:rPr>
        <w:t xml:space="preserve">is the annualized standard deviation of the residuals from the </w:t>
      </w:r>
      <w:proofErr w:type="spellStart"/>
      <w:r w:rsidR="00714B86" w:rsidRPr="00893E6D">
        <w:rPr>
          <w:rFonts w:ascii="Times New Roman" w:hAnsi="Times New Roman" w:cs="Times New Roman"/>
          <w:sz w:val="20"/>
          <w:szCs w:val="20"/>
        </w:rPr>
        <w:t>Fama</w:t>
      </w:r>
      <w:proofErr w:type="spellEnd"/>
      <w:r w:rsidR="00714B86" w:rsidRPr="00893E6D">
        <w:rPr>
          <w:rFonts w:ascii="Times New Roman" w:hAnsi="Times New Roman" w:cs="Times New Roman"/>
          <w:sz w:val="20"/>
          <w:szCs w:val="20"/>
        </w:rPr>
        <w:t>-French 4-factor model using daily stock returns in the year.</w:t>
      </w:r>
      <w:r w:rsidR="00714B86" w:rsidRPr="00893E6D">
        <w:rPr>
          <w:rFonts w:ascii="Times New Roman" w:hAnsi="Times New Roman" w:cs="Times New Roman"/>
          <w:i/>
          <w:sz w:val="20"/>
          <w:szCs w:val="20"/>
        </w:rPr>
        <w:t xml:space="preserve"> NCSKEW</w:t>
      </w:r>
      <w:r w:rsidR="00714B86" w:rsidRPr="00893E6D">
        <w:rPr>
          <w:rFonts w:ascii="Times New Roman" w:hAnsi="Times New Roman" w:cs="Times New Roman"/>
          <w:sz w:val="20"/>
          <w:szCs w:val="20"/>
        </w:rPr>
        <w:t xml:space="preserve"> is the negative conditional skewness of firm-specific weekly return, calculated as the negative third central moment of firm-specific weekly returns divided by the cubed standard deviation of firm-specific weekly returns.</w:t>
      </w:r>
      <w:r w:rsidR="00714B86" w:rsidRPr="00893E6D">
        <w:rPr>
          <w:rFonts w:ascii="Times New Roman" w:eastAsiaTheme="minorEastAsia" w:hAnsi="Times New Roman" w:cs="Times New Roman"/>
          <w:sz w:val="20"/>
          <w:szCs w:val="20"/>
        </w:rPr>
        <w:t xml:space="preserve"> </w:t>
      </w:r>
      <w:r w:rsidR="00714B86" w:rsidRPr="00893E6D">
        <w:rPr>
          <w:rFonts w:ascii="Times New Roman" w:hAnsi="Times New Roman" w:cs="Times New Roman"/>
          <w:sz w:val="20"/>
          <w:szCs w:val="20"/>
        </w:rPr>
        <w:t xml:space="preserve">ESUB/IRENT/IDIT/INTC/AM/FCA is equity earnings in unconsolidated subsidiaries/rental income/total interest and related income/capitalized interest amortization of intangibles/foreign exchange income or loss scaled by total assets. </w:t>
      </w:r>
      <w:r w:rsidR="00714B86" w:rsidRPr="00893E6D">
        <w:rPr>
          <w:rFonts w:ascii="Times New Roman" w:hAnsi="Times New Roman" w:cs="Times New Roman"/>
          <w:i/>
          <w:sz w:val="20"/>
          <w:szCs w:val="20"/>
        </w:rPr>
        <w:t>OPERINC</w:t>
      </w:r>
      <w:r w:rsidR="00714B86" w:rsidRPr="00893E6D">
        <w:rPr>
          <w:rFonts w:ascii="Times New Roman" w:hAnsi="Times New Roman" w:cs="Times New Roman"/>
          <w:sz w:val="20"/>
          <w:szCs w:val="20"/>
        </w:rPr>
        <w:t xml:space="preserve"> is the ratio of operating </w:t>
      </w:r>
      <w:r w:rsidR="00714B86">
        <w:rPr>
          <w:rFonts w:ascii="Times New Roman" w:hAnsi="Times New Roman" w:cs="Times New Roman"/>
          <w:sz w:val="20"/>
          <w:szCs w:val="20"/>
        </w:rPr>
        <w:t>earnings</w:t>
      </w:r>
      <w:r w:rsidR="00714B86" w:rsidRPr="00893E6D">
        <w:rPr>
          <w:rFonts w:ascii="Times New Roman" w:hAnsi="Times New Roman" w:cs="Times New Roman"/>
          <w:sz w:val="20"/>
          <w:szCs w:val="20"/>
        </w:rPr>
        <w:t xml:space="preserve"> to assets at the end of the fiscal year. For brevity, only coefficients on the components of </w:t>
      </w:r>
      <w:r w:rsidR="00714B86" w:rsidRPr="00893E6D">
        <w:rPr>
          <w:rFonts w:ascii="Times New Roman" w:hAnsi="Times New Roman" w:cs="Times New Roman"/>
          <w:i/>
          <w:sz w:val="20"/>
          <w:szCs w:val="20"/>
        </w:rPr>
        <w:t>NONOPERINC</w:t>
      </w:r>
      <w:r w:rsidR="00714B86" w:rsidRPr="00893E6D">
        <w:rPr>
          <w:rFonts w:ascii="Times New Roman" w:hAnsi="Times New Roman" w:cs="Times New Roman"/>
          <w:sz w:val="20"/>
          <w:szCs w:val="20"/>
        </w:rPr>
        <w:t xml:space="preserve"> and </w:t>
      </w:r>
      <w:r w:rsidR="00714B86" w:rsidRPr="00893E6D">
        <w:rPr>
          <w:rFonts w:ascii="Times New Roman" w:hAnsi="Times New Roman" w:cs="Times New Roman"/>
          <w:i/>
          <w:sz w:val="20"/>
          <w:szCs w:val="20"/>
        </w:rPr>
        <w:t>OPERINC</w:t>
      </w:r>
      <w:r w:rsidR="00714B86" w:rsidRPr="00893E6D">
        <w:rPr>
          <w:rFonts w:ascii="Times New Roman" w:hAnsi="Times New Roman" w:cs="Times New Roman"/>
          <w:sz w:val="20"/>
          <w:szCs w:val="20"/>
        </w:rPr>
        <w:t xml:space="preserve"> are reported. *, ** and *** indicate the significance levels of 10%, 5% and 1%, respectively.</w:t>
      </w:r>
      <w:r w:rsidR="00714B86" w:rsidRPr="00893E6D">
        <w:rPr>
          <w:rFonts w:ascii="Times New Roman" w:eastAsia="Times New Roman" w:hAnsi="Times New Roman" w:cs="Times New Roman"/>
          <w:b/>
          <w:bCs/>
          <w:i/>
          <w:iCs/>
        </w:rPr>
        <w:t xml:space="preserve"> </w:t>
      </w:r>
    </w:p>
    <w:p w14:paraId="4A98B15C" w14:textId="5AE564D8" w:rsidR="0038576E" w:rsidRPr="00D23517" w:rsidRDefault="0038576E" w:rsidP="00D23517">
      <w:pPr>
        <w:spacing w:after="0"/>
        <w:jc w:val="both"/>
        <w:rPr>
          <w:rFonts w:ascii="Times New Roman" w:eastAsia="Times New Roman" w:hAnsi="Times New Roman" w:cs="Times New Roman"/>
          <w:b/>
          <w:bCs/>
          <w:sz w:val="24"/>
          <w:szCs w:val="24"/>
        </w:rPr>
      </w:pPr>
      <w:r w:rsidRPr="00D23517">
        <w:rPr>
          <w:rFonts w:ascii="Times New Roman" w:eastAsia="Times New Roman" w:hAnsi="Times New Roman" w:cs="Times New Roman"/>
          <w:b/>
          <w:bCs/>
          <w:sz w:val="24"/>
          <w:szCs w:val="24"/>
        </w:rPr>
        <w:lastRenderedPageBreak/>
        <w:t xml:space="preserve">Table 9: Regressions of </w:t>
      </w:r>
      <w:r w:rsidR="002A1376" w:rsidRPr="00D23517">
        <w:rPr>
          <w:rFonts w:ascii="Times New Roman" w:eastAsia="Times New Roman" w:hAnsi="Times New Roman" w:cs="Times New Roman"/>
          <w:b/>
          <w:bCs/>
          <w:sz w:val="24"/>
          <w:szCs w:val="24"/>
        </w:rPr>
        <w:t>f</w:t>
      </w:r>
      <w:r w:rsidRPr="00D23517">
        <w:rPr>
          <w:rFonts w:ascii="Times New Roman" w:eastAsia="Times New Roman" w:hAnsi="Times New Roman" w:cs="Times New Roman"/>
          <w:b/>
          <w:bCs/>
          <w:sz w:val="24"/>
          <w:szCs w:val="24"/>
        </w:rPr>
        <w:t xml:space="preserve">irm </w:t>
      </w:r>
      <w:r w:rsidR="002A1376" w:rsidRPr="00D23517">
        <w:rPr>
          <w:rFonts w:ascii="Times New Roman" w:eastAsia="Times New Roman" w:hAnsi="Times New Roman" w:cs="Times New Roman"/>
          <w:b/>
          <w:bCs/>
          <w:sz w:val="24"/>
          <w:szCs w:val="24"/>
        </w:rPr>
        <w:t>r</w:t>
      </w:r>
      <w:r w:rsidRPr="00D23517">
        <w:rPr>
          <w:rFonts w:ascii="Times New Roman" w:eastAsia="Times New Roman" w:hAnsi="Times New Roman" w:cs="Times New Roman"/>
          <w:b/>
          <w:bCs/>
          <w:sz w:val="24"/>
          <w:szCs w:val="24"/>
        </w:rPr>
        <w:t xml:space="preserve">isk on </w:t>
      </w:r>
      <w:r w:rsidR="002A1376" w:rsidRPr="00D23517">
        <w:rPr>
          <w:rFonts w:ascii="Times New Roman" w:eastAsia="Times New Roman" w:hAnsi="Times New Roman" w:cs="Times New Roman"/>
          <w:b/>
          <w:bCs/>
          <w:sz w:val="24"/>
          <w:szCs w:val="24"/>
        </w:rPr>
        <w:t>u</w:t>
      </w:r>
      <w:r w:rsidRPr="00D23517">
        <w:rPr>
          <w:rFonts w:ascii="Times New Roman" w:eastAsia="Times New Roman" w:hAnsi="Times New Roman" w:cs="Times New Roman"/>
          <w:b/>
          <w:bCs/>
          <w:sz w:val="24"/>
          <w:szCs w:val="24"/>
        </w:rPr>
        <w:t xml:space="preserve">nexpected </w:t>
      </w:r>
      <w:r w:rsidR="002A1376" w:rsidRPr="00D23517">
        <w:rPr>
          <w:rFonts w:ascii="Times New Roman" w:eastAsia="Times New Roman" w:hAnsi="Times New Roman" w:cs="Times New Roman"/>
          <w:b/>
          <w:bCs/>
          <w:sz w:val="24"/>
          <w:szCs w:val="24"/>
        </w:rPr>
        <w:t>o</w:t>
      </w:r>
      <w:r w:rsidRPr="00D23517">
        <w:rPr>
          <w:rFonts w:ascii="Times New Roman" w:eastAsia="Times New Roman" w:hAnsi="Times New Roman" w:cs="Times New Roman"/>
          <w:b/>
          <w:bCs/>
          <w:sz w:val="24"/>
          <w:szCs w:val="24"/>
        </w:rPr>
        <w:t xml:space="preserve">perating </w:t>
      </w:r>
      <w:r w:rsidR="002A1376" w:rsidRPr="00D23517">
        <w:rPr>
          <w:rFonts w:ascii="Times New Roman" w:eastAsia="Times New Roman" w:hAnsi="Times New Roman" w:cs="Times New Roman"/>
          <w:b/>
          <w:bCs/>
          <w:sz w:val="24"/>
          <w:szCs w:val="24"/>
        </w:rPr>
        <w:t>e</w:t>
      </w:r>
      <w:r w:rsidRPr="00D23517">
        <w:rPr>
          <w:rFonts w:ascii="Times New Roman" w:eastAsia="Times New Roman" w:hAnsi="Times New Roman" w:cs="Times New Roman"/>
          <w:b/>
          <w:bCs/>
          <w:sz w:val="24"/>
          <w:szCs w:val="24"/>
        </w:rPr>
        <w:t xml:space="preserve">arnings and </w:t>
      </w:r>
      <w:r w:rsidR="002A1376" w:rsidRPr="00D23517">
        <w:rPr>
          <w:rFonts w:ascii="Times New Roman" w:eastAsia="Times New Roman" w:hAnsi="Times New Roman" w:cs="Times New Roman"/>
          <w:b/>
          <w:bCs/>
          <w:sz w:val="24"/>
          <w:szCs w:val="24"/>
        </w:rPr>
        <w:t>n</w:t>
      </w:r>
      <w:r w:rsidRPr="00D23517">
        <w:rPr>
          <w:rFonts w:ascii="Times New Roman" w:eastAsia="Times New Roman" w:hAnsi="Times New Roman" w:cs="Times New Roman"/>
          <w:b/>
          <w:bCs/>
          <w:sz w:val="24"/>
          <w:szCs w:val="24"/>
        </w:rPr>
        <w:t>on-</w:t>
      </w:r>
      <w:r w:rsidR="002A1376" w:rsidRPr="00D23517">
        <w:rPr>
          <w:rFonts w:ascii="Times New Roman" w:eastAsia="Times New Roman" w:hAnsi="Times New Roman" w:cs="Times New Roman"/>
          <w:b/>
          <w:bCs/>
          <w:sz w:val="24"/>
          <w:szCs w:val="24"/>
        </w:rPr>
        <w:t>o</w:t>
      </w:r>
      <w:r w:rsidRPr="00D23517">
        <w:rPr>
          <w:rFonts w:ascii="Times New Roman" w:eastAsia="Times New Roman" w:hAnsi="Times New Roman" w:cs="Times New Roman"/>
          <w:b/>
          <w:bCs/>
          <w:sz w:val="24"/>
          <w:szCs w:val="24"/>
        </w:rPr>
        <w:t xml:space="preserve">perating </w:t>
      </w:r>
      <w:r w:rsidR="002A1376" w:rsidRPr="00D23517">
        <w:rPr>
          <w:rFonts w:ascii="Times New Roman" w:eastAsia="Times New Roman" w:hAnsi="Times New Roman" w:cs="Times New Roman"/>
          <w:b/>
          <w:bCs/>
          <w:sz w:val="24"/>
          <w:szCs w:val="24"/>
        </w:rPr>
        <w:t>i</w:t>
      </w:r>
      <w:r w:rsidRPr="00D23517">
        <w:rPr>
          <w:rFonts w:ascii="Times New Roman" w:eastAsia="Times New Roman" w:hAnsi="Times New Roman" w:cs="Times New Roman"/>
          <w:b/>
          <w:bCs/>
          <w:sz w:val="24"/>
          <w:szCs w:val="24"/>
        </w:rPr>
        <w:t>ncome</w:t>
      </w:r>
    </w:p>
    <w:tbl>
      <w:tblPr>
        <w:tblW w:w="5000" w:type="pct"/>
        <w:tblLook w:val="04A0" w:firstRow="1" w:lastRow="0" w:firstColumn="1" w:lastColumn="0" w:noHBand="0" w:noVBand="1"/>
      </w:tblPr>
      <w:tblGrid>
        <w:gridCol w:w="1900"/>
        <w:gridCol w:w="733"/>
        <w:gridCol w:w="1190"/>
        <w:gridCol w:w="1130"/>
        <w:gridCol w:w="1441"/>
        <w:gridCol w:w="1459"/>
        <w:gridCol w:w="1270"/>
        <w:gridCol w:w="223"/>
        <w:gridCol w:w="1086"/>
        <w:gridCol w:w="1644"/>
        <w:gridCol w:w="884"/>
      </w:tblGrid>
      <w:tr w:rsidR="009E36FB" w:rsidRPr="00D23517" w14:paraId="26C6EFAB" w14:textId="77777777" w:rsidTr="00197B3E">
        <w:trPr>
          <w:trHeight w:val="144"/>
        </w:trPr>
        <w:tc>
          <w:tcPr>
            <w:tcW w:w="733" w:type="pct"/>
            <w:tcBorders>
              <w:top w:val="single" w:sz="4" w:space="0" w:color="auto"/>
              <w:left w:val="nil"/>
              <w:bottom w:val="single" w:sz="4" w:space="0" w:color="auto"/>
              <w:right w:val="nil"/>
            </w:tcBorders>
            <w:shd w:val="clear" w:color="auto" w:fill="auto"/>
            <w:noWrap/>
            <w:vAlign w:val="bottom"/>
            <w:hideMark/>
          </w:tcPr>
          <w:p w14:paraId="7DB80AD1" w14:textId="06631968" w:rsidR="009E36FB" w:rsidRPr="00D23517" w:rsidRDefault="009E36FB" w:rsidP="00A1062B">
            <w:pPr>
              <w:spacing w:after="0" w:line="240" w:lineRule="auto"/>
              <w:jc w:val="both"/>
              <w:rPr>
                <w:rFonts w:ascii="Times New Roman" w:eastAsia="Times New Roman" w:hAnsi="Times New Roman" w:cs="Times New Roman"/>
                <w:b/>
                <w:bCs/>
                <w:i/>
                <w:iCs/>
                <w:sz w:val="20"/>
                <w:szCs w:val="20"/>
              </w:rPr>
            </w:pPr>
            <w:r w:rsidRPr="00D23517">
              <w:rPr>
                <w:rFonts w:ascii="Times New Roman" w:eastAsia="Times New Roman" w:hAnsi="Times New Roman" w:cs="Times New Roman"/>
                <w:b/>
                <w:bCs/>
                <w:i/>
                <w:iCs/>
                <w:sz w:val="20"/>
                <w:szCs w:val="20"/>
              </w:rPr>
              <w:t>Dependent variables</w:t>
            </w:r>
          </w:p>
        </w:tc>
        <w:tc>
          <w:tcPr>
            <w:tcW w:w="742" w:type="pct"/>
            <w:gridSpan w:val="2"/>
            <w:tcBorders>
              <w:top w:val="single" w:sz="4" w:space="0" w:color="auto"/>
              <w:left w:val="nil"/>
              <w:bottom w:val="single" w:sz="4" w:space="0" w:color="auto"/>
              <w:right w:val="nil"/>
            </w:tcBorders>
            <w:shd w:val="clear" w:color="auto" w:fill="auto"/>
            <w:noWrap/>
            <w:vAlign w:val="bottom"/>
            <w:hideMark/>
          </w:tcPr>
          <w:p w14:paraId="1883E5E5" w14:textId="77777777" w:rsidR="009E36FB" w:rsidRPr="00D23517" w:rsidRDefault="009E36FB" w:rsidP="00A1062B">
            <w:pPr>
              <w:spacing w:after="0" w:line="240" w:lineRule="auto"/>
              <w:jc w:val="both"/>
              <w:rPr>
                <w:rFonts w:ascii="Times New Roman" w:eastAsia="Times New Roman" w:hAnsi="Times New Roman" w:cs="Times New Roman"/>
                <w:b/>
                <w:i/>
                <w:sz w:val="20"/>
                <w:szCs w:val="20"/>
              </w:rPr>
            </w:pPr>
            <w:r w:rsidRPr="00D23517">
              <w:rPr>
                <w:rFonts w:ascii="Times New Roman" w:eastAsia="Times New Roman" w:hAnsi="Times New Roman" w:cs="Times New Roman"/>
                <w:b/>
                <w:i/>
                <w:sz w:val="20"/>
                <w:szCs w:val="20"/>
              </w:rPr>
              <w:t>NONOPERINC</w:t>
            </w:r>
          </w:p>
        </w:tc>
        <w:tc>
          <w:tcPr>
            <w:tcW w:w="992" w:type="pct"/>
            <w:gridSpan w:val="2"/>
            <w:tcBorders>
              <w:top w:val="single" w:sz="4" w:space="0" w:color="auto"/>
              <w:left w:val="nil"/>
              <w:bottom w:val="single" w:sz="4" w:space="0" w:color="auto"/>
              <w:right w:val="nil"/>
            </w:tcBorders>
            <w:shd w:val="clear" w:color="auto" w:fill="auto"/>
            <w:noWrap/>
            <w:vAlign w:val="bottom"/>
            <w:hideMark/>
          </w:tcPr>
          <w:p w14:paraId="1717404F" w14:textId="77777777" w:rsidR="009E36FB" w:rsidRPr="00D23517" w:rsidRDefault="009E36FB" w:rsidP="00A1062B">
            <w:pPr>
              <w:spacing w:after="0" w:line="240" w:lineRule="auto"/>
              <w:jc w:val="both"/>
              <w:rPr>
                <w:rFonts w:ascii="Times New Roman" w:eastAsia="Times New Roman" w:hAnsi="Times New Roman" w:cs="Times New Roman"/>
                <w:b/>
                <w:i/>
                <w:sz w:val="20"/>
                <w:szCs w:val="20"/>
              </w:rPr>
            </w:pPr>
            <w:r w:rsidRPr="00D23517">
              <w:rPr>
                <w:rFonts w:ascii="Times New Roman" w:eastAsia="Times New Roman" w:hAnsi="Times New Roman" w:cs="Times New Roman"/>
                <w:b/>
                <w:i/>
                <w:sz w:val="20"/>
                <w:szCs w:val="20"/>
              </w:rPr>
              <w:t>OPERINC_PREDICTED</w:t>
            </w:r>
          </w:p>
        </w:tc>
        <w:tc>
          <w:tcPr>
            <w:tcW w:w="1053" w:type="pct"/>
            <w:gridSpan w:val="2"/>
            <w:tcBorders>
              <w:top w:val="single" w:sz="4" w:space="0" w:color="auto"/>
              <w:left w:val="nil"/>
              <w:bottom w:val="single" w:sz="4" w:space="0" w:color="auto"/>
              <w:right w:val="nil"/>
            </w:tcBorders>
            <w:shd w:val="clear" w:color="auto" w:fill="auto"/>
            <w:noWrap/>
            <w:vAlign w:val="bottom"/>
            <w:hideMark/>
          </w:tcPr>
          <w:p w14:paraId="720AE06D" w14:textId="77777777" w:rsidR="009E36FB" w:rsidRPr="00D23517" w:rsidRDefault="009E36FB" w:rsidP="00A1062B">
            <w:pPr>
              <w:spacing w:after="0" w:line="240" w:lineRule="auto"/>
              <w:jc w:val="both"/>
              <w:rPr>
                <w:rFonts w:ascii="Times New Roman" w:eastAsia="Times New Roman" w:hAnsi="Times New Roman" w:cs="Times New Roman"/>
                <w:b/>
                <w:i/>
                <w:sz w:val="20"/>
                <w:szCs w:val="20"/>
              </w:rPr>
            </w:pPr>
            <w:r w:rsidRPr="00D23517">
              <w:rPr>
                <w:rFonts w:ascii="Times New Roman" w:eastAsia="Times New Roman" w:hAnsi="Times New Roman" w:cs="Times New Roman"/>
                <w:b/>
                <w:i/>
                <w:sz w:val="20"/>
                <w:szCs w:val="20"/>
              </w:rPr>
              <w:t>OPERINC_UNEXPECTED</w:t>
            </w:r>
          </w:p>
        </w:tc>
        <w:tc>
          <w:tcPr>
            <w:tcW w:w="86" w:type="pct"/>
            <w:tcBorders>
              <w:top w:val="single" w:sz="4" w:space="0" w:color="auto"/>
              <w:left w:val="nil"/>
              <w:bottom w:val="single" w:sz="4" w:space="0" w:color="auto"/>
              <w:right w:val="nil"/>
            </w:tcBorders>
            <w:shd w:val="clear" w:color="auto" w:fill="auto"/>
            <w:noWrap/>
            <w:vAlign w:val="bottom"/>
            <w:hideMark/>
          </w:tcPr>
          <w:p w14:paraId="2650AB9D" w14:textId="77777777" w:rsidR="009E36FB" w:rsidRPr="00D23517" w:rsidRDefault="009E36FB" w:rsidP="00A1062B">
            <w:pPr>
              <w:spacing w:after="0" w:line="240" w:lineRule="auto"/>
              <w:jc w:val="both"/>
              <w:rPr>
                <w:rFonts w:ascii="Times New Roman" w:eastAsia="Times New Roman" w:hAnsi="Times New Roman" w:cs="Times New Roman"/>
                <w:b/>
                <w:i/>
                <w:sz w:val="20"/>
                <w:szCs w:val="20"/>
              </w:rPr>
            </w:pPr>
          </w:p>
        </w:tc>
        <w:tc>
          <w:tcPr>
            <w:tcW w:w="419" w:type="pct"/>
            <w:tcBorders>
              <w:top w:val="single" w:sz="4" w:space="0" w:color="auto"/>
              <w:left w:val="nil"/>
              <w:bottom w:val="single" w:sz="4" w:space="0" w:color="auto"/>
              <w:right w:val="nil"/>
            </w:tcBorders>
            <w:shd w:val="clear" w:color="auto" w:fill="auto"/>
            <w:noWrap/>
            <w:vAlign w:val="bottom"/>
            <w:hideMark/>
          </w:tcPr>
          <w:p w14:paraId="7FD45CCE" w14:textId="77777777" w:rsidR="009E36FB" w:rsidRPr="00D23517" w:rsidRDefault="009E36FB" w:rsidP="00A1062B">
            <w:pPr>
              <w:spacing w:after="0" w:line="240" w:lineRule="auto"/>
              <w:jc w:val="both"/>
              <w:rPr>
                <w:rFonts w:ascii="Times New Roman" w:eastAsia="Times New Roman" w:hAnsi="Times New Roman" w:cs="Times New Roman"/>
                <w:b/>
                <w:i/>
                <w:sz w:val="20"/>
                <w:szCs w:val="20"/>
              </w:rPr>
            </w:pPr>
            <w:r w:rsidRPr="00D23517">
              <w:rPr>
                <w:rFonts w:ascii="Times New Roman" w:eastAsia="Times New Roman" w:hAnsi="Times New Roman" w:cs="Times New Roman"/>
                <w:b/>
                <w:i/>
                <w:sz w:val="20"/>
                <w:szCs w:val="20"/>
              </w:rPr>
              <w:t xml:space="preserve">Adj. </w:t>
            </w:r>
          </w:p>
          <w:p w14:paraId="10F94293" w14:textId="77777777" w:rsidR="009E36FB" w:rsidRPr="00D23517" w:rsidRDefault="009E36FB" w:rsidP="00A1062B">
            <w:pPr>
              <w:spacing w:after="0" w:line="240" w:lineRule="auto"/>
              <w:jc w:val="both"/>
              <w:rPr>
                <w:rFonts w:ascii="Times New Roman" w:eastAsia="Times New Roman" w:hAnsi="Times New Roman" w:cs="Times New Roman"/>
                <w:b/>
                <w:i/>
                <w:sz w:val="20"/>
                <w:szCs w:val="20"/>
              </w:rPr>
            </w:pPr>
            <w:r w:rsidRPr="00D23517">
              <w:rPr>
                <w:rFonts w:ascii="Times New Roman" w:eastAsia="Times New Roman" w:hAnsi="Times New Roman" w:cs="Times New Roman"/>
                <w:b/>
                <w:i/>
                <w:sz w:val="20"/>
                <w:szCs w:val="20"/>
              </w:rPr>
              <w:t>R-squared</w:t>
            </w:r>
          </w:p>
        </w:tc>
        <w:tc>
          <w:tcPr>
            <w:tcW w:w="634" w:type="pct"/>
            <w:tcBorders>
              <w:top w:val="single" w:sz="4" w:space="0" w:color="auto"/>
              <w:left w:val="nil"/>
              <w:bottom w:val="single" w:sz="4" w:space="0" w:color="auto"/>
              <w:right w:val="nil"/>
            </w:tcBorders>
            <w:shd w:val="clear" w:color="auto" w:fill="auto"/>
            <w:noWrap/>
            <w:vAlign w:val="bottom"/>
            <w:hideMark/>
          </w:tcPr>
          <w:p w14:paraId="457BBF11" w14:textId="77777777" w:rsidR="009E36FB" w:rsidRPr="00D23517" w:rsidRDefault="009E36FB" w:rsidP="00A1062B">
            <w:pPr>
              <w:spacing w:after="0" w:line="240" w:lineRule="auto"/>
              <w:jc w:val="both"/>
              <w:rPr>
                <w:rFonts w:ascii="Times New Roman" w:eastAsia="Times New Roman" w:hAnsi="Times New Roman" w:cs="Times New Roman"/>
                <w:b/>
                <w:i/>
                <w:sz w:val="20"/>
                <w:szCs w:val="20"/>
              </w:rPr>
            </w:pPr>
            <w:r w:rsidRPr="00D23517">
              <w:rPr>
                <w:rFonts w:ascii="Times New Roman" w:eastAsia="Times New Roman" w:hAnsi="Times New Roman" w:cs="Times New Roman"/>
                <w:b/>
                <w:i/>
                <w:sz w:val="20"/>
                <w:szCs w:val="20"/>
              </w:rPr>
              <w:t>Control variables</w:t>
            </w:r>
          </w:p>
        </w:tc>
        <w:tc>
          <w:tcPr>
            <w:tcW w:w="341" w:type="pct"/>
            <w:tcBorders>
              <w:top w:val="single" w:sz="4" w:space="0" w:color="auto"/>
              <w:left w:val="nil"/>
              <w:bottom w:val="single" w:sz="4" w:space="0" w:color="auto"/>
              <w:right w:val="nil"/>
            </w:tcBorders>
            <w:shd w:val="clear" w:color="auto" w:fill="auto"/>
            <w:noWrap/>
            <w:vAlign w:val="bottom"/>
            <w:hideMark/>
          </w:tcPr>
          <w:p w14:paraId="375DDBD3" w14:textId="77777777" w:rsidR="009E36FB" w:rsidRPr="00D23517" w:rsidRDefault="009E36FB" w:rsidP="00A1062B">
            <w:pPr>
              <w:spacing w:after="0" w:line="240" w:lineRule="auto"/>
              <w:jc w:val="both"/>
              <w:rPr>
                <w:rFonts w:ascii="Times New Roman" w:eastAsia="Times New Roman" w:hAnsi="Times New Roman" w:cs="Times New Roman"/>
                <w:b/>
                <w:i/>
                <w:sz w:val="20"/>
                <w:szCs w:val="20"/>
              </w:rPr>
            </w:pPr>
            <w:r w:rsidRPr="00D23517">
              <w:rPr>
                <w:rFonts w:ascii="Times New Roman" w:eastAsia="Times New Roman" w:hAnsi="Times New Roman" w:cs="Times New Roman"/>
                <w:b/>
                <w:i/>
                <w:sz w:val="20"/>
                <w:szCs w:val="20"/>
              </w:rPr>
              <w:t>N</w:t>
            </w:r>
          </w:p>
        </w:tc>
      </w:tr>
      <w:tr w:rsidR="009E36FB" w:rsidRPr="00D23517" w14:paraId="49BDD40F" w14:textId="77777777" w:rsidTr="00197B3E">
        <w:trPr>
          <w:trHeight w:val="144"/>
        </w:trPr>
        <w:tc>
          <w:tcPr>
            <w:tcW w:w="733" w:type="pct"/>
            <w:tcBorders>
              <w:top w:val="single" w:sz="4" w:space="0" w:color="auto"/>
              <w:left w:val="nil"/>
              <w:bottom w:val="nil"/>
              <w:right w:val="nil"/>
            </w:tcBorders>
            <w:shd w:val="clear" w:color="auto" w:fill="auto"/>
            <w:noWrap/>
            <w:vAlign w:val="center"/>
            <w:hideMark/>
          </w:tcPr>
          <w:p w14:paraId="4A2BEB93" w14:textId="77777777" w:rsidR="009E36FB" w:rsidRPr="00D23517" w:rsidRDefault="009E36FB" w:rsidP="00A1062B">
            <w:pPr>
              <w:spacing w:after="0" w:line="240" w:lineRule="auto"/>
              <w:jc w:val="both"/>
              <w:rPr>
                <w:rFonts w:ascii="Times New Roman" w:eastAsia="Times New Roman" w:hAnsi="Times New Roman" w:cs="Times New Roman"/>
                <w:i/>
                <w:iCs/>
                <w:color w:val="000000"/>
                <w:sz w:val="20"/>
                <w:szCs w:val="20"/>
              </w:rPr>
            </w:pPr>
            <w:r w:rsidRPr="00D23517">
              <w:rPr>
                <w:rFonts w:ascii="Times New Roman" w:eastAsia="Times New Roman" w:hAnsi="Times New Roman" w:cs="Times New Roman"/>
                <w:i/>
                <w:iCs/>
                <w:color w:val="000000"/>
                <w:sz w:val="20"/>
                <w:szCs w:val="20"/>
              </w:rPr>
              <w:t>ROAVOL</w:t>
            </w:r>
          </w:p>
        </w:tc>
        <w:tc>
          <w:tcPr>
            <w:tcW w:w="283" w:type="pct"/>
            <w:tcBorders>
              <w:top w:val="single" w:sz="4" w:space="0" w:color="auto"/>
              <w:left w:val="nil"/>
              <w:bottom w:val="nil"/>
              <w:right w:val="nil"/>
            </w:tcBorders>
            <w:shd w:val="clear" w:color="auto" w:fill="auto"/>
            <w:noWrap/>
            <w:vAlign w:val="bottom"/>
            <w:hideMark/>
          </w:tcPr>
          <w:p w14:paraId="11F93096" w14:textId="77777777" w:rsidR="009E36FB" w:rsidRPr="00D23517" w:rsidRDefault="009E36FB" w:rsidP="00A1062B">
            <w:pPr>
              <w:spacing w:after="0" w:line="240" w:lineRule="auto"/>
              <w:jc w:val="both"/>
              <w:rPr>
                <w:rFonts w:ascii="Times New Roman" w:eastAsia="Times New Roman" w:hAnsi="Times New Roman" w:cs="Times New Roman"/>
                <w:i/>
                <w:iCs/>
                <w:color w:val="000000"/>
                <w:sz w:val="20"/>
                <w:szCs w:val="20"/>
              </w:rPr>
            </w:pPr>
          </w:p>
        </w:tc>
        <w:tc>
          <w:tcPr>
            <w:tcW w:w="459" w:type="pct"/>
            <w:tcBorders>
              <w:top w:val="single" w:sz="4" w:space="0" w:color="auto"/>
              <w:left w:val="nil"/>
              <w:bottom w:val="nil"/>
              <w:right w:val="nil"/>
            </w:tcBorders>
            <w:shd w:val="clear" w:color="auto" w:fill="auto"/>
            <w:noWrap/>
            <w:vAlign w:val="bottom"/>
            <w:hideMark/>
          </w:tcPr>
          <w:p w14:paraId="1FC9973A"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p>
        </w:tc>
        <w:tc>
          <w:tcPr>
            <w:tcW w:w="436" w:type="pct"/>
            <w:tcBorders>
              <w:top w:val="single" w:sz="4" w:space="0" w:color="auto"/>
              <w:left w:val="nil"/>
              <w:bottom w:val="nil"/>
              <w:right w:val="nil"/>
            </w:tcBorders>
            <w:shd w:val="clear" w:color="auto" w:fill="auto"/>
            <w:noWrap/>
            <w:vAlign w:val="bottom"/>
            <w:hideMark/>
          </w:tcPr>
          <w:p w14:paraId="13BB5068"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-0.177</w:t>
            </w:r>
          </w:p>
        </w:tc>
        <w:tc>
          <w:tcPr>
            <w:tcW w:w="556" w:type="pct"/>
            <w:tcBorders>
              <w:top w:val="single" w:sz="4" w:space="0" w:color="auto"/>
              <w:left w:val="nil"/>
              <w:bottom w:val="nil"/>
              <w:right w:val="nil"/>
            </w:tcBorders>
            <w:shd w:val="clear" w:color="auto" w:fill="auto"/>
            <w:noWrap/>
            <w:vAlign w:val="bottom"/>
            <w:hideMark/>
          </w:tcPr>
          <w:p w14:paraId="14087270"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(-15.589***)</w:t>
            </w:r>
          </w:p>
        </w:tc>
        <w:tc>
          <w:tcPr>
            <w:tcW w:w="563" w:type="pct"/>
            <w:tcBorders>
              <w:top w:val="single" w:sz="4" w:space="0" w:color="auto"/>
              <w:left w:val="nil"/>
              <w:bottom w:val="nil"/>
              <w:right w:val="nil"/>
            </w:tcBorders>
            <w:shd w:val="clear" w:color="auto" w:fill="auto"/>
            <w:noWrap/>
            <w:vAlign w:val="bottom"/>
            <w:hideMark/>
          </w:tcPr>
          <w:p w14:paraId="231ADF32"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-0.035</w:t>
            </w:r>
          </w:p>
        </w:tc>
        <w:tc>
          <w:tcPr>
            <w:tcW w:w="490" w:type="pct"/>
            <w:tcBorders>
              <w:top w:val="single" w:sz="4" w:space="0" w:color="auto"/>
              <w:left w:val="nil"/>
              <w:bottom w:val="nil"/>
              <w:right w:val="nil"/>
            </w:tcBorders>
            <w:shd w:val="clear" w:color="auto" w:fill="auto"/>
            <w:noWrap/>
            <w:vAlign w:val="bottom"/>
            <w:hideMark/>
          </w:tcPr>
          <w:p w14:paraId="58F156F5"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(-6.111***)</w:t>
            </w:r>
          </w:p>
        </w:tc>
        <w:tc>
          <w:tcPr>
            <w:tcW w:w="86" w:type="pct"/>
            <w:tcBorders>
              <w:top w:val="single" w:sz="4" w:space="0" w:color="auto"/>
              <w:left w:val="nil"/>
              <w:bottom w:val="nil"/>
              <w:right w:val="nil"/>
            </w:tcBorders>
            <w:shd w:val="clear" w:color="auto" w:fill="auto"/>
            <w:noWrap/>
            <w:vAlign w:val="bottom"/>
            <w:hideMark/>
          </w:tcPr>
          <w:p w14:paraId="3DA1CE05"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p>
        </w:tc>
        <w:tc>
          <w:tcPr>
            <w:tcW w:w="419" w:type="pct"/>
            <w:tcBorders>
              <w:top w:val="single" w:sz="4" w:space="0" w:color="auto"/>
              <w:left w:val="nil"/>
              <w:bottom w:val="nil"/>
              <w:right w:val="nil"/>
            </w:tcBorders>
            <w:shd w:val="clear" w:color="auto" w:fill="auto"/>
            <w:noWrap/>
            <w:vAlign w:val="bottom"/>
            <w:hideMark/>
          </w:tcPr>
          <w:p w14:paraId="03696791"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0.217</w:t>
            </w:r>
          </w:p>
        </w:tc>
        <w:tc>
          <w:tcPr>
            <w:tcW w:w="634" w:type="pct"/>
            <w:tcBorders>
              <w:top w:val="single" w:sz="4" w:space="0" w:color="auto"/>
              <w:left w:val="nil"/>
              <w:bottom w:val="nil"/>
              <w:right w:val="nil"/>
            </w:tcBorders>
            <w:shd w:val="clear" w:color="auto" w:fill="auto"/>
            <w:noWrap/>
            <w:vAlign w:val="bottom"/>
            <w:hideMark/>
          </w:tcPr>
          <w:p w14:paraId="7DB6DFAB"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Yes</w:t>
            </w:r>
          </w:p>
        </w:tc>
        <w:tc>
          <w:tcPr>
            <w:tcW w:w="341" w:type="pct"/>
            <w:tcBorders>
              <w:top w:val="single" w:sz="4" w:space="0" w:color="auto"/>
              <w:left w:val="nil"/>
              <w:bottom w:val="nil"/>
              <w:right w:val="nil"/>
            </w:tcBorders>
            <w:shd w:val="clear" w:color="auto" w:fill="auto"/>
            <w:noWrap/>
            <w:vAlign w:val="bottom"/>
            <w:hideMark/>
          </w:tcPr>
          <w:p w14:paraId="6BAF9396"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58,939</w:t>
            </w:r>
          </w:p>
        </w:tc>
      </w:tr>
      <w:tr w:rsidR="009E36FB" w:rsidRPr="00D23517" w14:paraId="70C9767C" w14:textId="77777777" w:rsidTr="00197B3E">
        <w:trPr>
          <w:trHeight w:val="144"/>
        </w:trPr>
        <w:tc>
          <w:tcPr>
            <w:tcW w:w="733" w:type="pct"/>
            <w:tcBorders>
              <w:top w:val="nil"/>
              <w:left w:val="nil"/>
              <w:bottom w:val="nil"/>
              <w:right w:val="nil"/>
            </w:tcBorders>
            <w:shd w:val="clear" w:color="auto" w:fill="auto"/>
            <w:noWrap/>
            <w:vAlign w:val="center"/>
            <w:hideMark/>
          </w:tcPr>
          <w:p w14:paraId="634CC366" w14:textId="77777777" w:rsidR="009E36FB" w:rsidRPr="00D23517" w:rsidRDefault="009E36FB" w:rsidP="00A1062B">
            <w:pPr>
              <w:spacing w:after="0" w:line="240" w:lineRule="auto"/>
              <w:jc w:val="both"/>
              <w:rPr>
                <w:rFonts w:ascii="Times New Roman" w:eastAsia="Times New Roman" w:hAnsi="Times New Roman" w:cs="Times New Roman"/>
                <w:i/>
                <w:iCs/>
                <w:color w:val="000000"/>
                <w:sz w:val="20"/>
                <w:szCs w:val="20"/>
              </w:rPr>
            </w:pPr>
            <w:r w:rsidRPr="00D23517">
              <w:rPr>
                <w:rFonts w:ascii="Times New Roman" w:eastAsia="Times New Roman" w:hAnsi="Times New Roman" w:cs="Times New Roman"/>
                <w:i/>
                <w:iCs/>
                <w:color w:val="000000"/>
                <w:sz w:val="20"/>
                <w:szCs w:val="20"/>
              </w:rPr>
              <w:t>TOTRISK</w:t>
            </w:r>
          </w:p>
        </w:tc>
        <w:tc>
          <w:tcPr>
            <w:tcW w:w="283" w:type="pct"/>
            <w:tcBorders>
              <w:top w:val="nil"/>
              <w:left w:val="nil"/>
              <w:bottom w:val="nil"/>
              <w:right w:val="nil"/>
            </w:tcBorders>
            <w:shd w:val="clear" w:color="auto" w:fill="auto"/>
            <w:noWrap/>
            <w:vAlign w:val="bottom"/>
            <w:hideMark/>
          </w:tcPr>
          <w:p w14:paraId="12F11911" w14:textId="77777777" w:rsidR="009E36FB" w:rsidRPr="00D23517" w:rsidRDefault="009E36FB" w:rsidP="00A1062B">
            <w:pPr>
              <w:spacing w:after="0" w:line="240" w:lineRule="auto"/>
              <w:jc w:val="both"/>
              <w:rPr>
                <w:rFonts w:ascii="Times New Roman" w:eastAsia="Times New Roman" w:hAnsi="Times New Roman" w:cs="Times New Roman"/>
                <w:i/>
                <w:iCs/>
                <w:color w:val="000000"/>
                <w:sz w:val="20"/>
                <w:szCs w:val="20"/>
              </w:rPr>
            </w:pPr>
          </w:p>
        </w:tc>
        <w:tc>
          <w:tcPr>
            <w:tcW w:w="459" w:type="pct"/>
            <w:tcBorders>
              <w:top w:val="nil"/>
              <w:left w:val="nil"/>
              <w:bottom w:val="nil"/>
              <w:right w:val="nil"/>
            </w:tcBorders>
            <w:shd w:val="clear" w:color="auto" w:fill="auto"/>
            <w:noWrap/>
            <w:vAlign w:val="bottom"/>
            <w:hideMark/>
          </w:tcPr>
          <w:p w14:paraId="465B6210"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p>
        </w:tc>
        <w:tc>
          <w:tcPr>
            <w:tcW w:w="436" w:type="pct"/>
            <w:tcBorders>
              <w:top w:val="nil"/>
              <w:left w:val="nil"/>
              <w:bottom w:val="nil"/>
              <w:right w:val="nil"/>
            </w:tcBorders>
            <w:shd w:val="clear" w:color="auto" w:fill="auto"/>
            <w:noWrap/>
            <w:vAlign w:val="bottom"/>
            <w:hideMark/>
          </w:tcPr>
          <w:p w14:paraId="3ACDE531"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-0.197</w:t>
            </w:r>
          </w:p>
        </w:tc>
        <w:tc>
          <w:tcPr>
            <w:tcW w:w="556" w:type="pct"/>
            <w:tcBorders>
              <w:top w:val="nil"/>
              <w:left w:val="nil"/>
              <w:bottom w:val="nil"/>
              <w:right w:val="nil"/>
            </w:tcBorders>
            <w:shd w:val="clear" w:color="auto" w:fill="auto"/>
            <w:noWrap/>
            <w:vAlign w:val="bottom"/>
            <w:hideMark/>
          </w:tcPr>
          <w:p w14:paraId="07DE596D"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(-28.552***)</w:t>
            </w:r>
          </w:p>
        </w:tc>
        <w:tc>
          <w:tcPr>
            <w:tcW w:w="563" w:type="pct"/>
            <w:tcBorders>
              <w:top w:val="nil"/>
              <w:left w:val="nil"/>
              <w:bottom w:val="nil"/>
              <w:right w:val="nil"/>
            </w:tcBorders>
            <w:shd w:val="clear" w:color="auto" w:fill="auto"/>
            <w:noWrap/>
            <w:vAlign w:val="bottom"/>
            <w:hideMark/>
          </w:tcPr>
          <w:p w14:paraId="78196F27"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-0.043</w:t>
            </w:r>
          </w:p>
        </w:tc>
        <w:tc>
          <w:tcPr>
            <w:tcW w:w="490" w:type="pct"/>
            <w:tcBorders>
              <w:top w:val="nil"/>
              <w:left w:val="nil"/>
              <w:bottom w:val="nil"/>
              <w:right w:val="nil"/>
            </w:tcBorders>
            <w:shd w:val="clear" w:color="auto" w:fill="auto"/>
            <w:noWrap/>
            <w:vAlign w:val="bottom"/>
            <w:hideMark/>
          </w:tcPr>
          <w:p w14:paraId="02CA3318"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(-12.428***)</w:t>
            </w:r>
          </w:p>
        </w:tc>
        <w:tc>
          <w:tcPr>
            <w:tcW w:w="86" w:type="pct"/>
            <w:tcBorders>
              <w:top w:val="nil"/>
              <w:left w:val="nil"/>
              <w:bottom w:val="nil"/>
              <w:right w:val="nil"/>
            </w:tcBorders>
            <w:shd w:val="clear" w:color="auto" w:fill="auto"/>
            <w:noWrap/>
            <w:vAlign w:val="bottom"/>
            <w:hideMark/>
          </w:tcPr>
          <w:p w14:paraId="2216C004"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p>
        </w:tc>
        <w:tc>
          <w:tcPr>
            <w:tcW w:w="419" w:type="pct"/>
            <w:tcBorders>
              <w:top w:val="nil"/>
              <w:left w:val="nil"/>
              <w:bottom w:val="nil"/>
              <w:right w:val="nil"/>
            </w:tcBorders>
            <w:shd w:val="clear" w:color="auto" w:fill="auto"/>
            <w:noWrap/>
            <w:vAlign w:val="bottom"/>
            <w:hideMark/>
          </w:tcPr>
          <w:p w14:paraId="5DD117F2"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0.519</w:t>
            </w:r>
          </w:p>
        </w:tc>
        <w:tc>
          <w:tcPr>
            <w:tcW w:w="634" w:type="pct"/>
            <w:tcBorders>
              <w:top w:val="nil"/>
              <w:left w:val="nil"/>
              <w:bottom w:val="nil"/>
              <w:right w:val="nil"/>
            </w:tcBorders>
            <w:shd w:val="clear" w:color="auto" w:fill="auto"/>
            <w:noWrap/>
            <w:vAlign w:val="bottom"/>
            <w:hideMark/>
          </w:tcPr>
          <w:p w14:paraId="39907C20"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Yes</w:t>
            </w:r>
          </w:p>
        </w:tc>
        <w:tc>
          <w:tcPr>
            <w:tcW w:w="341" w:type="pct"/>
            <w:tcBorders>
              <w:top w:val="nil"/>
              <w:left w:val="nil"/>
              <w:bottom w:val="nil"/>
              <w:right w:val="nil"/>
            </w:tcBorders>
            <w:shd w:val="clear" w:color="auto" w:fill="auto"/>
            <w:noWrap/>
            <w:vAlign w:val="bottom"/>
            <w:hideMark/>
          </w:tcPr>
          <w:p w14:paraId="76F6AFF6"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59,059</w:t>
            </w:r>
          </w:p>
        </w:tc>
      </w:tr>
      <w:tr w:rsidR="009E36FB" w:rsidRPr="00D23517" w14:paraId="4D1AC4BE" w14:textId="77777777" w:rsidTr="00197B3E">
        <w:trPr>
          <w:trHeight w:val="144"/>
        </w:trPr>
        <w:tc>
          <w:tcPr>
            <w:tcW w:w="733" w:type="pct"/>
            <w:tcBorders>
              <w:top w:val="nil"/>
              <w:left w:val="nil"/>
              <w:bottom w:val="nil"/>
              <w:right w:val="nil"/>
            </w:tcBorders>
            <w:shd w:val="clear" w:color="auto" w:fill="auto"/>
            <w:noWrap/>
            <w:vAlign w:val="center"/>
            <w:hideMark/>
          </w:tcPr>
          <w:p w14:paraId="7AC826AF" w14:textId="77777777" w:rsidR="009E36FB" w:rsidRPr="00D23517" w:rsidRDefault="009E36FB" w:rsidP="00A1062B">
            <w:pPr>
              <w:spacing w:after="0" w:line="240" w:lineRule="auto"/>
              <w:jc w:val="both"/>
              <w:rPr>
                <w:rFonts w:ascii="Times New Roman" w:eastAsia="Times New Roman" w:hAnsi="Times New Roman" w:cs="Times New Roman"/>
                <w:i/>
                <w:iCs/>
                <w:color w:val="000000"/>
                <w:sz w:val="20"/>
                <w:szCs w:val="20"/>
              </w:rPr>
            </w:pPr>
            <w:r w:rsidRPr="00D23517">
              <w:rPr>
                <w:rFonts w:ascii="Times New Roman" w:eastAsia="Times New Roman" w:hAnsi="Times New Roman" w:cs="Times New Roman"/>
                <w:i/>
                <w:iCs/>
                <w:color w:val="000000"/>
                <w:sz w:val="20"/>
                <w:szCs w:val="20"/>
              </w:rPr>
              <w:t>IDIORISK</w:t>
            </w:r>
          </w:p>
        </w:tc>
        <w:tc>
          <w:tcPr>
            <w:tcW w:w="283" w:type="pct"/>
            <w:tcBorders>
              <w:top w:val="nil"/>
              <w:left w:val="nil"/>
              <w:bottom w:val="nil"/>
              <w:right w:val="nil"/>
            </w:tcBorders>
            <w:shd w:val="clear" w:color="auto" w:fill="auto"/>
            <w:noWrap/>
            <w:vAlign w:val="bottom"/>
            <w:hideMark/>
          </w:tcPr>
          <w:p w14:paraId="6B80F232" w14:textId="77777777" w:rsidR="009E36FB" w:rsidRPr="00D23517" w:rsidRDefault="009E36FB" w:rsidP="00A1062B">
            <w:pPr>
              <w:spacing w:after="0" w:line="240" w:lineRule="auto"/>
              <w:jc w:val="both"/>
              <w:rPr>
                <w:rFonts w:ascii="Times New Roman" w:eastAsia="Times New Roman" w:hAnsi="Times New Roman" w:cs="Times New Roman"/>
                <w:i/>
                <w:iCs/>
                <w:color w:val="000000"/>
                <w:sz w:val="20"/>
                <w:szCs w:val="20"/>
              </w:rPr>
            </w:pPr>
          </w:p>
        </w:tc>
        <w:tc>
          <w:tcPr>
            <w:tcW w:w="459" w:type="pct"/>
            <w:tcBorders>
              <w:top w:val="nil"/>
              <w:left w:val="nil"/>
              <w:bottom w:val="nil"/>
              <w:right w:val="nil"/>
            </w:tcBorders>
            <w:shd w:val="clear" w:color="auto" w:fill="auto"/>
            <w:noWrap/>
            <w:vAlign w:val="bottom"/>
            <w:hideMark/>
          </w:tcPr>
          <w:p w14:paraId="4CD85449"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p>
        </w:tc>
        <w:tc>
          <w:tcPr>
            <w:tcW w:w="436" w:type="pct"/>
            <w:tcBorders>
              <w:top w:val="nil"/>
              <w:left w:val="nil"/>
              <w:bottom w:val="nil"/>
              <w:right w:val="nil"/>
            </w:tcBorders>
            <w:shd w:val="clear" w:color="auto" w:fill="auto"/>
            <w:noWrap/>
            <w:vAlign w:val="bottom"/>
            <w:hideMark/>
          </w:tcPr>
          <w:p w14:paraId="2226528F"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-0.211</w:t>
            </w:r>
          </w:p>
        </w:tc>
        <w:tc>
          <w:tcPr>
            <w:tcW w:w="556" w:type="pct"/>
            <w:tcBorders>
              <w:top w:val="nil"/>
              <w:left w:val="nil"/>
              <w:bottom w:val="nil"/>
              <w:right w:val="nil"/>
            </w:tcBorders>
            <w:shd w:val="clear" w:color="auto" w:fill="auto"/>
            <w:noWrap/>
            <w:vAlign w:val="bottom"/>
            <w:hideMark/>
          </w:tcPr>
          <w:p w14:paraId="3339E9DA"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(-30.011***)</w:t>
            </w:r>
          </w:p>
        </w:tc>
        <w:tc>
          <w:tcPr>
            <w:tcW w:w="563" w:type="pct"/>
            <w:tcBorders>
              <w:top w:val="nil"/>
              <w:left w:val="nil"/>
              <w:bottom w:val="nil"/>
              <w:right w:val="nil"/>
            </w:tcBorders>
            <w:shd w:val="clear" w:color="auto" w:fill="auto"/>
            <w:noWrap/>
            <w:vAlign w:val="bottom"/>
            <w:hideMark/>
          </w:tcPr>
          <w:p w14:paraId="4FCD28FC"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-0.044</w:t>
            </w:r>
          </w:p>
        </w:tc>
        <w:tc>
          <w:tcPr>
            <w:tcW w:w="490" w:type="pct"/>
            <w:tcBorders>
              <w:top w:val="nil"/>
              <w:left w:val="nil"/>
              <w:bottom w:val="nil"/>
              <w:right w:val="nil"/>
            </w:tcBorders>
            <w:shd w:val="clear" w:color="auto" w:fill="auto"/>
            <w:noWrap/>
            <w:vAlign w:val="bottom"/>
            <w:hideMark/>
          </w:tcPr>
          <w:p w14:paraId="0CAA2EC1"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(-12.491***)</w:t>
            </w:r>
          </w:p>
        </w:tc>
        <w:tc>
          <w:tcPr>
            <w:tcW w:w="86" w:type="pct"/>
            <w:tcBorders>
              <w:top w:val="nil"/>
              <w:left w:val="nil"/>
              <w:bottom w:val="nil"/>
              <w:right w:val="nil"/>
            </w:tcBorders>
            <w:shd w:val="clear" w:color="auto" w:fill="auto"/>
            <w:noWrap/>
            <w:vAlign w:val="bottom"/>
            <w:hideMark/>
          </w:tcPr>
          <w:p w14:paraId="77D06878"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p>
        </w:tc>
        <w:tc>
          <w:tcPr>
            <w:tcW w:w="419" w:type="pct"/>
            <w:tcBorders>
              <w:top w:val="nil"/>
              <w:left w:val="nil"/>
              <w:bottom w:val="nil"/>
              <w:right w:val="nil"/>
            </w:tcBorders>
            <w:shd w:val="clear" w:color="auto" w:fill="auto"/>
            <w:noWrap/>
            <w:vAlign w:val="bottom"/>
            <w:hideMark/>
          </w:tcPr>
          <w:p w14:paraId="1144B2F1"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0.489</w:t>
            </w:r>
          </w:p>
        </w:tc>
        <w:tc>
          <w:tcPr>
            <w:tcW w:w="634" w:type="pct"/>
            <w:tcBorders>
              <w:top w:val="nil"/>
              <w:left w:val="nil"/>
              <w:bottom w:val="nil"/>
              <w:right w:val="nil"/>
            </w:tcBorders>
            <w:shd w:val="clear" w:color="auto" w:fill="auto"/>
            <w:noWrap/>
            <w:vAlign w:val="bottom"/>
            <w:hideMark/>
          </w:tcPr>
          <w:p w14:paraId="13917808"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Yes</w:t>
            </w:r>
          </w:p>
        </w:tc>
        <w:tc>
          <w:tcPr>
            <w:tcW w:w="341" w:type="pct"/>
            <w:tcBorders>
              <w:top w:val="nil"/>
              <w:left w:val="nil"/>
              <w:bottom w:val="nil"/>
              <w:right w:val="nil"/>
            </w:tcBorders>
            <w:shd w:val="clear" w:color="auto" w:fill="auto"/>
            <w:noWrap/>
            <w:vAlign w:val="bottom"/>
            <w:hideMark/>
          </w:tcPr>
          <w:p w14:paraId="4EB69263"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59,059</w:t>
            </w:r>
          </w:p>
        </w:tc>
      </w:tr>
      <w:tr w:rsidR="009E36FB" w:rsidRPr="00D23517" w14:paraId="560A5A8B" w14:textId="77777777" w:rsidTr="00197B3E">
        <w:trPr>
          <w:trHeight w:val="144"/>
        </w:trPr>
        <w:tc>
          <w:tcPr>
            <w:tcW w:w="733" w:type="pct"/>
            <w:tcBorders>
              <w:top w:val="nil"/>
              <w:left w:val="nil"/>
              <w:bottom w:val="nil"/>
              <w:right w:val="nil"/>
            </w:tcBorders>
            <w:shd w:val="clear" w:color="auto" w:fill="auto"/>
            <w:noWrap/>
            <w:vAlign w:val="center"/>
            <w:hideMark/>
          </w:tcPr>
          <w:p w14:paraId="25D7E9A8" w14:textId="77777777" w:rsidR="009E36FB" w:rsidRPr="00D23517" w:rsidRDefault="009E36FB" w:rsidP="00A1062B">
            <w:pPr>
              <w:spacing w:after="0" w:line="240" w:lineRule="auto"/>
              <w:jc w:val="both"/>
              <w:rPr>
                <w:rFonts w:ascii="Times New Roman" w:eastAsia="Times New Roman" w:hAnsi="Times New Roman" w:cs="Times New Roman"/>
                <w:i/>
                <w:iCs/>
                <w:color w:val="000000"/>
                <w:sz w:val="20"/>
                <w:szCs w:val="20"/>
              </w:rPr>
            </w:pPr>
            <w:r w:rsidRPr="00D23517">
              <w:rPr>
                <w:rFonts w:ascii="Times New Roman" w:eastAsia="Times New Roman" w:hAnsi="Times New Roman" w:cs="Times New Roman"/>
                <w:i/>
                <w:iCs/>
                <w:color w:val="000000"/>
                <w:sz w:val="20"/>
                <w:szCs w:val="20"/>
              </w:rPr>
              <w:t>NCSKEW</w:t>
            </w:r>
          </w:p>
        </w:tc>
        <w:tc>
          <w:tcPr>
            <w:tcW w:w="283" w:type="pct"/>
            <w:tcBorders>
              <w:top w:val="nil"/>
              <w:left w:val="nil"/>
              <w:bottom w:val="nil"/>
              <w:right w:val="nil"/>
            </w:tcBorders>
            <w:shd w:val="clear" w:color="auto" w:fill="auto"/>
            <w:noWrap/>
            <w:vAlign w:val="bottom"/>
            <w:hideMark/>
          </w:tcPr>
          <w:p w14:paraId="672B8A3A" w14:textId="77777777" w:rsidR="009E36FB" w:rsidRPr="00D23517" w:rsidRDefault="009E36FB" w:rsidP="00A1062B">
            <w:pPr>
              <w:spacing w:after="0" w:line="240" w:lineRule="auto"/>
              <w:jc w:val="both"/>
              <w:rPr>
                <w:rFonts w:ascii="Times New Roman" w:eastAsia="Times New Roman" w:hAnsi="Times New Roman" w:cs="Times New Roman"/>
                <w:i/>
                <w:iCs/>
                <w:color w:val="000000"/>
                <w:sz w:val="20"/>
                <w:szCs w:val="20"/>
              </w:rPr>
            </w:pPr>
          </w:p>
        </w:tc>
        <w:tc>
          <w:tcPr>
            <w:tcW w:w="459" w:type="pct"/>
            <w:tcBorders>
              <w:top w:val="nil"/>
              <w:left w:val="nil"/>
              <w:bottom w:val="nil"/>
              <w:right w:val="nil"/>
            </w:tcBorders>
            <w:shd w:val="clear" w:color="auto" w:fill="auto"/>
            <w:noWrap/>
            <w:vAlign w:val="bottom"/>
            <w:hideMark/>
          </w:tcPr>
          <w:p w14:paraId="0C62B5C1"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p>
        </w:tc>
        <w:tc>
          <w:tcPr>
            <w:tcW w:w="436" w:type="pct"/>
            <w:tcBorders>
              <w:top w:val="nil"/>
              <w:left w:val="nil"/>
              <w:bottom w:val="nil"/>
              <w:right w:val="nil"/>
            </w:tcBorders>
            <w:shd w:val="clear" w:color="auto" w:fill="auto"/>
            <w:noWrap/>
            <w:vAlign w:val="bottom"/>
            <w:hideMark/>
          </w:tcPr>
          <w:p w14:paraId="41E3690E"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-0.078</w:t>
            </w:r>
          </w:p>
        </w:tc>
        <w:tc>
          <w:tcPr>
            <w:tcW w:w="556" w:type="pct"/>
            <w:tcBorders>
              <w:top w:val="nil"/>
              <w:left w:val="nil"/>
              <w:bottom w:val="nil"/>
              <w:right w:val="nil"/>
            </w:tcBorders>
            <w:shd w:val="clear" w:color="auto" w:fill="auto"/>
            <w:noWrap/>
            <w:vAlign w:val="bottom"/>
            <w:hideMark/>
          </w:tcPr>
          <w:p w14:paraId="4C4223EA"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(-9.641***)</w:t>
            </w:r>
          </w:p>
        </w:tc>
        <w:tc>
          <w:tcPr>
            <w:tcW w:w="563" w:type="pct"/>
            <w:tcBorders>
              <w:top w:val="nil"/>
              <w:left w:val="nil"/>
              <w:bottom w:val="nil"/>
              <w:right w:val="nil"/>
            </w:tcBorders>
            <w:shd w:val="clear" w:color="auto" w:fill="auto"/>
            <w:noWrap/>
            <w:vAlign w:val="bottom"/>
            <w:hideMark/>
          </w:tcPr>
          <w:p w14:paraId="20689C14"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-0.033</w:t>
            </w:r>
          </w:p>
        </w:tc>
        <w:tc>
          <w:tcPr>
            <w:tcW w:w="490" w:type="pct"/>
            <w:tcBorders>
              <w:top w:val="nil"/>
              <w:left w:val="nil"/>
              <w:bottom w:val="nil"/>
              <w:right w:val="nil"/>
            </w:tcBorders>
            <w:shd w:val="clear" w:color="auto" w:fill="auto"/>
            <w:noWrap/>
            <w:vAlign w:val="bottom"/>
            <w:hideMark/>
          </w:tcPr>
          <w:p w14:paraId="68387D76"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(-6.290***)</w:t>
            </w:r>
          </w:p>
        </w:tc>
        <w:tc>
          <w:tcPr>
            <w:tcW w:w="86" w:type="pct"/>
            <w:tcBorders>
              <w:top w:val="nil"/>
              <w:left w:val="nil"/>
              <w:bottom w:val="nil"/>
              <w:right w:val="nil"/>
            </w:tcBorders>
            <w:shd w:val="clear" w:color="auto" w:fill="auto"/>
            <w:noWrap/>
            <w:vAlign w:val="bottom"/>
            <w:hideMark/>
          </w:tcPr>
          <w:p w14:paraId="5A31FBAC"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p>
        </w:tc>
        <w:tc>
          <w:tcPr>
            <w:tcW w:w="419" w:type="pct"/>
            <w:tcBorders>
              <w:top w:val="nil"/>
              <w:left w:val="nil"/>
              <w:bottom w:val="nil"/>
              <w:right w:val="nil"/>
            </w:tcBorders>
            <w:shd w:val="clear" w:color="auto" w:fill="auto"/>
            <w:noWrap/>
            <w:vAlign w:val="bottom"/>
            <w:hideMark/>
          </w:tcPr>
          <w:p w14:paraId="4A90CD3A"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0.0423</w:t>
            </w:r>
          </w:p>
        </w:tc>
        <w:tc>
          <w:tcPr>
            <w:tcW w:w="634" w:type="pct"/>
            <w:tcBorders>
              <w:top w:val="nil"/>
              <w:left w:val="nil"/>
              <w:bottom w:val="nil"/>
              <w:right w:val="nil"/>
            </w:tcBorders>
            <w:shd w:val="clear" w:color="auto" w:fill="auto"/>
            <w:noWrap/>
            <w:vAlign w:val="bottom"/>
            <w:hideMark/>
          </w:tcPr>
          <w:p w14:paraId="301DF872"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Yes</w:t>
            </w:r>
          </w:p>
        </w:tc>
        <w:tc>
          <w:tcPr>
            <w:tcW w:w="341" w:type="pct"/>
            <w:tcBorders>
              <w:top w:val="nil"/>
              <w:left w:val="nil"/>
              <w:bottom w:val="nil"/>
              <w:right w:val="nil"/>
            </w:tcBorders>
            <w:shd w:val="clear" w:color="auto" w:fill="auto"/>
            <w:noWrap/>
            <w:vAlign w:val="bottom"/>
            <w:hideMark/>
          </w:tcPr>
          <w:p w14:paraId="08D1071B"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51,040</w:t>
            </w:r>
          </w:p>
        </w:tc>
      </w:tr>
      <w:tr w:rsidR="009E36FB" w:rsidRPr="00D23517" w14:paraId="6B36150E" w14:textId="77777777" w:rsidTr="00197B3E">
        <w:trPr>
          <w:trHeight w:val="144"/>
        </w:trPr>
        <w:tc>
          <w:tcPr>
            <w:tcW w:w="733" w:type="pct"/>
            <w:tcBorders>
              <w:top w:val="nil"/>
              <w:left w:val="nil"/>
              <w:bottom w:val="nil"/>
              <w:right w:val="nil"/>
            </w:tcBorders>
            <w:shd w:val="clear" w:color="auto" w:fill="auto"/>
            <w:noWrap/>
            <w:vAlign w:val="center"/>
            <w:hideMark/>
          </w:tcPr>
          <w:p w14:paraId="4FE78777" w14:textId="77777777" w:rsidR="009E36FB" w:rsidRPr="00D23517" w:rsidRDefault="009E36FB" w:rsidP="00A1062B">
            <w:pPr>
              <w:spacing w:after="0" w:line="240" w:lineRule="auto"/>
              <w:jc w:val="both"/>
              <w:rPr>
                <w:rFonts w:ascii="Times New Roman" w:eastAsia="Times New Roman" w:hAnsi="Times New Roman" w:cs="Times New Roman"/>
                <w:i/>
                <w:iCs/>
                <w:color w:val="000000"/>
                <w:sz w:val="20"/>
                <w:szCs w:val="20"/>
              </w:rPr>
            </w:pPr>
            <w:r w:rsidRPr="00D23517">
              <w:rPr>
                <w:rFonts w:ascii="Times New Roman" w:eastAsia="Times New Roman" w:hAnsi="Times New Roman" w:cs="Times New Roman"/>
                <w:i/>
                <w:iCs/>
                <w:color w:val="000000"/>
                <w:sz w:val="20"/>
                <w:szCs w:val="20"/>
              </w:rPr>
              <w:t>ROAVOL</w:t>
            </w:r>
          </w:p>
        </w:tc>
        <w:tc>
          <w:tcPr>
            <w:tcW w:w="283" w:type="pct"/>
            <w:tcBorders>
              <w:top w:val="nil"/>
              <w:left w:val="nil"/>
              <w:bottom w:val="nil"/>
              <w:right w:val="nil"/>
            </w:tcBorders>
            <w:shd w:val="clear" w:color="auto" w:fill="auto"/>
            <w:noWrap/>
            <w:vAlign w:val="bottom"/>
            <w:hideMark/>
          </w:tcPr>
          <w:p w14:paraId="0044B308"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-0.003</w:t>
            </w:r>
          </w:p>
        </w:tc>
        <w:tc>
          <w:tcPr>
            <w:tcW w:w="459" w:type="pct"/>
            <w:tcBorders>
              <w:top w:val="nil"/>
              <w:left w:val="nil"/>
              <w:bottom w:val="nil"/>
              <w:right w:val="nil"/>
            </w:tcBorders>
            <w:shd w:val="clear" w:color="auto" w:fill="auto"/>
            <w:noWrap/>
            <w:vAlign w:val="bottom"/>
            <w:hideMark/>
          </w:tcPr>
          <w:p w14:paraId="6694E25E"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(-0.648)</w:t>
            </w:r>
          </w:p>
        </w:tc>
        <w:tc>
          <w:tcPr>
            <w:tcW w:w="436" w:type="pct"/>
            <w:tcBorders>
              <w:top w:val="nil"/>
              <w:left w:val="nil"/>
              <w:bottom w:val="nil"/>
              <w:right w:val="nil"/>
            </w:tcBorders>
            <w:shd w:val="clear" w:color="auto" w:fill="auto"/>
            <w:noWrap/>
            <w:vAlign w:val="bottom"/>
            <w:hideMark/>
          </w:tcPr>
          <w:p w14:paraId="78BD0D48"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-0.177</w:t>
            </w:r>
          </w:p>
        </w:tc>
        <w:tc>
          <w:tcPr>
            <w:tcW w:w="556" w:type="pct"/>
            <w:tcBorders>
              <w:top w:val="nil"/>
              <w:left w:val="nil"/>
              <w:bottom w:val="nil"/>
              <w:right w:val="nil"/>
            </w:tcBorders>
            <w:shd w:val="clear" w:color="auto" w:fill="auto"/>
            <w:noWrap/>
            <w:vAlign w:val="bottom"/>
            <w:hideMark/>
          </w:tcPr>
          <w:p w14:paraId="07B38948"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(-15.601***)</w:t>
            </w:r>
          </w:p>
        </w:tc>
        <w:tc>
          <w:tcPr>
            <w:tcW w:w="563" w:type="pct"/>
            <w:tcBorders>
              <w:top w:val="nil"/>
              <w:left w:val="nil"/>
              <w:bottom w:val="nil"/>
              <w:right w:val="nil"/>
            </w:tcBorders>
            <w:shd w:val="clear" w:color="auto" w:fill="auto"/>
            <w:noWrap/>
            <w:vAlign w:val="bottom"/>
            <w:hideMark/>
          </w:tcPr>
          <w:p w14:paraId="0DA64808"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-0.036</w:t>
            </w:r>
          </w:p>
        </w:tc>
        <w:tc>
          <w:tcPr>
            <w:tcW w:w="490" w:type="pct"/>
            <w:tcBorders>
              <w:top w:val="nil"/>
              <w:left w:val="nil"/>
              <w:bottom w:val="nil"/>
              <w:right w:val="nil"/>
            </w:tcBorders>
            <w:shd w:val="clear" w:color="auto" w:fill="auto"/>
            <w:noWrap/>
            <w:vAlign w:val="bottom"/>
            <w:hideMark/>
          </w:tcPr>
          <w:p w14:paraId="3F260936"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(-6.132***)</w:t>
            </w:r>
          </w:p>
        </w:tc>
        <w:tc>
          <w:tcPr>
            <w:tcW w:w="86" w:type="pct"/>
            <w:tcBorders>
              <w:top w:val="nil"/>
              <w:left w:val="nil"/>
              <w:bottom w:val="nil"/>
              <w:right w:val="nil"/>
            </w:tcBorders>
            <w:shd w:val="clear" w:color="auto" w:fill="auto"/>
            <w:noWrap/>
            <w:vAlign w:val="bottom"/>
            <w:hideMark/>
          </w:tcPr>
          <w:p w14:paraId="313C4033"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p>
        </w:tc>
        <w:tc>
          <w:tcPr>
            <w:tcW w:w="419" w:type="pct"/>
            <w:tcBorders>
              <w:top w:val="nil"/>
              <w:left w:val="nil"/>
              <w:bottom w:val="nil"/>
              <w:right w:val="nil"/>
            </w:tcBorders>
            <w:shd w:val="clear" w:color="auto" w:fill="auto"/>
            <w:noWrap/>
            <w:vAlign w:val="bottom"/>
            <w:hideMark/>
          </w:tcPr>
          <w:p w14:paraId="6F77A75C"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0.217</w:t>
            </w:r>
          </w:p>
        </w:tc>
        <w:tc>
          <w:tcPr>
            <w:tcW w:w="634" w:type="pct"/>
            <w:tcBorders>
              <w:top w:val="nil"/>
              <w:left w:val="nil"/>
              <w:bottom w:val="nil"/>
              <w:right w:val="nil"/>
            </w:tcBorders>
            <w:shd w:val="clear" w:color="auto" w:fill="auto"/>
            <w:noWrap/>
            <w:vAlign w:val="bottom"/>
            <w:hideMark/>
          </w:tcPr>
          <w:p w14:paraId="5C5C7586"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Yes</w:t>
            </w:r>
          </w:p>
        </w:tc>
        <w:tc>
          <w:tcPr>
            <w:tcW w:w="341" w:type="pct"/>
            <w:tcBorders>
              <w:top w:val="nil"/>
              <w:left w:val="nil"/>
              <w:bottom w:val="nil"/>
              <w:right w:val="nil"/>
            </w:tcBorders>
            <w:shd w:val="clear" w:color="auto" w:fill="auto"/>
            <w:noWrap/>
            <w:vAlign w:val="bottom"/>
            <w:hideMark/>
          </w:tcPr>
          <w:p w14:paraId="62156E51"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58,939</w:t>
            </w:r>
          </w:p>
        </w:tc>
      </w:tr>
      <w:tr w:rsidR="009E36FB" w:rsidRPr="00D23517" w14:paraId="105A7EED" w14:textId="77777777" w:rsidTr="00197B3E">
        <w:trPr>
          <w:trHeight w:val="144"/>
        </w:trPr>
        <w:tc>
          <w:tcPr>
            <w:tcW w:w="733" w:type="pct"/>
            <w:tcBorders>
              <w:top w:val="nil"/>
              <w:left w:val="nil"/>
              <w:bottom w:val="nil"/>
              <w:right w:val="nil"/>
            </w:tcBorders>
            <w:shd w:val="clear" w:color="auto" w:fill="auto"/>
            <w:noWrap/>
            <w:vAlign w:val="center"/>
            <w:hideMark/>
          </w:tcPr>
          <w:p w14:paraId="71924E07" w14:textId="77777777" w:rsidR="009E36FB" w:rsidRPr="00D23517" w:rsidRDefault="009E36FB" w:rsidP="00A1062B">
            <w:pPr>
              <w:spacing w:after="0" w:line="240" w:lineRule="auto"/>
              <w:jc w:val="both"/>
              <w:rPr>
                <w:rFonts w:ascii="Times New Roman" w:eastAsia="Times New Roman" w:hAnsi="Times New Roman" w:cs="Times New Roman"/>
                <w:i/>
                <w:iCs/>
                <w:color w:val="000000"/>
                <w:sz w:val="20"/>
                <w:szCs w:val="20"/>
              </w:rPr>
            </w:pPr>
            <w:r w:rsidRPr="00D23517">
              <w:rPr>
                <w:rFonts w:ascii="Times New Roman" w:eastAsia="Times New Roman" w:hAnsi="Times New Roman" w:cs="Times New Roman"/>
                <w:i/>
                <w:iCs/>
                <w:color w:val="000000"/>
                <w:sz w:val="20"/>
                <w:szCs w:val="20"/>
              </w:rPr>
              <w:t>TOTRISK</w:t>
            </w:r>
          </w:p>
        </w:tc>
        <w:tc>
          <w:tcPr>
            <w:tcW w:w="283" w:type="pct"/>
            <w:tcBorders>
              <w:top w:val="nil"/>
              <w:left w:val="nil"/>
              <w:bottom w:val="nil"/>
              <w:right w:val="nil"/>
            </w:tcBorders>
            <w:shd w:val="clear" w:color="auto" w:fill="auto"/>
            <w:noWrap/>
            <w:vAlign w:val="bottom"/>
            <w:hideMark/>
          </w:tcPr>
          <w:p w14:paraId="14C84740"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-0.013</w:t>
            </w:r>
          </w:p>
        </w:tc>
        <w:tc>
          <w:tcPr>
            <w:tcW w:w="459" w:type="pct"/>
            <w:tcBorders>
              <w:top w:val="nil"/>
              <w:left w:val="nil"/>
              <w:bottom w:val="nil"/>
              <w:right w:val="nil"/>
            </w:tcBorders>
            <w:shd w:val="clear" w:color="auto" w:fill="auto"/>
            <w:noWrap/>
            <w:vAlign w:val="bottom"/>
            <w:hideMark/>
          </w:tcPr>
          <w:p w14:paraId="62621A85"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(-3.430***)</w:t>
            </w:r>
          </w:p>
        </w:tc>
        <w:tc>
          <w:tcPr>
            <w:tcW w:w="436" w:type="pct"/>
            <w:tcBorders>
              <w:top w:val="nil"/>
              <w:left w:val="nil"/>
              <w:bottom w:val="nil"/>
              <w:right w:val="nil"/>
            </w:tcBorders>
            <w:shd w:val="clear" w:color="auto" w:fill="auto"/>
            <w:noWrap/>
            <w:vAlign w:val="bottom"/>
            <w:hideMark/>
          </w:tcPr>
          <w:p w14:paraId="68A049F7"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-0.198</w:t>
            </w:r>
          </w:p>
        </w:tc>
        <w:tc>
          <w:tcPr>
            <w:tcW w:w="556" w:type="pct"/>
            <w:tcBorders>
              <w:top w:val="nil"/>
              <w:left w:val="nil"/>
              <w:bottom w:val="nil"/>
              <w:right w:val="nil"/>
            </w:tcBorders>
            <w:shd w:val="clear" w:color="auto" w:fill="auto"/>
            <w:noWrap/>
            <w:vAlign w:val="bottom"/>
            <w:hideMark/>
          </w:tcPr>
          <w:p w14:paraId="684266EA"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(-28.751***)</w:t>
            </w:r>
          </w:p>
        </w:tc>
        <w:tc>
          <w:tcPr>
            <w:tcW w:w="563" w:type="pct"/>
            <w:tcBorders>
              <w:top w:val="nil"/>
              <w:left w:val="nil"/>
              <w:bottom w:val="nil"/>
              <w:right w:val="nil"/>
            </w:tcBorders>
            <w:shd w:val="clear" w:color="auto" w:fill="auto"/>
            <w:noWrap/>
            <w:vAlign w:val="bottom"/>
            <w:hideMark/>
          </w:tcPr>
          <w:p w14:paraId="56730535"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-0.044</w:t>
            </w:r>
          </w:p>
        </w:tc>
        <w:tc>
          <w:tcPr>
            <w:tcW w:w="490" w:type="pct"/>
            <w:tcBorders>
              <w:top w:val="nil"/>
              <w:left w:val="nil"/>
              <w:bottom w:val="nil"/>
              <w:right w:val="nil"/>
            </w:tcBorders>
            <w:shd w:val="clear" w:color="auto" w:fill="auto"/>
            <w:noWrap/>
            <w:vAlign w:val="bottom"/>
            <w:hideMark/>
          </w:tcPr>
          <w:p w14:paraId="159BB92B"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(-12.684***)</w:t>
            </w:r>
          </w:p>
        </w:tc>
        <w:tc>
          <w:tcPr>
            <w:tcW w:w="86" w:type="pct"/>
            <w:tcBorders>
              <w:top w:val="nil"/>
              <w:left w:val="nil"/>
              <w:bottom w:val="nil"/>
              <w:right w:val="nil"/>
            </w:tcBorders>
            <w:shd w:val="clear" w:color="auto" w:fill="auto"/>
            <w:noWrap/>
            <w:vAlign w:val="bottom"/>
            <w:hideMark/>
          </w:tcPr>
          <w:p w14:paraId="121B6437"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p>
        </w:tc>
        <w:tc>
          <w:tcPr>
            <w:tcW w:w="419" w:type="pct"/>
            <w:tcBorders>
              <w:top w:val="nil"/>
              <w:left w:val="nil"/>
              <w:bottom w:val="nil"/>
              <w:right w:val="nil"/>
            </w:tcBorders>
            <w:shd w:val="clear" w:color="auto" w:fill="auto"/>
            <w:noWrap/>
            <w:vAlign w:val="bottom"/>
            <w:hideMark/>
          </w:tcPr>
          <w:p w14:paraId="3FE0514C"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0.519</w:t>
            </w:r>
          </w:p>
        </w:tc>
        <w:tc>
          <w:tcPr>
            <w:tcW w:w="634" w:type="pct"/>
            <w:tcBorders>
              <w:top w:val="nil"/>
              <w:left w:val="nil"/>
              <w:bottom w:val="nil"/>
              <w:right w:val="nil"/>
            </w:tcBorders>
            <w:shd w:val="clear" w:color="auto" w:fill="auto"/>
            <w:noWrap/>
            <w:vAlign w:val="bottom"/>
            <w:hideMark/>
          </w:tcPr>
          <w:p w14:paraId="1B9B96BF"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Yes</w:t>
            </w:r>
          </w:p>
        </w:tc>
        <w:tc>
          <w:tcPr>
            <w:tcW w:w="341" w:type="pct"/>
            <w:tcBorders>
              <w:top w:val="nil"/>
              <w:left w:val="nil"/>
              <w:bottom w:val="nil"/>
              <w:right w:val="nil"/>
            </w:tcBorders>
            <w:shd w:val="clear" w:color="auto" w:fill="auto"/>
            <w:noWrap/>
            <w:vAlign w:val="bottom"/>
            <w:hideMark/>
          </w:tcPr>
          <w:p w14:paraId="3AF2D176"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59,059</w:t>
            </w:r>
          </w:p>
        </w:tc>
      </w:tr>
      <w:tr w:rsidR="009E36FB" w:rsidRPr="00D23517" w14:paraId="2FA0D3A6" w14:textId="77777777" w:rsidTr="00197B3E">
        <w:trPr>
          <w:trHeight w:val="144"/>
        </w:trPr>
        <w:tc>
          <w:tcPr>
            <w:tcW w:w="733" w:type="pct"/>
            <w:tcBorders>
              <w:top w:val="nil"/>
              <w:left w:val="nil"/>
              <w:right w:val="nil"/>
            </w:tcBorders>
            <w:shd w:val="clear" w:color="auto" w:fill="auto"/>
            <w:noWrap/>
            <w:vAlign w:val="center"/>
            <w:hideMark/>
          </w:tcPr>
          <w:p w14:paraId="4CA1798A" w14:textId="77777777" w:rsidR="009E36FB" w:rsidRPr="00D23517" w:rsidRDefault="009E36FB" w:rsidP="00A1062B">
            <w:pPr>
              <w:spacing w:after="0" w:line="240" w:lineRule="auto"/>
              <w:jc w:val="both"/>
              <w:rPr>
                <w:rFonts w:ascii="Times New Roman" w:eastAsia="Times New Roman" w:hAnsi="Times New Roman" w:cs="Times New Roman"/>
                <w:i/>
                <w:iCs/>
                <w:color w:val="000000"/>
                <w:sz w:val="20"/>
                <w:szCs w:val="20"/>
              </w:rPr>
            </w:pPr>
            <w:r w:rsidRPr="00D23517">
              <w:rPr>
                <w:rFonts w:ascii="Times New Roman" w:eastAsia="Times New Roman" w:hAnsi="Times New Roman" w:cs="Times New Roman"/>
                <w:i/>
                <w:iCs/>
                <w:color w:val="000000"/>
                <w:sz w:val="20"/>
                <w:szCs w:val="20"/>
              </w:rPr>
              <w:t>IDIORISK</w:t>
            </w:r>
          </w:p>
        </w:tc>
        <w:tc>
          <w:tcPr>
            <w:tcW w:w="283" w:type="pct"/>
            <w:tcBorders>
              <w:top w:val="nil"/>
              <w:left w:val="nil"/>
              <w:right w:val="nil"/>
            </w:tcBorders>
            <w:shd w:val="clear" w:color="auto" w:fill="auto"/>
            <w:noWrap/>
            <w:vAlign w:val="bottom"/>
            <w:hideMark/>
          </w:tcPr>
          <w:p w14:paraId="69C07913"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-0.011</w:t>
            </w:r>
          </w:p>
        </w:tc>
        <w:tc>
          <w:tcPr>
            <w:tcW w:w="459" w:type="pct"/>
            <w:tcBorders>
              <w:top w:val="nil"/>
              <w:left w:val="nil"/>
              <w:right w:val="nil"/>
            </w:tcBorders>
            <w:shd w:val="clear" w:color="auto" w:fill="auto"/>
            <w:noWrap/>
            <w:vAlign w:val="bottom"/>
            <w:hideMark/>
          </w:tcPr>
          <w:p w14:paraId="17F1B4DB"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(-2.715***)</w:t>
            </w:r>
          </w:p>
        </w:tc>
        <w:tc>
          <w:tcPr>
            <w:tcW w:w="436" w:type="pct"/>
            <w:tcBorders>
              <w:top w:val="nil"/>
              <w:left w:val="nil"/>
              <w:right w:val="nil"/>
            </w:tcBorders>
            <w:shd w:val="clear" w:color="auto" w:fill="auto"/>
            <w:noWrap/>
            <w:vAlign w:val="bottom"/>
            <w:hideMark/>
          </w:tcPr>
          <w:p w14:paraId="2EB3FF11"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-0.212</w:t>
            </w:r>
          </w:p>
        </w:tc>
        <w:tc>
          <w:tcPr>
            <w:tcW w:w="556" w:type="pct"/>
            <w:tcBorders>
              <w:top w:val="nil"/>
              <w:left w:val="nil"/>
              <w:right w:val="nil"/>
            </w:tcBorders>
            <w:shd w:val="clear" w:color="auto" w:fill="auto"/>
            <w:noWrap/>
            <w:vAlign w:val="bottom"/>
            <w:hideMark/>
          </w:tcPr>
          <w:p w14:paraId="4A4CE9EB"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(-30.173***)</w:t>
            </w:r>
          </w:p>
        </w:tc>
        <w:tc>
          <w:tcPr>
            <w:tcW w:w="563" w:type="pct"/>
            <w:tcBorders>
              <w:top w:val="nil"/>
              <w:left w:val="nil"/>
              <w:right w:val="nil"/>
            </w:tcBorders>
            <w:shd w:val="clear" w:color="auto" w:fill="auto"/>
            <w:noWrap/>
            <w:vAlign w:val="bottom"/>
            <w:hideMark/>
          </w:tcPr>
          <w:p w14:paraId="03B6C5CD"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-0.045</w:t>
            </w:r>
          </w:p>
        </w:tc>
        <w:tc>
          <w:tcPr>
            <w:tcW w:w="490" w:type="pct"/>
            <w:tcBorders>
              <w:top w:val="nil"/>
              <w:left w:val="nil"/>
              <w:right w:val="nil"/>
            </w:tcBorders>
            <w:shd w:val="clear" w:color="auto" w:fill="auto"/>
            <w:noWrap/>
            <w:vAlign w:val="bottom"/>
            <w:hideMark/>
          </w:tcPr>
          <w:p w14:paraId="15CEEC64"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(-12.693***)</w:t>
            </w:r>
          </w:p>
        </w:tc>
        <w:tc>
          <w:tcPr>
            <w:tcW w:w="86" w:type="pct"/>
            <w:tcBorders>
              <w:top w:val="nil"/>
              <w:left w:val="nil"/>
              <w:right w:val="nil"/>
            </w:tcBorders>
            <w:shd w:val="clear" w:color="auto" w:fill="auto"/>
            <w:noWrap/>
            <w:vAlign w:val="bottom"/>
            <w:hideMark/>
          </w:tcPr>
          <w:p w14:paraId="3E4F8488"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p>
        </w:tc>
        <w:tc>
          <w:tcPr>
            <w:tcW w:w="419" w:type="pct"/>
            <w:tcBorders>
              <w:top w:val="nil"/>
              <w:left w:val="nil"/>
              <w:right w:val="nil"/>
            </w:tcBorders>
            <w:shd w:val="clear" w:color="auto" w:fill="auto"/>
            <w:noWrap/>
            <w:vAlign w:val="bottom"/>
            <w:hideMark/>
          </w:tcPr>
          <w:p w14:paraId="0B9C24D5"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0.489</w:t>
            </w:r>
          </w:p>
        </w:tc>
        <w:tc>
          <w:tcPr>
            <w:tcW w:w="634" w:type="pct"/>
            <w:tcBorders>
              <w:top w:val="nil"/>
              <w:left w:val="nil"/>
              <w:right w:val="nil"/>
            </w:tcBorders>
            <w:shd w:val="clear" w:color="auto" w:fill="auto"/>
            <w:noWrap/>
            <w:vAlign w:val="bottom"/>
            <w:hideMark/>
          </w:tcPr>
          <w:p w14:paraId="003DC78A"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Yes</w:t>
            </w:r>
          </w:p>
        </w:tc>
        <w:tc>
          <w:tcPr>
            <w:tcW w:w="341" w:type="pct"/>
            <w:tcBorders>
              <w:top w:val="nil"/>
              <w:left w:val="nil"/>
              <w:right w:val="nil"/>
            </w:tcBorders>
            <w:shd w:val="clear" w:color="auto" w:fill="auto"/>
            <w:noWrap/>
            <w:vAlign w:val="bottom"/>
            <w:hideMark/>
          </w:tcPr>
          <w:p w14:paraId="5D1CA989"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59,059</w:t>
            </w:r>
          </w:p>
        </w:tc>
      </w:tr>
      <w:tr w:rsidR="009E36FB" w:rsidRPr="00D23517" w14:paraId="74832542" w14:textId="77777777" w:rsidTr="00197B3E">
        <w:trPr>
          <w:trHeight w:val="144"/>
        </w:trPr>
        <w:tc>
          <w:tcPr>
            <w:tcW w:w="733" w:type="pct"/>
            <w:tcBorders>
              <w:top w:val="nil"/>
              <w:left w:val="nil"/>
              <w:bottom w:val="single" w:sz="4" w:space="0" w:color="auto"/>
              <w:right w:val="nil"/>
            </w:tcBorders>
            <w:shd w:val="clear" w:color="auto" w:fill="auto"/>
            <w:noWrap/>
            <w:vAlign w:val="center"/>
            <w:hideMark/>
          </w:tcPr>
          <w:p w14:paraId="1E198981" w14:textId="77777777" w:rsidR="009E36FB" w:rsidRPr="00D23517" w:rsidRDefault="009E36FB" w:rsidP="00A1062B">
            <w:pPr>
              <w:spacing w:after="0" w:line="240" w:lineRule="auto"/>
              <w:jc w:val="both"/>
              <w:rPr>
                <w:rFonts w:ascii="Times New Roman" w:eastAsia="Times New Roman" w:hAnsi="Times New Roman" w:cs="Times New Roman"/>
                <w:i/>
                <w:iCs/>
                <w:color w:val="000000"/>
                <w:sz w:val="20"/>
                <w:szCs w:val="20"/>
              </w:rPr>
            </w:pPr>
            <w:r w:rsidRPr="00D23517">
              <w:rPr>
                <w:rFonts w:ascii="Times New Roman" w:eastAsia="Times New Roman" w:hAnsi="Times New Roman" w:cs="Times New Roman"/>
                <w:i/>
                <w:iCs/>
                <w:color w:val="000000"/>
                <w:sz w:val="20"/>
                <w:szCs w:val="20"/>
              </w:rPr>
              <w:t>NCSKEW</w:t>
            </w:r>
          </w:p>
        </w:tc>
        <w:tc>
          <w:tcPr>
            <w:tcW w:w="283" w:type="pct"/>
            <w:tcBorders>
              <w:top w:val="nil"/>
              <w:left w:val="nil"/>
              <w:bottom w:val="single" w:sz="4" w:space="0" w:color="auto"/>
              <w:right w:val="nil"/>
            </w:tcBorders>
            <w:shd w:val="clear" w:color="auto" w:fill="auto"/>
            <w:noWrap/>
            <w:vAlign w:val="bottom"/>
            <w:hideMark/>
          </w:tcPr>
          <w:p w14:paraId="54BCEAEF"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-0.023</w:t>
            </w:r>
          </w:p>
        </w:tc>
        <w:tc>
          <w:tcPr>
            <w:tcW w:w="459" w:type="pct"/>
            <w:tcBorders>
              <w:top w:val="nil"/>
              <w:left w:val="nil"/>
              <w:bottom w:val="single" w:sz="4" w:space="0" w:color="auto"/>
              <w:right w:val="nil"/>
            </w:tcBorders>
            <w:shd w:val="clear" w:color="auto" w:fill="auto"/>
            <w:noWrap/>
            <w:vAlign w:val="bottom"/>
            <w:hideMark/>
          </w:tcPr>
          <w:p w14:paraId="6E8DC131"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(-3.992***)</w:t>
            </w:r>
          </w:p>
        </w:tc>
        <w:tc>
          <w:tcPr>
            <w:tcW w:w="436" w:type="pct"/>
            <w:tcBorders>
              <w:top w:val="nil"/>
              <w:left w:val="nil"/>
              <w:bottom w:val="single" w:sz="4" w:space="0" w:color="auto"/>
              <w:right w:val="nil"/>
            </w:tcBorders>
            <w:shd w:val="clear" w:color="auto" w:fill="auto"/>
            <w:noWrap/>
            <w:vAlign w:val="bottom"/>
            <w:hideMark/>
          </w:tcPr>
          <w:p w14:paraId="4F3963FE"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-0.079</w:t>
            </w:r>
          </w:p>
        </w:tc>
        <w:tc>
          <w:tcPr>
            <w:tcW w:w="556" w:type="pct"/>
            <w:tcBorders>
              <w:top w:val="nil"/>
              <w:left w:val="nil"/>
              <w:bottom w:val="single" w:sz="4" w:space="0" w:color="auto"/>
              <w:right w:val="nil"/>
            </w:tcBorders>
            <w:shd w:val="clear" w:color="auto" w:fill="auto"/>
            <w:noWrap/>
            <w:vAlign w:val="bottom"/>
            <w:hideMark/>
          </w:tcPr>
          <w:p w14:paraId="67BDF664"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(-9.756***)</w:t>
            </w:r>
          </w:p>
        </w:tc>
        <w:tc>
          <w:tcPr>
            <w:tcW w:w="563" w:type="pct"/>
            <w:tcBorders>
              <w:top w:val="nil"/>
              <w:left w:val="nil"/>
              <w:bottom w:val="single" w:sz="4" w:space="0" w:color="auto"/>
              <w:right w:val="nil"/>
            </w:tcBorders>
            <w:shd w:val="clear" w:color="auto" w:fill="auto"/>
            <w:noWrap/>
            <w:vAlign w:val="bottom"/>
            <w:hideMark/>
          </w:tcPr>
          <w:p w14:paraId="7DA2427A"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-0.034</w:t>
            </w:r>
          </w:p>
        </w:tc>
        <w:tc>
          <w:tcPr>
            <w:tcW w:w="490" w:type="pct"/>
            <w:tcBorders>
              <w:top w:val="nil"/>
              <w:left w:val="nil"/>
              <w:bottom w:val="single" w:sz="4" w:space="0" w:color="auto"/>
              <w:right w:val="nil"/>
            </w:tcBorders>
            <w:shd w:val="clear" w:color="auto" w:fill="auto"/>
            <w:noWrap/>
            <w:vAlign w:val="bottom"/>
            <w:hideMark/>
          </w:tcPr>
          <w:p w14:paraId="54DD2E97"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(-6.505***)</w:t>
            </w:r>
          </w:p>
        </w:tc>
        <w:tc>
          <w:tcPr>
            <w:tcW w:w="86" w:type="pct"/>
            <w:tcBorders>
              <w:top w:val="nil"/>
              <w:left w:val="nil"/>
              <w:bottom w:val="single" w:sz="4" w:space="0" w:color="auto"/>
              <w:right w:val="nil"/>
            </w:tcBorders>
            <w:shd w:val="clear" w:color="auto" w:fill="auto"/>
            <w:noWrap/>
            <w:vAlign w:val="bottom"/>
            <w:hideMark/>
          </w:tcPr>
          <w:p w14:paraId="445142D4"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p>
        </w:tc>
        <w:tc>
          <w:tcPr>
            <w:tcW w:w="419" w:type="pct"/>
            <w:tcBorders>
              <w:top w:val="nil"/>
              <w:left w:val="nil"/>
              <w:bottom w:val="single" w:sz="4" w:space="0" w:color="auto"/>
              <w:right w:val="nil"/>
            </w:tcBorders>
            <w:shd w:val="clear" w:color="auto" w:fill="auto"/>
            <w:noWrap/>
            <w:vAlign w:val="bottom"/>
            <w:hideMark/>
          </w:tcPr>
          <w:p w14:paraId="7C7D8F09"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0.0426</w:t>
            </w:r>
          </w:p>
        </w:tc>
        <w:tc>
          <w:tcPr>
            <w:tcW w:w="634" w:type="pct"/>
            <w:tcBorders>
              <w:top w:val="nil"/>
              <w:left w:val="nil"/>
              <w:bottom w:val="single" w:sz="4" w:space="0" w:color="auto"/>
              <w:right w:val="nil"/>
            </w:tcBorders>
            <w:shd w:val="clear" w:color="auto" w:fill="auto"/>
            <w:noWrap/>
            <w:vAlign w:val="bottom"/>
            <w:hideMark/>
          </w:tcPr>
          <w:p w14:paraId="77E54C2B"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Yes</w:t>
            </w:r>
          </w:p>
        </w:tc>
        <w:tc>
          <w:tcPr>
            <w:tcW w:w="341" w:type="pct"/>
            <w:tcBorders>
              <w:top w:val="nil"/>
              <w:left w:val="nil"/>
              <w:bottom w:val="single" w:sz="4" w:space="0" w:color="auto"/>
              <w:right w:val="nil"/>
            </w:tcBorders>
            <w:shd w:val="clear" w:color="auto" w:fill="auto"/>
            <w:noWrap/>
            <w:vAlign w:val="bottom"/>
            <w:hideMark/>
          </w:tcPr>
          <w:p w14:paraId="32A81039" w14:textId="77777777" w:rsidR="009E36FB" w:rsidRPr="00D23517" w:rsidRDefault="009E36FB" w:rsidP="00A1062B">
            <w:pPr>
              <w:spacing w:after="0" w:line="240" w:lineRule="auto"/>
              <w:jc w:val="both"/>
              <w:rPr>
                <w:rFonts w:ascii="Times New Roman" w:eastAsia="Times New Roman" w:hAnsi="Times New Roman" w:cs="Times New Roman"/>
                <w:sz w:val="20"/>
                <w:szCs w:val="20"/>
              </w:rPr>
            </w:pPr>
            <w:r w:rsidRPr="00D23517">
              <w:rPr>
                <w:rFonts w:ascii="Times New Roman" w:eastAsia="Times New Roman" w:hAnsi="Times New Roman" w:cs="Times New Roman"/>
                <w:sz w:val="20"/>
                <w:szCs w:val="20"/>
              </w:rPr>
              <w:t>51,040</w:t>
            </w:r>
          </w:p>
        </w:tc>
      </w:tr>
    </w:tbl>
    <w:p w14:paraId="6DDD72A8" w14:textId="06AB7344" w:rsidR="00903DCE" w:rsidRDefault="009B6F98" w:rsidP="00A1062B">
      <w:pPr>
        <w:jc w:val="both"/>
        <w:rPr>
          <w:rFonts w:ascii="Times New Roman" w:eastAsia="Times New Roman" w:hAnsi="Times New Roman" w:cs="Times New Roman"/>
          <w:sz w:val="20"/>
          <w:szCs w:val="20"/>
        </w:rPr>
        <w:sectPr w:rsidR="00903DCE" w:rsidSect="00903DCE">
          <w:pgSz w:w="15840" w:h="12240" w:orient="landscape"/>
          <w:pgMar w:top="1440" w:right="1440" w:bottom="1440" w:left="1440" w:header="720" w:footer="720" w:gutter="0"/>
          <w:cols w:space="720"/>
          <w:docGrid w:linePitch="360"/>
        </w:sectPr>
      </w:pPr>
      <w:r>
        <w:rPr>
          <w:rFonts w:ascii="Times New Roman" w:hAnsi="Times New Roman" w:cs="Times New Roman"/>
          <w:sz w:val="20"/>
          <w:szCs w:val="20"/>
        </w:rPr>
        <w:t xml:space="preserve">Note: </w:t>
      </w:r>
      <w:r w:rsidR="00714B86" w:rsidRPr="00893E6D">
        <w:rPr>
          <w:rFonts w:ascii="Times New Roman" w:hAnsi="Times New Roman" w:cs="Times New Roman"/>
          <w:sz w:val="20"/>
          <w:szCs w:val="20"/>
        </w:rPr>
        <w:t>This table reports the results from the panel data firm-fixed effect regressions of ROA volatility, stock price volatility (</w:t>
      </w:r>
      <w:r w:rsidR="00714B86" w:rsidRPr="00893E6D">
        <w:rPr>
          <w:rFonts w:ascii="Times New Roman" w:hAnsi="Times New Roman" w:cs="Times New Roman"/>
          <w:i/>
          <w:sz w:val="20"/>
          <w:szCs w:val="20"/>
        </w:rPr>
        <w:t>TOTRISK</w:t>
      </w:r>
      <w:r w:rsidR="00714B86" w:rsidRPr="00893E6D">
        <w:rPr>
          <w:rFonts w:ascii="Times New Roman" w:hAnsi="Times New Roman" w:cs="Times New Roman"/>
          <w:sz w:val="20"/>
          <w:szCs w:val="20"/>
        </w:rPr>
        <w:t xml:space="preserve"> and </w:t>
      </w:r>
      <w:r w:rsidR="00714B86" w:rsidRPr="00893E6D">
        <w:rPr>
          <w:rFonts w:ascii="Times New Roman" w:hAnsi="Times New Roman" w:cs="Times New Roman"/>
          <w:i/>
          <w:sz w:val="20"/>
          <w:szCs w:val="20"/>
        </w:rPr>
        <w:t>IDIORISK</w:t>
      </w:r>
      <w:r w:rsidR="00714B86" w:rsidRPr="00893E6D">
        <w:rPr>
          <w:rFonts w:ascii="Times New Roman" w:hAnsi="Times New Roman" w:cs="Times New Roman"/>
          <w:sz w:val="20"/>
          <w:szCs w:val="20"/>
        </w:rPr>
        <w:t>) and stock price crash risk (</w:t>
      </w:r>
      <w:r w:rsidR="00714B86" w:rsidRPr="00893E6D">
        <w:rPr>
          <w:rFonts w:ascii="Times New Roman" w:hAnsi="Times New Roman" w:cs="Times New Roman"/>
          <w:i/>
          <w:sz w:val="20"/>
          <w:szCs w:val="20"/>
        </w:rPr>
        <w:t>NCSKEW</w:t>
      </w:r>
      <w:r w:rsidR="00714B86" w:rsidRPr="00893E6D">
        <w:rPr>
          <w:rFonts w:ascii="Times New Roman" w:hAnsi="Times New Roman" w:cs="Times New Roman"/>
          <w:sz w:val="20"/>
          <w:szCs w:val="20"/>
        </w:rPr>
        <w:t>). ROA volatility (</w:t>
      </w:r>
      <w:r w:rsidR="00714B86" w:rsidRPr="00893E6D">
        <w:rPr>
          <w:rFonts w:ascii="Times New Roman" w:hAnsi="Times New Roman" w:cs="Times New Roman"/>
          <w:i/>
          <w:sz w:val="20"/>
          <w:szCs w:val="20"/>
        </w:rPr>
        <w:t>ROAVOL</w:t>
      </w:r>
      <w:r w:rsidR="00714B86" w:rsidRPr="00893E6D">
        <w:rPr>
          <w:rFonts w:ascii="Times New Roman" w:hAnsi="Times New Roman" w:cs="Times New Roman"/>
          <w:sz w:val="20"/>
          <w:szCs w:val="20"/>
        </w:rPr>
        <w:t>) is the standard deviation of return on assets over 5 years (from year -4 to the current fiscal year).</w:t>
      </w:r>
      <w:r w:rsidR="00714B86" w:rsidRPr="00893E6D">
        <w:rPr>
          <w:rFonts w:ascii="Times New Roman" w:hAnsi="Times New Roman" w:cs="Times New Roman"/>
          <w:i/>
          <w:sz w:val="20"/>
          <w:szCs w:val="20"/>
        </w:rPr>
        <w:t xml:space="preserve"> </w:t>
      </w:r>
      <w:r w:rsidR="00253677">
        <w:rPr>
          <w:rFonts w:ascii="Times New Roman" w:hAnsi="Times New Roman" w:cs="Times New Roman"/>
          <w:sz w:val="20"/>
          <w:szCs w:val="20"/>
        </w:rPr>
        <w:t>T</w:t>
      </w:r>
      <w:r w:rsidR="00253677" w:rsidRPr="005F4D86">
        <w:rPr>
          <w:rFonts w:ascii="Times New Roman" w:hAnsi="Times New Roman" w:cs="Times New Roman"/>
          <w:sz w:val="20"/>
          <w:szCs w:val="20"/>
        </w:rPr>
        <w:t>otal risk</w:t>
      </w:r>
      <w:r w:rsidR="00253677" w:rsidRPr="005F4D86">
        <w:rPr>
          <w:rFonts w:ascii="Times New Roman" w:hAnsi="Times New Roman" w:cs="Times New Roman"/>
          <w:i/>
          <w:sz w:val="20"/>
          <w:szCs w:val="20"/>
        </w:rPr>
        <w:t xml:space="preserve"> </w:t>
      </w:r>
      <w:r w:rsidR="00253677">
        <w:rPr>
          <w:rFonts w:ascii="Times New Roman" w:hAnsi="Times New Roman" w:cs="Times New Roman"/>
          <w:i/>
          <w:sz w:val="20"/>
          <w:szCs w:val="20"/>
        </w:rPr>
        <w:t>(</w:t>
      </w:r>
      <w:r w:rsidR="00253677" w:rsidRPr="005F4D86">
        <w:rPr>
          <w:rFonts w:ascii="Times New Roman" w:hAnsi="Times New Roman" w:cs="Times New Roman"/>
          <w:i/>
          <w:sz w:val="20"/>
          <w:szCs w:val="20"/>
        </w:rPr>
        <w:t>TOTRISK</w:t>
      </w:r>
      <w:r w:rsidR="00253677">
        <w:rPr>
          <w:rFonts w:ascii="Times New Roman" w:hAnsi="Times New Roman" w:cs="Times New Roman"/>
          <w:i/>
          <w:sz w:val="20"/>
          <w:szCs w:val="20"/>
        </w:rPr>
        <w:t>)</w:t>
      </w:r>
      <w:r w:rsidR="00714B86" w:rsidRPr="00893E6D">
        <w:rPr>
          <w:rFonts w:ascii="Times New Roman" w:hAnsi="Times New Roman" w:cs="Times New Roman"/>
          <w:sz w:val="20"/>
          <w:szCs w:val="20"/>
        </w:rPr>
        <w:t xml:space="preserve"> is the annualized standard deviation of the daily stock returns in the year. </w:t>
      </w:r>
      <w:r w:rsidR="00FC6F5C" w:rsidRPr="00D05DBE">
        <w:rPr>
          <w:rFonts w:ascii="Times New Roman" w:hAnsi="Times New Roman" w:cs="Times New Roman"/>
          <w:sz w:val="20"/>
          <w:szCs w:val="20"/>
        </w:rPr>
        <w:t>Idiosyncratic</w:t>
      </w:r>
      <w:r w:rsidR="00FC6F5C" w:rsidRPr="005F4D86">
        <w:rPr>
          <w:rFonts w:ascii="Times New Roman" w:hAnsi="Times New Roman" w:cs="Times New Roman"/>
          <w:sz w:val="20"/>
          <w:szCs w:val="20"/>
        </w:rPr>
        <w:t xml:space="preserve"> risk</w:t>
      </w:r>
      <w:r w:rsidR="00FC6F5C">
        <w:rPr>
          <w:rFonts w:ascii="Times New Roman" w:hAnsi="Times New Roman" w:cs="Times New Roman"/>
          <w:sz w:val="20"/>
          <w:szCs w:val="20"/>
        </w:rPr>
        <w:t xml:space="preserve"> (</w:t>
      </w:r>
      <w:r w:rsidR="00FC6F5C" w:rsidRPr="005F4D86">
        <w:rPr>
          <w:rFonts w:ascii="Times New Roman" w:hAnsi="Times New Roman" w:cs="Times New Roman"/>
          <w:i/>
          <w:sz w:val="20"/>
          <w:szCs w:val="20"/>
        </w:rPr>
        <w:t>IDIORISK</w:t>
      </w:r>
      <w:r w:rsidR="00FC6F5C">
        <w:rPr>
          <w:rFonts w:ascii="Times New Roman" w:hAnsi="Times New Roman" w:cs="Times New Roman"/>
          <w:i/>
          <w:sz w:val="20"/>
          <w:szCs w:val="20"/>
        </w:rPr>
        <w:t>)</w:t>
      </w:r>
      <w:r w:rsidR="00714B86" w:rsidRPr="00893E6D">
        <w:rPr>
          <w:rFonts w:ascii="Times New Roman" w:hAnsi="Times New Roman" w:cs="Times New Roman"/>
          <w:sz w:val="20"/>
          <w:szCs w:val="20"/>
        </w:rPr>
        <w:t xml:space="preserve"> is the annualized standard deviation of the residuals from the </w:t>
      </w:r>
      <w:proofErr w:type="spellStart"/>
      <w:r w:rsidR="00714B86" w:rsidRPr="00893E6D">
        <w:rPr>
          <w:rFonts w:ascii="Times New Roman" w:hAnsi="Times New Roman" w:cs="Times New Roman"/>
          <w:sz w:val="20"/>
          <w:szCs w:val="20"/>
        </w:rPr>
        <w:t>Fama</w:t>
      </w:r>
      <w:proofErr w:type="spellEnd"/>
      <w:r w:rsidR="00714B86" w:rsidRPr="00893E6D">
        <w:rPr>
          <w:rFonts w:ascii="Times New Roman" w:hAnsi="Times New Roman" w:cs="Times New Roman"/>
          <w:sz w:val="20"/>
          <w:szCs w:val="20"/>
        </w:rPr>
        <w:t>-French 4-factor model using daily stock returns in the year.</w:t>
      </w:r>
      <w:r w:rsidR="00714B86" w:rsidRPr="00893E6D">
        <w:rPr>
          <w:rFonts w:ascii="Times New Roman" w:hAnsi="Times New Roman" w:cs="Times New Roman"/>
          <w:i/>
          <w:sz w:val="20"/>
          <w:szCs w:val="20"/>
        </w:rPr>
        <w:t xml:space="preserve"> NCSKEW</w:t>
      </w:r>
      <w:r w:rsidR="00714B86" w:rsidRPr="00893E6D">
        <w:rPr>
          <w:rFonts w:ascii="Times New Roman" w:hAnsi="Times New Roman" w:cs="Times New Roman"/>
          <w:sz w:val="20"/>
          <w:szCs w:val="20"/>
        </w:rPr>
        <w:t xml:space="preserve"> is the negative conditional skewness of firm-specific weekly return, calculated as the negative third central moment of firm-specific weekly returns divided by the cubed standard deviation of firm-specific weekly returns.</w:t>
      </w:r>
      <w:r w:rsidR="00714B86" w:rsidRPr="00893E6D">
        <w:rPr>
          <w:rFonts w:ascii="Times New Roman" w:eastAsiaTheme="minorEastAsia" w:hAnsi="Times New Roman" w:cs="Times New Roman"/>
          <w:sz w:val="20"/>
          <w:szCs w:val="20"/>
        </w:rPr>
        <w:t xml:space="preserve"> </w:t>
      </w:r>
      <w:r w:rsidR="00714B86" w:rsidRPr="00893E6D">
        <w:rPr>
          <w:rFonts w:ascii="Times New Roman" w:hAnsi="Times New Roman" w:cs="Times New Roman"/>
          <w:i/>
          <w:sz w:val="20"/>
          <w:szCs w:val="20"/>
        </w:rPr>
        <w:t>NONOPERINC</w:t>
      </w:r>
      <w:r w:rsidR="00714B86" w:rsidRPr="00893E6D">
        <w:rPr>
          <w:rFonts w:ascii="Times New Roman" w:hAnsi="Times New Roman" w:cs="Times New Roman"/>
          <w:sz w:val="20"/>
          <w:szCs w:val="20"/>
        </w:rPr>
        <w:t xml:space="preserve"> is the ratio of non-operating income to assets at the end of the fiscal year. </w:t>
      </w:r>
      <w:r w:rsidR="00714B86" w:rsidRPr="00893E6D">
        <w:rPr>
          <w:rFonts w:ascii="Times New Roman" w:hAnsi="Times New Roman" w:cs="Times New Roman"/>
          <w:i/>
          <w:sz w:val="20"/>
          <w:szCs w:val="20"/>
        </w:rPr>
        <w:t xml:space="preserve">OPERINC_PREDICTED </w:t>
      </w:r>
      <w:r w:rsidR="00714B86" w:rsidRPr="00893E6D">
        <w:rPr>
          <w:rFonts w:ascii="Times New Roman" w:hAnsi="Times New Roman" w:cs="Times New Roman"/>
          <w:sz w:val="20"/>
          <w:szCs w:val="20"/>
        </w:rPr>
        <w:t>and</w:t>
      </w:r>
      <w:r w:rsidR="00714B86" w:rsidRPr="00893E6D">
        <w:rPr>
          <w:rFonts w:ascii="Times New Roman" w:hAnsi="Times New Roman" w:cs="Times New Roman"/>
          <w:i/>
          <w:sz w:val="20"/>
          <w:szCs w:val="20"/>
        </w:rPr>
        <w:t xml:space="preserve"> OPERINC_UNEXPECTED </w:t>
      </w:r>
      <w:r w:rsidR="00714B86" w:rsidRPr="00893E6D">
        <w:rPr>
          <w:rFonts w:ascii="Times New Roman" w:hAnsi="Times New Roman" w:cs="Times New Roman"/>
          <w:sz w:val="20"/>
          <w:szCs w:val="20"/>
        </w:rPr>
        <w:t xml:space="preserve">are the </w:t>
      </w:r>
      <w:r w:rsidR="00506E1C">
        <w:rPr>
          <w:rFonts w:ascii="Times New Roman" w:hAnsi="Times New Roman" w:cs="Times New Roman"/>
          <w:sz w:val="20"/>
          <w:szCs w:val="20"/>
        </w:rPr>
        <w:t>expec</w:t>
      </w:r>
      <w:r w:rsidR="00506E1C" w:rsidRPr="00893E6D">
        <w:rPr>
          <w:rFonts w:ascii="Times New Roman" w:hAnsi="Times New Roman" w:cs="Times New Roman"/>
          <w:sz w:val="20"/>
          <w:szCs w:val="20"/>
        </w:rPr>
        <w:t xml:space="preserve">ted </w:t>
      </w:r>
      <w:r w:rsidR="00714B86" w:rsidRPr="00893E6D">
        <w:rPr>
          <w:rFonts w:ascii="Times New Roman" w:hAnsi="Times New Roman" w:cs="Times New Roman"/>
          <w:sz w:val="20"/>
          <w:szCs w:val="20"/>
        </w:rPr>
        <w:t>value obtained from the estimation of the regression in Table A1</w:t>
      </w:r>
      <w:r w:rsidR="00272113">
        <w:rPr>
          <w:rFonts w:ascii="Times New Roman" w:hAnsi="Times New Roman" w:cs="Times New Roman"/>
          <w:sz w:val="20"/>
          <w:szCs w:val="20"/>
        </w:rPr>
        <w:t xml:space="preserve"> and the difference between the actual </w:t>
      </w:r>
      <w:r w:rsidR="00272113" w:rsidRPr="00893E6D">
        <w:rPr>
          <w:rFonts w:ascii="Times New Roman" w:hAnsi="Times New Roman" w:cs="Times New Roman"/>
          <w:i/>
          <w:sz w:val="20"/>
          <w:szCs w:val="20"/>
        </w:rPr>
        <w:t>OPERINC</w:t>
      </w:r>
      <w:r w:rsidR="00272113">
        <w:rPr>
          <w:rFonts w:ascii="Times New Roman" w:hAnsi="Times New Roman" w:cs="Times New Roman"/>
          <w:i/>
          <w:sz w:val="20"/>
          <w:szCs w:val="20"/>
        </w:rPr>
        <w:t xml:space="preserve"> and </w:t>
      </w:r>
      <w:r w:rsidR="00272113" w:rsidRPr="00893E6D">
        <w:rPr>
          <w:rFonts w:ascii="Times New Roman" w:hAnsi="Times New Roman" w:cs="Times New Roman"/>
          <w:i/>
          <w:sz w:val="20"/>
          <w:szCs w:val="20"/>
        </w:rPr>
        <w:t>OPERINC_PREDICTED</w:t>
      </w:r>
      <w:r w:rsidR="00540E84">
        <w:rPr>
          <w:rFonts w:ascii="Times New Roman" w:hAnsi="Times New Roman" w:cs="Times New Roman"/>
          <w:i/>
          <w:sz w:val="20"/>
          <w:szCs w:val="20"/>
        </w:rPr>
        <w:t xml:space="preserve">, </w:t>
      </w:r>
      <w:r w:rsidR="00540E84" w:rsidRPr="00C826A7">
        <w:rPr>
          <w:rFonts w:ascii="Times New Roman" w:hAnsi="Times New Roman" w:cs="Times New Roman"/>
          <w:sz w:val="20"/>
          <w:szCs w:val="20"/>
        </w:rPr>
        <w:t>respectively</w:t>
      </w:r>
      <w:r w:rsidR="00714B86" w:rsidRPr="00893E6D">
        <w:rPr>
          <w:rFonts w:ascii="Times New Roman" w:hAnsi="Times New Roman" w:cs="Times New Roman"/>
          <w:sz w:val="20"/>
          <w:szCs w:val="20"/>
        </w:rPr>
        <w:t xml:space="preserve">. For brevity, only coefficients on </w:t>
      </w:r>
      <w:r w:rsidR="00714B86" w:rsidRPr="00893E6D">
        <w:rPr>
          <w:rFonts w:ascii="Times New Roman" w:hAnsi="Times New Roman" w:cs="Times New Roman"/>
          <w:i/>
          <w:sz w:val="20"/>
          <w:szCs w:val="20"/>
        </w:rPr>
        <w:t>NONOPERINC</w:t>
      </w:r>
      <w:r w:rsidR="00540E84">
        <w:rPr>
          <w:rFonts w:ascii="Times New Roman" w:hAnsi="Times New Roman" w:cs="Times New Roman"/>
          <w:i/>
          <w:sz w:val="20"/>
          <w:szCs w:val="20"/>
        </w:rPr>
        <w:t>,</w:t>
      </w:r>
      <w:r w:rsidR="00714B86" w:rsidRPr="00893E6D">
        <w:rPr>
          <w:rFonts w:ascii="Times New Roman" w:hAnsi="Times New Roman" w:cs="Times New Roman"/>
          <w:sz w:val="20"/>
          <w:szCs w:val="20"/>
        </w:rPr>
        <w:t xml:space="preserve"> </w:t>
      </w:r>
      <w:r w:rsidR="00540E84" w:rsidRPr="00893E6D">
        <w:rPr>
          <w:rFonts w:ascii="Times New Roman" w:hAnsi="Times New Roman" w:cs="Times New Roman"/>
          <w:i/>
          <w:sz w:val="20"/>
          <w:szCs w:val="20"/>
        </w:rPr>
        <w:t>OPERINC_PREDICTED</w:t>
      </w:r>
      <w:r w:rsidR="00540E84">
        <w:rPr>
          <w:rFonts w:ascii="Times New Roman" w:hAnsi="Times New Roman" w:cs="Times New Roman"/>
          <w:i/>
          <w:sz w:val="20"/>
          <w:szCs w:val="20"/>
        </w:rPr>
        <w:t>,</w:t>
      </w:r>
      <w:r w:rsidR="00540E84" w:rsidRPr="00893E6D">
        <w:rPr>
          <w:rFonts w:ascii="Times New Roman" w:hAnsi="Times New Roman" w:cs="Times New Roman"/>
          <w:i/>
          <w:sz w:val="20"/>
          <w:szCs w:val="20"/>
        </w:rPr>
        <w:t xml:space="preserve"> </w:t>
      </w:r>
      <w:r w:rsidR="00540E84" w:rsidRPr="00893E6D">
        <w:rPr>
          <w:rFonts w:ascii="Times New Roman" w:hAnsi="Times New Roman" w:cs="Times New Roman"/>
          <w:sz w:val="20"/>
          <w:szCs w:val="20"/>
        </w:rPr>
        <w:t>and</w:t>
      </w:r>
      <w:r w:rsidR="00540E84" w:rsidRPr="00893E6D">
        <w:rPr>
          <w:rFonts w:ascii="Times New Roman" w:hAnsi="Times New Roman" w:cs="Times New Roman"/>
          <w:i/>
          <w:sz w:val="20"/>
          <w:szCs w:val="20"/>
        </w:rPr>
        <w:t xml:space="preserve"> OPERINC_UNEXPECTED </w:t>
      </w:r>
      <w:r w:rsidR="00714B86" w:rsidRPr="00893E6D">
        <w:rPr>
          <w:rFonts w:ascii="Times New Roman" w:hAnsi="Times New Roman" w:cs="Times New Roman"/>
          <w:sz w:val="20"/>
          <w:szCs w:val="20"/>
        </w:rPr>
        <w:t>are reported</w:t>
      </w:r>
      <w:r w:rsidR="00574E4D">
        <w:rPr>
          <w:rFonts w:ascii="Times New Roman" w:hAnsi="Times New Roman" w:cs="Times New Roman"/>
          <w:sz w:val="20"/>
          <w:szCs w:val="20"/>
        </w:rPr>
        <w:t>.</w:t>
      </w:r>
      <w:r w:rsidR="00714B86" w:rsidRPr="00893E6D">
        <w:rPr>
          <w:rFonts w:ascii="Times New Roman" w:hAnsi="Times New Roman" w:cs="Times New Roman"/>
          <w:sz w:val="20"/>
          <w:szCs w:val="20"/>
        </w:rPr>
        <w:t xml:space="preserve"> *, ** and *** indicate the significance levels of 10%, 5% and 1%, respectively.</w:t>
      </w:r>
      <w:r w:rsidR="00714B86" w:rsidRPr="00893E6D">
        <w:rPr>
          <w:rFonts w:ascii="Times New Roman" w:eastAsia="Times New Roman" w:hAnsi="Times New Roman" w:cs="Times New Roman"/>
          <w:sz w:val="20"/>
          <w:szCs w:val="20"/>
        </w:rPr>
        <w:t xml:space="preserve"> </w:t>
      </w:r>
    </w:p>
    <w:p w14:paraId="31E80A63" w14:textId="729A418E" w:rsidR="009B6F98" w:rsidRPr="00D23517" w:rsidRDefault="009B6F98" w:rsidP="00D23517">
      <w:pPr>
        <w:spacing w:after="0"/>
        <w:jc w:val="both"/>
        <w:rPr>
          <w:rFonts w:ascii="Times New Roman" w:hAnsi="Times New Roman" w:cs="Times New Roman"/>
          <w:sz w:val="24"/>
          <w:szCs w:val="24"/>
        </w:rPr>
      </w:pPr>
      <w:r w:rsidRPr="00D23517">
        <w:rPr>
          <w:rFonts w:ascii="Times New Roman" w:eastAsia="Times New Roman" w:hAnsi="Times New Roman" w:cs="Times New Roman"/>
          <w:b/>
          <w:bCs/>
          <w:sz w:val="24"/>
          <w:szCs w:val="24"/>
        </w:rPr>
        <w:lastRenderedPageBreak/>
        <w:t>Table 10:</w:t>
      </w:r>
      <w:r w:rsidRPr="00D23517">
        <w:rPr>
          <w:rFonts w:ascii="Times New Roman" w:hAnsi="Times New Roman" w:cs="Times New Roman"/>
          <w:sz w:val="24"/>
          <w:szCs w:val="24"/>
        </w:rPr>
        <w:t xml:space="preserve"> </w:t>
      </w:r>
      <w:r w:rsidRPr="00D23517">
        <w:rPr>
          <w:rFonts w:ascii="Times New Roman" w:eastAsia="Times New Roman" w:hAnsi="Times New Roman" w:cs="Times New Roman"/>
          <w:b/>
          <w:bCs/>
          <w:sz w:val="24"/>
          <w:szCs w:val="24"/>
        </w:rPr>
        <w:t xml:space="preserve">Regressions of </w:t>
      </w:r>
      <w:r w:rsidR="002A1376" w:rsidRPr="00D23517">
        <w:rPr>
          <w:rFonts w:ascii="Times New Roman" w:eastAsia="Times New Roman" w:hAnsi="Times New Roman" w:cs="Times New Roman"/>
          <w:b/>
          <w:bCs/>
          <w:sz w:val="24"/>
          <w:szCs w:val="24"/>
        </w:rPr>
        <w:t xml:space="preserve">firm risk </w:t>
      </w:r>
      <w:r w:rsidRPr="00D23517">
        <w:rPr>
          <w:rFonts w:ascii="Times New Roman" w:eastAsia="Times New Roman" w:hAnsi="Times New Roman" w:cs="Times New Roman"/>
          <w:b/>
          <w:bCs/>
          <w:sz w:val="24"/>
          <w:szCs w:val="24"/>
        </w:rPr>
        <w:t xml:space="preserve">on </w:t>
      </w:r>
      <w:r w:rsidR="002A1376" w:rsidRPr="00D23517">
        <w:rPr>
          <w:rFonts w:ascii="Times New Roman" w:eastAsia="Times New Roman" w:hAnsi="Times New Roman" w:cs="Times New Roman"/>
          <w:b/>
          <w:bCs/>
          <w:sz w:val="24"/>
          <w:szCs w:val="24"/>
        </w:rPr>
        <w:t>unexpected non</w:t>
      </w:r>
      <w:r w:rsidRPr="00D23517">
        <w:rPr>
          <w:rFonts w:ascii="Times New Roman" w:eastAsia="Times New Roman" w:hAnsi="Times New Roman" w:cs="Times New Roman"/>
          <w:b/>
          <w:bCs/>
          <w:sz w:val="24"/>
          <w:szCs w:val="24"/>
        </w:rPr>
        <w:t>-</w:t>
      </w:r>
      <w:r w:rsidR="002A1376" w:rsidRPr="00D23517">
        <w:rPr>
          <w:rFonts w:ascii="Times New Roman" w:eastAsia="Times New Roman" w:hAnsi="Times New Roman" w:cs="Times New Roman"/>
          <w:b/>
          <w:bCs/>
          <w:sz w:val="24"/>
          <w:szCs w:val="24"/>
        </w:rPr>
        <w:t xml:space="preserve">operating income </w:t>
      </w:r>
      <w:r w:rsidRPr="00D23517">
        <w:rPr>
          <w:rFonts w:ascii="Times New Roman" w:eastAsia="Times New Roman" w:hAnsi="Times New Roman" w:cs="Times New Roman"/>
          <w:b/>
          <w:bCs/>
          <w:sz w:val="24"/>
          <w:szCs w:val="24"/>
        </w:rPr>
        <w:t xml:space="preserve">and </w:t>
      </w:r>
      <w:r w:rsidR="002A1376" w:rsidRPr="00D23517">
        <w:rPr>
          <w:rFonts w:ascii="Times New Roman" w:eastAsia="Times New Roman" w:hAnsi="Times New Roman" w:cs="Times New Roman"/>
          <w:b/>
          <w:bCs/>
          <w:sz w:val="24"/>
          <w:szCs w:val="24"/>
        </w:rPr>
        <w:t>unexpected operating income</w:t>
      </w:r>
    </w:p>
    <w:tbl>
      <w:tblPr>
        <w:tblW w:w="12960" w:type="dxa"/>
        <w:tblLayout w:type="fixed"/>
        <w:tblLook w:val="04A0" w:firstRow="1" w:lastRow="0" w:firstColumn="1" w:lastColumn="0" w:noHBand="0" w:noVBand="1"/>
      </w:tblPr>
      <w:tblGrid>
        <w:gridCol w:w="3150"/>
        <w:gridCol w:w="2452"/>
        <w:gridCol w:w="2453"/>
        <w:gridCol w:w="2452"/>
        <w:gridCol w:w="2453"/>
      </w:tblGrid>
      <w:tr w:rsidR="009B6F98" w:rsidRPr="00893E6D" w14:paraId="392E515F" w14:textId="77777777" w:rsidTr="00317E24">
        <w:trPr>
          <w:trHeight w:val="260"/>
        </w:trPr>
        <w:tc>
          <w:tcPr>
            <w:tcW w:w="3150" w:type="dxa"/>
            <w:tcBorders>
              <w:top w:val="single" w:sz="4" w:space="0" w:color="auto"/>
              <w:left w:val="nil"/>
              <w:bottom w:val="single" w:sz="4" w:space="0" w:color="auto"/>
              <w:right w:val="nil"/>
            </w:tcBorders>
            <w:shd w:val="clear" w:color="auto" w:fill="auto"/>
            <w:noWrap/>
            <w:vAlign w:val="bottom"/>
            <w:hideMark/>
          </w:tcPr>
          <w:p w14:paraId="2DE33B07" w14:textId="77777777" w:rsidR="009B6F98" w:rsidRPr="00893E6D" w:rsidRDefault="009B6F98" w:rsidP="00317E24">
            <w:pPr>
              <w:spacing w:after="0" w:line="240" w:lineRule="auto"/>
              <w:rPr>
                <w:rFonts w:ascii="Times New Roman" w:eastAsia="Times New Roman" w:hAnsi="Times New Roman" w:cs="Times New Roman"/>
                <w:b/>
                <w:bCs/>
                <w:i/>
              </w:rPr>
            </w:pPr>
            <w:r w:rsidRPr="00893E6D">
              <w:rPr>
                <w:rFonts w:ascii="Times New Roman" w:eastAsia="Times New Roman" w:hAnsi="Times New Roman" w:cs="Times New Roman"/>
                <w:b/>
                <w:bCs/>
                <w:i/>
              </w:rPr>
              <w:t>VARIABLES</w:t>
            </w:r>
          </w:p>
        </w:tc>
        <w:tc>
          <w:tcPr>
            <w:tcW w:w="2452" w:type="dxa"/>
            <w:tcBorders>
              <w:top w:val="single" w:sz="4" w:space="0" w:color="auto"/>
              <w:left w:val="nil"/>
              <w:bottom w:val="single" w:sz="4" w:space="0" w:color="auto"/>
              <w:right w:val="nil"/>
            </w:tcBorders>
            <w:shd w:val="clear" w:color="auto" w:fill="auto"/>
            <w:noWrap/>
            <w:vAlign w:val="bottom"/>
            <w:hideMark/>
          </w:tcPr>
          <w:p w14:paraId="015C44D4" w14:textId="77777777" w:rsidR="009B6F98" w:rsidRPr="00893E6D" w:rsidRDefault="009B6F98" w:rsidP="00317E24">
            <w:pPr>
              <w:spacing w:after="0" w:line="240" w:lineRule="auto"/>
              <w:rPr>
                <w:rFonts w:ascii="Times New Roman" w:eastAsia="Times New Roman" w:hAnsi="Times New Roman" w:cs="Times New Roman"/>
                <w:b/>
                <w:bCs/>
                <w:i/>
              </w:rPr>
            </w:pPr>
            <w:r w:rsidRPr="00893E6D">
              <w:rPr>
                <w:rFonts w:ascii="Times New Roman" w:eastAsia="Times New Roman" w:hAnsi="Times New Roman" w:cs="Times New Roman"/>
                <w:b/>
                <w:bCs/>
                <w:i/>
              </w:rPr>
              <w:t>ROAVOL</w:t>
            </w:r>
          </w:p>
        </w:tc>
        <w:tc>
          <w:tcPr>
            <w:tcW w:w="2453" w:type="dxa"/>
            <w:tcBorders>
              <w:top w:val="single" w:sz="4" w:space="0" w:color="auto"/>
              <w:left w:val="nil"/>
              <w:bottom w:val="single" w:sz="4" w:space="0" w:color="auto"/>
              <w:right w:val="nil"/>
            </w:tcBorders>
            <w:shd w:val="clear" w:color="auto" w:fill="auto"/>
            <w:noWrap/>
            <w:vAlign w:val="bottom"/>
            <w:hideMark/>
          </w:tcPr>
          <w:p w14:paraId="4BC91EDB" w14:textId="77777777" w:rsidR="009B6F98" w:rsidRPr="00893E6D" w:rsidRDefault="009B6F98" w:rsidP="00317E24">
            <w:pPr>
              <w:spacing w:after="0" w:line="240" w:lineRule="auto"/>
              <w:rPr>
                <w:rFonts w:ascii="Times New Roman" w:eastAsia="Times New Roman" w:hAnsi="Times New Roman" w:cs="Times New Roman"/>
                <w:b/>
                <w:bCs/>
                <w:i/>
              </w:rPr>
            </w:pPr>
            <w:r w:rsidRPr="00893E6D">
              <w:rPr>
                <w:rFonts w:ascii="Times New Roman" w:eastAsia="Times New Roman" w:hAnsi="Times New Roman" w:cs="Times New Roman"/>
                <w:b/>
                <w:bCs/>
                <w:i/>
              </w:rPr>
              <w:t>TOTRISK</w:t>
            </w:r>
          </w:p>
        </w:tc>
        <w:tc>
          <w:tcPr>
            <w:tcW w:w="2452" w:type="dxa"/>
            <w:tcBorders>
              <w:top w:val="single" w:sz="4" w:space="0" w:color="auto"/>
              <w:left w:val="nil"/>
              <w:bottom w:val="single" w:sz="4" w:space="0" w:color="auto"/>
              <w:right w:val="nil"/>
            </w:tcBorders>
            <w:shd w:val="clear" w:color="auto" w:fill="auto"/>
            <w:noWrap/>
            <w:vAlign w:val="bottom"/>
            <w:hideMark/>
          </w:tcPr>
          <w:p w14:paraId="7DB186FB" w14:textId="77777777" w:rsidR="009B6F98" w:rsidRPr="00893E6D" w:rsidRDefault="009B6F98" w:rsidP="00317E24">
            <w:pPr>
              <w:spacing w:after="0" w:line="240" w:lineRule="auto"/>
              <w:rPr>
                <w:rFonts w:ascii="Times New Roman" w:eastAsia="Times New Roman" w:hAnsi="Times New Roman" w:cs="Times New Roman"/>
                <w:b/>
                <w:bCs/>
                <w:i/>
              </w:rPr>
            </w:pPr>
            <w:r w:rsidRPr="00893E6D">
              <w:rPr>
                <w:rFonts w:ascii="Times New Roman" w:eastAsia="Times New Roman" w:hAnsi="Times New Roman" w:cs="Times New Roman"/>
                <w:b/>
                <w:bCs/>
                <w:i/>
              </w:rPr>
              <w:t>IDIORISK</w:t>
            </w:r>
          </w:p>
        </w:tc>
        <w:tc>
          <w:tcPr>
            <w:tcW w:w="2453" w:type="dxa"/>
            <w:tcBorders>
              <w:top w:val="single" w:sz="4" w:space="0" w:color="auto"/>
              <w:left w:val="nil"/>
              <w:bottom w:val="single" w:sz="4" w:space="0" w:color="auto"/>
              <w:right w:val="nil"/>
            </w:tcBorders>
            <w:shd w:val="clear" w:color="auto" w:fill="auto"/>
            <w:noWrap/>
            <w:vAlign w:val="bottom"/>
            <w:hideMark/>
          </w:tcPr>
          <w:p w14:paraId="1E94452B" w14:textId="77777777" w:rsidR="009B6F98" w:rsidRPr="00893E6D" w:rsidRDefault="009B6F98" w:rsidP="00317E24">
            <w:pPr>
              <w:spacing w:after="0" w:line="240" w:lineRule="auto"/>
              <w:rPr>
                <w:rFonts w:ascii="Times New Roman" w:eastAsia="Times New Roman" w:hAnsi="Times New Roman" w:cs="Times New Roman"/>
                <w:b/>
                <w:bCs/>
                <w:i/>
              </w:rPr>
            </w:pPr>
            <w:r w:rsidRPr="00893E6D">
              <w:rPr>
                <w:rFonts w:ascii="Times New Roman" w:eastAsia="Times New Roman" w:hAnsi="Times New Roman" w:cs="Times New Roman"/>
                <w:b/>
                <w:bCs/>
                <w:i/>
              </w:rPr>
              <w:t>NCSKEW</w:t>
            </w:r>
          </w:p>
        </w:tc>
      </w:tr>
      <w:tr w:rsidR="009B6F98" w:rsidRPr="00893E6D" w14:paraId="55C8E473" w14:textId="77777777" w:rsidTr="00317E24">
        <w:trPr>
          <w:trHeight w:val="260"/>
        </w:trPr>
        <w:tc>
          <w:tcPr>
            <w:tcW w:w="3150" w:type="dxa"/>
            <w:tcBorders>
              <w:top w:val="nil"/>
              <w:left w:val="nil"/>
              <w:bottom w:val="nil"/>
              <w:right w:val="nil"/>
            </w:tcBorders>
            <w:shd w:val="clear" w:color="auto" w:fill="auto"/>
            <w:noWrap/>
            <w:vAlign w:val="bottom"/>
            <w:hideMark/>
          </w:tcPr>
          <w:p w14:paraId="40F47FAE" w14:textId="77777777" w:rsidR="009B6F98" w:rsidRPr="00893E6D" w:rsidRDefault="009B6F98" w:rsidP="00317E24">
            <w:pPr>
              <w:spacing w:after="0" w:line="240" w:lineRule="auto"/>
              <w:rPr>
                <w:rFonts w:ascii="Times New Roman" w:eastAsia="Times New Roman" w:hAnsi="Times New Roman" w:cs="Times New Roman"/>
                <w:i/>
              </w:rPr>
            </w:pPr>
            <w:r w:rsidRPr="00893E6D">
              <w:rPr>
                <w:rFonts w:ascii="Times New Roman" w:eastAsia="Times New Roman" w:hAnsi="Times New Roman" w:cs="Times New Roman"/>
                <w:i/>
              </w:rPr>
              <w:t>NONOPERINC_PREDICTED</w:t>
            </w:r>
          </w:p>
        </w:tc>
        <w:tc>
          <w:tcPr>
            <w:tcW w:w="2452" w:type="dxa"/>
            <w:tcBorders>
              <w:top w:val="nil"/>
              <w:left w:val="nil"/>
              <w:bottom w:val="nil"/>
              <w:right w:val="nil"/>
            </w:tcBorders>
            <w:shd w:val="clear" w:color="auto" w:fill="auto"/>
            <w:noWrap/>
            <w:vAlign w:val="bottom"/>
            <w:hideMark/>
          </w:tcPr>
          <w:p w14:paraId="7ED30BB3"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-0.023</w:t>
            </w:r>
          </w:p>
        </w:tc>
        <w:tc>
          <w:tcPr>
            <w:tcW w:w="2453" w:type="dxa"/>
            <w:tcBorders>
              <w:top w:val="nil"/>
              <w:left w:val="nil"/>
              <w:bottom w:val="nil"/>
              <w:right w:val="nil"/>
            </w:tcBorders>
            <w:shd w:val="clear" w:color="auto" w:fill="auto"/>
            <w:noWrap/>
            <w:vAlign w:val="bottom"/>
            <w:hideMark/>
          </w:tcPr>
          <w:p w14:paraId="0174DBE6"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-0.010</w:t>
            </w:r>
          </w:p>
        </w:tc>
        <w:tc>
          <w:tcPr>
            <w:tcW w:w="2452" w:type="dxa"/>
            <w:tcBorders>
              <w:top w:val="nil"/>
              <w:left w:val="nil"/>
              <w:bottom w:val="nil"/>
              <w:right w:val="nil"/>
            </w:tcBorders>
            <w:shd w:val="clear" w:color="auto" w:fill="auto"/>
            <w:noWrap/>
            <w:vAlign w:val="bottom"/>
            <w:hideMark/>
          </w:tcPr>
          <w:p w14:paraId="7B24C26B"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-0.009</w:t>
            </w:r>
          </w:p>
        </w:tc>
        <w:tc>
          <w:tcPr>
            <w:tcW w:w="2453" w:type="dxa"/>
            <w:tcBorders>
              <w:top w:val="nil"/>
              <w:left w:val="nil"/>
              <w:bottom w:val="nil"/>
              <w:right w:val="nil"/>
            </w:tcBorders>
            <w:shd w:val="clear" w:color="auto" w:fill="auto"/>
            <w:noWrap/>
            <w:vAlign w:val="bottom"/>
            <w:hideMark/>
          </w:tcPr>
          <w:p w14:paraId="4C438818"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0.000</w:t>
            </w:r>
          </w:p>
        </w:tc>
      </w:tr>
      <w:tr w:rsidR="009B6F98" w:rsidRPr="00893E6D" w14:paraId="35058478" w14:textId="77777777" w:rsidTr="00317E24">
        <w:trPr>
          <w:trHeight w:val="260"/>
        </w:trPr>
        <w:tc>
          <w:tcPr>
            <w:tcW w:w="3150" w:type="dxa"/>
            <w:tcBorders>
              <w:top w:val="nil"/>
              <w:left w:val="nil"/>
              <w:bottom w:val="nil"/>
              <w:right w:val="nil"/>
            </w:tcBorders>
            <w:shd w:val="clear" w:color="auto" w:fill="auto"/>
            <w:noWrap/>
            <w:vAlign w:val="bottom"/>
            <w:hideMark/>
          </w:tcPr>
          <w:p w14:paraId="16F0E08E" w14:textId="77777777" w:rsidR="009B6F98" w:rsidRPr="00893E6D" w:rsidRDefault="009B6F98" w:rsidP="00317E24">
            <w:pPr>
              <w:spacing w:after="0" w:line="240" w:lineRule="auto"/>
              <w:rPr>
                <w:rFonts w:ascii="Times New Roman" w:eastAsia="Times New Roman" w:hAnsi="Times New Roman" w:cs="Times New Roman"/>
                <w:i/>
              </w:rPr>
            </w:pPr>
          </w:p>
        </w:tc>
        <w:tc>
          <w:tcPr>
            <w:tcW w:w="2452" w:type="dxa"/>
            <w:tcBorders>
              <w:top w:val="nil"/>
              <w:left w:val="nil"/>
              <w:bottom w:val="nil"/>
              <w:right w:val="nil"/>
            </w:tcBorders>
            <w:shd w:val="clear" w:color="auto" w:fill="auto"/>
            <w:noWrap/>
            <w:vAlign w:val="bottom"/>
            <w:hideMark/>
          </w:tcPr>
          <w:p w14:paraId="31E353B8"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(-4.537***)</w:t>
            </w:r>
          </w:p>
        </w:tc>
        <w:tc>
          <w:tcPr>
            <w:tcW w:w="2453" w:type="dxa"/>
            <w:tcBorders>
              <w:top w:val="nil"/>
              <w:left w:val="nil"/>
              <w:bottom w:val="nil"/>
              <w:right w:val="nil"/>
            </w:tcBorders>
            <w:shd w:val="clear" w:color="auto" w:fill="auto"/>
            <w:noWrap/>
            <w:vAlign w:val="bottom"/>
            <w:hideMark/>
          </w:tcPr>
          <w:p w14:paraId="790F9328"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(-2.609***)</w:t>
            </w:r>
          </w:p>
        </w:tc>
        <w:tc>
          <w:tcPr>
            <w:tcW w:w="2452" w:type="dxa"/>
            <w:tcBorders>
              <w:top w:val="nil"/>
              <w:left w:val="nil"/>
              <w:bottom w:val="nil"/>
              <w:right w:val="nil"/>
            </w:tcBorders>
            <w:shd w:val="clear" w:color="auto" w:fill="auto"/>
            <w:noWrap/>
            <w:vAlign w:val="bottom"/>
            <w:hideMark/>
          </w:tcPr>
          <w:p w14:paraId="658D5326"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(-2.250**)</w:t>
            </w:r>
          </w:p>
        </w:tc>
        <w:tc>
          <w:tcPr>
            <w:tcW w:w="2453" w:type="dxa"/>
            <w:tcBorders>
              <w:top w:val="nil"/>
              <w:left w:val="nil"/>
              <w:bottom w:val="nil"/>
              <w:right w:val="nil"/>
            </w:tcBorders>
            <w:shd w:val="clear" w:color="auto" w:fill="auto"/>
            <w:noWrap/>
            <w:vAlign w:val="bottom"/>
            <w:hideMark/>
          </w:tcPr>
          <w:p w14:paraId="79BBCF1D" w14:textId="22D1DC66"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(0.076)</w:t>
            </w:r>
          </w:p>
        </w:tc>
      </w:tr>
      <w:tr w:rsidR="009B6F98" w:rsidRPr="00893E6D" w14:paraId="7E07F488" w14:textId="77777777" w:rsidTr="00317E24">
        <w:trPr>
          <w:trHeight w:val="260"/>
        </w:trPr>
        <w:tc>
          <w:tcPr>
            <w:tcW w:w="3150" w:type="dxa"/>
            <w:tcBorders>
              <w:top w:val="nil"/>
              <w:left w:val="nil"/>
              <w:bottom w:val="nil"/>
              <w:right w:val="nil"/>
            </w:tcBorders>
            <w:shd w:val="clear" w:color="auto" w:fill="auto"/>
            <w:noWrap/>
            <w:vAlign w:val="bottom"/>
            <w:hideMark/>
          </w:tcPr>
          <w:p w14:paraId="2FB7D007" w14:textId="77777777" w:rsidR="009B6F98" w:rsidRPr="00893E6D" w:rsidRDefault="009B6F98" w:rsidP="00317E24">
            <w:pPr>
              <w:spacing w:after="0" w:line="240" w:lineRule="auto"/>
              <w:rPr>
                <w:rFonts w:ascii="Times New Roman" w:eastAsia="Times New Roman" w:hAnsi="Times New Roman" w:cs="Times New Roman"/>
                <w:i/>
              </w:rPr>
            </w:pPr>
            <w:r w:rsidRPr="00893E6D">
              <w:rPr>
                <w:rFonts w:ascii="Times New Roman" w:eastAsia="Times New Roman" w:hAnsi="Times New Roman" w:cs="Times New Roman"/>
                <w:i/>
              </w:rPr>
              <w:t>NONOPERINC_UNEXPECTED</w:t>
            </w:r>
          </w:p>
        </w:tc>
        <w:tc>
          <w:tcPr>
            <w:tcW w:w="2452" w:type="dxa"/>
            <w:tcBorders>
              <w:top w:val="nil"/>
              <w:left w:val="nil"/>
              <w:bottom w:val="nil"/>
              <w:right w:val="nil"/>
            </w:tcBorders>
            <w:shd w:val="clear" w:color="auto" w:fill="auto"/>
            <w:noWrap/>
            <w:vAlign w:val="bottom"/>
            <w:hideMark/>
          </w:tcPr>
          <w:p w14:paraId="39B46D9E"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0.006</w:t>
            </w:r>
          </w:p>
        </w:tc>
        <w:tc>
          <w:tcPr>
            <w:tcW w:w="2453" w:type="dxa"/>
            <w:tcBorders>
              <w:top w:val="nil"/>
              <w:left w:val="nil"/>
              <w:bottom w:val="nil"/>
              <w:right w:val="nil"/>
            </w:tcBorders>
            <w:shd w:val="clear" w:color="auto" w:fill="auto"/>
            <w:noWrap/>
            <w:vAlign w:val="bottom"/>
            <w:hideMark/>
          </w:tcPr>
          <w:p w14:paraId="59DE0E67"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-0.010</w:t>
            </w:r>
          </w:p>
        </w:tc>
        <w:tc>
          <w:tcPr>
            <w:tcW w:w="2452" w:type="dxa"/>
            <w:tcBorders>
              <w:top w:val="nil"/>
              <w:left w:val="nil"/>
              <w:bottom w:val="nil"/>
              <w:right w:val="nil"/>
            </w:tcBorders>
            <w:shd w:val="clear" w:color="auto" w:fill="auto"/>
            <w:noWrap/>
            <w:vAlign w:val="bottom"/>
            <w:hideMark/>
          </w:tcPr>
          <w:p w14:paraId="36DB749D"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-0.009</w:t>
            </w:r>
          </w:p>
        </w:tc>
        <w:tc>
          <w:tcPr>
            <w:tcW w:w="2453" w:type="dxa"/>
            <w:tcBorders>
              <w:top w:val="nil"/>
              <w:left w:val="nil"/>
              <w:bottom w:val="nil"/>
              <w:right w:val="nil"/>
            </w:tcBorders>
            <w:shd w:val="clear" w:color="auto" w:fill="auto"/>
            <w:noWrap/>
            <w:vAlign w:val="bottom"/>
            <w:hideMark/>
          </w:tcPr>
          <w:p w14:paraId="1C1573CB"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-0.023</w:t>
            </w:r>
          </w:p>
        </w:tc>
      </w:tr>
      <w:tr w:rsidR="009B6F98" w:rsidRPr="00893E6D" w14:paraId="486008AF" w14:textId="77777777" w:rsidTr="00317E24">
        <w:trPr>
          <w:trHeight w:val="260"/>
        </w:trPr>
        <w:tc>
          <w:tcPr>
            <w:tcW w:w="3150" w:type="dxa"/>
            <w:tcBorders>
              <w:top w:val="nil"/>
              <w:left w:val="nil"/>
              <w:bottom w:val="nil"/>
              <w:right w:val="nil"/>
            </w:tcBorders>
            <w:shd w:val="clear" w:color="auto" w:fill="auto"/>
            <w:noWrap/>
            <w:vAlign w:val="bottom"/>
            <w:hideMark/>
          </w:tcPr>
          <w:p w14:paraId="123CF1AE" w14:textId="77777777" w:rsidR="009B6F98" w:rsidRPr="00893E6D" w:rsidRDefault="009B6F98" w:rsidP="00317E24">
            <w:pPr>
              <w:spacing w:after="0" w:line="240" w:lineRule="auto"/>
              <w:rPr>
                <w:rFonts w:ascii="Times New Roman" w:eastAsia="Times New Roman" w:hAnsi="Times New Roman" w:cs="Times New Roman"/>
                <w:i/>
              </w:rPr>
            </w:pPr>
          </w:p>
        </w:tc>
        <w:tc>
          <w:tcPr>
            <w:tcW w:w="2452" w:type="dxa"/>
            <w:tcBorders>
              <w:top w:val="nil"/>
              <w:left w:val="nil"/>
              <w:bottom w:val="nil"/>
              <w:right w:val="nil"/>
            </w:tcBorders>
            <w:shd w:val="clear" w:color="auto" w:fill="auto"/>
            <w:noWrap/>
            <w:vAlign w:val="bottom"/>
            <w:hideMark/>
          </w:tcPr>
          <w:p w14:paraId="471065D2" w14:textId="6800F99D"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(1.166)</w:t>
            </w:r>
          </w:p>
        </w:tc>
        <w:tc>
          <w:tcPr>
            <w:tcW w:w="2453" w:type="dxa"/>
            <w:tcBorders>
              <w:top w:val="nil"/>
              <w:left w:val="nil"/>
              <w:bottom w:val="nil"/>
              <w:right w:val="nil"/>
            </w:tcBorders>
            <w:shd w:val="clear" w:color="auto" w:fill="auto"/>
            <w:noWrap/>
            <w:vAlign w:val="bottom"/>
            <w:hideMark/>
          </w:tcPr>
          <w:p w14:paraId="5B1EF950"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(-2.555**)</w:t>
            </w:r>
          </w:p>
        </w:tc>
        <w:tc>
          <w:tcPr>
            <w:tcW w:w="2452" w:type="dxa"/>
            <w:tcBorders>
              <w:top w:val="nil"/>
              <w:left w:val="nil"/>
              <w:bottom w:val="nil"/>
              <w:right w:val="nil"/>
            </w:tcBorders>
            <w:shd w:val="clear" w:color="auto" w:fill="auto"/>
            <w:noWrap/>
            <w:vAlign w:val="bottom"/>
            <w:hideMark/>
          </w:tcPr>
          <w:p w14:paraId="4E4F4B9A"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(-2.062**)</w:t>
            </w:r>
          </w:p>
        </w:tc>
        <w:tc>
          <w:tcPr>
            <w:tcW w:w="2453" w:type="dxa"/>
            <w:tcBorders>
              <w:top w:val="nil"/>
              <w:left w:val="nil"/>
              <w:bottom w:val="nil"/>
              <w:right w:val="nil"/>
            </w:tcBorders>
            <w:shd w:val="clear" w:color="auto" w:fill="auto"/>
            <w:noWrap/>
            <w:vAlign w:val="bottom"/>
            <w:hideMark/>
          </w:tcPr>
          <w:p w14:paraId="53142F1B"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(-3.674***)</w:t>
            </w:r>
          </w:p>
        </w:tc>
      </w:tr>
      <w:tr w:rsidR="009B6F98" w:rsidRPr="00893E6D" w14:paraId="6D5CA54A" w14:textId="77777777" w:rsidTr="00317E24">
        <w:trPr>
          <w:trHeight w:val="260"/>
        </w:trPr>
        <w:tc>
          <w:tcPr>
            <w:tcW w:w="3150" w:type="dxa"/>
            <w:tcBorders>
              <w:top w:val="nil"/>
              <w:left w:val="nil"/>
              <w:bottom w:val="nil"/>
              <w:right w:val="nil"/>
            </w:tcBorders>
            <w:shd w:val="clear" w:color="auto" w:fill="auto"/>
            <w:noWrap/>
            <w:vAlign w:val="bottom"/>
            <w:hideMark/>
          </w:tcPr>
          <w:p w14:paraId="2739EE4D" w14:textId="77777777" w:rsidR="009B6F98" w:rsidRPr="00893E6D" w:rsidRDefault="009B6F98" w:rsidP="00317E24">
            <w:pPr>
              <w:spacing w:after="0" w:line="240" w:lineRule="auto"/>
              <w:rPr>
                <w:rFonts w:ascii="Times New Roman" w:eastAsia="Times New Roman" w:hAnsi="Times New Roman" w:cs="Times New Roman"/>
                <w:i/>
              </w:rPr>
            </w:pPr>
            <w:r w:rsidRPr="00893E6D">
              <w:rPr>
                <w:rFonts w:ascii="Times New Roman" w:eastAsia="Times New Roman" w:hAnsi="Times New Roman" w:cs="Times New Roman"/>
                <w:i/>
              </w:rPr>
              <w:t>OPERINC_PREDICTED</w:t>
            </w:r>
          </w:p>
        </w:tc>
        <w:tc>
          <w:tcPr>
            <w:tcW w:w="2452" w:type="dxa"/>
            <w:tcBorders>
              <w:top w:val="nil"/>
              <w:left w:val="nil"/>
              <w:bottom w:val="nil"/>
              <w:right w:val="nil"/>
            </w:tcBorders>
            <w:shd w:val="clear" w:color="auto" w:fill="auto"/>
            <w:noWrap/>
            <w:vAlign w:val="bottom"/>
            <w:hideMark/>
          </w:tcPr>
          <w:p w14:paraId="7477D9CF"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-0.182</w:t>
            </w:r>
          </w:p>
        </w:tc>
        <w:tc>
          <w:tcPr>
            <w:tcW w:w="2453" w:type="dxa"/>
            <w:tcBorders>
              <w:top w:val="nil"/>
              <w:left w:val="nil"/>
              <w:bottom w:val="nil"/>
              <w:right w:val="nil"/>
            </w:tcBorders>
            <w:shd w:val="clear" w:color="auto" w:fill="auto"/>
            <w:noWrap/>
            <w:vAlign w:val="bottom"/>
            <w:hideMark/>
          </w:tcPr>
          <w:p w14:paraId="34EBD23C"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-0.199</w:t>
            </w:r>
          </w:p>
        </w:tc>
        <w:tc>
          <w:tcPr>
            <w:tcW w:w="2452" w:type="dxa"/>
            <w:tcBorders>
              <w:top w:val="nil"/>
              <w:left w:val="nil"/>
              <w:bottom w:val="nil"/>
              <w:right w:val="nil"/>
            </w:tcBorders>
            <w:shd w:val="clear" w:color="auto" w:fill="auto"/>
            <w:noWrap/>
            <w:vAlign w:val="bottom"/>
            <w:hideMark/>
          </w:tcPr>
          <w:p w14:paraId="55ED2156"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-0.213</w:t>
            </w:r>
          </w:p>
        </w:tc>
        <w:tc>
          <w:tcPr>
            <w:tcW w:w="2453" w:type="dxa"/>
            <w:tcBorders>
              <w:top w:val="nil"/>
              <w:left w:val="nil"/>
              <w:bottom w:val="nil"/>
              <w:right w:val="nil"/>
            </w:tcBorders>
            <w:shd w:val="clear" w:color="auto" w:fill="auto"/>
            <w:noWrap/>
            <w:vAlign w:val="bottom"/>
            <w:hideMark/>
          </w:tcPr>
          <w:p w14:paraId="0524BC68"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-0.080</w:t>
            </w:r>
          </w:p>
        </w:tc>
      </w:tr>
      <w:tr w:rsidR="009B6F98" w:rsidRPr="00893E6D" w14:paraId="19C5DCBF" w14:textId="77777777" w:rsidTr="00317E24">
        <w:trPr>
          <w:trHeight w:val="260"/>
        </w:trPr>
        <w:tc>
          <w:tcPr>
            <w:tcW w:w="3150" w:type="dxa"/>
            <w:tcBorders>
              <w:top w:val="nil"/>
              <w:left w:val="nil"/>
              <w:bottom w:val="nil"/>
              <w:right w:val="nil"/>
            </w:tcBorders>
            <w:shd w:val="clear" w:color="auto" w:fill="auto"/>
            <w:noWrap/>
            <w:vAlign w:val="bottom"/>
            <w:hideMark/>
          </w:tcPr>
          <w:p w14:paraId="163DFAFA" w14:textId="77777777" w:rsidR="009B6F98" w:rsidRPr="00893E6D" w:rsidRDefault="009B6F98" w:rsidP="00317E24">
            <w:pPr>
              <w:spacing w:after="0" w:line="240" w:lineRule="auto"/>
              <w:rPr>
                <w:rFonts w:ascii="Times New Roman" w:eastAsia="Times New Roman" w:hAnsi="Times New Roman" w:cs="Times New Roman"/>
                <w:i/>
              </w:rPr>
            </w:pPr>
          </w:p>
        </w:tc>
        <w:tc>
          <w:tcPr>
            <w:tcW w:w="2452" w:type="dxa"/>
            <w:tcBorders>
              <w:top w:val="nil"/>
              <w:left w:val="nil"/>
              <w:bottom w:val="nil"/>
              <w:right w:val="nil"/>
            </w:tcBorders>
            <w:shd w:val="clear" w:color="auto" w:fill="auto"/>
            <w:noWrap/>
            <w:vAlign w:val="bottom"/>
            <w:hideMark/>
          </w:tcPr>
          <w:p w14:paraId="62D1FC4B"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(-16.140***)</w:t>
            </w:r>
          </w:p>
        </w:tc>
        <w:tc>
          <w:tcPr>
            <w:tcW w:w="2453" w:type="dxa"/>
            <w:tcBorders>
              <w:top w:val="nil"/>
              <w:left w:val="nil"/>
              <w:bottom w:val="nil"/>
              <w:right w:val="nil"/>
            </w:tcBorders>
            <w:shd w:val="clear" w:color="auto" w:fill="auto"/>
            <w:noWrap/>
            <w:vAlign w:val="bottom"/>
            <w:hideMark/>
          </w:tcPr>
          <w:p w14:paraId="2CC8C148"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(-29.715***)</w:t>
            </w:r>
          </w:p>
        </w:tc>
        <w:tc>
          <w:tcPr>
            <w:tcW w:w="2452" w:type="dxa"/>
            <w:tcBorders>
              <w:top w:val="nil"/>
              <w:left w:val="nil"/>
              <w:bottom w:val="nil"/>
              <w:right w:val="nil"/>
            </w:tcBorders>
            <w:shd w:val="clear" w:color="auto" w:fill="auto"/>
            <w:noWrap/>
            <w:vAlign w:val="bottom"/>
            <w:hideMark/>
          </w:tcPr>
          <w:p w14:paraId="2CABC08C"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(-31.160***)</w:t>
            </w:r>
          </w:p>
        </w:tc>
        <w:tc>
          <w:tcPr>
            <w:tcW w:w="2453" w:type="dxa"/>
            <w:tcBorders>
              <w:top w:val="nil"/>
              <w:left w:val="nil"/>
              <w:bottom w:val="nil"/>
              <w:right w:val="nil"/>
            </w:tcBorders>
            <w:shd w:val="clear" w:color="auto" w:fill="auto"/>
            <w:noWrap/>
            <w:vAlign w:val="bottom"/>
            <w:hideMark/>
          </w:tcPr>
          <w:p w14:paraId="54068915"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(-9.846***)</w:t>
            </w:r>
          </w:p>
        </w:tc>
      </w:tr>
      <w:tr w:rsidR="009B6F98" w:rsidRPr="00893E6D" w14:paraId="585FEA02" w14:textId="77777777" w:rsidTr="00317E24">
        <w:trPr>
          <w:trHeight w:val="260"/>
        </w:trPr>
        <w:tc>
          <w:tcPr>
            <w:tcW w:w="3150" w:type="dxa"/>
            <w:tcBorders>
              <w:top w:val="nil"/>
              <w:left w:val="nil"/>
              <w:bottom w:val="nil"/>
              <w:right w:val="nil"/>
            </w:tcBorders>
            <w:shd w:val="clear" w:color="auto" w:fill="auto"/>
            <w:noWrap/>
            <w:vAlign w:val="bottom"/>
            <w:hideMark/>
          </w:tcPr>
          <w:p w14:paraId="56B2575D" w14:textId="77777777" w:rsidR="009B6F98" w:rsidRPr="00893E6D" w:rsidRDefault="009B6F98" w:rsidP="00317E24">
            <w:pPr>
              <w:spacing w:after="0" w:line="240" w:lineRule="auto"/>
              <w:rPr>
                <w:rFonts w:ascii="Times New Roman" w:eastAsia="Times New Roman" w:hAnsi="Times New Roman" w:cs="Times New Roman"/>
                <w:i/>
              </w:rPr>
            </w:pPr>
            <w:r w:rsidRPr="00893E6D">
              <w:rPr>
                <w:rFonts w:ascii="Times New Roman" w:eastAsia="Times New Roman" w:hAnsi="Times New Roman" w:cs="Times New Roman"/>
                <w:i/>
              </w:rPr>
              <w:t>OPERINC_UNEXPECTED</w:t>
            </w:r>
          </w:p>
        </w:tc>
        <w:tc>
          <w:tcPr>
            <w:tcW w:w="2452" w:type="dxa"/>
            <w:tcBorders>
              <w:top w:val="nil"/>
              <w:left w:val="nil"/>
              <w:bottom w:val="nil"/>
              <w:right w:val="nil"/>
            </w:tcBorders>
            <w:shd w:val="clear" w:color="auto" w:fill="auto"/>
            <w:noWrap/>
            <w:vAlign w:val="bottom"/>
            <w:hideMark/>
          </w:tcPr>
          <w:p w14:paraId="12CE6BAC"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-0.039</w:t>
            </w:r>
          </w:p>
        </w:tc>
        <w:tc>
          <w:tcPr>
            <w:tcW w:w="2453" w:type="dxa"/>
            <w:tcBorders>
              <w:top w:val="nil"/>
              <w:left w:val="nil"/>
              <w:bottom w:val="nil"/>
              <w:right w:val="nil"/>
            </w:tcBorders>
            <w:shd w:val="clear" w:color="auto" w:fill="auto"/>
            <w:noWrap/>
            <w:vAlign w:val="bottom"/>
            <w:hideMark/>
          </w:tcPr>
          <w:p w14:paraId="140553A5"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-0.043</w:t>
            </w:r>
          </w:p>
        </w:tc>
        <w:tc>
          <w:tcPr>
            <w:tcW w:w="2452" w:type="dxa"/>
            <w:tcBorders>
              <w:top w:val="nil"/>
              <w:left w:val="nil"/>
              <w:bottom w:val="nil"/>
              <w:right w:val="nil"/>
            </w:tcBorders>
            <w:shd w:val="clear" w:color="auto" w:fill="auto"/>
            <w:noWrap/>
            <w:vAlign w:val="bottom"/>
            <w:hideMark/>
          </w:tcPr>
          <w:p w14:paraId="2B669039"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-0.045</w:t>
            </w:r>
          </w:p>
        </w:tc>
        <w:tc>
          <w:tcPr>
            <w:tcW w:w="2453" w:type="dxa"/>
            <w:tcBorders>
              <w:top w:val="nil"/>
              <w:left w:val="nil"/>
              <w:bottom w:val="nil"/>
              <w:right w:val="nil"/>
            </w:tcBorders>
            <w:shd w:val="clear" w:color="auto" w:fill="auto"/>
            <w:noWrap/>
            <w:vAlign w:val="bottom"/>
            <w:hideMark/>
          </w:tcPr>
          <w:p w14:paraId="18B7A5CA"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-0.034</w:t>
            </w:r>
          </w:p>
        </w:tc>
      </w:tr>
      <w:tr w:rsidR="009B6F98" w:rsidRPr="00893E6D" w14:paraId="03F56F3F" w14:textId="77777777" w:rsidTr="00317E24">
        <w:trPr>
          <w:trHeight w:val="260"/>
        </w:trPr>
        <w:tc>
          <w:tcPr>
            <w:tcW w:w="3150" w:type="dxa"/>
            <w:tcBorders>
              <w:top w:val="nil"/>
              <w:left w:val="nil"/>
              <w:bottom w:val="nil"/>
              <w:right w:val="nil"/>
            </w:tcBorders>
            <w:shd w:val="clear" w:color="auto" w:fill="auto"/>
            <w:noWrap/>
            <w:vAlign w:val="bottom"/>
            <w:hideMark/>
          </w:tcPr>
          <w:p w14:paraId="72A12E55" w14:textId="77777777" w:rsidR="009B6F98" w:rsidRPr="00893E6D" w:rsidRDefault="009B6F98" w:rsidP="00317E24">
            <w:pPr>
              <w:spacing w:after="0" w:line="240" w:lineRule="auto"/>
              <w:rPr>
                <w:rFonts w:ascii="Times New Roman" w:eastAsia="Times New Roman" w:hAnsi="Times New Roman" w:cs="Times New Roman"/>
              </w:rPr>
            </w:pPr>
          </w:p>
        </w:tc>
        <w:tc>
          <w:tcPr>
            <w:tcW w:w="2452" w:type="dxa"/>
            <w:tcBorders>
              <w:top w:val="nil"/>
              <w:left w:val="nil"/>
              <w:bottom w:val="nil"/>
              <w:right w:val="nil"/>
            </w:tcBorders>
            <w:shd w:val="clear" w:color="auto" w:fill="auto"/>
            <w:noWrap/>
            <w:vAlign w:val="bottom"/>
            <w:hideMark/>
          </w:tcPr>
          <w:p w14:paraId="2C7B6A64"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(-6.743***)</w:t>
            </w:r>
          </w:p>
        </w:tc>
        <w:tc>
          <w:tcPr>
            <w:tcW w:w="2453" w:type="dxa"/>
            <w:tcBorders>
              <w:top w:val="nil"/>
              <w:left w:val="nil"/>
              <w:bottom w:val="nil"/>
              <w:right w:val="nil"/>
            </w:tcBorders>
            <w:shd w:val="clear" w:color="auto" w:fill="auto"/>
            <w:noWrap/>
            <w:vAlign w:val="bottom"/>
            <w:hideMark/>
          </w:tcPr>
          <w:p w14:paraId="15AD4D61"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(-12.723***)</w:t>
            </w:r>
          </w:p>
        </w:tc>
        <w:tc>
          <w:tcPr>
            <w:tcW w:w="2452" w:type="dxa"/>
            <w:tcBorders>
              <w:top w:val="nil"/>
              <w:left w:val="nil"/>
              <w:bottom w:val="nil"/>
              <w:right w:val="nil"/>
            </w:tcBorders>
            <w:shd w:val="clear" w:color="auto" w:fill="auto"/>
            <w:noWrap/>
            <w:vAlign w:val="bottom"/>
            <w:hideMark/>
          </w:tcPr>
          <w:p w14:paraId="347E4DEB"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(-12.775***)</w:t>
            </w:r>
          </w:p>
        </w:tc>
        <w:tc>
          <w:tcPr>
            <w:tcW w:w="2453" w:type="dxa"/>
            <w:tcBorders>
              <w:top w:val="nil"/>
              <w:left w:val="nil"/>
              <w:bottom w:val="nil"/>
              <w:right w:val="nil"/>
            </w:tcBorders>
            <w:shd w:val="clear" w:color="auto" w:fill="auto"/>
            <w:noWrap/>
            <w:vAlign w:val="bottom"/>
            <w:hideMark/>
          </w:tcPr>
          <w:p w14:paraId="6C7FF561"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(-6.312***)</w:t>
            </w:r>
          </w:p>
        </w:tc>
      </w:tr>
      <w:tr w:rsidR="009B6F98" w:rsidRPr="00893E6D" w14:paraId="0830455D" w14:textId="77777777" w:rsidTr="00317E24">
        <w:trPr>
          <w:trHeight w:val="260"/>
        </w:trPr>
        <w:tc>
          <w:tcPr>
            <w:tcW w:w="3150" w:type="dxa"/>
            <w:tcBorders>
              <w:top w:val="nil"/>
              <w:left w:val="nil"/>
              <w:bottom w:val="nil"/>
              <w:right w:val="nil"/>
            </w:tcBorders>
            <w:shd w:val="clear" w:color="auto" w:fill="auto"/>
            <w:noWrap/>
            <w:vAlign w:val="bottom"/>
            <w:hideMark/>
          </w:tcPr>
          <w:p w14:paraId="79B971AA" w14:textId="77777777" w:rsidR="009B6F98" w:rsidRPr="00893E6D" w:rsidRDefault="009B6F98" w:rsidP="00317E24">
            <w:pPr>
              <w:spacing w:after="0" w:line="240" w:lineRule="auto"/>
              <w:rPr>
                <w:rFonts w:ascii="Times New Roman" w:eastAsia="Times New Roman" w:hAnsi="Times New Roman" w:cs="Times New Roman"/>
              </w:rPr>
            </w:pPr>
          </w:p>
        </w:tc>
        <w:tc>
          <w:tcPr>
            <w:tcW w:w="2452" w:type="dxa"/>
            <w:tcBorders>
              <w:top w:val="nil"/>
              <w:left w:val="nil"/>
              <w:bottom w:val="nil"/>
              <w:right w:val="nil"/>
            </w:tcBorders>
            <w:shd w:val="clear" w:color="auto" w:fill="auto"/>
            <w:noWrap/>
            <w:vAlign w:val="bottom"/>
            <w:hideMark/>
          </w:tcPr>
          <w:p w14:paraId="5A4A8649" w14:textId="77777777" w:rsidR="009B6F98" w:rsidRPr="00893E6D" w:rsidRDefault="009B6F98" w:rsidP="00317E24">
            <w:pPr>
              <w:spacing w:after="0" w:line="240" w:lineRule="auto"/>
              <w:rPr>
                <w:rFonts w:ascii="Times New Roman" w:eastAsia="Times New Roman" w:hAnsi="Times New Roman" w:cs="Times New Roman"/>
              </w:rPr>
            </w:pPr>
          </w:p>
        </w:tc>
        <w:tc>
          <w:tcPr>
            <w:tcW w:w="2453" w:type="dxa"/>
            <w:tcBorders>
              <w:top w:val="nil"/>
              <w:left w:val="nil"/>
              <w:bottom w:val="nil"/>
              <w:right w:val="nil"/>
            </w:tcBorders>
            <w:shd w:val="clear" w:color="auto" w:fill="auto"/>
            <w:noWrap/>
            <w:vAlign w:val="bottom"/>
            <w:hideMark/>
          </w:tcPr>
          <w:p w14:paraId="780E7E5A" w14:textId="77777777" w:rsidR="009B6F98" w:rsidRPr="00893E6D" w:rsidRDefault="009B6F98" w:rsidP="00317E24">
            <w:pPr>
              <w:spacing w:after="0" w:line="240" w:lineRule="auto"/>
              <w:rPr>
                <w:rFonts w:ascii="Times New Roman" w:eastAsia="Times New Roman" w:hAnsi="Times New Roman" w:cs="Times New Roman"/>
              </w:rPr>
            </w:pPr>
          </w:p>
        </w:tc>
        <w:tc>
          <w:tcPr>
            <w:tcW w:w="2452" w:type="dxa"/>
            <w:tcBorders>
              <w:top w:val="nil"/>
              <w:left w:val="nil"/>
              <w:bottom w:val="nil"/>
              <w:right w:val="nil"/>
            </w:tcBorders>
            <w:shd w:val="clear" w:color="auto" w:fill="auto"/>
            <w:noWrap/>
            <w:vAlign w:val="bottom"/>
            <w:hideMark/>
          </w:tcPr>
          <w:p w14:paraId="5F1228BF" w14:textId="77777777" w:rsidR="009B6F98" w:rsidRPr="00893E6D" w:rsidRDefault="009B6F98" w:rsidP="00317E24">
            <w:pPr>
              <w:spacing w:after="0" w:line="240" w:lineRule="auto"/>
              <w:rPr>
                <w:rFonts w:ascii="Times New Roman" w:eastAsia="Times New Roman" w:hAnsi="Times New Roman" w:cs="Times New Roman"/>
              </w:rPr>
            </w:pPr>
          </w:p>
        </w:tc>
        <w:tc>
          <w:tcPr>
            <w:tcW w:w="2453" w:type="dxa"/>
            <w:tcBorders>
              <w:top w:val="nil"/>
              <w:left w:val="nil"/>
              <w:bottom w:val="nil"/>
              <w:right w:val="nil"/>
            </w:tcBorders>
            <w:shd w:val="clear" w:color="auto" w:fill="auto"/>
            <w:noWrap/>
            <w:vAlign w:val="bottom"/>
            <w:hideMark/>
          </w:tcPr>
          <w:p w14:paraId="56B21083" w14:textId="77777777" w:rsidR="009B6F98" w:rsidRPr="00893E6D" w:rsidRDefault="009B6F98" w:rsidP="00317E24">
            <w:pPr>
              <w:spacing w:after="0" w:line="240" w:lineRule="auto"/>
              <w:rPr>
                <w:rFonts w:ascii="Times New Roman" w:eastAsia="Times New Roman" w:hAnsi="Times New Roman" w:cs="Times New Roman"/>
              </w:rPr>
            </w:pPr>
          </w:p>
        </w:tc>
      </w:tr>
      <w:tr w:rsidR="009B6F98" w:rsidRPr="00893E6D" w14:paraId="0AAF7A60" w14:textId="77777777" w:rsidTr="00317E24">
        <w:trPr>
          <w:trHeight w:val="260"/>
        </w:trPr>
        <w:tc>
          <w:tcPr>
            <w:tcW w:w="3150" w:type="dxa"/>
            <w:tcBorders>
              <w:top w:val="nil"/>
              <w:left w:val="nil"/>
              <w:bottom w:val="nil"/>
              <w:right w:val="nil"/>
            </w:tcBorders>
            <w:shd w:val="clear" w:color="auto" w:fill="auto"/>
            <w:noWrap/>
            <w:vAlign w:val="bottom"/>
            <w:hideMark/>
          </w:tcPr>
          <w:p w14:paraId="3EE1B71C"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Adj. R-squared</w:t>
            </w:r>
          </w:p>
        </w:tc>
        <w:tc>
          <w:tcPr>
            <w:tcW w:w="2452" w:type="dxa"/>
            <w:tcBorders>
              <w:top w:val="nil"/>
              <w:left w:val="nil"/>
              <w:bottom w:val="nil"/>
              <w:right w:val="nil"/>
            </w:tcBorders>
            <w:shd w:val="clear" w:color="auto" w:fill="auto"/>
            <w:noWrap/>
            <w:vAlign w:val="bottom"/>
            <w:hideMark/>
          </w:tcPr>
          <w:p w14:paraId="743A7B18"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0.213</w:t>
            </w:r>
          </w:p>
        </w:tc>
        <w:tc>
          <w:tcPr>
            <w:tcW w:w="2453" w:type="dxa"/>
            <w:tcBorders>
              <w:top w:val="nil"/>
              <w:left w:val="nil"/>
              <w:bottom w:val="nil"/>
              <w:right w:val="nil"/>
            </w:tcBorders>
            <w:shd w:val="clear" w:color="auto" w:fill="auto"/>
            <w:noWrap/>
            <w:vAlign w:val="bottom"/>
            <w:hideMark/>
          </w:tcPr>
          <w:p w14:paraId="02914454"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0.521</w:t>
            </w:r>
          </w:p>
        </w:tc>
        <w:tc>
          <w:tcPr>
            <w:tcW w:w="2452" w:type="dxa"/>
            <w:tcBorders>
              <w:top w:val="nil"/>
              <w:left w:val="nil"/>
              <w:bottom w:val="nil"/>
              <w:right w:val="nil"/>
            </w:tcBorders>
            <w:shd w:val="clear" w:color="auto" w:fill="auto"/>
            <w:noWrap/>
            <w:vAlign w:val="bottom"/>
            <w:hideMark/>
          </w:tcPr>
          <w:p w14:paraId="19F700B1"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0.490</w:t>
            </w:r>
          </w:p>
        </w:tc>
        <w:tc>
          <w:tcPr>
            <w:tcW w:w="2453" w:type="dxa"/>
            <w:tcBorders>
              <w:top w:val="nil"/>
              <w:left w:val="nil"/>
              <w:bottom w:val="nil"/>
              <w:right w:val="nil"/>
            </w:tcBorders>
            <w:shd w:val="clear" w:color="auto" w:fill="auto"/>
            <w:noWrap/>
            <w:vAlign w:val="bottom"/>
            <w:hideMark/>
          </w:tcPr>
          <w:p w14:paraId="33E2464B"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0.0427</w:t>
            </w:r>
          </w:p>
        </w:tc>
      </w:tr>
      <w:tr w:rsidR="009B6F98" w:rsidRPr="00893E6D" w14:paraId="2D35FB33" w14:textId="77777777" w:rsidTr="00317E24">
        <w:trPr>
          <w:trHeight w:val="260"/>
        </w:trPr>
        <w:tc>
          <w:tcPr>
            <w:tcW w:w="3150" w:type="dxa"/>
            <w:tcBorders>
              <w:top w:val="nil"/>
              <w:left w:val="nil"/>
              <w:right w:val="nil"/>
            </w:tcBorders>
            <w:shd w:val="clear" w:color="auto" w:fill="auto"/>
            <w:noWrap/>
            <w:vAlign w:val="bottom"/>
            <w:hideMark/>
          </w:tcPr>
          <w:p w14:paraId="08F66129"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Control variables</w:t>
            </w:r>
          </w:p>
        </w:tc>
        <w:tc>
          <w:tcPr>
            <w:tcW w:w="2452" w:type="dxa"/>
            <w:tcBorders>
              <w:top w:val="nil"/>
              <w:left w:val="nil"/>
              <w:right w:val="nil"/>
            </w:tcBorders>
            <w:shd w:val="clear" w:color="auto" w:fill="auto"/>
            <w:noWrap/>
            <w:vAlign w:val="bottom"/>
            <w:hideMark/>
          </w:tcPr>
          <w:p w14:paraId="6EFA22C8"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Yes</w:t>
            </w:r>
          </w:p>
        </w:tc>
        <w:tc>
          <w:tcPr>
            <w:tcW w:w="2453" w:type="dxa"/>
            <w:tcBorders>
              <w:top w:val="nil"/>
              <w:left w:val="nil"/>
              <w:right w:val="nil"/>
            </w:tcBorders>
            <w:shd w:val="clear" w:color="auto" w:fill="auto"/>
            <w:noWrap/>
            <w:vAlign w:val="bottom"/>
            <w:hideMark/>
          </w:tcPr>
          <w:p w14:paraId="0D15380A"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Yes</w:t>
            </w:r>
          </w:p>
        </w:tc>
        <w:tc>
          <w:tcPr>
            <w:tcW w:w="2452" w:type="dxa"/>
            <w:tcBorders>
              <w:top w:val="nil"/>
              <w:left w:val="nil"/>
              <w:right w:val="nil"/>
            </w:tcBorders>
            <w:shd w:val="clear" w:color="auto" w:fill="auto"/>
            <w:noWrap/>
            <w:vAlign w:val="bottom"/>
            <w:hideMark/>
          </w:tcPr>
          <w:p w14:paraId="021381F9"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Yes</w:t>
            </w:r>
          </w:p>
        </w:tc>
        <w:tc>
          <w:tcPr>
            <w:tcW w:w="2453" w:type="dxa"/>
            <w:tcBorders>
              <w:top w:val="nil"/>
              <w:left w:val="nil"/>
              <w:right w:val="nil"/>
            </w:tcBorders>
            <w:shd w:val="clear" w:color="auto" w:fill="auto"/>
            <w:noWrap/>
            <w:vAlign w:val="bottom"/>
            <w:hideMark/>
          </w:tcPr>
          <w:p w14:paraId="416DD29F"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Yes</w:t>
            </w:r>
          </w:p>
        </w:tc>
      </w:tr>
      <w:tr w:rsidR="009B6F98" w:rsidRPr="00893E6D" w14:paraId="30CD99FA" w14:textId="77777777" w:rsidTr="00317E24">
        <w:trPr>
          <w:trHeight w:val="260"/>
        </w:trPr>
        <w:tc>
          <w:tcPr>
            <w:tcW w:w="3150" w:type="dxa"/>
            <w:tcBorders>
              <w:top w:val="nil"/>
              <w:left w:val="nil"/>
              <w:bottom w:val="single" w:sz="4" w:space="0" w:color="auto"/>
              <w:right w:val="nil"/>
            </w:tcBorders>
            <w:shd w:val="clear" w:color="auto" w:fill="auto"/>
            <w:noWrap/>
            <w:vAlign w:val="bottom"/>
            <w:hideMark/>
          </w:tcPr>
          <w:p w14:paraId="0AF2B16B"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N</w:t>
            </w:r>
          </w:p>
        </w:tc>
        <w:tc>
          <w:tcPr>
            <w:tcW w:w="2452" w:type="dxa"/>
            <w:tcBorders>
              <w:top w:val="nil"/>
              <w:left w:val="nil"/>
              <w:bottom w:val="single" w:sz="4" w:space="0" w:color="auto"/>
              <w:right w:val="nil"/>
            </w:tcBorders>
            <w:shd w:val="clear" w:color="auto" w:fill="auto"/>
            <w:noWrap/>
            <w:vAlign w:val="bottom"/>
            <w:hideMark/>
          </w:tcPr>
          <w:p w14:paraId="1B8CF9D7"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58,428</w:t>
            </w:r>
          </w:p>
        </w:tc>
        <w:tc>
          <w:tcPr>
            <w:tcW w:w="2453" w:type="dxa"/>
            <w:tcBorders>
              <w:top w:val="nil"/>
              <w:left w:val="nil"/>
              <w:bottom w:val="single" w:sz="4" w:space="0" w:color="auto"/>
              <w:right w:val="nil"/>
            </w:tcBorders>
            <w:shd w:val="clear" w:color="auto" w:fill="auto"/>
            <w:noWrap/>
            <w:vAlign w:val="bottom"/>
            <w:hideMark/>
          </w:tcPr>
          <w:p w14:paraId="0A5967C7"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58,545</w:t>
            </w:r>
          </w:p>
        </w:tc>
        <w:tc>
          <w:tcPr>
            <w:tcW w:w="2452" w:type="dxa"/>
            <w:tcBorders>
              <w:top w:val="nil"/>
              <w:left w:val="nil"/>
              <w:bottom w:val="single" w:sz="4" w:space="0" w:color="auto"/>
              <w:right w:val="nil"/>
            </w:tcBorders>
            <w:shd w:val="clear" w:color="auto" w:fill="auto"/>
            <w:noWrap/>
            <w:vAlign w:val="bottom"/>
            <w:hideMark/>
          </w:tcPr>
          <w:p w14:paraId="22EEF963"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58,545</w:t>
            </w:r>
          </w:p>
        </w:tc>
        <w:tc>
          <w:tcPr>
            <w:tcW w:w="2453" w:type="dxa"/>
            <w:tcBorders>
              <w:top w:val="nil"/>
              <w:left w:val="nil"/>
              <w:bottom w:val="single" w:sz="4" w:space="0" w:color="auto"/>
              <w:right w:val="nil"/>
            </w:tcBorders>
            <w:shd w:val="clear" w:color="auto" w:fill="auto"/>
            <w:noWrap/>
            <w:vAlign w:val="bottom"/>
            <w:hideMark/>
          </w:tcPr>
          <w:p w14:paraId="44E2185E" w14:textId="77777777" w:rsidR="009B6F98" w:rsidRPr="00893E6D" w:rsidRDefault="009B6F98" w:rsidP="00317E24">
            <w:pPr>
              <w:spacing w:after="0" w:line="240" w:lineRule="auto"/>
              <w:rPr>
                <w:rFonts w:ascii="Times New Roman" w:eastAsia="Times New Roman" w:hAnsi="Times New Roman" w:cs="Times New Roman"/>
              </w:rPr>
            </w:pPr>
            <w:r w:rsidRPr="00893E6D">
              <w:rPr>
                <w:rFonts w:ascii="Times New Roman" w:eastAsia="Times New Roman" w:hAnsi="Times New Roman" w:cs="Times New Roman"/>
              </w:rPr>
              <w:t>50,722</w:t>
            </w:r>
          </w:p>
        </w:tc>
      </w:tr>
    </w:tbl>
    <w:p w14:paraId="0AB87D77" w14:textId="2B1600D8" w:rsidR="006F4FAD" w:rsidRPr="00893E6D" w:rsidRDefault="009B6F98" w:rsidP="00A1062B">
      <w:pPr>
        <w:jc w:val="both"/>
        <w:rPr>
          <w:rFonts w:ascii="Times New Roman" w:hAnsi="Times New Roman" w:cs="Times New Roman"/>
          <w:sz w:val="24"/>
          <w:szCs w:val="24"/>
        </w:rPr>
      </w:pPr>
      <w:r>
        <w:rPr>
          <w:rFonts w:ascii="Times New Roman" w:hAnsi="Times New Roman" w:cs="Times New Roman"/>
          <w:sz w:val="20"/>
          <w:szCs w:val="20"/>
        </w:rPr>
        <w:t>Note</w:t>
      </w:r>
      <w:r w:rsidR="00AF3852">
        <w:rPr>
          <w:rFonts w:ascii="Times New Roman" w:hAnsi="Times New Roman" w:cs="Times New Roman"/>
          <w:sz w:val="20"/>
          <w:szCs w:val="20"/>
        </w:rPr>
        <w:t xml:space="preserve">: </w:t>
      </w:r>
      <w:r w:rsidR="00AF3852" w:rsidRPr="00B40FBB">
        <w:rPr>
          <w:rFonts w:ascii="Times New Roman" w:hAnsi="Times New Roman" w:cs="Times New Roman"/>
          <w:sz w:val="20"/>
          <w:szCs w:val="20"/>
        </w:rPr>
        <w:t>This table reports the results from the panel data firm-fixed effect regressions of ROA volatility, stock price volatility (</w:t>
      </w:r>
      <w:r w:rsidR="00AF3852" w:rsidRPr="00B40FBB">
        <w:rPr>
          <w:rFonts w:ascii="Times New Roman" w:hAnsi="Times New Roman" w:cs="Times New Roman"/>
          <w:i/>
          <w:sz w:val="20"/>
          <w:szCs w:val="20"/>
        </w:rPr>
        <w:t>TOTRISK</w:t>
      </w:r>
      <w:r w:rsidR="00AF3852" w:rsidRPr="00B40FBB">
        <w:rPr>
          <w:rFonts w:ascii="Times New Roman" w:hAnsi="Times New Roman" w:cs="Times New Roman"/>
          <w:sz w:val="20"/>
          <w:szCs w:val="20"/>
        </w:rPr>
        <w:t xml:space="preserve"> and </w:t>
      </w:r>
      <w:r w:rsidR="00AF3852" w:rsidRPr="00B40FBB">
        <w:rPr>
          <w:rFonts w:ascii="Times New Roman" w:hAnsi="Times New Roman" w:cs="Times New Roman"/>
          <w:i/>
          <w:sz w:val="20"/>
          <w:szCs w:val="20"/>
        </w:rPr>
        <w:t>IDIORISK</w:t>
      </w:r>
      <w:r w:rsidR="00AF3852" w:rsidRPr="00B40FBB">
        <w:rPr>
          <w:rFonts w:ascii="Times New Roman" w:hAnsi="Times New Roman" w:cs="Times New Roman"/>
          <w:sz w:val="20"/>
          <w:szCs w:val="20"/>
        </w:rPr>
        <w:t>) and crash risk (</w:t>
      </w:r>
      <w:r w:rsidR="00AF3852" w:rsidRPr="00B40FBB">
        <w:rPr>
          <w:rFonts w:ascii="Times New Roman" w:hAnsi="Times New Roman" w:cs="Times New Roman"/>
          <w:i/>
          <w:sz w:val="20"/>
          <w:szCs w:val="20"/>
        </w:rPr>
        <w:t>NCSKEW</w:t>
      </w:r>
      <w:r w:rsidR="00AF3852" w:rsidRPr="00B40FBB">
        <w:rPr>
          <w:rFonts w:ascii="Times New Roman" w:hAnsi="Times New Roman" w:cs="Times New Roman"/>
          <w:sz w:val="20"/>
          <w:szCs w:val="20"/>
        </w:rPr>
        <w:t>). ROA volatility (</w:t>
      </w:r>
      <w:r w:rsidR="00AF3852" w:rsidRPr="00B40FBB">
        <w:rPr>
          <w:rFonts w:ascii="Times New Roman" w:hAnsi="Times New Roman" w:cs="Times New Roman"/>
          <w:i/>
          <w:sz w:val="20"/>
          <w:szCs w:val="20"/>
        </w:rPr>
        <w:t>ROAVOL</w:t>
      </w:r>
      <w:r w:rsidR="00AF3852" w:rsidRPr="00B40FBB">
        <w:rPr>
          <w:rFonts w:ascii="Times New Roman" w:hAnsi="Times New Roman" w:cs="Times New Roman"/>
          <w:sz w:val="20"/>
          <w:szCs w:val="20"/>
        </w:rPr>
        <w:t>) is the standard deviation of return on assets over 5 years (from year -4 to the current fiscal year).</w:t>
      </w:r>
      <w:r w:rsidR="00AF3852" w:rsidRPr="00B40FBB">
        <w:rPr>
          <w:rFonts w:ascii="Times New Roman" w:hAnsi="Times New Roman" w:cs="Times New Roman"/>
          <w:i/>
          <w:sz w:val="20"/>
          <w:szCs w:val="20"/>
        </w:rPr>
        <w:t xml:space="preserve"> </w:t>
      </w:r>
      <w:r w:rsidR="00253677">
        <w:rPr>
          <w:rFonts w:ascii="Times New Roman" w:hAnsi="Times New Roman" w:cs="Times New Roman"/>
          <w:sz w:val="20"/>
          <w:szCs w:val="20"/>
        </w:rPr>
        <w:t>T</w:t>
      </w:r>
      <w:r w:rsidR="00253677" w:rsidRPr="005F4D86">
        <w:rPr>
          <w:rFonts w:ascii="Times New Roman" w:hAnsi="Times New Roman" w:cs="Times New Roman"/>
          <w:sz w:val="20"/>
          <w:szCs w:val="20"/>
        </w:rPr>
        <w:t>otal risk</w:t>
      </w:r>
      <w:r w:rsidR="00253677" w:rsidRPr="005F4D86">
        <w:rPr>
          <w:rFonts w:ascii="Times New Roman" w:hAnsi="Times New Roman" w:cs="Times New Roman"/>
          <w:i/>
          <w:sz w:val="20"/>
          <w:szCs w:val="20"/>
        </w:rPr>
        <w:t xml:space="preserve"> </w:t>
      </w:r>
      <w:r w:rsidR="00253677">
        <w:rPr>
          <w:rFonts w:ascii="Times New Roman" w:hAnsi="Times New Roman" w:cs="Times New Roman"/>
          <w:i/>
          <w:sz w:val="20"/>
          <w:szCs w:val="20"/>
        </w:rPr>
        <w:t>(</w:t>
      </w:r>
      <w:r w:rsidR="00253677" w:rsidRPr="005F4D86">
        <w:rPr>
          <w:rFonts w:ascii="Times New Roman" w:hAnsi="Times New Roman" w:cs="Times New Roman"/>
          <w:i/>
          <w:sz w:val="20"/>
          <w:szCs w:val="20"/>
        </w:rPr>
        <w:t>TOTRISK</w:t>
      </w:r>
      <w:r w:rsidR="00253677">
        <w:rPr>
          <w:rFonts w:ascii="Times New Roman" w:hAnsi="Times New Roman" w:cs="Times New Roman"/>
          <w:i/>
          <w:sz w:val="20"/>
          <w:szCs w:val="20"/>
        </w:rPr>
        <w:t xml:space="preserve">) </w:t>
      </w:r>
      <w:r w:rsidR="00AF3852" w:rsidRPr="00B40FBB">
        <w:rPr>
          <w:rFonts w:ascii="Times New Roman" w:hAnsi="Times New Roman" w:cs="Times New Roman"/>
          <w:sz w:val="20"/>
          <w:szCs w:val="20"/>
        </w:rPr>
        <w:t xml:space="preserve">is the annualized standard deviation of the daily stock returns in the year. </w:t>
      </w:r>
      <w:r w:rsidR="00FC6F5C" w:rsidRPr="00D05DBE">
        <w:rPr>
          <w:rFonts w:ascii="Times New Roman" w:hAnsi="Times New Roman" w:cs="Times New Roman"/>
          <w:sz w:val="20"/>
          <w:szCs w:val="20"/>
        </w:rPr>
        <w:t>Idiosyncratic</w:t>
      </w:r>
      <w:r w:rsidR="00FC6F5C" w:rsidRPr="005F4D86">
        <w:rPr>
          <w:rFonts w:ascii="Times New Roman" w:hAnsi="Times New Roman" w:cs="Times New Roman"/>
          <w:sz w:val="20"/>
          <w:szCs w:val="20"/>
        </w:rPr>
        <w:t xml:space="preserve"> risk</w:t>
      </w:r>
      <w:r w:rsidR="00FC6F5C">
        <w:rPr>
          <w:rFonts w:ascii="Times New Roman" w:hAnsi="Times New Roman" w:cs="Times New Roman"/>
          <w:sz w:val="20"/>
          <w:szCs w:val="20"/>
        </w:rPr>
        <w:t xml:space="preserve"> (</w:t>
      </w:r>
      <w:r w:rsidR="00FC6F5C" w:rsidRPr="005F4D86">
        <w:rPr>
          <w:rFonts w:ascii="Times New Roman" w:hAnsi="Times New Roman" w:cs="Times New Roman"/>
          <w:i/>
          <w:sz w:val="20"/>
          <w:szCs w:val="20"/>
        </w:rPr>
        <w:t>IDIORISK</w:t>
      </w:r>
      <w:r w:rsidR="00FC6F5C">
        <w:rPr>
          <w:rFonts w:ascii="Times New Roman" w:hAnsi="Times New Roman" w:cs="Times New Roman"/>
          <w:i/>
          <w:sz w:val="20"/>
          <w:szCs w:val="20"/>
        </w:rPr>
        <w:t xml:space="preserve">) </w:t>
      </w:r>
      <w:r w:rsidR="00AF3852" w:rsidRPr="00B40FBB">
        <w:rPr>
          <w:rFonts w:ascii="Times New Roman" w:hAnsi="Times New Roman" w:cs="Times New Roman"/>
          <w:sz w:val="20"/>
          <w:szCs w:val="20"/>
        </w:rPr>
        <w:t xml:space="preserve">is the annualized standard deviation of the residuals from the </w:t>
      </w:r>
      <w:proofErr w:type="spellStart"/>
      <w:r w:rsidR="00AF3852" w:rsidRPr="00B40FBB">
        <w:rPr>
          <w:rFonts w:ascii="Times New Roman" w:hAnsi="Times New Roman" w:cs="Times New Roman"/>
          <w:sz w:val="20"/>
          <w:szCs w:val="20"/>
        </w:rPr>
        <w:t>Fama</w:t>
      </w:r>
      <w:proofErr w:type="spellEnd"/>
      <w:r w:rsidR="00AF3852" w:rsidRPr="00B40FBB">
        <w:rPr>
          <w:rFonts w:ascii="Times New Roman" w:hAnsi="Times New Roman" w:cs="Times New Roman"/>
          <w:sz w:val="20"/>
          <w:szCs w:val="20"/>
        </w:rPr>
        <w:t>-French 4-factor model using daily stock returns in the year.</w:t>
      </w:r>
      <w:r w:rsidR="00AF3852" w:rsidRPr="00B40FBB">
        <w:rPr>
          <w:rFonts w:ascii="Times New Roman" w:hAnsi="Times New Roman" w:cs="Times New Roman"/>
          <w:i/>
          <w:sz w:val="20"/>
          <w:szCs w:val="20"/>
        </w:rPr>
        <w:t xml:space="preserve"> NCSKEW</w:t>
      </w:r>
      <w:r w:rsidR="00AF3852" w:rsidRPr="00B40FBB">
        <w:rPr>
          <w:rFonts w:ascii="Times New Roman" w:hAnsi="Times New Roman" w:cs="Times New Roman"/>
          <w:sz w:val="20"/>
          <w:szCs w:val="20"/>
        </w:rPr>
        <w:t xml:space="preserve"> is the negative conditional skewness of firm-specific weekly return, calculated as the negative third central moment of firm-specific weekly returns divided by the cubed standard deviation of firm-specific weekly returns. </w:t>
      </w:r>
      <w:r w:rsidR="008C0CCF" w:rsidRPr="00B40FBB">
        <w:rPr>
          <w:rFonts w:ascii="Times New Roman" w:hAnsi="Times New Roman" w:cs="Times New Roman"/>
          <w:i/>
          <w:sz w:val="20"/>
          <w:szCs w:val="20"/>
        </w:rPr>
        <w:t>OPERINC_PREDICTED</w:t>
      </w:r>
      <w:r w:rsidR="00D9182F">
        <w:rPr>
          <w:rFonts w:ascii="Times New Roman" w:hAnsi="Times New Roman" w:cs="Times New Roman"/>
          <w:i/>
          <w:sz w:val="20"/>
          <w:szCs w:val="20"/>
        </w:rPr>
        <w:t>/</w:t>
      </w:r>
      <w:r w:rsidR="008C0CCF">
        <w:rPr>
          <w:rFonts w:ascii="Times New Roman" w:hAnsi="Times New Roman" w:cs="Times New Roman"/>
          <w:i/>
          <w:sz w:val="20"/>
          <w:szCs w:val="20"/>
        </w:rPr>
        <w:t xml:space="preserve"> </w:t>
      </w:r>
      <w:r w:rsidR="00AF3852" w:rsidRPr="00B40FBB">
        <w:rPr>
          <w:rFonts w:ascii="Times New Roman" w:hAnsi="Times New Roman" w:cs="Times New Roman"/>
          <w:i/>
          <w:sz w:val="20"/>
          <w:szCs w:val="20"/>
        </w:rPr>
        <w:t>NONOPERINC_PREDICTED</w:t>
      </w:r>
      <w:r w:rsidR="00272113">
        <w:rPr>
          <w:rFonts w:ascii="Times New Roman" w:hAnsi="Times New Roman" w:cs="Times New Roman"/>
          <w:i/>
          <w:sz w:val="20"/>
          <w:szCs w:val="20"/>
        </w:rPr>
        <w:t xml:space="preserve"> </w:t>
      </w:r>
      <w:r w:rsidR="008C0CCF">
        <w:rPr>
          <w:rFonts w:ascii="Times New Roman" w:hAnsi="Times New Roman" w:cs="Times New Roman"/>
          <w:sz w:val="20"/>
          <w:szCs w:val="20"/>
        </w:rPr>
        <w:t>is</w:t>
      </w:r>
      <w:r w:rsidR="00272113" w:rsidRPr="00B40FBB">
        <w:rPr>
          <w:rFonts w:ascii="Times New Roman" w:hAnsi="Times New Roman" w:cs="Times New Roman"/>
          <w:sz w:val="20"/>
          <w:szCs w:val="20"/>
        </w:rPr>
        <w:t xml:space="preserve"> the </w:t>
      </w:r>
      <w:r w:rsidR="008C0CCF">
        <w:rPr>
          <w:rFonts w:ascii="Times New Roman" w:hAnsi="Times New Roman" w:cs="Times New Roman"/>
          <w:sz w:val="20"/>
          <w:szCs w:val="20"/>
        </w:rPr>
        <w:t>expect</w:t>
      </w:r>
      <w:r w:rsidR="00272113" w:rsidRPr="00B40FBB">
        <w:rPr>
          <w:rFonts w:ascii="Times New Roman" w:hAnsi="Times New Roman" w:cs="Times New Roman"/>
          <w:sz w:val="20"/>
          <w:szCs w:val="20"/>
        </w:rPr>
        <w:t xml:space="preserve">ed </w:t>
      </w:r>
      <w:r w:rsidR="008C0CCF" w:rsidRPr="00B40FBB">
        <w:rPr>
          <w:rFonts w:ascii="Times New Roman" w:hAnsi="Times New Roman" w:cs="Times New Roman"/>
          <w:i/>
          <w:sz w:val="20"/>
          <w:szCs w:val="20"/>
        </w:rPr>
        <w:t>OPERINC</w:t>
      </w:r>
      <w:r w:rsidR="008C0CCF">
        <w:rPr>
          <w:rFonts w:ascii="Times New Roman" w:hAnsi="Times New Roman" w:cs="Times New Roman"/>
          <w:i/>
          <w:sz w:val="20"/>
          <w:szCs w:val="20"/>
        </w:rPr>
        <w:t>/</w:t>
      </w:r>
      <w:r w:rsidR="008C0CCF" w:rsidRPr="00B40FBB">
        <w:rPr>
          <w:rFonts w:ascii="Times New Roman" w:hAnsi="Times New Roman" w:cs="Times New Roman"/>
          <w:i/>
          <w:sz w:val="20"/>
          <w:szCs w:val="20"/>
        </w:rPr>
        <w:t>NONOPERINC</w:t>
      </w:r>
      <w:r w:rsidR="00272113" w:rsidRPr="00B40FBB">
        <w:rPr>
          <w:rFonts w:ascii="Times New Roman" w:hAnsi="Times New Roman" w:cs="Times New Roman"/>
          <w:sz w:val="20"/>
          <w:szCs w:val="20"/>
        </w:rPr>
        <w:t xml:space="preserve"> obtained from the estimation of the regression in Table A</w:t>
      </w:r>
      <w:r w:rsidR="008C0CCF">
        <w:rPr>
          <w:rFonts w:ascii="Times New Roman" w:hAnsi="Times New Roman" w:cs="Times New Roman"/>
          <w:sz w:val="20"/>
          <w:szCs w:val="20"/>
        </w:rPr>
        <w:t>1</w:t>
      </w:r>
      <w:r w:rsidR="00272113">
        <w:rPr>
          <w:rFonts w:ascii="Times New Roman" w:hAnsi="Times New Roman" w:cs="Times New Roman"/>
          <w:sz w:val="20"/>
          <w:szCs w:val="20"/>
        </w:rPr>
        <w:t>/</w:t>
      </w:r>
      <w:r w:rsidR="00272113" w:rsidRPr="00B40FBB">
        <w:rPr>
          <w:rFonts w:ascii="Times New Roman" w:hAnsi="Times New Roman" w:cs="Times New Roman"/>
          <w:sz w:val="20"/>
          <w:szCs w:val="20"/>
        </w:rPr>
        <w:t>Table A</w:t>
      </w:r>
      <w:r w:rsidR="008C0CCF">
        <w:rPr>
          <w:rFonts w:ascii="Times New Roman" w:hAnsi="Times New Roman" w:cs="Times New Roman"/>
          <w:sz w:val="20"/>
          <w:szCs w:val="20"/>
        </w:rPr>
        <w:t>2</w:t>
      </w:r>
      <w:r w:rsidR="00272113">
        <w:rPr>
          <w:rFonts w:ascii="Times New Roman" w:hAnsi="Times New Roman" w:cs="Times New Roman"/>
          <w:sz w:val="20"/>
          <w:szCs w:val="20"/>
        </w:rPr>
        <w:t xml:space="preserve">. </w:t>
      </w:r>
      <w:r w:rsidR="00B814E6" w:rsidRPr="00B40FBB">
        <w:rPr>
          <w:rFonts w:ascii="Times New Roman" w:hAnsi="Times New Roman" w:cs="Times New Roman"/>
          <w:i/>
          <w:sz w:val="20"/>
          <w:szCs w:val="20"/>
        </w:rPr>
        <w:t>OPERINC_UNEXPECTED</w:t>
      </w:r>
      <w:r w:rsidR="00272113">
        <w:rPr>
          <w:rFonts w:ascii="Times New Roman" w:hAnsi="Times New Roman" w:cs="Times New Roman"/>
          <w:i/>
          <w:sz w:val="20"/>
          <w:szCs w:val="20"/>
        </w:rPr>
        <w:t>/</w:t>
      </w:r>
      <w:r w:rsidR="00272113" w:rsidRPr="00B40FBB">
        <w:rPr>
          <w:rFonts w:ascii="Times New Roman" w:hAnsi="Times New Roman" w:cs="Times New Roman"/>
          <w:i/>
          <w:sz w:val="20"/>
          <w:szCs w:val="20"/>
        </w:rPr>
        <w:t>NONOPERINC_UNEXPECTED</w:t>
      </w:r>
      <w:r w:rsidR="008C0CCF">
        <w:rPr>
          <w:rFonts w:ascii="Times New Roman" w:hAnsi="Times New Roman" w:cs="Times New Roman"/>
          <w:sz w:val="24"/>
          <w:szCs w:val="24"/>
        </w:rPr>
        <w:t xml:space="preserve"> </w:t>
      </w:r>
      <w:r w:rsidR="008C0CCF" w:rsidRPr="00F15FF6">
        <w:rPr>
          <w:rFonts w:ascii="Times New Roman" w:hAnsi="Times New Roman" w:cs="Times New Roman"/>
          <w:sz w:val="20"/>
          <w:szCs w:val="20"/>
        </w:rPr>
        <w:t xml:space="preserve">is </w:t>
      </w:r>
      <w:r w:rsidR="00272113" w:rsidRPr="00F15FF6">
        <w:rPr>
          <w:rFonts w:ascii="Times New Roman" w:hAnsi="Times New Roman" w:cs="Times New Roman"/>
          <w:sz w:val="20"/>
          <w:szCs w:val="20"/>
        </w:rPr>
        <w:t xml:space="preserve">the difference between </w:t>
      </w:r>
      <w:r w:rsidR="00D9182F">
        <w:rPr>
          <w:rFonts w:ascii="Times New Roman" w:hAnsi="Times New Roman" w:cs="Times New Roman"/>
          <w:sz w:val="20"/>
          <w:szCs w:val="20"/>
        </w:rPr>
        <w:t xml:space="preserve">the </w:t>
      </w:r>
      <w:r w:rsidR="00272113" w:rsidRPr="00F15FF6">
        <w:rPr>
          <w:rFonts w:ascii="Times New Roman" w:hAnsi="Times New Roman" w:cs="Times New Roman"/>
          <w:sz w:val="20"/>
          <w:szCs w:val="20"/>
        </w:rPr>
        <w:t>reported</w:t>
      </w:r>
      <w:r w:rsidR="008C0CCF" w:rsidRPr="00F15FF6">
        <w:rPr>
          <w:rFonts w:ascii="Times New Roman" w:hAnsi="Times New Roman" w:cs="Times New Roman"/>
          <w:i/>
          <w:sz w:val="20"/>
          <w:szCs w:val="20"/>
        </w:rPr>
        <w:t xml:space="preserve"> </w:t>
      </w:r>
      <w:r w:rsidR="008C0CCF" w:rsidRPr="00B40FBB">
        <w:rPr>
          <w:rFonts w:ascii="Times New Roman" w:hAnsi="Times New Roman" w:cs="Times New Roman"/>
          <w:i/>
          <w:sz w:val="20"/>
          <w:szCs w:val="20"/>
        </w:rPr>
        <w:t>OPERINC</w:t>
      </w:r>
      <w:r w:rsidR="00D9182F">
        <w:rPr>
          <w:rFonts w:ascii="Times New Roman" w:hAnsi="Times New Roman" w:cs="Times New Roman"/>
          <w:i/>
          <w:sz w:val="20"/>
          <w:szCs w:val="20"/>
        </w:rPr>
        <w:t xml:space="preserve"> and </w:t>
      </w:r>
      <w:r w:rsidR="00D9182F" w:rsidRPr="00B40FBB">
        <w:rPr>
          <w:rFonts w:ascii="Times New Roman" w:hAnsi="Times New Roman" w:cs="Times New Roman"/>
          <w:i/>
          <w:sz w:val="20"/>
          <w:szCs w:val="20"/>
        </w:rPr>
        <w:t>OPERINC_PREDICTED</w:t>
      </w:r>
      <w:r w:rsidR="008C0CCF">
        <w:rPr>
          <w:rFonts w:ascii="Times New Roman" w:hAnsi="Times New Roman" w:cs="Times New Roman"/>
          <w:i/>
          <w:sz w:val="20"/>
          <w:szCs w:val="20"/>
        </w:rPr>
        <w:t>/</w:t>
      </w:r>
      <w:r w:rsidR="00D9182F">
        <w:rPr>
          <w:rFonts w:ascii="Times New Roman" w:hAnsi="Times New Roman" w:cs="Times New Roman"/>
          <w:i/>
          <w:sz w:val="20"/>
          <w:szCs w:val="20"/>
        </w:rPr>
        <w:t xml:space="preserve">the </w:t>
      </w:r>
      <w:r w:rsidR="00D9182F" w:rsidRPr="00F15FF6">
        <w:rPr>
          <w:rFonts w:ascii="Times New Roman" w:hAnsi="Times New Roman" w:cs="Times New Roman"/>
          <w:sz w:val="20"/>
          <w:szCs w:val="20"/>
        </w:rPr>
        <w:t xml:space="preserve">reported </w:t>
      </w:r>
      <w:r w:rsidR="008C0CCF" w:rsidRPr="00B40FBB">
        <w:rPr>
          <w:rFonts w:ascii="Times New Roman" w:hAnsi="Times New Roman" w:cs="Times New Roman"/>
          <w:i/>
          <w:sz w:val="20"/>
          <w:szCs w:val="20"/>
        </w:rPr>
        <w:t>NONOPERINC</w:t>
      </w:r>
      <w:r w:rsidR="00D9182F">
        <w:rPr>
          <w:rFonts w:ascii="Times New Roman" w:hAnsi="Times New Roman" w:cs="Times New Roman"/>
          <w:i/>
          <w:sz w:val="20"/>
          <w:szCs w:val="20"/>
        </w:rPr>
        <w:t xml:space="preserve"> </w:t>
      </w:r>
      <w:r w:rsidR="00D9182F" w:rsidRPr="00F15FF6">
        <w:rPr>
          <w:rFonts w:ascii="Times New Roman" w:hAnsi="Times New Roman" w:cs="Times New Roman"/>
          <w:sz w:val="20"/>
          <w:szCs w:val="20"/>
        </w:rPr>
        <w:t>and</w:t>
      </w:r>
      <w:r w:rsidR="00D9182F">
        <w:rPr>
          <w:rFonts w:ascii="Times New Roman" w:hAnsi="Times New Roman" w:cs="Times New Roman"/>
          <w:i/>
          <w:sz w:val="20"/>
          <w:szCs w:val="20"/>
        </w:rPr>
        <w:t xml:space="preserve"> </w:t>
      </w:r>
      <w:r w:rsidR="008C0CCF" w:rsidRPr="00B40FBB">
        <w:rPr>
          <w:rFonts w:ascii="Times New Roman" w:hAnsi="Times New Roman" w:cs="Times New Roman"/>
          <w:i/>
          <w:sz w:val="20"/>
          <w:szCs w:val="20"/>
        </w:rPr>
        <w:t>NONOPERINC_PREDICTED</w:t>
      </w:r>
      <w:r w:rsidR="00AF3852" w:rsidRPr="00F15FF6">
        <w:rPr>
          <w:rFonts w:ascii="Times New Roman" w:hAnsi="Times New Roman" w:cs="Times New Roman"/>
          <w:i/>
          <w:sz w:val="20"/>
          <w:szCs w:val="20"/>
        </w:rPr>
        <w:t xml:space="preserve">. </w:t>
      </w:r>
      <w:r w:rsidR="00AF3852" w:rsidRPr="00506E1C">
        <w:rPr>
          <w:rFonts w:ascii="Times New Roman" w:hAnsi="Times New Roman" w:cs="Times New Roman"/>
          <w:sz w:val="20"/>
          <w:szCs w:val="20"/>
        </w:rPr>
        <w:t>For brevity, only coefficients</w:t>
      </w:r>
      <w:r w:rsidR="00AF3852" w:rsidRPr="00F15FF6">
        <w:rPr>
          <w:rFonts w:ascii="Times New Roman" w:hAnsi="Times New Roman" w:cs="Times New Roman"/>
          <w:i/>
          <w:sz w:val="20"/>
          <w:szCs w:val="20"/>
        </w:rPr>
        <w:t xml:space="preserve"> </w:t>
      </w:r>
      <w:r w:rsidR="00AF3852" w:rsidRPr="00506E1C">
        <w:rPr>
          <w:rFonts w:ascii="Times New Roman" w:hAnsi="Times New Roman" w:cs="Times New Roman"/>
          <w:sz w:val="20"/>
          <w:szCs w:val="20"/>
        </w:rPr>
        <w:t>on</w:t>
      </w:r>
      <w:r w:rsidR="00AF3852" w:rsidRPr="00F15FF6">
        <w:rPr>
          <w:rFonts w:ascii="Times New Roman" w:hAnsi="Times New Roman" w:cs="Times New Roman"/>
          <w:i/>
          <w:sz w:val="20"/>
          <w:szCs w:val="20"/>
        </w:rPr>
        <w:t xml:space="preserve"> </w:t>
      </w:r>
      <w:r w:rsidR="00540E84" w:rsidRPr="00B40FBB">
        <w:rPr>
          <w:rFonts w:ascii="Times New Roman" w:hAnsi="Times New Roman" w:cs="Times New Roman"/>
          <w:i/>
          <w:sz w:val="20"/>
          <w:szCs w:val="20"/>
        </w:rPr>
        <w:t>OPERINC_PREDICTED</w:t>
      </w:r>
      <w:r w:rsidR="00540E84">
        <w:rPr>
          <w:rFonts w:ascii="Times New Roman" w:hAnsi="Times New Roman" w:cs="Times New Roman"/>
          <w:i/>
          <w:sz w:val="20"/>
          <w:szCs w:val="20"/>
        </w:rPr>
        <w:t xml:space="preserve">, </w:t>
      </w:r>
      <w:r w:rsidR="00540E84" w:rsidRPr="00B40FBB">
        <w:rPr>
          <w:rFonts w:ascii="Times New Roman" w:hAnsi="Times New Roman" w:cs="Times New Roman"/>
          <w:i/>
          <w:sz w:val="20"/>
          <w:szCs w:val="20"/>
        </w:rPr>
        <w:t>NONOPERINC_PREDICTED</w:t>
      </w:r>
      <w:r w:rsidR="00540E84">
        <w:rPr>
          <w:rFonts w:ascii="Times New Roman" w:hAnsi="Times New Roman" w:cs="Times New Roman"/>
          <w:i/>
          <w:sz w:val="20"/>
          <w:szCs w:val="20"/>
        </w:rPr>
        <w:t xml:space="preserve">, </w:t>
      </w:r>
      <w:r w:rsidR="00540E84" w:rsidRPr="00B40FBB">
        <w:rPr>
          <w:rFonts w:ascii="Times New Roman" w:hAnsi="Times New Roman" w:cs="Times New Roman"/>
          <w:i/>
          <w:sz w:val="20"/>
          <w:szCs w:val="20"/>
        </w:rPr>
        <w:t>OPERINC_UNEXPECTED</w:t>
      </w:r>
      <w:r w:rsidR="00540E84">
        <w:rPr>
          <w:rFonts w:ascii="Times New Roman" w:hAnsi="Times New Roman" w:cs="Times New Roman"/>
          <w:i/>
          <w:sz w:val="20"/>
          <w:szCs w:val="20"/>
        </w:rPr>
        <w:t xml:space="preserve">, and </w:t>
      </w:r>
      <w:r w:rsidR="00540E84" w:rsidRPr="00B40FBB">
        <w:rPr>
          <w:rFonts w:ascii="Times New Roman" w:hAnsi="Times New Roman" w:cs="Times New Roman"/>
          <w:i/>
          <w:sz w:val="20"/>
          <w:szCs w:val="20"/>
        </w:rPr>
        <w:t>NONOPERINC_UNEXPECTED</w:t>
      </w:r>
      <w:r w:rsidR="00AF3852" w:rsidRPr="00F15FF6">
        <w:rPr>
          <w:rFonts w:ascii="Times New Roman" w:hAnsi="Times New Roman" w:cs="Times New Roman"/>
          <w:i/>
          <w:sz w:val="20"/>
          <w:szCs w:val="20"/>
        </w:rPr>
        <w:t xml:space="preserve"> </w:t>
      </w:r>
      <w:r w:rsidR="00AF3852" w:rsidRPr="00506E1C">
        <w:rPr>
          <w:rFonts w:ascii="Times New Roman" w:hAnsi="Times New Roman" w:cs="Times New Roman"/>
          <w:sz w:val="20"/>
          <w:szCs w:val="20"/>
        </w:rPr>
        <w:t>are reported</w:t>
      </w:r>
      <w:r w:rsidR="00AF3852" w:rsidRPr="00F15FF6">
        <w:rPr>
          <w:rFonts w:ascii="Times New Roman" w:hAnsi="Times New Roman" w:cs="Times New Roman"/>
          <w:i/>
          <w:sz w:val="20"/>
          <w:szCs w:val="20"/>
        </w:rPr>
        <w:t xml:space="preserve">. *, ** </w:t>
      </w:r>
      <w:r w:rsidR="00AF3852" w:rsidRPr="00C826A7">
        <w:rPr>
          <w:rFonts w:ascii="Times New Roman" w:hAnsi="Times New Roman" w:cs="Times New Roman"/>
          <w:sz w:val="20"/>
          <w:szCs w:val="20"/>
        </w:rPr>
        <w:t>and</w:t>
      </w:r>
      <w:r w:rsidR="00AF3852" w:rsidRPr="00F15FF6">
        <w:rPr>
          <w:rFonts w:ascii="Times New Roman" w:hAnsi="Times New Roman" w:cs="Times New Roman"/>
          <w:i/>
          <w:sz w:val="20"/>
          <w:szCs w:val="20"/>
        </w:rPr>
        <w:t xml:space="preserve"> *** </w:t>
      </w:r>
      <w:r w:rsidR="00AF3852" w:rsidRPr="00C826A7">
        <w:rPr>
          <w:rFonts w:ascii="Times New Roman" w:hAnsi="Times New Roman" w:cs="Times New Roman"/>
          <w:sz w:val="20"/>
          <w:szCs w:val="20"/>
        </w:rPr>
        <w:t>indicate</w:t>
      </w:r>
      <w:r w:rsidR="00AF3852" w:rsidRPr="00B40FBB">
        <w:rPr>
          <w:rFonts w:ascii="Times New Roman" w:hAnsi="Times New Roman" w:cs="Times New Roman"/>
          <w:sz w:val="20"/>
          <w:szCs w:val="20"/>
        </w:rPr>
        <w:t xml:space="preserve"> the significance levels of 10%, 5% and 1%, respectively.</w:t>
      </w:r>
      <w:r w:rsidR="00AF3852" w:rsidRPr="00893E6D">
        <w:rPr>
          <w:rFonts w:ascii="Times New Roman" w:hAnsi="Times New Roman" w:cs="Times New Roman"/>
          <w:sz w:val="24"/>
          <w:szCs w:val="24"/>
        </w:rPr>
        <w:t xml:space="preserve"> </w:t>
      </w:r>
    </w:p>
    <w:p w14:paraId="6FF2D5B9" w14:textId="77777777" w:rsidR="006F4FAD" w:rsidRDefault="006F4FAD" w:rsidP="00A1062B">
      <w:pPr>
        <w:jc w:val="both"/>
        <w:rPr>
          <w:rFonts w:ascii="Times New Roman" w:hAnsi="Times New Roman" w:cs="Times New Roman"/>
          <w:sz w:val="24"/>
          <w:szCs w:val="24"/>
        </w:rPr>
      </w:pPr>
    </w:p>
    <w:p w14:paraId="48DFE61D" w14:textId="77777777" w:rsidR="004E7553" w:rsidRDefault="004E7553" w:rsidP="00A1062B">
      <w:pPr>
        <w:jc w:val="both"/>
        <w:rPr>
          <w:rFonts w:ascii="Times New Roman" w:hAnsi="Times New Roman" w:cs="Times New Roman"/>
          <w:sz w:val="24"/>
          <w:szCs w:val="24"/>
        </w:rPr>
      </w:pPr>
    </w:p>
    <w:p w14:paraId="42B27B96" w14:textId="540E4DC6" w:rsidR="004E7553" w:rsidRDefault="004E7553">
      <w:pPr>
        <w:rPr>
          <w:rFonts w:ascii="Times New Roman" w:hAnsi="Times New Roman" w:cs="Times New Roman"/>
          <w:sz w:val="24"/>
          <w:szCs w:val="24"/>
        </w:rPr>
      </w:pPr>
      <w:r>
        <w:rPr>
          <w:rFonts w:ascii="Times New Roman" w:hAnsi="Times New Roman" w:cs="Times New Roman"/>
          <w:sz w:val="24"/>
          <w:szCs w:val="24"/>
        </w:rPr>
        <w:br w:type="page"/>
      </w:r>
    </w:p>
    <w:p w14:paraId="43CA9971" w14:textId="3ABBB117" w:rsidR="00662F59" w:rsidRPr="00F15FF6" w:rsidRDefault="00662F59" w:rsidP="00D23517">
      <w:pPr>
        <w:spacing w:after="0"/>
        <w:jc w:val="both"/>
        <w:rPr>
          <w:rFonts w:ascii="Times New Roman" w:eastAsia="Times New Roman" w:hAnsi="Times New Roman" w:cs="Times New Roman"/>
          <w:b/>
          <w:bCs/>
          <w:sz w:val="24"/>
          <w:szCs w:val="24"/>
        </w:rPr>
      </w:pPr>
      <w:r w:rsidRPr="00F15FF6">
        <w:rPr>
          <w:rFonts w:ascii="Times New Roman" w:eastAsia="Times New Roman" w:hAnsi="Times New Roman" w:cs="Times New Roman"/>
          <w:b/>
          <w:bCs/>
          <w:sz w:val="24"/>
          <w:szCs w:val="24"/>
        </w:rPr>
        <w:lastRenderedPageBreak/>
        <w:t xml:space="preserve">Table 11: </w:t>
      </w:r>
      <w:r w:rsidR="00864A68" w:rsidRPr="00F15FF6">
        <w:rPr>
          <w:rFonts w:ascii="Times New Roman" w:eastAsia="Times New Roman" w:hAnsi="Times New Roman" w:cs="Times New Roman"/>
          <w:b/>
          <w:color w:val="000000"/>
          <w:sz w:val="24"/>
          <w:szCs w:val="24"/>
        </w:rPr>
        <w:t xml:space="preserve">Non-operating income and firm risk: </w:t>
      </w:r>
      <w:r w:rsidR="00CE1C8D">
        <w:rPr>
          <w:rFonts w:ascii="Times New Roman" w:eastAsia="Times New Roman" w:hAnsi="Times New Roman" w:cs="Times New Roman"/>
          <w:b/>
          <w:color w:val="000000"/>
          <w:sz w:val="24"/>
          <w:szCs w:val="24"/>
        </w:rPr>
        <w:t>C</w:t>
      </w:r>
      <w:r w:rsidR="00CE1C8D" w:rsidRPr="00F15FF6">
        <w:rPr>
          <w:rFonts w:ascii="Times New Roman" w:eastAsia="Times New Roman" w:hAnsi="Times New Roman" w:cs="Times New Roman"/>
          <w:b/>
          <w:color w:val="000000"/>
          <w:sz w:val="24"/>
          <w:szCs w:val="24"/>
        </w:rPr>
        <w:t xml:space="preserve">ontrolling </w:t>
      </w:r>
      <w:r w:rsidR="00864A68" w:rsidRPr="00F15FF6">
        <w:rPr>
          <w:rFonts w:ascii="Times New Roman" w:eastAsia="Times New Roman" w:hAnsi="Times New Roman" w:cs="Times New Roman"/>
          <w:b/>
          <w:color w:val="000000"/>
          <w:sz w:val="24"/>
          <w:szCs w:val="24"/>
        </w:rPr>
        <w:t xml:space="preserve">for </w:t>
      </w:r>
      <w:r w:rsidR="00864A68" w:rsidRPr="00F15FF6">
        <w:rPr>
          <w:rFonts w:ascii="Times New Roman" w:eastAsia="Times New Roman" w:hAnsi="Times New Roman" w:cs="Times New Roman"/>
          <w:b/>
          <w:bCs/>
          <w:iCs/>
          <w:color w:val="000000"/>
          <w:sz w:val="24"/>
          <w:szCs w:val="24"/>
        </w:rPr>
        <w:t>operating and non-operating assets</w:t>
      </w:r>
      <w:r w:rsidR="00864A68" w:rsidRPr="005217FE">
        <w:rPr>
          <w:rFonts w:ascii="Times New Roman" w:eastAsia="Times New Roman" w:hAnsi="Times New Roman" w:cs="Times New Roman"/>
          <w:b/>
          <w:bCs/>
          <w:i/>
          <w:iCs/>
          <w:color w:val="000000"/>
          <w:sz w:val="24"/>
          <w:szCs w:val="24"/>
        </w:rPr>
        <w:t xml:space="preserve"> </w:t>
      </w:r>
    </w:p>
    <w:tbl>
      <w:tblPr>
        <w:tblW w:w="5000" w:type="pct"/>
        <w:tblLook w:val="04A0" w:firstRow="1" w:lastRow="0" w:firstColumn="1" w:lastColumn="0" w:noHBand="0" w:noVBand="1"/>
      </w:tblPr>
      <w:tblGrid>
        <w:gridCol w:w="3772"/>
        <w:gridCol w:w="1602"/>
        <w:gridCol w:w="1516"/>
        <w:gridCol w:w="1516"/>
        <w:gridCol w:w="1516"/>
        <w:gridCol w:w="1516"/>
        <w:gridCol w:w="1522"/>
      </w:tblGrid>
      <w:tr w:rsidR="00662F59" w:rsidRPr="005217FE" w14:paraId="01326081" w14:textId="77777777" w:rsidTr="00811D08">
        <w:trPr>
          <w:trHeight w:val="288"/>
        </w:trPr>
        <w:tc>
          <w:tcPr>
            <w:tcW w:w="1455" w:type="pct"/>
            <w:tcBorders>
              <w:top w:val="single" w:sz="4" w:space="0" w:color="auto"/>
              <w:left w:val="nil"/>
              <w:bottom w:val="single" w:sz="4" w:space="0" w:color="auto"/>
              <w:right w:val="nil"/>
            </w:tcBorders>
            <w:shd w:val="clear" w:color="auto" w:fill="auto"/>
            <w:noWrap/>
            <w:vAlign w:val="bottom"/>
            <w:hideMark/>
          </w:tcPr>
          <w:p w14:paraId="2D96EA89" w14:textId="77777777" w:rsidR="00662F59" w:rsidRPr="00F15FF6" w:rsidRDefault="00662F59" w:rsidP="00662F59">
            <w:pPr>
              <w:spacing w:after="0" w:line="240" w:lineRule="auto"/>
              <w:rPr>
                <w:rFonts w:ascii="Times New Roman" w:eastAsia="Times New Roman" w:hAnsi="Times New Roman" w:cs="Times New Roman"/>
                <w:b/>
                <w:bCs/>
                <w:i/>
                <w:iCs/>
                <w:color w:val="000000"/>
              </w:rPr>
            </w:pPr>
            <w:r w:rsidRPr="00F15FF6">
              <w:rPr>
                <w:rFonts w:ascii="Times New Roman" w:eastAsia="Times New Roman" w:hAnsi="Times New Roman" w:cs="Times New Roman"/>
                <w:b/>
                <w:bCs/>
                <w:i/>
                <w:iCs/>
                <w:color w:val="000000"/>
              </w:rPr>
              <w:t>Variables</w:t>
            </w:r>
          </w:p>
        </w:tc>
        <w:tc>
          <w:tcPr>
            <w:tcW w:w="618" w:type="pct"/>
            <w:tcBorders>
              <w:top w:val="single" w:sz="4" w:space="0" w:color="auto"/>
              <w:left w:val="nil"/>
              <w:bottom w:val="single" w:sz="4" w:space="0" w:color="auto"/>
              <w:right w:val="nil"/>
            </w:tcBorders>
            <w:vAlign w:val="bottom"/>
          </w:tcPr>
          <w:p w14:paraId="11B05321" w14:textId="40D48B78" w:rsidR="00662F59" w:rsidRPr="00F15FF6" w:rsidRDefault="00662F59" w:rsidP="00662F59">
            <w:pPr>
              <w:spacing w:after="0" w:line="240" w:lineRule="auto"/>
              <w:rPr>
                <w:rFonts w:ascii="Times New Roman" w:eastAsia="Times New Roman" w:hAnsi="Times New Roman" w:cs="Times New Roman"/>
                <w:b/>
                <w:bCs/>
                <w:i/>
                <w:iCs/>
                <w:color w:val="000000"/>
              </w:rPr>
            </w:pPr>
            <w:r w:rsidRPr="00F15FF6">
              <w:rPr>
                <w:rFonts w:ascii="Times New Roman" w:eastAsia="Times New Roman" w:hAnsi="Times New Roman" w:cs="Times New Roman"/>
                <w:b/>
                <w:bCs/>
                <w:i/>
              </w:rPr>
              <w:t>ROAVOL</w:t>
            </w:r>
          </w:p>
        </w:tc>
        <w:tc>
          <w:tcPr>
            <w:tcW w:w="585" w:type="pct"/>
            <w:tcBorders>
              <w:top w:val="single" w:sz="4" w:space="0" w:color="auto"/>
              <w:left w:val="nil"/>
              <w:bottom w:val="single" w:sz="4" w:space="0" w:color="auto"/>
              <w:right w:val="nil"/>
            </w:tcBorders>
            <w:vAlign w:val="bottom"/>
          </w:tcPr>
          <w:p w14:paraId="3471C5CC" w14:textId="77777777" w:rsidR="00662F59" w:rsidRPr="00F15FF6" w:rsidRDefault="00662F59" w:rsidP="00662F59">
            <w:pPr>
              <w:spacing w:after="0" w:line="240" w:lineRule="auto"/>
              <w:rPr>
                <w:rFonts w:ascii="Times New Roman" w:eastAsia="Times New Roman" w:hAnsi="Times New Roman" w:cs="Times New Roman"/>
                <w:b/>
                <w:bCs/>
                <w:i/>
                <w:iCs/>
                <w:color w:val="000000"/>
              </w:rPr>
            </w:pPr>
            <w:r w:rsidRPr="00F15FF6">
              <w:rPr>
                <w:rFonts w:ascii="Times New Roman" w:eastAsia="Times New Roman" w:hAnsi="Times New Roman" w:cs="Times New Roman"/>
                <w:b/>
                <w:bCs/>
                <w:i/>
                <w:iCs/>
                <w:color w:val="000000"/>
              </w:rPr>
              <w:t>TOTRISK</w:t>
            </w:r>
          </w:p>
        </w:tc>
        <w:tc>
          <w:tcPr>
            <w:tcW w:w="585" w:type="pct"/>
            <w:tcBorders>
              <w:top w:val="single" w:sz="4" w:space="0" w:color="auto"/>
              <w:left w:val="nil"/>
              <w:bottom w:val="single" w:sz="4" w:space="0" w:color="auto"/>
              <w:right w:val="nil"/>
            </w:tcBorders>
            <w:vAlign w:val="bottom"/>
          </w:tcPr>
          <w:p w14:paraId="0BBDEE6A" w14:textId="77777777" w:rsidR="00662F59" w:rsidRPr="00F15FF6" w:rsidRDefault="00662F59" w:rsidP="00662F59">
            <w:pPr>
              <w:spacing w:after="0" w:line="240" w:lineRule="auto"/>
              <w:rPr>
                <w:rFonts w:ascii="Times New Roman" w:eastAsia="Times New Roman" w:hAnsi="Times New Roman" w:cs="Times New Roman"/>
                <w:b/>
                <w:bCs/>
                <w:i/>
                <w:iCs/>
                <w:color w:val="000000"/>
              </w:rPr>
            </w:pPr>
            <w:r w:rsidRPr="00F15FF6">
              <w:rPr>
                <w:rFonts w:ascii="Times New Roman" w:eastAsia="Times New Roman" w:hAnsi="Times New Roman" w:cs="Times New Roman"/>
                <w:b/>
                <w:bCs/>
                <w:i/>
                <w:iCs/>
                <w:color w:val="000000"/>
              </w:rPr>
              <w:t>IDIORISK</w:t>
            </w:r>
          </w:p>
        </w:tc>
        <w:tc>
          <w:tcPr>
            <w:tcW w:w="585" w:type="pct"/>
            <w:tcBorders>
              <w:top w:val="single" w:sz="4" w:space="0" w:color="auto"/>
              <w:left w:val="nil"/>
              <w:bottom w:val="single" w:sz="4" w:space="0" w:color="auto"/>
              <w:right w:val="nil"/>
            </w:tcBorders>
            <w:shd w:val="clear" w:color="auto" w:fill="auto"/>
            <w:noWrap/>
            <w:vAlign w:val="bottom"/>
            <w:hideMark/>
          </w:tcPr>
          <w:p w14:paraId="1070210B" w14:textId="77777777" w:rsidR="00662F59" w:rsidRPr="00F15FF6" w:rsidRDefault="00662F59" w:rsidP="00662F59">
            <w:pPr>
              <w:spacing w:after="0" w:line="240" w:lineRule="auto"/>
              <w:rPr>
                <w:rFonts w:ascii="Times New Roman" w:eastAsia="Times New Roman" w:hAnsi="Times New Roman" w:cs="Times New Roman"/>
                <w:b/>
                <w:bCs/>
                <w:i/>
                <w:iCs/>
                <w:color w:val="000000"/>
              </w:rPr>
            </w:pPr>
            <w:r w:rsidRPr="00F15FF6">
              <w:rPr>
                <w:rFonts w:ascii="Times New Roman" w:eastAsia="Times New Roman" w:hAnsi="Times New Roman" w:cs="Times New Roman"/>
                <w:b/>
                <w:bCs/>
                <w:i/>
                <w:iCs/>
                <w:color w:val="000000"/>
              </w:rPr>
              <w:t>NCSKEW</w:t>
            </w:r>
          </w:p>
        </w:tc>
        <w:tc>
          <w:tcPr>
            <w:tcW w:w="585" w:type="pct"/>
            <w:tcBorders>
              <w:top w:val="single" w:sz="4" w:space="0" w:color="auto"/>
              <w:left w:val="nil"/>
              <w:bottom w:val="single" w:sz="4" w:space="0" w:color="auto"/>
              <w:right w:val="nil"/>
            </w:tcBorders>
            <w:shd w:val="clear" w:color="auto" w:fill="auto"/>
            <w:noWrap/>
            <w:vAlign w:val="bottom"/>
            <w:hideMark/>
          </w:tcPr>
          <w:p w14:paraId="38B04FE1" w14:textId="77777777" w:rsidR="00662F59" w:rsidRPr="00F15FF6" w:rsidRDefault="00662F59" w:rsidP="00662F59">
            <w:pPr>
              <w:spacing w:after="0" w:line="240" w:lineRule="auto"/>
              <w:rPr>
                <w:rFonts w:ascii="Times New Roman" w:eastAsia="Times New Roman" w:hAnsi="Times New Roman" w:cs="Times New Roman"/>
                <w:b/>
                <w:bCs/>
                <w:i/>
                <w:iCs/>
                <w:color w:val="000000"/>
              </w:rPr>
            </w:pPr>
            <w:r w:rsidRPr="00F15FF6">
              <w:rPr>
                <w:rFonts w:ascii="Times New Roman" w:eastAsia="Times New Roman" w:hAnsi="Times New Roman" w:cs="Times New Roman"/>
                <w:b/>
                <w:bCs/>
                <w:i/>
                <w:iCs/>
                <w:color w:val="000000"/>
              </w:rPr>
              <w:t>DUVOL</w:t>
            </w:r>
          </w:p>
        </w:tc>
        <w:tc>
          <w:tcPr>
            <w:tcW w:w="587" w:type="pct"/>
            <w:tcBorders>
              <w:top w:val="single" w:sz="4" w:space="0" w:color="auto"/>
              <w:left w:val="nil"/>
              <w:bottom w:val="single" w:sz="4" w:space="0" w:color="auto"/>
              <w:right w:val="nil"/>
            </w:tcBorders>
            <w:shd w:val="clear" w:color="auto" w:fill="auto"/>
            <w:noWrap/>
            <w:vAlign w:val="bottom"/>
            <w:hideMark/>
          </w:tcPr>
          <w:p w14:paraId="5EF53D02" w14:textId="77777777" w:rsidR="00662F59" w:rsidRPr="00F15FF6" w:rsidRDefault="00662F59" w:rsidP="00662F59">
            <w:pPr>
              <w:spacing w:after="0" w:line="240" w:lineRule="auto"/>
              <w:rPr>
                <w:rFonts w:ascii="Times New Roman" w:eastAsia="Times New Roman" w:hAnsi="Times New Roman" w:cs="Times New Roman"/>
                <w:b/>
                <w:bCs/>
                <w:i/>
                <w:iCs/>
                <w:color w:val="000000"/>
              </w:rPr>
            </w:pPr>
            <w:r w:rsidRPr="00F15FF6">
              <w:rPr>
                <w:rFonts w:ascii="Times New Roman" w:eastAsia="Times New Roman" w:hAnsi="Times New Roman" w:cs="Times New Roman"/>
                <w:b/>
                <w:bCs/>
                <w:i/>
                <w:iCs/>
                <w:color w:val="000000"/>
              </w:rPr>
              <w:t>COUNT</w:t>
            </w:r>
          </w:p>
        </w:tc>
      </w:tr>
      <w:tr w:rsidR="00662F59" w:rsidRPr="005217FE" w14:paraId="66665263" w14:textId="77777777" w:rsidTr="00811D08">
        <w:trPr>
          <w:trHeight w:val="288"/>
        </w:trPr>
        <w:tc>
          <w:tcPr>
            <w:tcW w:w="1455" w:type="pct"/>
            <w:tcBorders>
              <w:top w:val="nil"/>
              <w:left w:val="nil"/>
              <w:bottom w:val="nil"/>
              <w:right w:val="nil"/>
            </w:tcBorders>
            <w:shd w:val="clear" w:color="auto" w:fill="auto"/>
            <w:noWrap/>
            <w:vAlign w:val="bottom"/>
            <w:hideMark/>
          </w:tcPr>
          <w:p w14:paraId="04ACE220" w14:textId="77777777" w:rsidR="00662F59" w:rsidRPr="00F15FF6" w:rsidRDefault="00662F59" w:rsidP="00662F59">
            <w:pPr>
              <w:spacing w:after="0" w:line="240" w:lineRule="auto"/>
              <w:rPr>
                <w:rFonts w:ascii="Times New Roman" w:eastAsia="Times New Roman" w:hAnsi="Times New Roman" w:cs="Times New Roman"/>
                <w:i/>
                <w:iCs/>
                <w:color w:val="000000"/>
              </w:rPr>
            </w:pPr>
            <w:r w:rsidRPr="00F15FF6">
              <w:rPr>
                <w:rFonts w:ascii="Times New Roman" w:eastAsia="Times New Roman" w:hAnsi="Times New Roman" w:cs="Times New Roman"/>
                <w:i/>
                <w:iCs/>
                <w:color w:val="000000"/>
              </w:rPr>
              <w:t>NONOPERINC</w:t>
            </w:r>
          </w:p>
        </w:tc>
        <w:tc>
          <w:tcPr>
            <w:tcW w:w="618" w:type="pct"/>
            <w:tcBorders>
              <w:top w:val="nil"/>
              <w:left w:val="nil"/>
              <w:bottom w:val="nil"/>
              <w:right w:val="nil"/>
            </w:tcBorders>
            <w:shd w:val="clear" w:color="auto" w:fill="auto"/>
            <w:vAlign w:val="bottom"/>
          </w:tcPr>
          <w:p w14:paraId="776B8E02"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-0.011</w:t>
            </w:r>
          </w:p>
        </w:tc>
        <w:tc>
          <w:tcPr>
            <w:tcW w:w="585" w:type="pct"/>
            <w:tcBorders>
              <w:top w:val="nil"/>
              <w:left w:val="nil"/>
              <w:bottom w:val="nil"/>
              <w:right w:val="nil"/>
            </w:tcBorders>
            <w:shd w:val="clear" w:color="auto" w:fill="auto"/>
            <w:vAlign w:val="bottom"/>
          </w:tcPr>
          <w:p w14:paraId="7433EAC0"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-0.019</w:t>
            </w:r>
          </w:p>
        </w:tc>
        <w:tc>
          <w:tcPr>
            <w:tcW w:w="585" w:type="pct"/>
            <w:tcBorders>
              <w:top w:val="nil"/>
              <w:left w:val="nil"/>
              <w:bottom w:val="nil"/>
              <w:right w:val="nil"/>
            </w:tcBorders>
            <w:shd w:val="clear" w:color="auto" w:fill="auto"/>
            <w:vAlign w:val="bottom"/>
          </w:tcPr>
          <w:p w14:paraId="06C1CAA7"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-0.016</w:t>
            </w:r>
          </w:p>
        </w:tc>
        <w:tc>
          <w:tcPr>
            <w:tcW w:w="585" w:type="pct"/>
            <w:tcBorders>
              <w:top w:val="nil"/>
              <w:left w:val="nil"/>
              <w:bottom w:val="nil"/>
              <w:right w:val="nil"/>
            </w:tcBorders>
            <w:shd w:val="clear" w:color="auto" w:fill="auto"/>
            <w:noWrap/>
            <w:vAlign w:val="bottom"/>
            <w:hideMark/>
          </w:tcPr>
          <w:p w14:paraId="538828BB"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-0.014</w:t>
            </w:r>
          </w:p>
        </w:tc>
        <w:tc>
          <w:tcPr>
            <w:tcW w:w="585" w:type="pct"/>
            <w:tcBorders>
              <w:top w:val="nil"/>
              <w:left w:val="nil"/>
              <w:bottom w:val="nil"/>
              <w:right w:val="nil"/>
            </w:tcBorders>
            <w:shd w:val="clear" w:color="auto" w:fill="auto"/>
            <w:noWrap/>
            <w:vAlign w:val="bottom"/>
            <w:hideMark/>
          </w:tcPr>
          <w:p w14:paraId="298F7363"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-0.015</w:t>
            </w:r>
          </w:p>
        </w:tc>
        <w:tc>
          <w:tcPr>
            <w:tcW w:w="587" w:type="pct"/>
            <w:tcBorders>
              <w:top w:val="nil"/>
              <w:left w:val="nil"/>
              <w:bottom w:val="nil"/>
              <w:right w:val="nil"/>
            </w:tcBorders>
            <w:shd w:val="clear" w:color="auto" w:fill="auto"/>
            <w:noWrap/>
            <w:vAlign w:val="bottom"/>
            <w:hideMark/>
          </w:tcPr>
          <w:p w14:paraId="7F4A748D"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-0.006</w:t>
            </w:r>
          </w:p>
        </w:tc>
      </w:tr>
      <w:tr w:rsidR="00662F59" w:rsidRPr="005217FE" w14:paraId="6AB28092" w14:textId="77777777" w:rsidTr="00811D08">
        <w:trPr>
          <w:trHeight w:val="288"/>
        </w:trPr>
        <w:tc>
          <w:tcPr>
            <w:tcW w:w="1455" w:type="pct"/>
            <w:tcBorders>
              <w:top w:val="nil"/>
              <w:left w:val="nil"/>
              <w:bottom w:val="nil"/>
              <w:right w:val="nil"/>
            </w:tcBorders>
            <w:shd w:val="clear" w:color="auto" w:fill="auto"/>
            <w:noWrap/>
            <w:vAlign w:val="bottom"/>
            <w:hideMark/>
          </w:tcPr>
          <w:p w14:paraId="7E7381E5" w14:textId="77777777" w:rsidR="00662F59" w:rsidRPr="00F15FF6" w:rsidRDefault="00662F59" w:rsidP="00662F59">
            <w:pPr>
              <w:spacing w:after="0" w:line="240" w:lineRule="auto"/>
              <w:rPr>
                <w:rFonts w:ascii="Times New Roman" w:eastAsia="Times New Roman" w:hAnsi="Times New Roman" w:cs="Times New Roman"/>
                <w:color w:val="000000"/>
              </w:rPr>
            </w:pPr>
          </w:p>
        </w:tc>
        <w:tc>
          <w:tcPr>
            <w:tcW w:w="618" w:type="pct"/>
            <w:tcBorders>
              <w:top w:val="nil"/>
              <w:left w:val="nil"/>
              <w:bottom w:val="nil"/>
              <w:right w:val="nil"/>
            </w:tcBorders>
            <w:shd w:val="clear" w:color="auto" w:fill="auto"/>
            <w:vAlign w:val="bottom"/>
          </w:tcPr>
          <w:p w14:paraId="304B178B"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(-2.168**)</w:t>
            </w:r>
          </w:p>
        </w:tc>
        <w:tc>
          <w:tcPr>
            <w:tcW w:w="585" w:type="pct"/>
            <w:tcBorders>
              <w:top w:val="nil"/>
              <w:left w:val="nil"/>
              <w:bottom w:val="nil"/>
              <w:right w:val="nil"/>
            </w:tcBorders>
            <w:shd w:val="clear" w:color="auto" w:fill="auto"/>
            <w:vAlign w:val="bottom"/>
          </w:tcPr>
          <w:p w14:paraId="4BD2F1F5"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(-4.425***)</w:t>
            </w:r>
          </w:p>
        </w:tc>
        <w:tc>
          <w:tcPr>
            <w:tcW w:w="585" w:type="pct"/>
            <w:tcBorders>
              <w:top w:val="nil"/>
              <w:left w:val="nil"/>
              <w:bottom w:val="nil"/>
              <w:right w:val="nil"/>
            </w:tcBorders>
            <w:shd w:val="clear" w:color="auto" w:fill="auto"/>
            <w:vAlign w:val="bottom"/>
          </w:tcPr>
          <w:p w14:paraId="76992243"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(-3.765***)</w:t>
            </w:r>
          </w:p>
        </w:tc>
        <w:tc>
          <w:tcPr>
            <w:tcW w:w="585" w:type="pct"/>
            <w:tcBorders>
              <w:top w:val="nil"/>
              <w:left w:val="nil"/>
              <w:bottom w:val="nil"/>
              <w:right w:val="nil"/>
            </w:tcBorders>
            <w:shd w:val="clear" w:color="auto" w:fill="auto"/>
            <w:noWrap/>
            <w:vAlign w:val="bottom"/>
            <w:hideMark/>
          </w:tcPr>
          <w:p w14:paraId="6BC45182"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(-2.405**)</w:t>
            </w:r>
          </w:p>
        </w:tc>
        <w:tc>
          <w:tcPr>
            <w:tcW w:w="585" w:type="pct"/>
            <w:tcBorders>
              <w:top w:val="nil"/>
              <w:left w:val="nil"/>
              <w:bottom w:val="nil"/>
              <w:right w:val="nil"/>
            </w:tcBorders>
            <w:shd w:val="clear" w:color="auto" w:fill="auto"/>
            <w:noWrap/>
            <w:vAlign w:val="bottom"/>
            <w:hideMark/>
          </w:tcPr>
          <w:p w14:paraId="6577DB17"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(-2.492**)</w:t>
            </w:r>
          </w:p>
        </w:tc>
        <w:tc>
          <w:tcPr>
            <w:tcW w:w="587" w:type="pct"/>
            <w:tcBorders>
              <w:top w:val="nil"/>
              <w:left w:val="nil"/>
              <w:bottom w:val="nil"/>
              <w:right w:val="nil"/>
            </w:tcBorders>
            <w:shd w:val="clear" w:color="auto" w:fill="auto"/>
            <w:noWrap/>
            <w:vAlign w:val="bottom"/>
            <w:hideMark/>
          </w:tcPr>
          <w:p w14:paraId="421CECBA"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(-2.075**)</w:t>
            </w:r>
          </w:p>
        </w:tc>
      </w:tr>
      <w:tr w:rsidR="00662F59" w:rsidRPr="005217FE" w14:paraId="51E9F356" w14:textId="77777777" w:rsidTr="00811D08">
        <w:trPr>
          <w:trHeight w:val="288"/>
        </w:trPr>
        <w:tc>
          <w:tcPr>
            <w:tcW w:w="1455" w:type="pct"/>
            <w:tcBorders>
              <w:top w:val="nil"/>
              <w:left w:val="nil"/>
              <w:bottom w:val="nil"/>
              <w:right w:val="nil"/>
            </w:tcBorders>
            <w:shd w:val="clear" w:color="auto" w:fill="auto"/>
            <w:noWrap/>
            <w:vAlign w:val="bottom"/>
            <w:hideMark/>
          </w:tcPr>
          <w:p w14:paraId="5CFB5B8C" w14:textId="77777777" w:rsidR="00662F59" w:rsidRPr="00F15FF6" w:rsidRDefault="00662F59" w:rsidP="00662F59">
            <w:pPr>
              <w:spacing w:after="0" w:line="240" w:lineRule="auto"/>
              <w:rPr>
                <w:rFonts w:ascii="Times New Roman" w:eastAsia="Times New Roman" w:hAnsi="Times New Roman" w:cs="Times New Roman"/>
                <w:i/>
                <w:iCs/>
                <w:color w:val="000000"/>
              </w:rPr>
            </w:pPr>
            <w:r w:rsidRPr="00F15FF6">
              <w:rPr>
                <w:rFonts w:ascii="Times New Roman" w:eastAsia="Times New Roman" w:hAnsi="Times New Roman" w:cs="Times New Roman"/>
                <w:i/>
                <w:iCs/>
                <w:color w:val="000000"/>
              </w:rPr>
              <w:t>OPERINC</w:t>
            </w:r>
          </w:p>
        </w:tc>
        <w:tc>
          <w:tcPr>
            <w:tcW w:w="618" w:type="pct"/>
            <w:tcBorders>
              <w:top w:val="nil"/>
              <w:left w:val="nil"/>
              <w:bottom w:val="nil"/>
              <w:right w:val="nil"/>
            </w:tcBorders>
            <w:shd w:val="clear" w:color="auto" w:fill="auto"/>
            <w:vAlign w:val="bottom"/>
          </w:tcPr>
          <w:p w14:paraId="31F3E306"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-0.402</w:t>
            </w:r>
          </w:p>
        </w:tc>
        <w:tc>
          <w:tcPr>
            <w:tcW w:w="585" w:type="pct"/>
            <w:tcBorders>
              <w:top w:val="nil"/>
              <w:left w:val="nil"/>
              <w:bottom w:val="nil"/>
              <w:right w:val="nil"/>
            </w:tcBorders>
            <w:shd w:val="clear" w:color="auto" w:fill="auto"/>
            <w:vAlign w:val="bottom"/>
          </w:tcPr>
          <w:p w14:paraId="74593CDC"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-0.208</w:t>
            </w:r>
          </w:p>
        </w:tc>
        <w:tc>
          <w:tcPr>
            <w:tcW w:w="585" w:type="pct"/>
            <w:tcBorders>
              <w:top w:val="nil"/>
              <w:left w:val="nil"/>
              <w:bottom w:val="nil"/>
              <w:right w:val="nil"/>
            </w:tcBorders>
            <w:shd w:val="clear" w:color="auto" w:fill="auto"/>
            <w:vAlign w:val="bottom"/>
          </w:tcPr>
          <w:p w14:paraId="1E80C267"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-0.215</w:t>
            </w:r>
          </w:p>
        </w:tc>
        <w:tc>
          <w:tcPr>
            <w:tcW w:w="585" w:type="pct"/>
            <w:tcBorders>
              <w:top w:val="nil"/>
              <w:left w:val="nil"/>
              <w:bottom w:val="nil"/>
              <w:right w:val="nil"/>
            </w:tcBorders>
            <w:shd w:val="clear" w:color="auto" w:fill="auto"/>
            <w:noWrap/>
            <w:vAlign w:val="bottom"/>
            <w:hideMark/>
          </w:tcPr>
          <w:p w14:paraId="4CAEB445"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-0.048</w:t>
            </w:r>
          </w:p>
        </w:tc>
        <w:tc>
          <w:tcPr>
            <w:tcW w:w="585" w:type="pct"/>
            <w:tcBorders>
              <w:top w:val="nil"/>
              <w:left w:val="nil"/>
              <w:bottom w:val="nil"/>
              <w:right w:val="nil"/>
            </w:tcBorders>
            <w:shd w:val="clear" w:color="auto" w:fill="auto"/>
            <w:noWrap/>
            <w:vAlign w:val="bottom"/>
            <w:hideMark/>
          </w:tcPr>
          <w:p w14:paraId="6546A683"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-0.060</w:t>
            </w:r>
          </w:p>
        </w:tc>
        <w:tc>
          <w:tcPr>
            <w:tcW w:w="587" w:type="pct"/>
            <w:tcBorders>
              <w:top w:val="nil"/>
              <w:left w:val="nil"/>
              <w:bottom w:val="nil"/>
              <w:right w:val="nil"/>
            </w:tcBorders>
            <w:shd w:val="clear" w:color="auto" w:fill="auto"/>
            <w:noWrap/>
            <w:vAlign w:val="bottom"/>
            <w:hideMark/>
          </w:tcPr>
          <w:p w14:paraId="626EDB8F"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-0.027</w:t>
            </w:r>
          </w:p>
        </w:tc>
      </w:tr>
      <w:tr w:rsidR="00662F59" w:rsidRPr="005217FE" w14:paraId="23D70A2E" w14:textId="77777777" w:rsidTr="00811D08">
        <w:trPr>
          <w:trHeight w:val="288"/>
        </w:trPr>
        <w:tc>
          <w:tcPr>
            <w:tcW w:w="1455" w:type="pct"/>
            <w:tcBorders>
              <w:top w:val="nil"/>
              <w:left w:val="nil"/>
              <w:bottom w:val="nil"/>
              <w:right w:val="nil"/>
            </w:tcBorders>
            <w:shd w:val="clear" w:color="auto" w:fill="auto"/>
            <w:noWrap/>
            <w:vAlign w:val="bottom"/>
            <w:hideMark/>
          </w:tcPr>
          <w:p w14:paraId="172903C9" w14:textId="77777777" w:rsidR="00662F59" w:rsidRPr="00F15FF6" w:rsidRDefault="00662F59" w:rsidP="00662F59">
            <w:pPr>
              <w:spacing w:after="0" w:line="240" w:lineRule="auto"/>
              <w:rPr>
                <w:rFonts w:ascii="Times New Roman" w:eastAsia="Times New Roman" w:hAnsi="Times New Roman" w:cs="Times New Roman"/>
                <w:color w:val="000000"/>
              </w:rPr>
            </w:pPr>
          </w:p>
        </w:tc>
        <w:tc>
          <w:tcPr>
            <w:tcW w:w="618" w:type="pct"/>
            <w:tcBorders>
              <w:top w:val="nil"/>
              <w:left w:val="nil"/>
              <w:bottom w:val="nil"/>
              <w:right w:val="nil"/>
            </w:tcBorders>
            <w:shd w:val="clear" w:color="auto" w:fill="auto"/>
            <w:vAlign w:val="bottom"/>
          </w:tcPr>
          <w:p w14:paraId="1B82EBD2"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(-52.376***)</w:t>
            </w:r>
          </w:p>
        </w:tc>
        <w:tc>
          <w:tcPr>
            <w:tcW w:w="585" w:type="pct"/>
            <w:tcBorders>
              <w:top w:val="nil"/>
              <w:left w:val="nil"/>
              <w:bottom w:val="nil"/>
              <w:right w:val="nil"/>
            </w:tcBorders>
            <w:shd w:val="clear" w:color="auto" w:fill="auto"/>
            <w:vAlign w:val="bottom"/>
          </w:tcPr>
          <w:p w14:paraId="089D9ACE"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(-28.091***)</w:t>
            </w:r>
          </w:p>
        </w:tc>
        <w:tc>
          <w:tcPr>
            <w:tcW w:w="585" w:type="pct"/>
            <w:tcBorders>
              <w:top w:val="nil"/>
              <w:left w:val="nil"/>
              <w:bottom w:val="nil"/>
              <w:right w:val="nil"/>
            </w:tcBorders>
            <w:shd w:val="clear" w:color="auto" w:fill="auto"/>
            <w:vAlign w:val="bottom"/>
          </w:tcPr>
          <w:p w14:paraId="21487734"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(-28.611***)</w:t>
            </w:r>
          </w:p>
        </w:tc>
        <w:tc>
          <w:tcPr>
            <w:tcW w:w="585" w:type="pct"/>
            <w:tcBorders>
              <w:top w:val="nil"/>
              <w:left w:val="nil"/>
              <w:bottom w:val="nil"/>
              <w:right w:val="nil"/>
            </w:tcBorders>
            <w:shd w:val="clear" w:color="auto" w:fill="auto"/>
            <w:noWrap/>
            <w:vAlign w:val="bottom"/>
            <w:hideMark/>
          </w:tcPr>
          <w:p w14:paraId="7411B95D"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(-5.660***)</w:t>
            </w:r>
          </w:p>
        </w:tc>
        <w:tc>
          <w:tcPr>
            <w:tcW w:w="585" w:type="pct"/>
            <w:tcBorders>
              <w:top w:val="nil"/>
              <w:left w:val="nil"/>
              <w:bottom w:val="nil"/>
              <w:right w:val="nil"/>
            </w:tcBorders>
            <w:shd w:val="clear" w:color="auto" w:fill="auto"/>
            <w:noWrap/>
            <w:vAlign w:val="bottom"/>
            <w:hideMark/>
          </w:tcPr>
          <w:p w14:paraId="67011CD1"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(-7.052***)</w:t>
            </w:r>
          </w:p>
        </w:tc>
        <w:tc>
          <w:tcPr>
            <w:tcW w:w="587" w:type="pct"/>
            <w:tcBorders>
              <w:top w:val="nil"/>
              <w:left w:val="nil"/>
              <w:bottom w:val="nil"/>
              <w:right w:val="nil"/>
            </w:tcBorders>
            <w:shd w:val="clear" w:color="auto" w:fill="auto"/>
            <w:noWrap/>
            <w:vAlign w:val="bottom"/>
            <w:hideMark/>
          </w:tcPr>
          <w:p w14:paraId="30BB7DD4"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(-3.235***)</w:t>
            </w:r>
          </w:p>
        </w:tc>
      </w:tr>
      <w:tr w:rsidR="00662F59" w:rsidRPr="005217FE" w14:paraId="1A4A50E4" w14:textId="77777777" w:rsidTr="00811D08">
        <w:trPr>
          <w:trHeight w:val="288"/>
        </w:trPr>
        <w:tc>
          <w:tcPr>
            <w:tcW w:w="1455" w:type="pct"/>
            <w:tcBorders>
              <w:top w:val="nil"/>
              <w:left w:val="nil"/>
              <w:bottom w:val="nil"/>
              <w:right w:val="nil"/>
            </w:tcBorders>
            <w:shd w:val="clear" w:color="auto" w:fill="auto"/>
            <w:noWrap/>
            <w:vAlign w:val="bottom"/>
            <w:hideMark/>
          </w:tcPr>
          <w:p w14:paraId="0BAE4A3A" w14:textId="77777777" w:rsidR="00662F59" w:rsidRPr="00F15FF6" w:rsidRDefault="00662F59" w:rsidP="00662F59">
            <w:pPr>
              <w:spacing w:after="0" w:line="240" w:lineRule="auto"/>
              <w:rPr>
                <w:rFonts w:ascii="Times New Roman" w:eastAsia="Times New Roman" w:hAnsi="Times New Roman" w:cs="Times New Roman"/>
                <w:i/>
                <w:iCs/>
                <w:color w:val="000000"/>
              </w:rPr>
            </w:pPr>
            <w:r w:rsidRPr="00F15FF6">
              <w:rPr>
                <w:rFonts w:ascii="Times New Roman" w:eastAsia="Times New Roman" w:hAnsi="Times New Roman" w:cs="Times New Roman"/>
                <w:i/>
                <w:iCs/>
                <w:color w:val="000000"/>
              </w:rPr>
              <w:t>NON-OPERATING ASSET RATIO</w:t>
            </w:r>
          </w:p>
        </w:tc>
        <w:tc>
          <w:tcPr>
            <w:tcW w:w="618" w:type="pct"/>
            <w:tcBorders>
              <w:top w:val="nil"/>
              <w:left w:val="nil"/>
              <w:bottom w:val="nil"/>
              <w:right w:val="nil"/>
            </w:tcBorders>
            <w:shd w:val="clear" w:color="auto" w:fill="auto"/>
            <w:vAlign w:val="bottom"/>
          </w:tcPr>
          <w:p w14:paraId="3862396F"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-0.115</w:t>
            </w:r>
          </w:p>
        </w:tc>
        <w:tc>
          <w:tcPr>
            <w:tcW w:w="585" w:type="pct"/>
            <w:tcBorders>
              <w:top w:val="nil"/>
              <w:left w:val="nil"/>
              <w:bottom w:val="nil"/>
              <w:right w:val="nil"/>
            </w:tcBorders>
            <w:shd w:val="clear" w:color="auto" w:fill="auto"/>
            <w:vAlign w:val="bottom"/>
          </w:tcPr>
          <w:p w14:paraId="2B42312A"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-0.088</w:t>
            </w:r>
          </w:p>
        </w:tc>
        <w:tc>
          <w:tcPr>
            <w:tcW w:w="585" w:type="pct"/>
            <w:tcBorders>
              <w:top w:val="nil"/>
              <w:left w:val="nil"/>
              <w:bottom w:val="nil"/>
              <w:right w:val="nil"/>
            </w:tcBorders>
            <w:shd w:val="clear" w:color="auto" w:fill="auto"/>
            <w:vAlign w:val="bottom"/>
          </w:tcPr>
          <w:p w14:paraId="2564E9EE"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-0.085</w:t>
            </w:r>
          </w:p>
        </w:tc>
        <w:tc>
          <w:tcPr>
            <w:tcW w:w="585" w:type="pct"/>
            <w:tcBorders>
              <w:top w:val="nil"/>
              <w:left w:val="nil"/>
              <w:bottom w:val="nil"/>
              <w:right w:val="nil"/>
            </w:tcBorders>
            <w:shd w:val="clear" w:color="auto" w:fill="auto"/>
            <w:noWrap/>
            <w:vAlign w:val="bottom"/>
            <w:hideMark/>
          </w:tcPr>
          <w:p w14:paraId="2B6F28DA"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0.019</w:t>
            </w:r>
          </w:p>
        </w:tc>
        <w:tc>
          <w:tcPr>
            <w:tcW w:w="585" w:type="pct"/>
            <w:tcBorders>
              <w:top w:val="nil"/>
              <w:left w:val="nil"/>
              <w:bottom w:val="nil"/>
              <w:right w:val="nil"/>
            </w:tcBorders>
            <w:shd w:val="clear" w:color="auto" w:fill="auto"/>
            <w:noWrap/>
            <w:vAlign w:val="bottom"/>
            <w:hideMark/>
          </w:tcPr>
          <w:p w14:paraId="627F016B"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0.024</w:t>
            </w:r>
          </w:p>
        </w:tc>
        <w:tc>
          <w:tcPr>
            <w:tcW w:w="587" w:type="pct"/>
            <w:tcBorders>
              <w:top w:val="nil"/>
              <w:left w:val="nil"/>
              <w:bottom w:val="nil"/>
              <w:right w:val="nil"/>
            </w:tcBorders>
            <w:shd w:val="clear" w:color="auto" w:fill="auto"/>
            <w:noWrap/>
            <w:vAlign w:val="bottom"/>
            <w:hideMark/>
          </w:tcPr>
          <w:p w14:paraId="3D6657FD"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0.008</w:t>
            </w:r>
          </w:p>
        </w:tc>
      </w:tr>
      <w:tr w:rsidR="00662F59" w:rsidRPr="005217FE" w14:paraId="3AA6B478" w14:textId="77777777" w:rsidTr="00811D08">
        <w:trPr>
          <w:trHeight w:val="288"/>
        </w:trPr>
        <w:tc>
          <w:tcPr>
            <w:tcW w:w="1455" w:type="pct"/>
            <w:tcBorders>
              <w:top w:val="nil"/>
              <w:left w:val="nil"/>
              <w:bottom w:val="nil"/>
              <w:right w:val="nil"/>
            </w:tcBorders>
            <w:shd w:val="clear" w:color="auto" w:fill="auto"/>
            <w:noWrap/>
            <w:vAlign w:val="bottom"/>
            <w:hideMark/>
          </w:tcPr>
          <w:p w14:paraId="300DF559" w14:textId="77777777" w:rsidR="00662F59" w:rsidRPr="00F15FF6" w:rsidRDefault="00662F59" w:rsidP="00662F59">
            <w:pPr>
              <w:spacing w:after="0" w:line="240" w:lineRule="auto"/>
              <w:rPr>
                <w:rFonts w:ascii="Times New Roman" w:eastAsia="Times New Roman" w:hAnsi="Times New Roman" w:cs="Times New Roman"/>
                <w:color w:val="000000"/>
              </w:rPr>
            </w:pPr>
          </w:p>
        </w:tc>
        <w:tc>
          <w:tcPr>
            <w:tcW w:w="618" w:type="pct"/>
            <w:tcBorders>
              <w:top w:val="nil"/>
              <w:left w:val="nil"/>
              <w:bottom w:val="nil"/>
              <w:right w:val="nil"/>
            </w:tcBorders>
            <w:shd w:val="clear" w:color="auto" w:fill="auto"/>
            <w:vAlign w:val="bottom"/>
          </w:tcPr>
          <w:p w14:paraId="228A2BDA"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(-17.356***)</w:t>
            </w:r>
          </w:p>
        </w:tc>
        <w:tc>
          <w:tcPr>
            <w:tcW w:w="585" w:type="pct"/>
            <w:tcBorders>
              <w:top w:val="nil"/>
              <w:left w:val="nil"/>
              <w:bottom w:val="nil"/>
              <w:right w:val="nil"/>
            </w:tcBorders>
            <w:shd w:val="clear" w:color="auto" w:fill="auto"/>
            <w:vAlign w:val="bottom"/>
          </w:tcPr>
          <w:p w14:paraId="29C11FD7"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(-10.853***)</w:t>
            </w:r>
          </w:p>
        </w:tc>
        <w:tc>
          <w:tcPr>
            <w:tcW w:w="585" w:type="pct"/>
            <w:tcBorders>
              <w:top w:val="nil"/>
              <w:left w:val="nil"/>
              <w:bottom w:val="nil"/>
              <w:right w:val="nil"/>
            </w:tcBorders>
            <w:shd w:val="clear" w:color="auto" w:fill="auto"/>
            <w:vAlign w:val="bottom"/>
          </w:tcPr>
          <w:p w14:paraId="70EF462E"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(-10.083***)</w:t>
            </w:r>
          </w:p>
        </w:tc>
        <w:tc>
          <w:tcPr>
            <w:tcW w:w="585" w:type="pct"/>
            <w:tcBorders>
              <w:top w:val="nil"/>
              <w:left w:val="nil"/>
              <w:bottom w:val="nil"/>
              <w:right w:val="nil"/>
            </w:tcBorders>
            <w:shd w:val="clear" w:color="auto" w:fill="auto"/>
            <w:noWrap/>
            <w:vAlign w:val="bottom"/>
            <w:hideMark/>
          </w:tcPr>
          <w:p w14:paraId="26645311"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(1.685*)</w:t>
            </w:r>
          </w:p>
        </w:tc>
        <w:tc>
          <w:tcPr>
            <w:tcW w:w="585" w:type="pct"/>
            <w:tcBorders>
              <w:top w:val="nil"/>
              <w:left w:val="nil"/>
              <w:bottom w:val="nil"/>
              <w:right w:val="nil"/>
            </w:tcBorders>
            <w:shd w:val="clear" w:color="auto" w:fill="auto"/>
            <w:noWrap/>
            <w:vAlign w:val="bottom"/>
            <w:hideMark/>
          </w:tcPr>
          <w:p w14:paraId="71D36C7E"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(2.174**)</w:t>
            </w:r>
          </w:p>
        </w:tc>
        <w:tc>
          <w:tcPr>
            <w:tcW w:w="587" w:type="pct"/>
            <w:tcBorders>
              <w:top w:val="nil"/>
              <w:left w:val="nil"/>
              <w:bottom w:val="nil"/>
              <w:right w:val="nil"/>
            </w:tcBorders>
            <w:shd w:val="clear" w:color="auto" w:fill="auto"/>
            <w:noWrap/>
            <w:vAlign w:val="bottom"/>
            <w:hideMark/>
          </w:tcPr>
          <w:p w14:paraId="56F61C40"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(0.632)</w:t>
            </w:r>
          </w:p>
        </w:tc>
      </w:tr>
      <w:tr w:rsidR="00662F59" w:rsidRPr="005217FE" w14:paraId="5922DC97" w14:textId="77777777" w:rsidTr="00811D08">
        <w:trPr>
          <w:trHeight w:val="288"/>
        </w:trPr>
        <w:tc>
          <w:tcPr>
            <w:tcW w:w="1455" w:type="pct"/>
            <w:tcBorders>
              <w:top w:val="nil"/>
              <w:left w:val="nil"/>
              <w:bottom w:val="nil"/>
              <w:right w:val="nil"/>
            </w:tcBorders>
            <w:shd w:val="clear" w:color="auto" w:fill="auto"/>
            <w:noWrap/>
            <w:vAlign w:val="bottom"/>
            <w:hideMark/>
          </w:tcPr>
          <w:p w14:paraId="286624AE" w14:textId="77777777" w:rsidR="00662F59" w:rsidRPr="00F15FF6" w:rsidRDefault="00662F59" w:rsidP="00662F59">
            <w:pPr>
              <w:spacing w:after="0" w:line="240" w:lineRule="auto"/>
              <w:rPr>
                <w:rFonts w:ascii="Times New Roman" w:eastAsia="Times New Roman" w:hAnsi="Times New Roman" w:cs="Times New Roman"/>
                <w:i/>
                <w:iCs/>
                <w:color w:val="000000"/>
              </w:rPr>
            </w:pPr>
            <w:r w:rsidRPr="00F15FF6">
              <w:rPr>
                <w:rFonts w:ascii="Times New Roman" w:eastAsia="Times New Roman" w:hAnsi="Times New Roman" w:cs="Times New Roman"/>
                <w:i/>
                <w:iCs/>
                <w:color w:val="000000"/>
              </w:rPr>
              <w:t>OPERATING ASSET RATIO</w:t>
            </w:r>
          </w:p>
        </w:tc>
        <w:tc>
          <w:tcPr>
            <w:tcW w:w="618" w:type="pct"/>
            <w:tcBorders>
              <w:top w:val="nil"/>
              <w:left w:val="nil"/>
              <w:bottom w:val="nil"/>
              <w:right w:val="nil"/>
            </w:tcBorders>
            <w:shd w:val="clear" w:color="auto" w:fill="auto"/>
            <w:vAlign w:val="bottom"/>
          </w:tcPr>
          <w:p w14:paraId="7199ECD1"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-0.095</w:t>
            </w:r>
          </w:p>
        </w:tc>
        <w:tc>
          <w:tcPr>
            <w:tcW w:w="585" w:type="pct"/>
            <w:tcBorders>
              <w:top w:val="nil"/>
              <w:left w:val="nil"/>
              <w:bottom w:val="nil"/>
              <w:right w:val="nil"/>
            </w:tcBorders>
            <w:shd w:val="clear" w:color="auto" w:fill="auto"/>
            <w:vAlign w:val="bottom"/>
          </w:tcPr>
          <w:p w14:paraId="391F0450"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-0.088</w:t>
            </w:r>
          </w:p>
        </w:tc>
        <w:tc>
          <w:tcPr>
            <w:tcW w:w="585" w:type="pct"/>
            <w:tcBorders>
              <w:top w:val="nil"/>
              <w:left w:val="nil"/>
              <w:bottom w:val="nil"/>
              <w:right w:val="nil"/>
            </w:tcBorders>
            <w:shd w:val="clear" w:color="auto" w:fill="auto"/>
            <w:vAlign w:val="bottom"/>
          </w:tcPr>
          <w:p w14:paraId="75F54A99"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-0.090</w:t>
            </w:r>
          </w:p>
        </w:tc>
        <w:tc>
          <w:tcPr>
            <w:tcW w:w="585" w:type="pct"/>
            <w:tcBorders>
              <w:top w:val="nil"/>
              <w:left w:val="nil"/>
              <w:bottom w:val="nil"/>
              <w:right w:val="nil"/>
            </w:tcBorders>
            <w:shd w:val="clear" w:color="auto" w:fill="auto"/>
            <w:noWrap/>
            <w:vAlign w:val="bottom"/>
            <w:hideMark/>
          </w:tcPr>
          <w:p w14:paraId="5E3BD21B"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0.026</w:t>
            </w:r>
          </w:p>
        </w:tc>
        <w:tc>
          <w:tcPr>
            <w:tcW w:w="585" w:type="pct"/>
            <w:tcBorders>
              <w:top w:val="nil"/>
              <w:left w:val="nil"/>
              <w:bottom w:val="nil"/>
              <w:right w:val="nil"/>
            </w:tcBorders>
            <w:shd w:val="clear" w:color="auto" w:fill="auto"/>
            <w:noWrap/>
            <w:vAlign w:val="bottom"/>
            <w:hideMark/>
          </w:tcPr>
          <w:p w14:paraId="37F83FD5"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0.029</w:t>
            </w:r>
          </w:p>
        </w:tc>
        <w:tc>
          <w:tcPr>
            <w:tcW w:w="587" w:type="pct"/>
            <w:tcBorders>
              <w:top w:val="nil"/>
              <w:left w:val="nil"/>
              <w:bottom w:val="nil"/>
              <w:right w:val="nil"/>
            </w:tcBorders>
            <w:shd w:val="clear" w:color="auto" w:fill="auto"/>
            <w:noWrap/>
            <w:vAlign w:val="bottom"/>
            <w:hideMark/>
          </w:tcPr>
          <w:p w14:paraId="49B5A90B"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0.017</w:t>
            </w:r>
          </w:p>
        </w:tc>
      </w:tr>
      <w:tr w:rsidR="00662F59" w:rsidRPr="005217FE" w14:paraId="6E8C813F" w14:textId="77777777" w:rsidTr="00811D08">
        <w:trPr>
          <w:trHeight w:val="288"/>
        </w:trPr>
        <w:tc>
          <w:tcPr>
            <w:tcW w:w="1455" w:type="pct"/>
            <w:tcBorders>
              <w:top w:val="nil"/>
              <w:left w:val="nil"/>
              <w:bottom w:val="nil"/>
              <w:right w:val="nil"/>
            </w:tcBorders>
            <w:shd w:val="clear" w:color="auto" w:fill="auto"/>
            <w:noWrap/>
            <w:vAlign w:val="bottom"/>
            <w:hideMark/>
          </w:tcPr>
          <w:p w14:paraId="297585A4" w14:textId="77777777" w:rsidR="00662F59" w:rsidRPr="00F15FF6" w:rsidRDefault="00662F59" w:rsidP="00662F59">
            <w:pPr>
              <w:spacing w:after="0" w:line="240" w:lineRule="auto"/>
              <w:rPr>
                <w:rFonts w:ascii="Times New Roman" w:eastAsia="Times New Roman" w:hAnsi="Times New Roman" w:cs="Times New Roman"/>
                <w:color w:val="000000"/>
              </w:rPr>
            </w:pPr>
          </w:p>
        </w:tc>
        <w:tc>
          <w:tcPr>
            <w:tcW w:w="618" w:type="pct"/>
            <w:tcBorders>
              <w:top w:val="nil"/>
              <w:left w:val="nil"/>
              <w:bottom w:val="nil"/>
              <w:right w:val="nil"/>
            </w:tcBorders>
            <w:shd w:val="clear" w:color="auto" w:fill="auto"/>
            <w:vAlign w:val="bottom"/>
          </w:tcPr>
          <w:p w14:paraId="1C94B6ED"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(-15.044***)</w:t>
            </w:r>
          </w:p>
        </w:tc>
        <w:tc>
          <w:tcPr>
            <w:tcW w:w="585" w:type="pct"/>
            <w:tcBorders>
              <w:top w:val="nil"/>
              <w:left w:val="nil"/>
              <w:bottom w:val="nil"/>
              <w:right w:val="nil"/>
            </w:tcBorders>
            <w:shd w:val="clear" w:color="auto" w:fill="auto"/>
            <w:vAlign w:val="bottom"/>
          </w:tcPr>
          <w:p w14:paraId="103A6D7B"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(-10.984***)</w:t>
            </w:r>
          </w:p>
        </w:tc>
        <w:tc>
          <w:tcPr>
            <w:tcW w:w="585" w:type="pct"/>
            <w:tcBorders>
              <w:top w:val="nil"/>
              <w:left w:val="nil"/>
              <w:bottom w:val="nil"/>
              <w:right w:val="nil"/>
            </w:tcBorders>
            <w:shd w:val="clear" w:color="auto" w:fill="auto"/>
            <w:vAlign w:val="bottom"/>
          </w:tcPr>
          <w:p w14:paraId="2C86B0D2"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(-10.858***)</w:t>
            </w:r>
          </w:p>
        </w:tc>
        <w:tc>
          <w:tcPr>
            <w:tcW w:w="585" w:type="pct"/>
            <w:tcBorders>
              <w:top w:val="nil"/>
              <w:left w:val="nil"/>
              <w:bottom w:val="nil"/>
              <w:right w:val="nil"/>
            </w:tcBorders>
            <w:shd w:val="clear" w:color="auto" w:fill="auto"/>
            <w:noWrap/>
            <w:vAlign w:val="bottom"/>
            <w:hideMark/>
          </w:tcPr>
          <w:p w14:paraId="463A376A"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(2.298**)</w:t>
            </w:r>
          </w:p>
        </w:tc>
        <w:tc>
          <w:tcPr>
            <w:tcW w:w="585" w:type="pct"/>
            <w:tcBorders>
              <w:top w:val="nil"/>
              <w:left w:val="nil"/>
              <w:bottom w:val="nil"/>
              <w:right w:val="nil"/>
            </w:tcBorders>
            <w:shd w:val="clear" w:color="auto" w:fill="auto"/>
            <w:noWrap/>
            <w:vAlign w:val="bottom"/>
            <w:hideMark/>
          </w:tcPr>
          <w:p w14:paraId="426CB027"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(2.647***)</w:t>
            </w:r>
          </w:p>
        </w:tc>
        <w:tc>
          <w:tcPr>
            <w:tcW w:w="587" w:type="pct"/>
            <w:tcBorders>
              <w:top w:val="nil"/>
              <w:left w:val="nil"/>
              <w:bottom w:val="nil"/>
              <w:right w:val="nil"/>
            </w:tcBorders>
            <w:shd w:val="clear" w:color="auto" w:fill="auto"/>
            <w:noWrap/>
            <w:vAlign w:val="bottom"/>
            <w:hideMark/>
          </w:tcPr>
          <w:p w14:paraId="5EAEAF6B"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(1.543)</w:t>
            </w:r>
          </w:p>
        </w:tc>
      </w:tr>
      <w:tr w:rsidR="00987918" w:rsidRPr="005217FE" w14:paraId="362FF8F0" w14:textId="77777777" w:rsidTr="00987918">
        <w:trPr>
          <w:trHeight w:val="288"/>
        </w:trPr>
        <w:tc>
          <w:tcPr>
            <w:tcW w:w="2073" w:type="pct"/>
            <w:gridSpan w:val="2"/>
            <w:tcBorders>
              <w:top w:val="nil"/>
              <w:left w:val="nil"/>
              <w:bottom w:val="nil"/>
              <w:right w:val="nil"/>
            </w:tcBorders>
            <w:shd w:val="clear" w:color="auto" w:fill="auto"/>
            <w:noWrap/>
            <w:vAlign w:val="bottom"/>
            <w:hideMark/>
          </w:tcPr>
          <w:p w14:paraId="6F413D69" w14:textId="77777777" w:rsidR="00987918" w:rsidRPr="00F15FF6" w:rsidRDefault="00987918" w:rsidP="00662F59">
            <w:pPr>
              <w:spacing w:after="0" w:line="240" w:lineRule="auto"/>
              <w:rPr>
                <w:rFonts w:ascii="Times New Roman" w:eastAsia="Times New Roman" w:hAnsi="Times New Roman" w:cs="Times New Roman"/>
              </w:rPr>
            </w:pPr>
          </w:p>
        </w:tc>
        <w:tc>
          <w:tcPr>
            <w:tcW w:w="585" w:type="pct"/>
            <w:tcBorders>
              <w:top w:val="nil"/>
              <w:left w:val="nil"/>
              <w:bottom w:val="nil"/>
              <w:right w:val="nil"/>
            </w:tcBorders>
            <w:shd w:val="clear" w:color="auto" w:fill="auto"/>
            <w:vAlign w:val="bottom"/>
          </w:tcPr>
          <w:p w14:paraId="34DDDF81" w14:textId="77777777" w:rsidR="00987918" w:rsidRPr="00F15FF6" w:rsidRDefault="00987918" w:rsidP="00662F59">
            <w:pPr>
              <w:spacing w:after="0" w:line="240" w:lineRule="auto"/>
              <w:rPr>
                <w:rFonts w:ascii="Times New Roman" w:eastAsia="Times New Roman" w:hAnsi="Times New Roman" w:cs="Times New Roman"/>
              </w:rPr>
            </w:pPr>
          </w:p>
        </w:tc>
        <w:tc>
          <w:tcPr>
            <w:tcW w:w="585" w:type="pct"/>
            <w:tcBorders>
              <w:top w:val="nil"/>
              <w:left w:val="nil"/>
              <w:bottom w:val="nil"/>
              <w:right w:val="nil"/>
            </w:tcBorders>
            <w:shd w:val="clear" w:color="auto" w:fill="auto"/>
            <w:vAlign w:val="bottom"/>
          </w:tcPr>
          <w:p w14:paraId="3ED4232B" w14:textId="77777777" w:rsidR="00987918" w:rsidRPr="00F15FF6" w:rsidRDefault="00987918" w:rsidP="00662F59">
            <w:pPr>
              <w:spacing w:after="0" w:line="240" w:lineRule="auto"/>
              <w:rPr>
                <w:rFonts w:ascii="Times New Roman" w:eastAsia="Times New Roman" w:hAnsi="Times New Roman" w:cs="Times New Roman"/>
              </w:rPr>
            </w:pPr>
          </w:p>
        </w:tc>
        <w:tc>
          <w:tcPr>
            <w:tcW w:w="585" w:type="pct"/>
            <w:tcBorders>
              <w:top w:val="nil"/>
              <w:left w:val="nil"/>
              <w:bottom w:val="nil"/>
              <w:right w:val="nil"/>
            </w:tcBorders>
            <w:shd w:val="clear" w:color="auto" w:fill="auto"/>
            <w:noWrap/>
            <w:vAlign w:val="bottom"/>
            <w:hideMark/>
          </w:tcPr>
          <w:p w14:paraId="6B55F126" w14:textId="77777777" w:rsidR="00987918" w:rsidRPr="00F15FF6" w:rsidRDefault="00987918" w:rsidP="00662F59">
            <w:pPr>
              <w:spacing w:after="0" w:line="240" w:lineRule="auto"/>
              <w:rPr>
                <w:rFonts w:ascii="Times New Roman" w:eastAsia="Times New Roman" w:hAnsi="Times New Roman" w:cs="Times New Roman"/>
              </w:rPr>
            </w:pPr>
          </w:p>
        </w:tc>
        <w:tc>
          <w:tcPr>
            <w:tcW w:w="585" w:type="pct"/>
            <w:tcBorders>
              <w:top w:val="nil"/>
              <w:left w:val="nil"/>
              <w:bottom w:val="nil"/>
              <w:right w:val="nil"/>
            </w:tcBorders>
            <w:shd w:val="clear" w:color="auto" w:fill="auto"/>
            <w:noWrap/>
            <w:vAlign w:val="bottom"/>
            <w:hideMark/>
          </w:tcPr>
          <w:p w14:paraId="5B113869" w14:textId="77777777" w:rsidR="00987918" w:rsidRPr="00F15FF6" w:rsidRDefault="00987918" w:rsidP="00662F59">
            <w:pPr>
              <w:spacing w:after="0" w:line="240" w:lineRule="auto"/>
              <w:rPr>
                <w:rFonts w:ascii="Times New Roman" w:eastAsia="Times New Roman" w:hAnsi="Times New Roman" w:cs="Times New Roman"/>
              </w:rPr>
            </w:pPr>
          </w:p>
        </w:tc>
        <w:tc>
          <w:tcPr>
            <w:tcW w:w="587" w:type="pct"/>
            <w:tcBorders>
              <w:top w:val="nil"/>
              <w:left w:val="nil"/>
              <w:bottom w:val="nil"/>
              <w:right w:val="nil"/>
            </w:tcBorders>
            <w:shd w:val="clear" w:color="auto" w:fill="auto"/>
            <w:noWrap/>
            <w:vAlign w:val="bottom"/>
            <w:hideMark/>
          </w:tcPr>
          <w:p w14:paraId="3EAE0CDB" w14:textId="77777777" w:rsidR="00987918" w:rsidRPr="00F15FF6" w:rsidRDefault="00987918" w:rsidP="00662F59">
            <w:pPr>
              <w:spacing w:after="0" w:line="240" w:lineRule="auto"/>
              <w:rPr>
                <w:rFonts w:ascii="Times New Roman" w:eastAsia="Times New Roman" w:hAnsi="Times New Roman" w:cs="Times New Roman"/>
              </w:rPr>
            </w:pPr>
          </w:p>
        </w:tc>
      </w:tr>
      <w:tr w:rsidR="00662F59" w:rsidRPr="005217FE" w14:paraId="16EA3C98" w14:textId="77777777" w:rsidTr="00811D08">
        <w:trPr>
          <w:trHeight w:val="288"/>
        </w:trPr>
        <w:tc>
          <w:tcPr>
            <w:tcW w:w="1455" w:type="pct"/>
            <w:tcBorders>
              <w:top w:val="nil"/>
              <w:left w:val="nil"/>
              <w:bottom w:val="nil"/>
              <w:right w:val="nil"/>
            </w:tcBorders>
            <w:shd w:val="clear" w:color="auto" w:fill="auto"/>
            <w:noWrap/>
            <w:vAlign w:val="bottom"/>
            <w:hideMark/>
          </w:tcPr>
          <w:p w14:paraId="696DDEAF"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Adj. R-squared</w:t>
            </w:r>
          </w:p>
        </w:tc>
        <w:tc>
          <w:tcPr>
            <w:tcW w:w="618" w:type="pct"/>
            <w:tcBorders>
              <w:top w:val="nil"/>
              <w:left w:val="nil"/>
              <w:bottom w:val="nil"/>
              <w:right w:val="nil"/>
            </w:tcBorders>
            <w:shd w:val="clear" w:color="auto" w:fill="auto"/>
            <w:vAlign w:val="bottom"/>
          </w:tcPr>
          <w:p w14:paraId="3704D510"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0.323</w:t>
            </w:r>
          </w:p>
        </w:tc>
        <w:tc>
          <w:tcPr>
            <w:tcW w:w="585" w:type="pct"/>
            <w:tcBorders>
              <w:top w:val="nil"/>
              <w:left w:val="nil"/>
              <w:bottom w:val="nil"/>
              <w:right w:val="nil"/>
            </w:tcBorders>
            <w:shd w:val="clear" w:color="auto" w:fill="auto"/>
            <w:vAlign w:val="bottom"/>
          </w:tcPr>
          <w:p w14:paraId="4F6E9975"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0.389</w:t>
            </w:r>
          </w:p>
        </w:tc>
        <w:tc>
          <w:tcPr>
            <w:tcW w:w="585" w:type="pct"/>
            <w:tcBorders>
              <w:top w:val="nil"/>
              <w:left w:val="nil"/>
              <w:bottom w:val="nil"/>
              <w:right w:val="nil"/>
            </w:tcBorders>
            <w:shd w:val="clear" w:color="auto" w:fill="auto"/>
            <w:vAlign w:val="bottom"/>
          </w:tcPr>
          <w:p w14:paraId="610204C1"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0.376</w:t>
            </w:r>
          </w:p>
        </w:tc>
        <w:tc>
          <w:tcPr>
            <w:tcW w:w="585" w:type="pct"/>
            <w:tcBorders>
              <w:top w:val="nil"/>
              <w:left w:val="nil"/>
              <w:bottom w:val="nil"/>
              <w:right w:val="nil"/>
            </w:tcBorders>
            <w:shd w:val="clear" w:color="auto" w:fill="auto"/>
            <w:noWrap/>
            <w:vAlign w:val="bottom"/>
            <w:hideMark/>
          </w:tcPr>
          <w:p w14:paraId="257D457E"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0.0393</w:t>
            </w:r>
          </w:p>
        </w:tc>
        <w:tc>
          <w:tcPr>
            <w:tcW w:w="585" w:type="pct"/>
            <w:tcBorders>
              <w:top w:val="nil"/>
              <w:left w:val="nil"/>
              <w:bottom w:val="nil"/>
              <w:right w:val="nil"/>
            </w:tcBorders>
            <w:shd w:val="clear" w:color="auto" w:fill="auto"/>
            <w:noWrap/>
            <w:vAlign w:val="bottom"/>
            <w:hideMark/>
          </w:tcPr>
          <w:p w14:paraId="51DFC365"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0.0735</w:t>
            </w:r>
          </w:p>
        </w:tc>
        <w:tc>
          <w:tcPr>
            <w:tcW w:w="587" w:type="pct"/>
            <w:tcBorders>
              <w:top w:val="nil"/>
              <w:left w:val="nil"/>
              <w:bottom w:val="nil"/>
              <w:right w:val="nil"/>
            </w:tcBorders>
            <w:shd w:val="clear" w:color="auto" w:fill="auto"/>
            <w:noWrap/>
            <w:vAlign w:val="bottom"/>
            <w:hideMark/>
          </w:tcPr>
          <w:p w14:paraId="1057E49E"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0.0214</w:t>
            </w:r>
          </w:p>
        </w:tc>
      </w:tr>
      <w:tr w:rsidR="00662F59" w:rsidRPr="005217FE" w14:paraId="49D451D8" w14:textId="77777777" w:rsidTr="00811D08">
        <w:trPr>
          <w:trHeight w:val="288"/>
        </w:trPr>
        <w:tc>
          <w:tcPr>
            <w:tcW w:w="1455" w:type="pct"/>
            <w:tcBorders>
              <w:top w:val="nil"/>
              <w:left w:val="nil"/>
              <w:bottom w:val="nil"/>
              <w:right w:val="nil"/>
            </w:tcBorders>
            <w:shd w:val="clear" w:color="auto" w:fill="auto"/>
            <w:noWrap/>
            <w:vAlign w:val="bottom"/>
            <w:hideMark/>
          </w:tcPr>
          <w:p w14:paraId="332359BA"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Year fixed effect</w:t>
            </w:r>
          </w:p>
        </w:tc>
        <w:tc>
          <w:tcPr>
            <w:tcW w:w="618" w:type="pct"/>
            <w:tcBorders>
              <w:top w:val="nil"/>
              <w:left w:val="nil"/>
              <w:bottom w:val="nil"/>
              <w:right w:val="nil"/>
            </w:tcBorders>
            <w:shd w:val="clear" w:color="auto" w:fill="auto"/>
            <w:vAlign w:val="bottom"/>
          </w:tcPr>
          <w:p w14:paraId="6E360B7C"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Yes</w:t>
            </w:r>
          </w:p>
        </w:tc>
        <w:tc>
          <w:tcPr>
            <w:tcW w:w="585" w:type="pct"/>
            <w:tcBorders>
              <w:top w:val="nil"/>
              <w:left w:val="nil"/>
              <w:bottom w:val="nil"/>
              <w:right w:val="nil"/>
            </w:tcBorders>
            <w:shd w:val="clear" w:color="auto" w:fill="auto"/>
            <w:vAlign w:val="bottom"/>
          </w:tcPr>
          <w:p w14:paraId="2A6388DD"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Yes</w:t>
            </w:r>
          </w:p>
        </w:tc>
        <w:tc>
          <w:tcPr>
            <w:tcW w:w="585" w:type="pct"/>
            <w:tcBorders>
              <w:top w:val="nil"/>
              <w:left w:val="nil"/>
              <w:bottom w:val="nil"/>
              <w:right w:val="nil"/>
            </w:tcBorders>
            <w:shd w:val="clear" w:color="auto" w:fill="auto"/>
            <w:vAlign w:val="bottom"/>
          </w:tcPr>
          <w:p w14:paraId="478640A7"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Yes</w:t>
            </w:r>
          </w:p>
        </w:tc>
        <w:tc>
          <w:tcPr>
            <w:tcW w:w="585" w:type="pct"/>
            <w:tcBorders>
              <w:top w:val="nil"/>
              <w:left w:val="nil"/>
              <w:bottom w:val="nil"/>
              <w:right w:val="nil"/>
            </w:tcBorders>
            <w:shd w:val="clear" w:color="auto" w:fill="auto"/>
            <w:noWrap/>
            <w:vAlign w:val="bottom"/>
            <w:hideMark/>
          </w:tcPr>
          <w:p w14:paraId="046B339E"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Yes</w:t>
            </w:r>
          </w:p>
        </w:tc>
        <w:tc>
          <w:tcPr>
            <w:tcW w:w="585" w:type="pct"/>
            <w:tcBorders>
              <w:top w:val="nil"/>
              <w:left w:val="nil"/>
              <w:bottom w:val="nil"/>
              <w:right w:val="nil"/>
            </w:tcBorders>
            <w:shd w:val="clear" w:color="auto" w:fill="auto"/>
            <w:noWrap/>
            <w:vAlign w:val="bottom"/>
            <w:hideMark/>
          </w:tcPr>
          <w:p w14:paraId="1FA7EBEC"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Yes</w:t>
            </w:r>
          </w:p>
        </w:tc>
        <w:tc>
          <w:tcPr>
            <w:tcW w:w="587" w:type="pct"/>
            <w:tcBorders>
              <w:top w:val="nil"/>
              <w:left w:val="nil"/>
              <w:bottom w:val="nil"/>
              <w:right w:val="nil"/>
            </w:tcBorders>
            <w:shd w:val="clear" w:color="auto" w:fill="auto"/>
            <w:noWrap/>
            <w:vAlign w:val="bottom"/>
            <w:hideMark/>
          </w:tcPr>
          <w:p w14:paraId="08128711"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Yes</w:t>
            </w:r>
          </w:p>
        </w:tc>
      </w:tr>
      <w:tr w:rsidR="00662F59" w:rsidRPr="005217FE" w14:paraId="13D60EF4" w14:textId="77777777" w:rsidTr="00811D08">
        <w:trPr>
          <w:trHeight w:val="288"/>
        </w:trPr>
        <w:tc>
          <w:tcPr>
            <w:tcW w:w="1455" w:type="pct"/>
            <w:tcBorders>
              <w:top w:val="nil"/>
              <w:left w:val="nil"/>
              <w:bottom w:val="nil"/>
              <w:right w:val="nil"/>
            </w:tcBorders>
            <w:shd w:val="clear" w:color="auto" w:fill="auto"/>
            <w:noWrap/>
            <w:vAlign w:val="bottom"/>
            <w:hideMark/>
          </w:tcPr>
          <w:p w14:paraId="7154ADEC"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Firm fixed effect</w:t>
            </w:r>
          </w:p>
        </w:tc>
        <w:tc>
          <w:tcPr>
            <w:tcW w:w="618" w:type="pct"/>
            <w:tcBorders>
              <w:top w:val="nil"/>
              <w:left w:val="nil"/>
              <w:bottom w:val="nil"/>
              <w:right w:val="nil"/>
            </w:tcBorders>
            <w:shd w:val="clear" w:color="auto" w:fill="auto"/>
            <w:vAlign w:val="bottom"/>
          </w:tcPr>
          <w:p w14:paraId="58A12A7F"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Yes</w:t>
            </w:r>
          </w:p>
        </w:tc>
        <w:tc>
          <w:tcPr>
            <w:tcW w:w="585" w:type="pct"/>
            <w:tcBorders>
              <w:top w:val="nil"/>
              <w:left w:val="nil"/>
              <w:bottom w:val="nil"/>
              <w:right w:val="nil"/>
            </w:tcBorders>
            <w:shd w:val="clear" w:color="auto" w:fill="auto"/>
            <w:vAlign w:val="bottom"/>
          </w:tcPr>
          <w:p w14:paraId="39E83C67"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Yes</w:t>
            </w:r>
          </w:p>
        </w:tc>
        <w:tc>
          <w:tcPr>
            <w:tcW w:w="585" w:type="pct"/>
            <w:tcBorders>
              <w:top w:val="nil"/>
              <w:left w:val="nil"/>
              <w:bottom w:val="nil"/>
              <w:right w:val="nil"/>
            </w:tcBorders>
            <w:shd w:val="clear" w:color="auto" w:fill="auto"/>
            <w:vAlign w:val="bottom"/>
          </w:tcPr>
          <w:p w14:paraId="1D621556"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Yes</w:t>
            </w:r>
          </w:p>
        </w:tc>
        <w:tc>
          <w:tcPr>
            <w:tcW w:w="585" w:type="pct"/>
            <w:tcBorders>
              <w:top w:val="nil"/>
              <w:left w:val="nil"/>
              <w:bottom w:val="nil"/>
              <w:right w:val="nil"/>
            </w:tcBorders>
            <w:shd w:val="clear" w:color="auto" w:fill="auto"/>
            <w:noWrap/>
            <w:vAlign w:val="bottom"/>
            <w:hideMark/>
          </w:tcPr>
          <w:p w14:paraId="56D93685"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Yes</w:t>
            </w:r>
          </w:p>
        </w:tc>
        <w:tc>
          <w:tcPr>
            <w:tcW w:w="585" w:type="pct"/>
            <w:tcBorders>
              <w:top w:val="nil"/>
              <w:left w:val="nil"/>
              <w:bottom w:val="nil"/>
              <w:right w:val="nil"/>
            </w:tcBorders>
            <w:shd w:val="clear" w:color="auto" w:fill="auto"/>
            <w:noWrap/>
            <w:vAlign w:val="bottom"/>
            <w:hideMark/>
          </w:tcPr>
          <w:p w14:paraId="660D6195"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Yes</w:t>
            </w:r>
          </w:p>
        </w:tc>
        <w:tc>
          <w:tcPr>
            <w:tcW w:w="587" w:type="pct"/>
            <w:tcBorders>
              <w:top w:val="nil"/>
              <w:left w:val="nil"/>
              <w:bottom w:val="nil"/>
              <w:right w:val="nil"/>
            </w:tcBorders>
            <w:shd w:val="clear" w:color="auto" w:fill="auto"/>
            <w:noWrap/>
            <w:vAlign w:val="bottom"/>
            <w:hideMark/>
          </w:tcPr>
          <w:p w14:paraId="2A658618"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Yes</w:t>
            </w:r>
          </w:p>
        </w:tc>
      </w:tr>
      <w:tr w:rsidR="00662F59" w:rsidRPr="005217FE" w14:paraId="58A3B3AF" w14:textId="77777777" w:rsidTr="00811D08">
        <w:trPr>
          <w:trHeight w:val="288"/>
        </w:trPr>
        <w:tc>
          <w:tcPr>
            <w:tcW w:w="1455" w:type="pct"/>
            <w:tcBorders>
              <w:top w:val="nil"/>
              <w:left w:val="nil"/>
              <w:right w:val="nil"/>
            </w:tcBorders>
            <w:shd w:val="clear" w:color="auto" w:fill="auto"/>
            <w:noWrap/>
            <w:vAlign w:val="bottom"/>
            <w:hideMark/>
          </w:tcPr>
          <w:p w14:paraId="16085E04"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Clustered std err by firm</w:t>
            </w:r>
          </w:p>
        </w:tc>
        <w:tc>
          <w:tcPr>
            <w:tcW w:w="618" w:type="pct"/>
            <w:tcBorders>
              <w:top w:val="nil"/>
              <w:left w:val="nil"/>
              <w:right w:val="nil"/>
            </w:tcBorders>
            <w:shd w:val="clear" w:color="auto" w:fill="auto"/>
            <w:vAlign w:val="bottom"/>
          </w:tcPr>
          <w:p w14:paraId="5A0B7BD8"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Yes</w:t>
            </w:r>
          </w:p>
        </w:tc>
        <w:tc>
          <w:tcPr>
            <w:tcW w:w="585" w:type="pct"/>
            <w:tcBorders>
              <w:top w:val="nil"/>
              <w:left w:val="nil"/>
              <w:right w:val="nil"/>
            </w:tcBorders>
            <w:shd w:val="clear" w:color="auto" w:fill="auto"/>
            <w:vAlign w:val="bottom"/>
          </w:tcPr>
          <w:p w14:paraId="059AF6BF"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Yes</w:t>
            </w:r>
          </w:p>
        </w:tc>
        <w:tc>
          <w:tcPr>
            <w:tcW w:w="585" w:type="pct"/>
            <w:tcBorders>
              <w:top w:val="nil"/>
              <w:left w:val="nil"/>
              <w:right w:val="nil"/>
            </w:tcBorders>
            <w:shd w:val="clear" w:color="auto" w:fill="auto"/>
            <w:vAlign w:val="bottom"/>
          </w:tcPr>
          <w:p w14:paraId="24F8B8BB"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Yes</w:t>
            </w:r>
          </w:p>
        </w:tc>
        <w:tc>
          <w:tcPr>
            <w:tcW w:w="585" w:type="pct"/>
            <w:tcBorders>
              <w:top w:val="nil"/>
              <w:left w:val="nil"/>
              <w:right w:val="nil"/>
            </w:tcBorders>
            <w:shd w:val="clear" w:color="auto" w:fill="auto"/>
            <w:noWrap/>
            <w:vAlign w:val="bottom"/>
            <w:hideMark/>
          </w:tcPr>
          <w:p w14:paraId="74D3B260"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Yes</w:t>
            </w:r>
          </w:p>
        </w:tc>
        <w:tc>
          <w:tcPr>
            <w:tcW w:w="585" w:type="pct"/>
            <w:tcBorders>
              <w:top w:val="nil"/>
              <w:left w:val="nil"/>
              <w:right w:val="nil"/>
            </w:tcBorders>
            <w:shd w:val="clear" w:color="auto" w:fill="auto"/>
            <w:noWrap/>
            <w:vAlign w:val="bottom"/>
            <w:hideMark/>
          </w:tcPr>
          <w:p w14:paraId="786F01E9"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Yes</w:t>
            </w:r>
          </w:p>
        </w:tc>
        <w:tc>
          <w:tcPr>
            <w:tcW w:w="587" w:type="pct"/>
            <w:tcBorders>
              <w:top w:val="nil"/>
              <w:left w:val="nil"/>
              <w:right w:val="nil"/>
            </w:tcBorders>
            <w:shd w:val="clear" w:color="auto" w:fill="auto"/>
            <w:noWrap/>
            <w:vAlign w:val="bottom"/>
            <w:hideMark/>
          </w:tcPr>
          <w:p w14:paraId="55A93D5B"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Yes</w:t>
            </w:r>
          </w:p>
        </w:tc>
      </w:tr>
      <w:tr w:rsidR="00662F59" w:rsidRPr="005217FE" w14:paraId="4AAB54DF" w14:textId="77777777" w:rsidTr="00811D08">
        <w:trPr>
          <w:trHeight w:val="288"/>
        </w:trPr>
        <w:tc>
          <w:tcPr>
            <w:tcW w:w="1455" w:type="pct"/>
            <w:tcBorders>
              <w:top w:val="nil"/>
              <w:left w:val="nil"/>
              <w:bottom w:val="single" w:sz="4" w:space="0" w:color="auto"/>
              <w:right w:val="nil"/>
            </w:tcBorders>
            <w:shd w:val="clear" w:color="auto" w:fill="auto"/>
            <w:noWrap/>
            <w:vAlign w:val="bottom"/>
            <w:hideMark/>
          </w:tcPr>
          <w:p w14:paraId="1B31226F"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Observations</w:t>
            </w:r>
          </w:p>
        </w:tc>
        <w:tc>
          <w:tcPr>
            <w:tcW w:w="618" w:type="pct"/>
            <w:tcBorders>
              <w:top w:val="nil"/>
              <w:left w:val="nil"/>
              <w:bottom w:val="single" w:sz="4" w:space="0" w:color="auto"/>
              <w:right w:val="nil"/>
            </w:tcBorders>
            <w:shd w:val="clear" w:color="auto" w:fill="auto"/>
            <w:vAlign w:val="bottom"/>
          </w:tcPr>
          <w:p w14:paraId="4702B857"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64,741</w:t>
            </w:r>
          </w:p>
        </w:tc>
        <w:tc>
          <w:tcPr>
            <w:tcW w:w="585" w:type="pct"/>
            <w:tcBorders>
              <w:top w:val="nil"/>
              <w:left w:val="nil"/>
              <w:bottom w:val="single" w:sz="4" w:space="0" w:color="auto"/>
              <w:right w:val="nil"/>
            </w:tcBorders>
            <w:shd w:val="clear" w:color="auto" w:fill="auto"/>
            <w:vAlign w:val="bottom"/>
          </w:tcPr>
          <w:p w14:paraId="4E66CE67"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64,904</w:t>
            </w:r>
          </w:p>
        </w:tc>
        <w:tc>
          <w:tcPr>
            <w:tcW w:w="585" w:type="pct"/>
            <w:tcBorders>
              <w:top w:val="nil"/>
              <w:left w:val="nil"/>
              <w:bottom w:val="single" w:sz="4" w:space="0" w:color="auto"/>
              <w:right w:val="nil"/>
            </w:tcBorders>
            <w:shd w:val="clear" w:color="auto" w:fill="auto"/>
            <w:vAlign w:val="bottom"/>
          </w:tcPr>
          <w:p w14:paraId="5909155E"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64,904</w:t>
            </w:r>
          </w:p>
        </w:tc>
        <w:tc>
          <w:tcPr>
            <w:tcW w:w="585" w:type="pct"/>
            <w:tcBorders>
              <w:top w:val="nil"/>
              <w:left w:val="nil"/>
              <w:bottom w:val="single" w:sz="4" w:space="0" w:color="auto"/>
              <w:right w:val="nil"/>
            </w:tcBorders>
            <w:shd w:val="clear" w:color="auto" w:fill="auto"/>
            <w:noWrap/>
            <w:vAlign w:val="bottom"/>
            <w:hideMark/>
          </w:tcPr>
          <w:p w14:paraId="4C8589B8"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48,225</w:t>
            </w:r>
          </w:p>
        </w:tc>
        <w:tc>
          <w:tcPr>
            <w:tcW w:w="585" w:type="pct"/>
            <w:tcBorders>
              <w:top w:val="nil"/>
              <w:left w:val="nil"/>
              <w:bottom w:val="single" w:sz="4" w:space="0" w:color="auto"/>
              <w:right w:val="nil"/>
            </w:tcBorders>
            <w:shd w:val="clear" w:color="auto" w:fill="auto"/>
            <w:noWrap/>
            <w:vAlign w:val="bottom"/>
            <w:hideMark/>
          </w:tcPr>
          <w:p w14:paraId="3A013821"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48,225</w:t>
            </w:r>
          </w:p>
        </w:tc>
        <w:tc>
          <w:tcPr>
            <w:tcW w:w="587" w:type="pct"/>
            <w:tcBorders>
              <w:top w:val="nil"/>
              <w:left w:val="nil"/>
              <w:bottom w:val="single" w:sz="4" w:space="0" w:color="auto"/>
              <w:right w:val="nil"/>
            </w:tcBorders>
            <w:shd w:val="clear" w:color="auto" w:fill="auto"/>
            <w:noWrap/>
            <w:vAlign w:val="bottom"/>
            <w:hideMark/>
          </w:tcPr>
          <w:p w14:paraId="5BD30D1F" w14:textId="77777777" w:rsidR="00662F59" w:rsidRPr="00F15FF6" w:rsidRDefault="00662F59" w:rsidP="00662F59">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48,225</w:t>
            </w:r>
          </w:p>
        </w:tc>
      </w:tr>
    </w:tbl>
    <w:p w14:paraId="39CB3A00" w14:textId="51ABC323" w:rsidR="004E7553" w:rsidRPr="00F15FF6" w:rsidRDefault="004E7553" w:rsidP="00811D08">
      <w:pPr>
        <w:jc w:val="both"/>
        <w:rPr>
          <w:rFonts w:ascii="Times New Roman" w:eastAsiaTheme="minorEastAsia" w:hAnsi="Times New Roman" w:cs="Times New Roman"/>
          <w:sz w:val="20"/>
          <w:szCs w:val="20"/>
        </w:rPr>
      </w:pPr>
      <w:r w:rsidRPr="00F15FF6">
        <w:rPr>
          <w:rFonts w:ascii="Times New Roman" w:hAnsi="Times New Roman" w:cs="Times New Roman"/>
          <w:sz w:val="20"/>
          <w:szCs w:val="20"/>
        </w:rPr>
        <w:t xml:space="preserve">Note: This table reports the results from the regressions of the risk measures </w:t>
      </w:r>
      <w:r w:rsidR="00494175">
        <w:rPr>
          <w:rFonts w:ascii="Times New Roman" w:hAnsi="Times New Roman" w:cs="Times New Roman"/>
          <w:sz w:val="20"/>
          <w:szCs w:val="20"/>
        </w:rPr>
        <w:t>controll</w:t>
      </w:r>
      <w:r w:rsidR="00494175" w:rsidRPr="00F15FF6">
        <w:rPr>
          <w:rFonts w:ascii="Times New Roman" w:hAnsi="Times New Roman" w:cs="Times New Roman"/>
          <w:sz w:val="20"/>
          <w:szCs w:val="20"/>
        </w:rPr>
        <w:t>ing</w:t>
      </w:r>
      <w:r w:rsidR="00494175">
        <w:rPr>
          <w:rFonts w:ascii="Times New Roman" w:hAnsi="Times New Roman" w:cs="Times New Roman"/>
          <w:sz w:val="20"/>
          <w:szCs w:val="20"/>
        </w:rPr>
        <w:t xml:space="preserve"> for</w:t>
      </w:r>
      <w:r w:rsidR="00494175" w:rsidRPr="00F15FF6">
        <w:rPr>
          <w:rFonts w:ascii="Times New Roman" w:hAnsi="Times New Roman" w:cs="Times New Roman"/>
          <w:sz w:val="20"/>
          <w:szCs w:val="20"/>
        </w:rPr>
        <w:t xml:space="preserve"> </w:t>
      </w:r>
      <w:r w:rsidRPr="00F15FF6">
        <w:rPr>
          <w:rFonts w:ascii="Times New Roman" w:hAnsi="Times New Roman" w:cs="Times New Roman"/>
          <w:sz w:val="20"/>
          <w:szCs w:val="20"/>
        </w:rPr>
        <w:t xml:space="preserve">operating assets and non-operating assets. </w:t>
      </w:r>
      <w:r w:rsidR="00910665" w:rsidRPr="00F15FF6">
        <w:rPr>
          <w:rFonts w:ascii="Times New Roman" w:hAnsi="Times New Roman" w:cs="Times New Roman"/>
          <w:sz w:val="20"/>
          <w:szCs w:val="20"/>
        </w:rPr>
        <w:t xml:space="preserve">The dependent variable is one of the risk measures. </w:t>
      </w:r>
      <w:r w:rsidR="00494175" w:rsidRPr="00C869E2">
        <w:rPr>
          <w:rFonts w:ascii="Times New Roman" w:hAnsi="Times New Roman" w:cs="Times New Roman"/>
          <w:sz w:val="20"/>
          <w:szCs w:val="20"/>
        </w:rPr>
        <w:t>ROA volatility</w:t>
      </w:r>
      <w:r w:rsidR="00494175" w:rsidRPr="005217FE">
        <w:rPr>
          <w:rFonts w:ascii="Times New Roman" w:hAnsi="Times New Roman" w:cs="Times New Roman"/>
          <w:i/>
          <w:sz w:val="20"/>
          <w:szCs w:val="20"/>
        </w:rPr>
        <w:t xml:space="preserve"> </w:t>
      </w:r>
      <w:r w:rsidR="00494175" w:rsidRPr="00F15FF6">
        <w:rPr>
          <w:rFonts w:ascii="Times New Roman" w:hAnsi="Times New Roman" w:cs="Times New Roman"/>
          <w:sz w:val="20"/>
          <w:szCs w:val="20"/>
        </w:rPr>
        <w:t>(</w:t>
      </w:r>
      <w:r w:rsidR="00851A26" w:rsidRPr="00F15FF6">
        <w:rPr>
          <w:rFonts w:ascii="Times New Roman" w:hAnsi="Times New Roman" w:cs="Times New Roman"/>
          <w:i/>
          <w:sz w:val="20"/>
          <w:szCs w:val="20"/>
        </w:rPr>
        <w:t>ROAVOL</w:t>
      </w:r>
      <w:r w:rsidR="00494175">
        <w:rPr>
          <w:rFonts w:ascii="Times New Roman" w:hAnsi="Times New Roman" w:cs="Times New Roman"/>
          <w:sz w:val="20"/>
          <w:szCs w:val="20"/>
        </w:rPr>
        <w:t>)</w:t>
      </w:r>
      <w:r w:rsidR="00851A26" w:rsidRPr="00F15FF6">
        <w:rPr>
          <w:rFonts w:ascii="Times New Roman" w:hAnsi="Times New Roman" w:cs="Times New Roman"/>
          <w:sz w:val="20"/>
          <w:szCs w:val="20"/>
        </w:rPr>
        <w:t xml:space="preserve"> </w:t>
      </w:r>
      <w:r w:rsidR="002C100D" w:rsidRPr="00F15FF6">
        <w:rPr>
          <w:rFonts w:ascii="Times New Roman" w:hAnsi="Times New Roman" w:cs="Times New Roman"/>
          <w:sz w:val="20"/>
          <w:szCs w:val="20"/>
        </w:rPr>
        <w:t>is the standard deviation of return on assets over 5 years (from year -4 to the current fiscal year).</w:t>
      </w:r>
      <w:r w:rsidR="002C100D" w:rsidRPr="00F15FF6">
        <w:rPr>
          <w:rFonts w:ascii="Times New Roman" w:hAnsi="Times New Roman" w:cs="Times New Roman"/>
          <w:i/>
          <w:sz w:val="20"/>
          <w:szCs w:val="20"/>
        </w:rPr>
        <w:t xml:space="preserve"> </w:t>
      </w:r>
      <w:r w:rsidR="00253677">
        <w:rPr>
          <w:rFonts w:ascii="Times New Roman" w:hAnsi="Times New Roman" w:cs="Times New Roman"/>
          <w:sz w:val="20"/>
          <w:szCs w:val="20"/>
        </w:rPr>
        <w:t>T</w:t>
      </w:r>
      <w:r w:rsidR="00253677" w:rsidRPr="005F4D86">
        <w:rPr>
          <w:rFonts w:ascii="Times New Roman" w:hAnsi="Times New Roman" w:cs="Times New Roman"/>
          <w:sz w:val="20"/>
          <w:szCs w:val="20"/>
        </w:rPr>
        <w:t>otal risk</w:t>
      </w:r>
      <w:r w:rsidR="00253677" w:rsidRPr="005F4D86">
        <w:rPr>
          <w:rFonts w:ascii="Times New Roman" w:hAnsi="Times New Roman" w:cs="Times New Roman"/>
          <w:i/>
          <w:sz w:val="20"/>
          <w:szCs w:val="20"/>
        </w:rPr>
        <w:t xml:space="preserve"> </w:t>
      </w:r>
      <w:r w:rsidR="00253677">
        <w:rPr>
          <w:rFonts w:ascii="Times New Roman" w:hAnsi="Times New Roman" w:cs="Times New Roman"/>
          <w:i/>
          <w:sz w:val="20"/>
          <w:szCs w:val="20"/>
        </w:rPr>
        <w:t>(</w:t>
      </w:r>
      <w:r w:rsidR="00253677" w:rsidRPr="005F4D86">
        <w:rPr>
          <w:rFonts w:ascii="Times New Roman" w:hAnsi="Times New Roman" w:cs="Times New Roman"/>
          <w:i/>
          <w:sz w:val="20"/>
          <w:szCs w:val="20"/>
        </w:rPr>
        <w:t>TOTRISK</w:t>
      </w:r>
      <w:r w:rsidR="00253677">
        <w:rPr>
          <w:rFonts w:ascii="Times New Roman" w:hAnsi="Times New Roman" w:cs="Times New Roman"/>
          <w:i/>
          <w:sz w:val="20"/>
          <w:szCs w:val="20"/>
        </w:rPr>
        <w:t>)</w:t>
      </w:r>
      <w:r w:rsidR="002C100D" w:rsidRPr="00F15FF6">
        <w:rPr>
          <w:rFonts w:ascii="Times New Roman" w:hAnsi="Times New Roman" w:cs="Times New Roman"/>
          <w:sz w:val="20"/>
          <w:szCs w:val="20"/>
        </w:rPr>
        <w:t xml:space="preserve"> is the annualized standard deviation of the daily stock returns in the year. </w:t>
      </w:r>
      <w:r w:rsidR="00FC6F5C" w:rsidRPr="00D05DBE">
        <w:rPr>
          <w:rFonts w:ascii="Times New Roman" w:hAnsi="Times New Roman" w:cs="Times New Roman"/>
          <w:sz w:val="20"/>
          <w:szCs w:val="20"/>
        </w:rPr>
        <w:t>Idiosyncratic</w:t>
      </w:r>
      <w:r w:rsidR="00FC6F5C" w:rsidRPr="005F4D86">
        <w:rPr>
          <w:rFonts w:ascii="Times New Roman" w:hAnsi="Times New Roman" w:cs="Times New Roman"/>
          <w:sz w:val="20"/>
          <w:szCs w:val="20"/>
        </w:rPr>
        <w:t xml:space="preserve"> risk</w:t>
      </w:r>
      <w:r w:rsidR="00FC6F5C">
        <w:rPr>
          <w:rFonts w:ascii="Times New Roman" w:hAnsi="Times New Roman" w:cs="Times New Roman"/>
          <w:sz w:val="20"/>
          <w:szCs w:val="20"/>
        </w:rPr>
        <w:t xml:space="preserve"> (</w:t>
      </w:r>
      <w:r w:rsidR="00FC6F5C" w:rsidRPr="005F4D86">
        <w:rPr>
          <w:rFonts w:ascii="Times New Roman" w:hAnsi="Times New Roman" w:cs="Times New Roman"/>
          <w:i/>
          <w:sz w:val="20"/>
          <w:szCs w:val="20"/>
        </w:rPr>
        <w:t>IDIORISK</w:t>
      </w:r>
      <w:r w:rsidR="00FC6F5C">
        <w:rPr>
          <w:rFonts w:ascii="Times New Roman" w:hAnsi="Times New Roman" w:cs="Times New Roman"/>
          <w:i/>
          <w:sz w:val="20"/>
          <w:szCs w:val="20"/>
        </w:rPr>
        <w:t>)</w:t>
      </w:r>
      <w:r w:rsidR="002C100D" w:rsidRPr="00F15FF6">
        <w:rPr>
          <w:rFonts w:ascii="Times New Roman" w:hAnsi="Times New Roman" w:cs="Times New Roman"/>
          <w:sz w:val="20"/>
          <w:szCs w:val="20"/>
        </w:rPr>
        <w:t xml:space="preserve"> is the annualized standard deviation of the residuals from the </w:t>
      </w:r>
      <w:proofErr w:type="spellStart"/>
      <w:r w:rsidR="002C100D" w:rsidRPr="00F15FF6">
        <w:rPr>
          <w:rFonts w:ascii="Times New Roman" w:hAnsi="Times New Roman" w:cs="Times New Roman"/>
          <w:sz w:val="20"/>
          <w:szCs w:val="20"/>
        </w:rPr>
        <w:t>Fama</w:t>
      </w:r>
      <w:proofErr w:type="spellEnd"/>
      <w:r w:rsidR="002C100D" w:rsidRPr="00F15FF6">
        <w:rPr>
          <w:rFonts w:ascii="Times New Roman" w:hAnsi="Times New Roman" w:cs="Times New Roman"/>
          <w:sz w:val="20"/>
          <w:szCs w:val="20"/>
        </w:rPr>
        <w:t>-French 4-factor model using daily stock returns in the year.</w:t>
      </w:r>
      <w:r w:rsidR="002C100D" w:rsidRPr="00F15FF6">
        <w:rPr>
          <w:rFonts w:ascii="Times New Roman" w:hAnsi="Times New Roman" w:cs="Times New Roman"/>
          <w:i/>
          <w:sz w:val="20"/>
          <w:szCs w:val="20"/>
        </w:rPr>
        <w:t xml:space="preserve"> NCSKEW</w:t>
      </w:r>
      <w:r w:rsidR="002C100D" w:rsidRPr="00F15FF6">
        <w:rPr>
          <w:rFonts w:ascii="Times New Roman" w:hAnsi="Times New Roman" w:cs="Times New Roman"/>
          <w:sz w:val="20"/>
          <w:szCs w:val="20"/>
        </w:rPr>
        <w:t xml:space="preserve"> is the negative conditional skewness of firm-specific weekly return, calculated as the negative third central moment of firm-specific weekly returns divided by the cubed standard deviation of firm-specific weekly returns. </w:t>
      </w:r>
      <w:r w:rsidR="00987918" w:rsidRPr="00F15FF6">
        <w:rPr>
          <w:rFonts w:ascii="Times New Roman" w:eastAsiaTheme="minorEastAsia" w:hAnsi="Times New Roman" w:cs="Times New Roman"/>
          <w:i/>
          <w:sz w:val="20"/>
          <w:szCs w:val="20"/>
        </w:rPr>
        <w:t xml:space="preserve">DUVOL </w:t>
      </w:r>
      <w:r w:rsidR="00987918" w:rsidRPr="00F15FF6">
        <w:rPr>
          <w:rFonts w:ascii="Times New Roman" w:eastAsiaTheme="minorEastAsia" w:hAnsi="Times New Roman" w:cs="Times New Roman"/>
          <w:sz w:val="20"/>
          <w:szCs w:val="20"/>
        </w:rPr>
        <w:t>is the log of the ratio of the standard deviation on down weeks to the standard deviation on up weeks.</w:t>
      </w:r>
      <w:r w:rsidR="00987918" w:rsidRPr="00F15FF6">
        <w:rPr>
          <w:rFonts w:ascii="Times New Roman" w:hAnsi="Times New Roman" w:cs="Times New Roman"/>
          <w:i/>
          <w:sz w:val="20"/>
          <w:szCs w:val="20"/>
        </w:rPr>
        <w:t xml:space="preserve"> COUNT</w:t>
      </w:r>
      <w:r w:rsidR="00987918" w:rsidRPr="00F15FF6">
        <w:rPr>
          <w:rFonts w:ascii="Times New Roman" w:hAnsi="Times New Roman" w:cs="Times New Roman"/>
          <w:sz w:val="20"/>
          <w:szCs w:val="20"/>
        </w:rPr>
        <w:t xml:space="preserve"> is the number of crashes minus the number of jumps over the fiscal year. </w:t>
      </w:r>
      <w:r w:rsidR="00987918" w:rsidRPr="00F15FF6">
        <w:rPr>
          <w:rFonts w:ascii="Times New Roman" w:hAnsi="Times New Roman" w:cs="Times New Roman"/>
          <w:i/>
          <w:sz w:val="20"/>
          <w:szCs w:val="20"/>
        </w:rPr>
        <w:t>NONOPERINC</w:t>
      </w:r>
      <w:r w:rsidR="00987918" w:rsidRPr="00F15FF6">
        <w:rPr>
          <w:rFonts w:ascii="Times New Roman" w:hAnsi="Times New Roman" w:cs="Times New Roman"/>
          <w:sz w:val="20"/>
          <w:szCs w:val="20"/>
        </w:rPr>
        <w:t xml:space="preserve"> is the ratio of non-operating income to assets at the end of the fiscal year. </w:t>
      </w:r>
      <w:r w:rsidR="00987918" w:rsidRPr="00F15FF6">
        <w:rPr>
          <w:rFonts w:ascii="Times New Roman" w:hAnsi="Times New Roman" w:cs="Times New Roman"/>
          <w:i/>
          <w:sz w:val="20"/>
          <w:szCs w:val="20"/>
        </w:rPr>
        <w:t>OPERINC</w:t>
      </w:r>
      <w:r w:rsidR="00987918" w:rsidRPr="00F15FF6">
        <w:rPr>
          <w:rFonts w:ascii="Times New Roman" w:hAnsi="Times New Roman" w:cs="Times New Roman"/>
          <w:sz w:val="20"/>
          <w:szCs w:val="20"/>
        </w:rPr>
        <w:t xml:space="preserve"> is the ratio of operating income to assets at the end of the fiscal year. </w:t>
      </w:r>
      <w:r w:rsidR="00071F02" w:rsidRPr="00F15FF6">
        <w:rPr>
          <w:rFonts w:ascii="Times New Roman" w:hAnsi="Times New Roman" w:cs="Times New Roman"/>
          <w:sz w:val="20"/>
          <w:szCs w:val="20"/>
        </w:rPr>
        <w:t>Operating asset ratio</w:t>
      </w:r>
      <w:r w:rsidR="00071F02" w:rsidRPr="00F15FF6">
        <w:rPr>
          <w:rFonts w:ascii="Times New Roman" w:hAnsi="Times New Roman" w:cs="Times New Roman"/>
          <w:i/>
          <w:sz w:val="20"/>
          <w:szCs w:val="20"/>
        </w:rPr>
        <w:t xml:space="preserve"> (</w:t>
      </w:r>
      <w:r w:rsidR="00851A26" w:rsidRPr="00F15FF6">
        <w:rPr>
          <w:rFonts w:ascii="Times New Roman" w:hAnsi="Times New Roman" w:cs="Times New Roman"/>
          <w:i/>
          <w:sz w:val="20"/>
          <w:szCs w:val="20"/>
        </w:rPr>
        <w:t>OPERATING ASSET RATIO</w:t>
      </w:r>
      <w:r w:rsidR="00071F02" w:rsidRPr="00F15FF6">
        <w:rPr>
          <w:rFonts w:ascii="Times New Roman" w:hAnsi="Times New Roman" w:cs="Times New Roman"/>
          <w:i/>
          <w:sz w:val="20"/>
          <w:szCs w:val="20"/>
        </w:rPr>
        <w:t>)</w:t>
      </w:r>
      <w:r w:rsidR="00071F02" w:rsidRPr="00F15FF6">
        <w:rPr>
          <w:rFonts w:ascii="Times New Roman" w:hAnsi="Times New Roman" w:cs="Times New Roman"/>
          <w:sz w:val="20"/>
          <w:szCs w:val="20"/>
        </w:rPr>
        <w:t xml:space="preserve"> </w:t>
      </w:r>
      <w:r w:rsidRPr="00F15FF6">
        <w:rPr>
          <w:rFonts w:ascii="Times New Roman" w:hAnsi="Times New Roman" w:cs="Times New Roman"/>
          <w:sz w:val="20"/>
          <w:szCs w:val="20"/>
        </w:rPr>
        <w:t xml:space="preserve">is the sum of cash, total receivables, inventories, prepaid expenses, deferred taxes, and net plant and property and equipment, goodwill and intangibles scaled by total assets. </w:t>
      </w:r>
      <w:r w:rsidR="00071F02" w:rsidRPr="00F15FF6">
        <w:rPr>
          <w:rFonts w:ascii="Times New Roman" w:hAnsi="Times New Roman" w:cs="Times New Roman"/>
          <w:sz w:val="20"/>
          <w:szCs w:val="20"/>
        </w:rPr>
        <w:t>Non-operating asset ratio</w:t>
      </w:r>
      <w:r w:rsidR="00071F02" w:rsidRPr="00F15FF6">
        <w:rPr>
          <w:rFonts w:ascii="Times New Roman" w:eastAsia="Times New Roman" w:hAnsi="Times New Roman" w:cs="Times New Roman"/>
          <w:i/>
          <w:iCs/>
          <w:color w:val="000000"/>
          <w:sz w:val="20"/>
          <w:szCs w:val="20"/>
        </w:rPr>
        <w:t xml:space="preserve"> (</w:t>
      </w:r>
      <w:r w:rsidR="00851A26" w:rsidRPr="00F15FF6">
        <w:rPr>
          <w:rFonts w:ascii="Times New Roman" w:eastAsia="Times New Roman" w:hAnsi="Times New Roman" w:cs="Times New Roman"/>
          <w:i/>
          <w:iCs/>
          <w:color w:val="000000"/>
          <w:sz w:val="20"/>
          <w:szCs w:val="20"/>
        </w:rPr>
        <w:t>NON-OPERATING ASSET RATIO</w:t>
      </w:r>
      <w:r w:rsidR="00071F02" w:rsidRPr="00F15FF6">
        <w:rPr>
          <w:rFonts w:ascii="Times New Roman" w:eastAsia="Times New Roman" w:hAnsi="Times New Roman" w:cs="Times New Roman"/>
          <w:i/>
          <w:iCs/>
          <w:color w:val="000000"/>
          <w:sz w:val="20"/>
          <w:szCs w:val="20"/>
        </w:rPr>
        <w:t>)</w:t>
      </w:r>
      <w:r w:rsidR="00851A26" w:rsidRPr="00F15FF6">
        <w:rPr>
          <w:rFonts w:ascii="Times New Roman" w:hAnsi="Times New Roman" w:cs="Times New Roman"/>
          <w:sz w:val="20"/>
          <w:szCs w:val="20"/>
        </w:rPr>
        <w:t xml:space="preserve"> </w:t>
      </w:r>
      <w:r w:rsidRPr="00F15FF6">
        <w:rPr>
          <w:rFonts w:ascii="Times New Roman" w:hAnsi="Times New Roman" w:cs="Times New Roman"/>
          <w:sz w:val="20"/>
          <w:szCs w:val="20"/>
        </w:rPr>
        <w:t xml:space="preserve">is the sum of short-term investment and total investment and advances scaled by total assets. </w:t>
      </w:r>
      <w:r w:rsidR="00071F02" w:rsidRPr="00F15FF6">
        <w:rPr>
          <w:rFonts w:ascii="Times New Roman" w:eastAsiaTheme="minorEastAsia" w:hAnsi="Times New Roman" w:cs="Times New Roman"/>
          <w:sz w:val="20"/>
          <w:szCs w:val="20"/>
        </w:rPr>
        <w:t xml:space="preserve">Control </w:t>
      </w:r>
      <w:r w:rsidRPr="00F15FF6">
        <w:rPr>
          <w:rFonts w:ascii="Times New Roman" w:eastAsiaTheme="minorEastAsia" w:hAnsi="Times New Roman" w:cs="Times New Roman"/>
          <w:sz w:val="20"/>
          <w:szCs w:val="20"/>
        </w:rPr>
        <w:t>variables are</w:t>
      </w:r>
      <w:r w:rsidR="00071F02" w:rsidRPr="00F15FF6">
        <w:rPr>
          <w:rFonts w:ascii="Times New Roman" w:eastAsiaTheme="minorEastAsia" w:hAnsi="Times New Roman" w:cs="Times New Roman"/>
          <w:sz w:val="20"/>
          <w:szCs w:val="20"/>
        </w:rPr>
        <w:t xml:space="preserve"> the same as those used in the corresponding regression models in Tables 3-5</w:t>
      </w:r>
      <w:r w:rsidRPr="00F15FF6">
        <w:rPr>
          <w:rFonts w:ascii="Times New Roman" w:eastAsiaTheme="minorEastAsia" w:hAnsi="Times New Roman" w:cs="Times New Roman"/>
          <w:sz w:val="20"/>
          <w:szCs w:val="20"/>
        </w:rPr>
        <w:t xml:space="preserve">. </w:t>
      </w:r>
      <w:r w:rsidR="00987918" w:rsidRPr="00F15FF6">
        <w:rPr>
          <w:rFonts w:ascii="Times New Roman" w:hAnsi="Times New Roman" w:cs="Times New Roman"/>
          <w:sz w:val="20"/>
          <w:szCs w:val="20"/>
        </w:rPr>
        <w:t xml:space="preserve">For brevity, only coefficients on </w:t>
      </w:r>
      <w:r w:rsidR="00987918" w:rsidRPr="00F15FF6">
        <w:rPr>
          <w:rFonts w:ascii="Times New Roman" w:hAnsi="Times New Roman" w:cs="Times New Roman"/>
          <w:i/>
          <w:sz w:val="20"/>
          <w:szCs w:val="20"/>
        </w:rPr>
        <w:t>NONOPERINC</w:t>
      </w:r>
      <w:r w:rsidR="00987918" w:rsidRPr="00F15FF6">
        <w:rPr>
          <w:rFonts w:ascii="Times New Roman" w:hAnsi="Times New Roman" w:cs="Times New Roman"/>
          <w:sz w:val="20"/>
          <w:szCs w:val="20"/>
        </w:rPr>
        <w:t xml:space="preserve">, </w:t>
      </w:r>
      <w:r w:rsidR="00987918" w:rsidRPr="00F15FF6">
        <w:rPr>
          <w:rFonts w:ascii="Times New Roman" w:hAnsi="Times New Roman" w:cs="Times New Roman"/>
          <w:i/>
          <w:sz w:val="20"/>
          <w:szCs w:val="20"/>
        </w:rPr>
        <w:t xml:space="preserve">OPERINC, </w:t>
      </w:r>
      <w:r w:rsidR="00987918" w:rsidRPr="00F15FF6">
        <w:rPr>
          <w:rFonts w:ascii="Times New Roman" w:eastAsia="Times New Roman" w:hAnsi="Times New Roman" w:cs="Times New Roman"/>
          <w:i/>
          <w:iCs/>
          <w:color w:val="000000"/>
          <w:sz w:val="20"/>
          <w:szCs w:val="20"/>
        </w:rPr>
        <w:t>NON-OPERATING ASSET RATIO</w:t>
      </w:r>
      <w:r w:rsidR="00987918" w:rsidRPr="00F15FF6">
        <w:rPr>
          <w:rFonts w:ascii="Times New Roman" w:hAnsi="Times New Roman" w:cs="Times New Roman"/>
          <w:i/>
          <w:sz w:val="20"/>
          <w:szCs w:val="20"/>
        </w:rPr>
        <w:t>, and OPERATING ASSET RATIO</w:t>
      </w:r>
      <w:r w:rsidR="00FB2D22" w:rsidRPr="00F15FF6">
        <w:rPr>
          <w:rFonts w:ascii="Times New Roman" w:hAnsi="Times New Roman" w:cs="Times New Roman"/>
          <w:i/>
          <w:sz w:val="20"/>
          <w:szCs w:val="20"/>
        </w:rPr>
        <w:t xml:space="preserve"> </w:t>
      </w:r>
      <w:r w:rsidR="00987918" w:rsidRPr="00F15FF6">
        <w:rPr>
          <w:rFonts w:ascii="Times New Roman" w:hAnsi="Times New Roman" w:cs="Times New Roman"/>
          <w:sz w:val="20"/>
          <w:szCs w:val="20"/>
        </w:rPr>
        <w:t>are reported</w:t>
      </w:r>
      <w:r w:rsidR="00851A26" w:rsidRPr="00F15FF6">
        <w:rPr>
          <w:rFonts w:ascii="Times New Roman" w:hAnsi="Times New Roman" w:cs="Times New Roman"/>
          <w:sz w:val="20"/>
          <w:szCs w:val="20"/>
        </w:rPr>
        <w:t>.</w:t>
      </w:r>
      <w:r w:rsidR="00987918" w:rsidRPr="00F15FF6">
        <w:rPr>
          <w:rFonts w:ascii="Times New Roman" w:eastAsiaTheme="minorEastAsia" w:hAnsi="Times New Roman" w:cs="Times New Roman"/>
          <w:sz w:val="20"/>
          <w:szCs w:val="20"/>
        </w:rPr>
        <w:t xml:space="preserve"> </w:t>
      </w:r>
      <w:r w:rsidRPr="00F15FF6">
        <w:rPr>
          <w:rFonts w:ascii="Times New Roman" w:eastAsiaTheme="minorEastAsia" w:hAnsi="Times New Roman" w:cs="Times New Roman"/>
          <w:sz w:val="20"/>
          <w:szCs w:val="20"/>
        </w:rPr>
        <w:t>*, ** and *** indicate the significance levels of 10%, 5% and 1%, respectively.</w:t>
      </w:r>
    </w:p>
    <w:p w14:paraId="493F4EF5" w14:textId="77777777" w:rsidR="00393AD9" w:rsidRPr="00DF579C" w:rsidRDefault="00393AD9">
      <w:pPr>
        <w:rPr>
          <w:rFonts w:ascii="Times New Roman" w:hAnsi="Times New Roman" w:cs="Times New Roman"/>
          <w:sz w:val="24"/>
          <w:szCs w:val="24"/>
          <w:highlight w:val="yellow"/>
        </w:rPr>
        <w:sectPr w:rsidR="00393AD9" w:rsidRPr="00DF579C" w:rsidSect="00903DCE">
          <w:pgSz w:w="15840" w:h="12240" w:orient="landscape"/>
          <w:pgMar w:top="1440" w:right="1440" w:bottom="1440" w:left="1440" w:header="720" w:footer="720" w:gutter="0"/>
          <w:cols w:space="720"/>
          <w:docGrid w:linePitch="360"/>
        </w:sectPr>
      </w:pPr>
    </w:p>
    <w:p w14:paraId="755CE1AE" w14:textId="37261466" w:rsidR="00662F59" w:rsidRPr="00F15FF6" w:rsidRDefault="00662F59" w:rsidP="00D23517">
      <w:pPr>
        <w:spacing w:after="0"/>
        <w:jc w:val="both"/>
        <w:rPr>
          <w:rFonts w:ascii="Times New Roman" w:eastAsia="Times New Roman" w:hAnsi="Times New Roman" w:cs="Times New Roman"/>
          <w:b/>
          <w:bCs/>
          <w:sz w:val="24"/>
          <w:szCs w:val="24"/>
        </w:rPr>
      </w:pPr>
      <w:r w:rsidRPr="00F15FF6">
        <w:rPr>
          <w:rFonts w:ascii="Times New Roman" w:eastAsia="Times New Roman" w:hAnsi="Times New Roman" w:cs="Times New Roman"/>
          <w:b/>
          <w:bCs/>
          <w:sz w:val="24"/>
          <w:szCs w:val="24"/>
        </w:rPr>
        <w:lastRenderedPageBreak/>
        <w:t xml:space="preserve">Table 12: </w:t>
      </w:r>
      <w:r w:rsidR="006C0E1D">
        <w:rPr>
          <w:rFonts w:ascii="Times New Roman" w:eastAsia="Times New Roman" w:hAnsi="Times New Roman" w:cs="Times New Roman"/>
          <w:b/>
          <w:bCs/>
          <w:sz w:val="24"/>
          <w:szCs w:val="24"/>
        </w:rPr>
        <w:t xml:space="preserve">Non-operating earnings and </w:t>
      </w:r>
      <w:r w:rsidR="00CE1C8D">
        <w:rPr>
          <w:rFonts w:ascii="Times New Roman" w:eastAsia="Times New Roman" w:hAnsi="Times New Roman" w:cs="Times New Roman"/>
          <w:b/>
          <w:bCs/>
          <w:sz w:val="24"/>
          <w:szCs w:val="24"/>
        </w:rPr>
        <w:t>earnings volatility</w:t>
      </w:r>
      <w:r w:rsidR="006E73EC">
        <w:rPr>
          <w:rFonts w:ascii="Times New Roman" w:eastAsia="Times New Roman" w:hAnsi="Times New Roman" w:cs="Times New Roman"/>
          <w:b/>
          <w:bCs/>
          <w:sz w:val="24"/>
          <w:szCs w:val="24"/>
        </w:rPr>
        <w:t xml:space="preserve"> (p</w:t>
      </w:r>
      <w:r w:rsidR="00CE1C8D" w:rsidRPr="00F15FF6">
        <w:rPr>
          <w:rFonts w:ascii="Times New Roman" w:eastAsia="Times New Roman" w:hAnsi="Times New Roman" w:cs="Times New Roman"/>
          <w:b/>
          <w:bCs/>
          <w:sz w:val="24"/>
          <w:szCs w:val="24"/>
        </w:rPr>
        <w:t xml:space="preserve">rofit </w:t>
      </w:r>
      <w:r w:rsidR="00D2237A" w:rsidRPr="00F15FF6">
        <w:rPr>
          <w:rFonts w:ascii="Times New Roman" w:eastAsia="Times New Roman" w:hAnsi="Times New Roman" w:cs="Times New Roman"/>
          <w:b/>
          <w:bCs/>
          <w:sz w:val="24"/>
          <w:szCs w:val="24"/>
        </w:rPr>
        <w:t>m</w:t>
      </w:r>
      <w:r w:rsidRPr="00F15FF6">
        <w:rPr>
          <w:rFonts w:ascii="Times New Roman" w:eastAsia="Times New Roman" w:hAnsi="Times New Roman" w:cs="Times New Roman"/>
          <w:b/>
          <w:bCs/>
          <w:sz w:val="24"/>
          <w:szCs w:val="24"/>
        </w:rPr>
        <w:t xml:space="preserve">argin and </w:t>
      </w:r>
      <w:r w:rsidR="00D2237A" w:rsidRPr="00F15FF6">
        <w:rPr>
          <w:rFonts w:ascii="Times New Roman" w:eastAsia="Times New Roman" w:hAnsi="Times New Roman" w:cs="Times New Roman"/>
          <w:b/>
          <w:bCs/>
          <w:sz w:val="24"/>
          <w:szCs w:val="24"/>
        </w:rPr>
        <w:t>a</w:t>
      </w:r>
      <w:r w:rsidRPr="00F15FF6">
        <w:rPr>
          <w:rFonts w:ascii="Times New Roman" w:eastAsia="Times New Roman" w:hAnsi="Times New Roman" w:cs="Times New Roman"/>
          <w:b/>
          <w:bCs/>
          <w:sz w:val="24"/>
          <w:szCs w:val="24"/>
        </w:rPr>
        <w:t xml:space="preserve">sset </w:t>
      </w:r>
      <w:r w:rsidR="00D2237A" w:rsidRPr="00F15FF6">
        <w:rPr>
          <w:rFonts w:ascii="Times New Roman" w:eastAsia="Times New Roman" w:hAnsi="Times New Roman" w:cs="Times New Roman"/>
          <w:b/>
          <w:bCs/>
          <w:sz w:val="24"/>
          <w:szCs w:val="24"/>
        </w:rPr>
        <w:t>t</w:t>
      </w:r>
      <w:r w:rsidRPr="00F15FF6">
        <w:rPr>
          <w:rFonts w:ascii="Times New Roman" w:eastAsia="Times New Roman" w:hAnsi="Times New Roman" w:cs="Times New Roman"/>
          <w:b/>
          <w:bCs/>
          <w:sz w:val="24"/>
          <w:szCs w:val="24"/>
        </w:rPr>
        <w:t xml:space="preserve">urnover </w:t>
      </w:r>
      <w:r w:rsidR="00D2237A" w:rsidRPr="00F15FF6">
        <w:rPr>
          <w:rFonts w:ascii="Times New Roman" w:eastAsia="Times New Roman" w:hAnsi="Times New Roman" w:cs="Times New Roman"/>
          <w:b/>
          <w:bCs/>
          <w:sz w:val="24"/>
          <w:szCs w:val="24"/>
        </w:rPr>
        <w:t>v</w:t>
      </w:r>
      <w:r w:rsidRPr="00F15FF6">
        <w:rPr>
          <w:rFonts w:ascii="Times New Roman" w:eastAsia="Times New Roman" w:hAnsi="Times New Roman" w:cs="Times New Roman"/>
          <w:b/>
          <w:bCs/>
          <w:sz w:val="24"/>
          <w:szCs w:val="24"/>
        </w:rPr>
        <w:t>olatility</w:t>
      </w:r>
      <w:r w:rsidR="006E73EC">
        <w:rPr>
          <w:rFonts w:ascii="Times New Roman" w:eastAsia="Times New Roman" w:hAnsi="Times New Roman" w:cs="Times New Roman"/>
          <w:b/>
          <w:bCs/>
          <w:sz w:val="24"/>
          <w:szCs w:val="24"/>
        </w:rPr>
        <w:t>)</w:t>
      </w:r>
    </w:p>
    <w:tbl>
      <w:tblPr>
        <w:tblW w:w="5000" w:type="pct"/>
        <w:tblLook w:val="04A0" w:firstRow="1" w:lastRow="0" w:firstColumn="1" w:lastColumn="0" w:noHBand="0" w:noVBand="1"/>
      </w:tblPr>
      <w:tblGrid>
        <w:gridCol w:w="2422"/>
        <w:gridCol w:w="3383"/>
        <w:gridCol w:w="3555"/>
      </w:tblGrid>
      <w:tr w:rsidR="00AF4D71" w:rsidRPr="005217FE" w14:paraId="01203733" w14:textId="77777777" w:rsidTr="00811D08">
        <w:trPr>
          <w:trHeight w:val="288"/>
        </w:trPr>
        <w:tc>
          <w:tcPr>
            <w:tcW w:w="1294" w:type="pct"/>
            <w:tcBorders>
              <w:top w:val="single" w:sz="4" w:space="0" w:color="auto"/>
              <w:left w:val="nil"/>
              <w:bottom w:val="single" w:sz="4" w:space="0" w:color="auto"/>
              <w:right w:val="nil"/>
            </w:tcBorders>
            <w:shd w:val="clear" w:color="auto" w:fill="auto"/>
            <w:noWrap/>
            <w:vAlign w:val="bottom"/>
            <w:hideMark/>
          </w:tcPr>
          <w:p w14:paraId="008DFD23" w14:textId="77777777" w:rsidR="00AF4D71" w:rsidRPr="00F15FF6" w:rsidRDefault="00AF4D71" w:rsidP="00592C3D">
            <w:pPr>
              <w:spacing w:after="0" w:line="240" w:lineRule="auto"/>
              <w:rPr>
                <w:rFonts w:ascii="Times New Roman" w:eastAsia="Times New Roman" w:hAnsi="Times New Roman" w:cs="Times New Roman"/>
                <w:b/>
                <w:bCs/>
                <w:i/>
                <w:iCs/>
                <w:color w:val="000000"/>
              </w:rPr>
            </w:pPr>
            <w:r w:rsidRPr="00F15FF6">
              <w:rPr>
                <w:rFonts w:ascii="Times New Roman" w:eastAsia="Times New Roman" w:hAnsi="Times New Roman" w:cs="Times New Roman"/>
                <w:b/>
                <w:bCs/>
                <w:i/>
                <w:iCs/>
                <w:color w:val="000000"/>
              </w:rPr>
              <w:t>Variables</w:t>
            </w:r>
          </w:p>
        </w:tc>
        <w:tc>
          <w:tcPr>
            <w:tcW w:w="1807" w:type="pct"/>
            <w:tcBorders>
              <w:top w:val="single" w:sz="4" w:space="0" w:color="auto"/>
              <w:left w:val="nil"/>
              <w:bottom w:val="single" w:sz="4" w:space="0" w:color="auto"/>
              <w:right w:val="nil"/>
            </w:tcBorders>
            <w:shd w:val="clear" w:color="auto" w:fill="auto"/>
            <w:noWrap/>
            <w:vAlign w:val="bottom"/>
            <w:hideMark/>
          </w:tcPr>
          <w:p w14:paraId="6234EB60" w14:textId="77777777" w:rsidR="00AF4D71" w:rsidRPr="00F15FF6" w:rsidRDefault="00AF4D71" w:rsidP="00592C3D">
            <w:pPr>
              <w:spacing w:after="0" w:line="240" w:lineRule="auto"/>
              <w:rPr>
                <w:rFonts w:ascii="Times New Roman" w:eastAsia="Times New Roman" w:hAnsi="Times New Roman" w:cs="Times New Roman"/>
                <w:b/>
                <w:bCs/>
                <w:i/>
                <w:iCs/>
                <w:color w:val="000000"/>
              </w:rPr>
            </w:pPr>
            <w:r w:rsidRPr="00F15FF6">
              <w:rPr>
                <w:rFonts w:ascii="Times New Roman" w:eastAsia="Times New Roman" w:hAnsi="Times New Roman" w:cs="Times New Roman"/>
                <w:b/>
                <w:bCs/>
                <w:i/>
                <w:iCs/>
                <w:color w:val="000000"/>
              </w:rPr>
              <w:t>PROFIT MARGIN VOLATILITY</w:t>
            </w:r>
          </w:p>
        </w:tc>
        <w:tc>
          <w:tcPr>
            <w:tcW w:w="1899" w:type="pct"/>
            <w:tcBorders>
              <w:top w:val="single" w:sz="4" w:space="0" w:color="auto"/>
              <w:left w:val="nil"/>
              <w:bottom w:val="single" w:sz="4" w:space="0" w:color="auto"/>
              <w:right w:val="nil"/>
            </w:tcBorders>
            <w:shd w:val="clear" w:color="auto" w:fill="auto"/>
            <w:noWrap/>
            <w:vAlign w:val="bottom"/>
            <w:hideMark/>
          </w:tcPr>
          <w:p w14:paraId="23369C8B" w14:textId="77777777" w:rsidR="00AF4D71" w:rsidRPr="00F15FF6" w:rsidRDefault="00AF4D71" w:rsidP="00592C3D">
            <w:pPr>
              <w:spacing w:after="0" w:line="240" w:lineRule="auto"/>
              <w:rPr>
                <w:rFonts w:ascii="Times New Roman" w:eastAsia="Times New Roman" w:hAnsi="Times New Roman" w:cs="Times New Roman"/>
                <w:b/>
                <w:bCs/>
                <w:i/>
                <w:iCs/>
                <w:color w:val="000000"/>
              </w:rPr>
            </w:pPr>
            <w:r w:rsidRPr="00F15FF6">
              <w:rPr>
                <w:rFonts w:ascii="Times New Roman" w:eastAsia="Times New Roman" w:hAnsi="Times New Roman" w:cs="Times New Roman"/>
                <w:b/>
                <w:bCs/>
                <w:i/>
                <w:iCs/>
                <w:color w:val="000000"/>
              </w:rPr>
              <w:t>ASSET TURNOVER VOLATILITY</w:t>
            </w:r>
          </w:p>
        </w:tc>
      </w:tr>
      <w:tr w:rsidR="00AF4D71" w:rsidRPr="005217FE" w14:paraId="72E3E50F" w14:textId="77777777" w:rsidTr="00811D08">
        <w:trPr>
          <w:trHeight w:val="288"/>
        </w:trPr>
        <w:tc>
          <w:tcPr>
            <w:tcW w:w="1294" w:type="pct"/>
            <w:tcBorders>
              <w:top w:val="nil"/>
              <w:left w:val="nil"/>
              <w:bottom w:val="nil"/>
              <w:right w:val="nil"/>
            </w:tcBorders>
            <w:shd w:val="clear" w:color="auto" w:fill="auto"/>
            <w:noWrap/>
            <w:vAlign w:val="bottom"/>
            <w:hideMark/>
          </w:tcPr>
          <w:p w14:paraId="4BF24391" w14:textId="77777777" w:rsidR="00AF4D71" w:rsidRPr="00F15FF6" w:rsidRDefault="00AF4D71" w:rsidP="00592C3D">
            <w:pPr>
              <w:spacing w:after="0" w:line="240" w:lineRule="auto"/>
              <w:rPr>
                <w:rFonts w:ascii="Times New Roman" w:eastAsia="Times New Roman" w:hAnsi="Times New Roman" w:cs="Times New Roman"/>
                <w:i/>
                <w:iCs/>
                <w:color w:val="000000"/>
              </w:rPr>
            </w:pPr>
            <w:r w:rsidRPr="00F15FF6">
              <w:rPr>
                <w:rFonts w:ascii="Times New Roman" w:eastAsia="Times New Roman" w:hAnsi="Times New Roman" w:cs="Times New Roman"/>
                <w:i/>
                <w:iCs/>
                <w:color w:val="000000"/>
              </w:rPr>
              <w:t>NONOPERINC</w:t>
            </w:r>
          </w:p>
        </w:tc>
        <w:tc>
          <w:tcPr>
            <w:tcW w:w="1807" w:type="pct"/>
            <w:tcBorders>
              <w:top w:val="nil"/>
              <w:left w:val="nil"/>
              <w:bottom w:val="nil"/>
              <w:right w:val="nil"/>
            </w:tcBorders>
            <w:shd w:val="clear" w:color="auto" w:fill="auto"/>
            <w:noWrap/>
            <w:vAlign w:val="bottom"/>
            <w:hideMark/>
          </w:tcPr>
          <w:p w14:paraId="2816F9AE"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-0.017</w:t>
            </w:r>
          </w:p>
        </w:tc>
        <w:tc>
          <w:tcPr>
            <w:tcW w:w="1899" w:type="pct"/>
            <w:tcBorders>
              <w:top w:val="nil"/>
              <w:left w:val="nil"/>
              <w:bottom w:val="nil"/>
              <w:right w:val="nil"/>
            </w:tcBorders>
            <w:shd w:val="clear" w:color="auto" w:fill="auto"/>
            <w:noWrap/>
            <w:vAlign w:val="bottom"/>
            <w:hideMark/>
          </w:tcPr>
          <w:p w14:paraId="14754BA6"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-0.023</w:t>
            </w:r>
          </w:p>
        </w:tc>
      </w:tr>
      <w:tr w:rsidR="00AF4D71" w:rsidRPr="005217FE" w14:paraId="40FBF5CC" w14:textId="77777777" w:rsidTr="00811D08">
        <w:trPr>
          <w:trHeight w:val="288"/>
        </w:trPr>
        <w:tc>
          <w:tcPr>
            <w:tcW w:w="1294" w:type="pct"/>
            <w:tcBorders>
              <w:top w:val="nil"/>
              <w:left w:val="nil"/>
              <w:bottom w:val="nil"/>
              <w:right w:val="nil"/>
            </w:tcBorders>
            <w:shd w:val="clear" w:color="auto" w:fill="auto"/>
            <w:noWrap/>
            <w:vAlign w:val="bottom"/>
            <w:hideMark/>
          </w:tcPr>
          <w:p w14:paraId="2BD774C6" w14:textId="77777777" w:rsidR="00AF4D71" w:rsidRPr="00F15FF6" w:rsidRDefault="00AF4D71" w:rsidP="00592C3D">
            <w:pPr>
              <w:spacing w:after="0" w:line="240" w:lineRule="auto"/>
              <w:rPr>
                <w:rFonts w:ascii="Times New Roman" w:eastAsia="Times New Roman" w:hAnsi="Times New Roman" w:cs="Times New Roman"/>
                <w:color w:val="000000"/>
              </w:rPr>
            </w:pPr>
          </w:p>
        </w:tc>
        <w:tc>
          <w:tcPr>
            <w:tcW w:w="1807" w:type="pct"/>
            <w:tcBorders>
              <w:top w:val="nil"/>
              <w:left w:val="nil"/>
              <w:bottom w:val="nil"/>
              <w:right w:val="nil"/>
            </w:tcBorders>
            <w:shd w:val="clear" w:color="auto" w:fill="auto"/>
            <w:noWrap/>
            <w:vAlign w:val="bottom"/>
            <w:hideMark/>
          </w:tcPr>
          <w:p w14:paraId="03A7A161"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(-2.679***)</w:t>
            </w:r>
          </w:p>
        </w:tc>
        <w:tc>
          <w:tcPr>
            <w:tcW w:w="1899" w:type="pct"/>
            <w:tcBorders>
              <w:top w:val="nil"/>
              <w:left w:val="nil"/>
              <w:bottom w:val="nil"/>
              <w:right w:val="nil"/>
            </w:tcBorders>
            <w:shd w:val="clear" w:color="auto" w:fill="auto"/>
            <w:noWrap/>
            <w:vAlign w:val="bottom"/>
            <w:hideMark/>
          </w:tcPr>
          <w:p w14:paraId="50E6CAB9"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(-5.003***)</w:t>
            </w:r>
          </w:p>
        </w:tc>
      </w:tr>
      <w:tr w:rsidR="00AF4D71" w:rsidRPr="005217FE" w14:paraId="17679B30" w14:textId="77777777" w:rsidTr="00811D08">
        <w:trPr>
          <w:trHeight w:val="288"/>
        </w:trPr>
        <w:tc>
          <w:tcPr>
            <w:tcW w:w="1294" w:type="pct"/>
            <w:tcBorders>
              <w:top w:val="nil"/>
              <w:left w:val="nil"/>
              <w:bottom w:val="nil"/>
              <w:right w:val="nil"/>
            </w:tcBorders>
            <w:shd w:val="clear" w:color="auto" w:fill="auto"/>
            <w:noWrap/>
            <w:vAlign w:val="bottom"/>
            <w:hideMark/>
          </w:tcPr>
          <w:p w14:paraId="1D115DBE" w14:textId="77777777" w:rsidR="00AF4D71" w:rsidRPr="00F15FF6" w:rsidRDefault="00AF4D71" w:rsidP="00592C3D">
            <w:pPr>
              <w:spacing w:after="0" w:line="240" w:lineRule="auto"/>
              <w:rPr>
                <w:rFonts w:ascii="Times New Roman" w:eastAsia="Times New Roman" w:hAnsi="Times New Roman" w:cs="Times New Roman"/>
                <w:i/>
                <w:iCs/>
                <w:color w:val="000000"/>
              </w:rPr>
            </w:pPr>
            <w:r w:rsidRPr="00F15FF6">
              <w:rPr>
                <w:rFonts w:ascii="Times New Roman" w:eastAsia="Times New Roman" w:hAnsi="Times New Roman" w:cs="Times New Roman"/>
                <w:i/>
                <w:iCs/>
                <w:color w:val="000000"/>
              </w:rPr>
              <w:t>OPERINC</w:t>
            </w:r>
          </w:p>
        </w:tc>
        <w:tc>
          <w:tcPr>
            <w:tcW w:w="1807" w:type="pct"/>
            <w:tcBorders>
              <w:top w:val="nil"/>
              <w:left w:val="nil"/>
              <w:bottom w:val="nil"/>
              <w:right w:val="nil"/>
            </w:tcBorders>
            <w:shd w:val="clear" w:color="auto" w:fill="auto"/>
            <w:noWrap/>
            <w:vAlign w:val="bottom"/>
            <w:hideMark/>
          </w:tcPr>
          <w:p w14:paraId="3E45F234"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-0.134</w:t>
            </w:r>
          </w:p>
        </w:tc>
        <w:tc>
          <w:tcPr>
            <w:tcW w:w="1899" w:type="pct"/>
            <w:tcBorders>
              <w:top w:val="nil"/>
              <w:left w:val="nil"/>
              <w:bottom w:val="nil"/>
              <w:right w:val="nil"/>
            </w:tcBorders>
            <w:shd w:val="clear" w:color="auto" w:fill="auto"/>
            <w:noWrap/>
            <w:vAlign w:val="bottom"/>
            <w:hideMark/>
          </w:tcPr>
          <w:p w14:paraId="1C6986DD"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0.024</w:t>
            </w:r>
          </w:p>
        </w:tc>
      </w:tr>
      <w:tr w:rsidR="00AF4D71" w:rsidRPr="005217FE" w14:paraId="7C11DAD1" w14:textId="77777777" w:rsidTr="00811D08">
        <w:trPr>
          <w:trHeight w:val="288"/>
        </w:trPr>
        <w:tc>
          <w:tcPr>
            <w:tcW w:w="1294" w:type="pct"/>
            <w:tcBorders>
              <w:top w:val="nil"/>
              <w:left w:val="nil"/>
              <w:bottom w:val="nil"/>
              <w:right w:val="nil"/>
            </w:tcBorders>
            <w:shd w:val="clear" w:color="auto" w:fill="auto"/>
            <w:noWrap/>
            <w:vAlign w:val="bottom"/>
            <w:hideMark/>
          </w:tcPr>
          <w:p w14:paraId="7CB93E2D" w14:textId="77777777" w:rsidR="00AF4D71" w:rsidRPr="00F15FF6" w:rsidRDefault="00AF4D71" w:rsidP="00592C3D">
            <w:pPr>
              <w:spacing w:after="0" w:line="240" w:lineRule="auto"/>
              <w:rPr>
                <w:rFonts w:ascii="Times New Roman" w:eastAsia="Times New Roman" w:hAnsi="Times New Roman" w:cs="Times New Roman"/>
                <w:color w:val="000000"/>
              </w:rPr>
            </w:pPr>
          </w:p>
        </w:tc>
        <w:tc>
          <w:tcPr>
            <w:tcW w:w="1807" w:type="pct"/>
            <w:tcBorders>
              <w:top w:val="nil"/>
              <w:left w:val="nil"/>
              <w:bottom w:val="nil"/>
              <w:right w:val="nil"/>
            </w:tcBorders>
            <w:shd w:val="clear" w:color="auto" w:fill="auto"/>
            <w:noWrap/>
            <w:vAlign w:val="bottom"/>
            <w:hideMark/>
          </w:tcPr>
          <w:p w14:paraId="699337F6"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(-9.541***)</w:t>
            </w:r>
          </w:p>
        </w:tc>
        <w:tc>
          <w:tcPr>
            <w:tcW w:w="1899" w:type="pct"/>
            <w:tcBorders>
              <w:top w:val="nil"/>
              <w:left w:val="nil"/>
              <w:bottom w:val="nil"/>
              <w:right w:val="nil"/>
            </w:tcBorders>
            <w:shd w:val="clear" w:color="auto" w:fill="auto"/>
            <w:noWrap/>
            <w:vAlign w:val="bottom"/>
            <w:hideMark/>
          </w:tcPr>
          <w:p w14:paraId="4FD6BCB2"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(2.758***)</w:t>
            </w:r>
          </w:p>
        </w:tc>
      </w:tr>
      <w:tr w:rsidR="00AF4D71" w:rsidRPr="005217FE" w14:paraId="0D36DCDE" w14:textId="77777777" w:rsidTr="00811D08">
        <w:trPr>
          <w:trHeight w:val="288"/>
        </w:trPr>
        <w:tc>
          <w:tcPr>
            <w:tcW w:w="1294" w:type="pct"/>
            <w:tcBorders>
              <w:top w:val="nil"/>
              <w:left w:val="nil"/>
              <w:bottom w:val="nil"/>
              <w:right w:val="nil"/>
            </w:tcBorders>
            <w:shd w:val="clear" w:color="auto" w:fill="auto"/>
            <w:noWrap/>
            <w:vAlign w:val="bottom"/>
            <w:hideMark/>
          </w:tcPr>
          <w:p w14:paraId="5404822E" w14:textId="77777777" w:rsidR="00AF4D71" w:rsidRPr="00F15FF6" w:rsidRDefault="00AF4D71" w:rsidP="00592C3D">
            <w:pPr>
              <w:spacing w:after="0" w:line="240" w:lineRule="auto"/>
              <w:rPr>
                <w:rFonts w:ascii="Times New Roman" w:eastAsia="Times New Roman" w:hAnsi="Times New Roman" w:cs="Times New Roman"/>
                <w:i/>
                <w:iCs/>
                <w:color w:val="000000"/>
              </w:rPr>
            </w:pPr>
            <w:r w:rsidRPr="00F15FF6">
              <w:rPr>
                <w:rFonts w:ascii="Times New Roman" w:eastAsia="Times New Roman" w:hAnsi="Times New Roman" w:cs="Times New Roman"/>
                <w:i/>
                <w:iCs/>
                <w:color w:val="000000"/>
              </w:rPr>
              <w:t>LNAT</w:t>
            </w:r>
          </w:p>
        </w:tc>
        <w:tc>
          <w:tcPr>
            <w:tcW w:w="1807" w:type="pct"/>
            <w:tcBorders>
              <w:top w:val="nil"/>
              <w:left w:val="nil"/>
              <w:bottom w:val="nil"/>
              <w:right w:val="nil"/>
            </w:tcBorders>
            <w:shd w:val="clear" w:color="auto" w:fill="auto"/>
            <w:noWrap/>
            <w:vAlign w:val="bottom"/>
            <w:hideMark/>
          </w:tcPr>
          <w:p w14:paraId="4C02FB19"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-0.152</w:t>
            </w:r>
          </w:p>
        </w:tc>
        <w:tc>
          <w:tcPr>
            <w:tcW w:w="1899" w:type="pct"/>
            <w:tcBorders>
              <w:top w:val="nil"/>
              <w:left w:val="nil"/>
              <w:bottom w:val="nil"/>
              <w:right w:val="nil"/>
            </w:tcBorders>
            <w:shd w:val="clear" w:color="auto" w:fill="auto"/>
            <w:noWrap/>
            <w:vAlign w:val="bottom"/>
            <w:hideMark/>
          </w:tcPr>
          <w:p w14:paraId="2967C680"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-0.282</w:t>
            </w:r>
          </w:p>
        </w:tc>
      </w:tr>
      <w:tr w:rsidR="00AF4D71" w:rsidRPr="005217FE" w14:paraId="58126344" w14:textId="77777777" w:rsidTr="00811D08">
        <w:trPr>
          <w:trHeight w:val="288"/>
        </w:trPr>
        <w:tc>
          <w:tcPr>
            <w:tcW w:w="1294" w:type="pct"/>
            <w:tcBorders>
              <w:top w:val="nil"/>
              <w:left w:val="nil"/>
              <w:bottom w:val="nil"/>
              <w:right w:val="nil"/>
            </w:tcBorders>
            <w:shd w:val="clear" w:color="auto" w:fill="auto"/>
            <w:noWrap/>
            <w:vAlign w:val="bottom"/>
            <w:hideMark/>
          </w:tcPr>
          <w:p w14:paraId="0CC3E540" w14:textId="77777777" w:rsidR="00AF4D71" w:rsidRPr="00F15FF6" w:rsidRDefault="00AF4D71" w:rsidP="00592C3D">
            <w:pPr>
              <w:spacing w:after="0" w:line="240" w:lineRule="auto"/>
              <w:rPr>
                <w:rFonts w:ascii="Times New Roman" w:eastAsia="Times New Roman" w:hAnsi="Times New Roman" w:cs="Times New Roman"/>
                <w:color w:val="000000"/>
              </w:rPr>
            </w:pPr>
          </w:p>
        </w:tc>
        <w:tc>
          <w:tcPr>
            <w:tcW w:w="1807" w:type="pct"/>
            <w:tcBorders>
              <w:top w:val="nil"/>
              <w:left w:val="nil"/>
              <w:bottom w:val="nil"/>
              <w:right w:val="nil"/>
            </w:tcBorders>
            <w:shd w:val="clear" w:color="auto" w:fill="auto"/>
            <w:noWrap/>
            <w:vAlign w:val="bottom"/>
            <w:hideMark/>
          </w:tcPr>
          <w:p w14:paraId="523E8F5B"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(-5.833***)</w:t>
            </w:r>
          </w:p>
        </w:tc>
        <w:tc>
          <w:tcPr>
            <w:tcW w:w="1899" w:type="pct"/>
            <w:tcBorders>
              <w:top w:val="nil"/>
              <w:left w:val="nil"/>
              <w:bottom w:val="nil"/>
              <w:right w:val="nil"/>
            </w:tcBorders>
            <w:shd w:val="clear" w:color="auto" w:fill="auto"/>
            <w:noWrap/>
            <w:vAlign w:val="bottom"/>
            <w:hideMark/>
          </w:tcPr>
          <w:p w14:paraId="450E7E5C"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(-10.494***)</w:t>
            </w:r>
          </w:p>
        </w:tc>
      </w:tr>
      <w:tr w:rsidR="00AF4D71" w:rsidRPr="005217FE" w14:paraId="6F52E5E0" w14:textId="77777777" w:rsidTr="00811D08">
        <w:trPr>
          <w:trHeight w:val="288"/>
        </w:trPr>
        <w:tc>
          <w:tcPr>
            <w:tcW w:w="1294" w:type="pct"/>
            <w:tcBorders>
              <w:top w:val="nil"/>
              <w:left w:val="nil"/>
              <w:bottom w:val="nil"/>
              <w:right w:val="nil"/>
            </w:tcBorders>
            <w:shd w:val="clear" w:color="auto" w:fill="auto"/>
            <w:noWrap/>
            <w:vAlign w:val="bottom"/>
            <w:hideMark/>
          </w:tcPr>
          <w:p w14:paraId="54770B5B" w14:textId="77777777" w:rsidR="00AF4D71" w:rsidRPr="00F15FF6" w:rsidRDefault="00AF4D71" w:rsidP="00592C3D">
            <w:pPr>
              <w:spacing w:after="0" w:line="240" w:lineRule="auto"/>
              <w:rPr>
                <w:rFonts w:ascii="Times New Roman" w:eastAsia="Times New Roman" w:hAnsi="Times New Roman" w:cs="Times New Roman"/>
                <w:i/>
                <w:iCs/>
                <w:color w:val="000000"/>
              </w:rPr>
            </w:pPr>
            <w:r w:rsidRPr="00F15FF6">
              <w:rPr>
                <w:rFonts w:ascii="Times New Roman" w:eastAsia="Times New Roman" w:hAnsi="Times New Roman" w:cs="Times New Roman"/>
                <w:i/>
                <w:iCs/>
                <w:color w:val="000000"/>
              </w:rPr>
              <w:t>DEBT</w:t>
            </w:r>
          </w:p>
        </w:tc>
        <w:tc>
          <w:tcPr>
            <w:tcW w:w="1807" w:type="pct"/>
            <w:tcBorders>
              <w:top w:val="nil"/>
              <w:left w:val="nil"/>
              <w:bottom w:val="nil"/>
              <w:right w:val="nil"/>
            </w:tcBorders>
            <w:shd w:val="clear" w:color="auto" w:fill="auto"/>
            <w:noWrap/>
            <w:vAlign w:val="bottom"/>
            <w:hideMark/>
          </w:tcPr>
          <w:p w14:paraId="75FB9239"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0.009</w:t>
            </w:r>
          </w:p>
        </w:tc>
        <w:tc>
          <w:tcPr>
            <w:tcW w:w="1899" w:type="pct"/>
            <w:tcBorders>
              <w:top w:val="nil"/>
              <w:left w:val="nil"/>
              <w:bottom w:val="nil"/>
              <w:right w:val="nil"/>
            </w:tcBorders>
            <w:shd w:val="clear" w:color="auto" w:fill="auto"/>
            <w:noWrap/>
            <w:vAlign w:val="bottom"/>
            <w:hideMark/>
          </w:tcPr>
          <w:p w14:paraId="4F2591B0"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0.046</w:t>
            </w:r>
          </w:p>
        </w:tc>
      </w:tr>
      <w:tr w:rsidR="00AF4D71" w:rsidRPr="005217FE" w14:paraId="4F3F8384" w14:textId="77777777" w:rsidTr="00811D08">
        <w:trPr>
          <w:trHeight w:val="288"/>
        </w:trPr>
        <w:tc>
          <w:tcPr>
            <w:tcW w:w="1294" w:type="pct"/>
            <w:tcBorders>
              <w:top w:val="nil"/>
              <w:left w:val="nil"/>
              <w:bottom w:val="nil"/>
              <w:right w:val="nil"/>
            </w:tcBorders>
            <w:shd w:val="clear" w:color="auto" w:fill="auto"/>
            <w:noWrap/>
            <w:vAlign w:val="bottom"/>
            <w:hideMark/>
          </w:tcPr>
          <w:p w14:paraId="5A49B384" w14:textId="77777777" w:rsidR="00AF4D71" w:rsidRPr="00F15FF6" w:rsidRDefault="00AF4D71" w:rsidP="00592C3D">
            <w:pPr>
              <w:spacing w:after="0" w:line="240" w:lineRule="auto"/>
              <w:rPr>
                <w:rFonts w:ascii="Times New Roman" w:eastAsia="Times New Roman" w:hAnsi="Times New Roman" w:cs="Times New Roman"/>
                <w:color w:val="000000"/>
              </w:rPr>
            </w:pPr>
          </w:p>
        </w:tc>
        <w:tc>
          <w:tcPr>
            <w:tcW w:w="1807" w:type="pct"/>
            <w:tcBorders>
              <w:top w:val="nil"/>
              <w:left w:val="nil"/>
              <w:bottom w:val="nil"/>
              <w:right w:val="nil"/>
            </w:tcBorders>
            <w:shd w:val="clear" w:color="auto" w:fill="auto"/>
            <w:noWrap/>
            <w:vAlign w:val="bottom"/>
            <w:hideMark/>
          </w:tcPr>
          <w:p w14:paraId="5878B395"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(0.774)</w:t>
            </w:r>
          </w:p>
        </w:tc>
        <w:tc>
          <w:tcPr>
            <w:tcW w:w="1899" w:type="pct"/>
            <w:tcBorders>
              <w:top w:val="nil"/>
              <w:left w:val="nil"/>
              <w:bottom w:val="nil"/>
              <w:right w:val="nil"/>
            </w:tcBorders>
            <w:shd w:val="clear" w:color="auto" w:fill="auto"/>
            <w:noWrap/>
            <w:vAlign w:val="bottom"/>
            <w:hideMark/>
          </w:tcPr>
          <w:p w14:paraId="298E32CC"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(5.816***)</w:t>
            </w:r>
          </w:p>
        </w:tc>
      </w:tr>
      <w:tr w:rsidR="00AF4D71" w:rsidRPr="005217FE" w14:paraId="09E38A51" w14:textId="77777777" w:rsidTr="00811D08">
        <w:trPr>
          <w:trHeight w:val="288"/>
        </w:trPr>
        <w:tc>
          <w:tcPr>
            <w:tcW w:w="1294" w:type="pct"/>
            <w:tcBorders>
              <w:top w:val="nil"/>
              <w:left w:val="nil"/>
              <w:bottom w:val="nil"/>
              <w:right w:val="nil"/>
            </w:tcBorders>
            <w:shd w:val="clear" w:color="auto" w:fill="auto"/>
            <w:noWrap/>
            <w:vAlign w:val="bottom"/>
            <w:hideMark/>
          </w:tcPr>
          <w:p w14:paraId="52A53CC3" w14:textId="77777777" w:rsidR="00AF4D71" w:rsidRPr="00F15FF6" w:rsidRDefault="00AF4D71" w:rsidP="00592C3D">
            <w:pPr>
              <w:spacing w:after="0" w:line="240" w:lineRule="auto"/>
              <w:rPr>
                <w:rFonts w:ascii="Times New Roman" w:eastAsia="Times New Roman" w:hAnsi="Times New Roman" w:cs="Times New Roman"/>
                <w:i/>
                <w:iCs/>
                <w:color w:val="000000"/>
              </w:rPr>
            </w:pPr>
            <w:r w:rsidRPr="00F15FF6">
              <w:rPr>
                <w:rFonts w:ascii="Times New Roman" w:eastAsia="Times New Roman" w:hAnsi="Times New Roman" w:cs="Times New Roman"/>
                <w:i/>
                <w:iCs/>
                <w:color w:val="000000"/>
              </w:rPr>
              <w:t>XRD</w:t>
            </w:r>
          </w:p>
        </w:tc>
        <w:tc>
          <w:tcPr>
            <w:tcW w:w="1807" w:type="pct"/>
            <w:tcBorders>
              <w:top w:val="nil"/>
              <w:left w:val="nil"/>
              <w:bottom w:val="nil"/>
              <w:right w:val="nil"/>
            </w:tcBorders>
            <w:shd w:val="clear" w:color="auto" w:fill="auto"/>
            <w:noWrap/>
            <w:vAlign w:val="bottom"/>
            <w:hideMark/>
          </w:tcPr>
          <w:p w14:paraId="2818EE91"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0.018</w:t>
            </w:r>
          </w:p>
        </w:tc>
        <w:tc>
          <w:tcPr>
            <w:tcW w:w="1899" w:type="pct"/>
            <w:tcBorders>
              <w:top w:val="nil"/>
              <w:left w:val="nil"/>
              <w:bottom w:val="nil"/>
              <w:right w:val="nil"/>
            </w:tcBorders>
            <w:shd w:val="clear" w:color="auto" w:fill="auto"/>
            <w:noWrap/>
            <w:vAlign w:val="bottom"/>
            <w:hideMark/>
          </w:tcPr>
          <w:p w14:paraId="5F84EF77"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-0.031</w:t>
            </w:r>
          </w:p>
        </w:tc>
      </w:tr>
      <w:tr w:rsidR="00AF4D71" w:rsidRPr="005217FE" w14:paraId="10C627DB" w14:textId="77777777" w:rsidTr="00811D08">
        <w:trPr>
          <w:trHeight w:val="288"/>
        </w:trPr>
        <w:tc>
          <w:tcPr>
            <w:tcW w:w="1294" w:type="pct"/>
            <w:tcBorders>
              <w:top w:val="nil"/>
              <w:left w:val="nil"/>
              <w:bottom w:val="nil"/>
              <w:right w:val="nil"/>
            </w:tcBorders>
            <w:shd w:val="clear" w:color="auto" w:fill="auto"/>
            <w:noWrap/>
            <w:vAlign w:val="bottom"/>
            <w:hideMark/>
          </w:tcPr>
          <w:p w14:paraId="793DEFFB" w14:textId="77777777" w:rsidR="00AF4D71" w:rsidRPr="00F15FF6" w:rsidRDefault="00AF4D71" w:rsidP="00592C3D">
            <w:pPr>
              <w:spacing w:after="0" w:line="240" w:lineRule="auto"/>
              <w:rPr>
                <w:rFonts w:ascii="Times New Roman" w:eastAsia="Times New Roman" w:hAnsi="Times New Roman" w:cs="Times New Roman"/>
                <w:color w:val="000000"/>
              </w:rPr>
            </w:pPr>
          </w:p>
        </w:tc>
        <w:tc>
          <w:tcPr>
            <w:tcW w:w="1807" w:type="pct"/>
            <w:tcBorders>
              <w:top w:val="nil"/>
              <w:left w:val="nil"/>
              <w:bottom w:val="nil"/>
              <w:right w:val="nil"/>
            </w:tcBorders>
            <w:shd w:val="clear" w:color="auto" w:fill="auto"/>
            <w:noWrap/>
            <w:vAlign w:val="bottom"/>
            <w:hideMark/>
          </w:tcPr>
          <w:p w14:paraId="582C76FA"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(0.723)</w:t>
            </w:r>
          </w:p>
        </w:tc>
        <w:tc>
          <w:tcPr>
            <w:tcW w:w="1899" w:type="pct"/>
            <w:tcBorders>
              <w:top w:val="nil"/>
              <w:left w:val="nil"/>
              <w:bottom w:val="nil"/>
              <w:right w:val="nil"/>
            </w:tcBorders>
            <w:shd w:val="clear" w:color="auto" w:fill="auto"/>
            <w:noWrap/>
            <w:vAlign w:val="bottom"/>
            <w:hideMark/>
          </w:tcPr>
          <w:p w14:paraId="3CDD4C55"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(-2.826***)</w:t>
            </w:r>
          </w:p>
        </w:tc>
      </w:tr>
      <w:tr w:rsidR="00AF4D71" w:rsidRPr="005217FE" w14:paraId="4271C26A" w14:textId="77777777" w:rsidTr="00811D08">
        <w:trPr>
          <w:trHeight w:val="288"/>
        </w:trPr>
        <w:tc>
          <w:tcPr>
            <w:tcW w:w="1294" w:type="pct"/>
            <w:tcBorders>
              <w:top w:val="nil"/>
              <w:left w:val="nil"/>
              <w:bottom w:val="nil"/>
              <w:right w:val="nil"/>
            </w:tcBorders>
            <w:shd w:val="clear" w:color="auto" w:fill="auto"/>
            <w:noWrap/>
            <w:vAlign w:val="bottom"/>
            <w:hideMark/>
          </w:tcPr>
          <w:p w14:paraId="1CF3C145" w14:textId="77777777" w:rsidR="00AF4D71" w:rsidRPr="00F15FF6" w:rsidRDefault="00AF4D71" w:rsidP="00592C3D">
            <w:pPr>
              <w:spacing w:after="0" w:line="240" w:lineRule="auto"/>
              <w:rPr>
                <w:rFonts w:ascii="Times New Roman" w:eastAsia="Times New Roman" w:hAnsi="Times New Roman" w:cs="Times New Roman"/>
                <w:i/>
                <w:iCs/>
                <w:color w:val="000000"/>
              </w:rPr>
            </w:pPr>
            <w:r w:rsidRPr="00F15FF6">
              <w:rPr>
                <w:rFonts w:ascii="Times New Roman" w:eastAsia="Times New Roman" w:hAnsi="Times New Roman" w:cs="Times New Roman"/>
                <w:i/>
                <w:iCs/>
                <w:color w:val="000000"/>
              </w:rPr>
              <w:t>XAD</w:t>
            </w:r>
          </w:p>
        </w:tc>
        <w:tc>
          <w:tcPr>
            <w:tcW w:w="1807" w:type="pct"/>
            <w:tcBorders>
              <w:top w:val="nil"/>
              <w:left w:val="nil"/>
              <w:bottom w:val="nil"/>
              <w:right w:val="nil"/>
            </w:tcBorders>
            <w:shd w:val="clear" w:color="auto" w:fill="auto"/>
            <w:noWrap/>
            <w:vAlign w:val="bottom"/>
            <w:hideMark/>
          </w:tcPr>
          <w:p w14:paraId="4E4A3D32"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-0.013</w:t>
            </w:r>
          </w:p>
        </w:tc>
        <w:tc>
          <w:tcPr>
            <w:tcW w:w="1899" w:type="pct"/>
            <w:tcBorders>
              <w:top w:val="nil"/>
              <w:left w:val="nil"/>
              <w:bottom w:val="nil"/>
              <w:right w:val="nil"/>
            </w:tcBorders>
            <w:shd w:val="clear" w:color="auto" w:fill="auto"/>
            <w:noWrap/>
            <w:vAlign w:val="bottom"/>
            <w:hideMark/>
          </w:tcPr>
          <w:p w14:paraId="111A8BCC"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0.030</w:t>
            </w:r>
          </w:p>
        </w:tc>
      </w:tr>
      <w:tr w:rsidR="00AF4D71" w:rsidRPr="005217FE" w14:paraId="52D5C175" w14:textId="77777777" w:rsidTr="00811D08">
        <w:trPr>
          <w:trHeight w:val="288"/>
        </w:trPr>
        <w:tc>
          <w:tcPr>
            <w:tcW w:w="1294" w:type="pct"/>
            <w:tcBorders>
              <w:top w:val="nil"/>
              <w:left w:val="nil"/>
              <w:bottom w:val="nil"/>
              <w:right w:val="nil"/>
            </w:tcBorders>
            <w:shd w:val="clear" w:color="auto" w:fill="auto"/>
            <w:noWrap/>
            <w:vAlign w:val="bottom"/>
            <w:hideMark/>
          </w:tcPr>
          <w:p w14:paraId="213C23EB" w14:textId="77777777" w:rsidR="00AF4D71" w:rsidRPr="00F15FF6" w:rsidRDefault="00AF4D71" w:rsidP="00592C3D">
            <w:pPr>
              <w:spacing w:after="0" w:line="240" w:lineRule="auto"/>
              <w:rPr>
                <w:rFonts w:ascii="Times New Roman" w:eastAsia="Times New Roman" w:hAnsi="Times New Roman" w:cs="Times New Roman"/>
                <w:color w:val="000000"/>
              </w:rPr>
            </w:pPr>
          </w:p>
        </w:tc>
        <w:tc>
          <w:tcPr>
            <w:tcW w:w="1807" w:type="pct"/>
            <w:tcBorders>
              <w:top w:val="nil"/>
              <w:left w:val="nil"/>
              <w:bottom w:val="nil"/>
              <w:right w:val="nil"/>
            </w:tcBorders>
            <w:shd w:val="clear" w:color="auto" w:fill="auto"/>
            <w:noWrap/>
            <w:vAlign w:val="bottom"/>
            <w:hideMark/>
          </w:tcPr>
          <w:p w14:paraId="1B3AA5D2"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(-2.494**)</w:t>
            </w:r>
          </w:p>
        </w:tc>
        <w:tc>
          <w:tcPr>
            <w:tcW w:w="1899" w:type="pct"/>
            <w:tcBorders>
              <w:top w:val="nil"/>
              <w:left w:val="nil"/>
              <w:bottom w:val="nil"/>
              <w:right w:val="nil"/>
            </w:tcBorders>
            <w:shd w:val="clear" w:color="auto" w:fill="auto"/>
            <w:noWrap/>
            <w:vAlign w:val="bottom"/>
            <w:hideMark/>
          </w:tcPr>
          <w:p w14:paraId="33F82CA7"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(2.417**)</w:t>
            </w:r>
          </w:p>
        </w:tc>
      </w:tr>
      <w:tr w:rsidR="00AF4D71" w:rsidRPr="005217FE" w14:paraId="7515EE9F" w14:textId="77777777" w:rsidTr="00811D08">
        <w:trPr>
          <w:trHeight w:val="288"/>
        </w:trPr>
        <w:tc>
          <w:tcPr>
            <w:tcW w:w="1294" w:type="pct"/>
            <w:tcBorders>
              <w:top w:val="nil"/>
              <w:left w:val="nil"/>
              <w:bottom w:val="nil"/>
              <w:right w:val="nil"/>
            </w:tcBorders>
            <w:shd w:val="clear" w:color="auto" w:fill="auto"/>
            <w:noWrap/>
            <w:vAlign w:val="bottom"/>
            <w:hideMark/>
          </w:tcPr>
          <w:p w14:paraId="6D6B8795" w14:textId="77777777" w:rsidR="00AF4D71" w:rsidRPr="00F15FF6" w:rsidRDefault="00AF4D71" w:rsidP="00592C3D">
            <w:pPr>
              <w:spacing w:after="0" w:line="240" w:lineRule="auto"/>
              <w:rPr>
                <w:rFonts w:ascii="Times New Roman" w:eastAsia="Times New Roman" w:hAnsi="Times New Roman" w:cs="Times New Roman"/>
                <w:i/>
                <w:iCs/>
                <w:color w:val="000000"/>
              </w:rPr>
            </w:pPr>
            <w:r w:rsidRPr="00F15FF6">
              <w:rPr>
                <w:rFonts w:ascii="Times New Roman" w:eastAsia="Times New Roman" w:hAnsi="Times New Roman" w:cs="Times New Roman"/>
                <w:i/>
                <w:iCs/>
                <w:color w:val="000000"/>
              </w:rPr>
              <w:t>INSTOWN_TRAN</w:t>
            </w:r>
          </w:p>
        </w:tc>
        <w:tc>
          <w:tcPr>
            <w:tcW w:w="1807" w:type="pct"/>
            <w:tcBorders>
              <w:top w:val="nil"/>
              <w:left w:val="nil"/>
              <w:bottom w:val="nil"/>
              <w:right w:val="nil"/>
            </w:tcBorders>
            <w:shd w:val="clear" w:color="auto" w:fill="auto"/>
            <w:noWrap/>
            <w:vAlign w:val="bottom"/>
            <w:hideMark/>
          </w:tcPr>
          <w:p w14:paraId="513D566A"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0.005</w:t>
            </w:r>
          </w:p>
        </w:tc>
        <w:tc>
          <w:tcPr>
            <w:tcW w:w="1899" w:type="pct"/>
            <w:tcBorders>
              <w:top w:val="nil"/>
              <w:left w:val="nil"/>
              <w:bottom w:val="nil"/>
              <w:right w:val="nil"/>
            </w:tcBorders>
            <w:shd w:val="clear" w:color="auto" w:fill="auto"/>
            <w:noWrap/>
            <w:vAlign w:val="bottom"/>
            <w:hideMark/>
          </w:tcPr>
          <w:p w14:paraId="392900F1"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0.015</w:t>
            </w:r>
          </w:p>
        </w:tc>
      </w:tr>
      <w:tr w:rsidR="00AF4D71" w:rsidRPr="005217FE" w14:paraId="73107F0E" w14:textId="77777777" w:rsidTr="00811D08">
        <w:trPr>
          <w:trHeight w:val="288"/>
        </w:trPr>
        <w:tc>
          <w:tcPr>
            <w:tcW w:w="1294" w:type="pct"/>
            <w:tcBorders>
              <w:top w:val="nil"/>
              <w:left w:val="nil"/>
              <w:bottom w:val="nil"/>
              <w:right w:val="nil"/>
            </w:tcBorders>
            <w:shd w:val="clear" w:color="auto" w:fill="auto"/>
            <w:noWrap/>
            <w:vAlign w:val="bottom"/>
            <w:hideMark/>
          </w:tcPr>
          <w:p w14:paraId="65703821" w14:textId="77777777" w:rsidR="00AF4D71" w:rsidRPr="00F15FF6" w:rsidRDefault="00AF4D71" w:rsidP="00592C3D">
            <w:pPr>
              <w:spacing w:after="0" w:line="240" w:lineRule="auto"/>
              <w:rPr>
                <w:rFonts w:ascii="Times New Roman" w:eastAsia="Times New Roman" w:hAnsi="Times New Roman" w:cs="Times New Roman"/>
                <w:color w:val="000000"/>
              </w:rPr>
            </w:pPr>
          </w:p>
        </w:tc>
        <w:tc>
          <w:tcPr>
            <w:tcW w:w="1807" w:type="pct"/>
            <w:tcBorders>
              <w:top w:val="nil"/>
              <w:left w:val="nil"/>
              <w:bottom w:val="nil"/>
              <w:right w:val="nil"/>
            </w:tcBorders>
            <w:shd w:val="clear" w:color="auto" w:fill="auto"/>
            <w:noWrap/>
            <w:vAlign w:val="bottom"/>
            <w:hideMark/>
          </w:tcPr>
          <w:p w14:paraId="1D263942"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(1.092)</w:t>
            </w:r>
          </w:p>
        </w:tc>
        <w:tc>
          <w:tcPr>
            <w:tcW w:w="1899" w:type="pct"/>
            <w:tcBorders>
              <w:top w:val="nil"/>
              <w:left w:val="nil"/>
              <w:bottom w:val="nil"/>
              <w:right w:val="nil"/>
            </w:tcBorders>
            <w:shd w:val="clear" w:color="auto" w:fill="auto"/>
            <w:noWrap/>
            <w:vAlign w:val="bottom"/>
            <w:hideMark/>
          </w:tcPr>
          <w:p w14:paraId="5E6F68B3"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(2.852***)</w:t>
            </w:r>
          </w:p>
        </w:tc>
      </w:tr>
      <w:tr w:rsidR="00AF4D71" w:rsidRPr="005217FE" w14:paraId="6C88480D" w14:textId="77777777" w:rsidTr="00811D08">
        <w:trPr>
          <w:trHeight w:val="288"/>
        </w:trPr>
        <w:tc>
          <w:tcPr>
            <w:tcW w:w="1294" w:type="pct"/>
            <w:tcBorders>
              <w:top w:val="nil"/>
              <w:left w:val="nil"/>
              <w:bottom w:val="nil"/>
              <w:right w:val="nil"/>
            </w:tcBorders>
            <w:shd w:val="clear" w:color="auto" w:fill="auto"/>
            <w:noWrap/>
            <w:vAlign w:val="bottom"/>
            <w:hideMark/>
          </w:tcPr>
          <w:p w14:paraId="5AE728BB" w14:textId="77777777" w:rsidR="00AF4D71" w:rsidRPr="00F15FF6" w:rsidRDefault="00AF4D71" w:rsidP="00592C3D">
            <w:pPr>
              <w:spacing w:after="0" w:line="240" w:lineRule="auto"/>
              <w:rPr>
                <w:rFonts w:ascii="Times New Roman" w:eastAsia="Times New Roman" w:hAnsi="Times New Roman" w:cs="Times New Roman"/>
                <w:i/>
                <w:iCs/>
                <w:color w:val="000000"/>
              </w:rPr>
            </w:pPr>
            <w:r w:rsidRPr="00F15FF6">
              <w:rPr>
                <w:rFonts w:ascii="Times New Roman" w:eastAsia="Times New Roman" w:hAnsi="Times New Roman" w:cs="Times New Roman"/>
                <w:i/>
                <w:iCs/>
                <w:color w:val="000000"/>
              </w:rPr>
              <w:t>INSTOWN_QIX</w:t>
            </w:r>
          </w:p>
        </w:tc>
        <w:tc>
          <w:tcPr>
            <w:tcW w:w="1807" w:type="pct"/>
            <w:tcBorders>
              <w:top w:val="nil"/>
              <w:left w:val="nil"/>
              <w:bottom w:val="nil"/>
              <w:right w:val="nil"/>
            </w:tcBorders>
            <w:shd w:val="clear" w:color="auto" w:fill="auto"/>
            <w:noWrap/>
            <w:vAlign w:val="bottom"/>
            <w:hideMark/>
          </w:tcPr>
          <w:p w14:paraId="71127675"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-0.000</w:t>
            </w:r>
          </w:p>
        </w:tc>
        <w:tc>
          <w:tcPr>
            <w:tcW w:w="1899" w:type="pct"/>
            <w:tcBorders>
              <w:top w:val="nil"/>
              <w:left w:val="nil"/>
              <w:bottom w:val="nil"/>
              <w:right w:val="nil"/>
            </w:tcBorders>
            <w:shd w:val="clear" w:color="auto" w:fill="auto"/>
            <w:noWrap/>
            <w:vAlign w:val="bottom"/>
            <w:hideMark/>
          </w:tcPr>
          <w:p w14:paraId="6C574F40"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-0.042</w:t>
            </w:r>
          </w:p>
        </w:tc>
      </w:tr>
      <w:tr w:rsidR="00AF4D71" w:rsidRPr="005217FE" w14:paraId="178591B0" w14:textId="77777777" w:rsidTr="00811D08">
        <w:trPr>
          <w:trHeight w:val="288"/>
        </w:trPr>
        <w:tc>
          <w:tcPr>
            <w:tcW w:w="1294" w:type="pct"/>
            <w:tcBorders>
              <w:top w:val="nil"/>
              <w:left w:val="nil"/>
              <w:bottom w:val="nil"/>
              <w:right w:val="nil"/>
            </w:tcBorders>
            <w:shd w:val="clear" w:color="auto" w:fill="auto"/>
            <w:noWrap/>
            <w:vAlign w:val="bottom"/>
            <w:hideMark/>
          </w:tcPr>
          <w:p w14:paraId="43411A07" w14:textId="77777777" w:rsidR="00AF4D71" w:rsidRPr="00F15FF6" w:rsidRDefault="00AF4D71" w:rsidP="00592C3D">
            <w:pPr>
              <w:spacing w:after="0" w:line="240" w:lineRule="auto"/>
              <w:rPr>
                <w:rFonts w:ascii="Times New Roman" w:eastAsia="Times New Roman" w:hAnsi="Times New Roman" w:cs="Times New Roman"/>
                <w:color w:val="000000"/>
              </w:rPr>
            </w:pPr>
          </w:p>
        </w:tc>
        <w:tc>
          <w:tcPr>
            <w:tcW w:w="1807" w:type="pct"/>
            <w:tcBorders>
              <w:top w:val="nil"/>
              <w:left w:val="nil"/>
              <w:bottom w:val="nil"/>
              <w:right w:val="nil"/>
            </w:tcBorders>
            <w:shd w:val="clear" w:color="auto" w:fill="auto"/>
            <w:noWrap/>
            <w:vAlign w:val="bottom"/>
            <w:hideMark/>
          </w:tcPr>
          <w:p w14:paraId="33904966"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(-0.038)</w:t>
            </w:r>
          </w:p>
        </w:tc>
        <w:tc>
          <w:tcPr>
            <w:tcW w:w="1899" w:type="pct"/>
            <w:tcBorders>
              <w:top w:val="nil"/>
              <w:left w:val="nil"/>
              <w:bottom w:val="nil"/>
              <w:right w:val="nil"/>
            </w:tcBorders>
            <w:shd w:val="clear" w:color="auto" w:fill="auto"/>
            <w:noWrap/>
            <w:vAlign w:val="bottom"/>
            <w:hideMark/>
          </w:tcPr>
          <w:p w14:paraId="415C9324"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(-5.671***)</w:t>
            </w:r>
          </w:p>
        </w:tc>
      </w:tr>
      <w:tr w:rsidR="00AF4D71" w:rsidRPr="005217FE" w14:paraId="57720ACB" w14:textId="77777777" w:rsidTr="00811D08">
        <w:trPr>
          <w:trHeight w:val="288"/>
        </w:trPr>
        <w:tc>
          <w:tcPr>
            <w:tcW w:w="1294" w:type="pct"/>
            <w:tcBorders>
              <w:top w:val="nil"/>
              <w:left w:val="nil"/>
              <w:bottom w:val="nil"/>
              <w:right w:val="nil"/>
            </w:tcBorders>
            <w:shd w:val="clear" w:color="auto" w:fill="auto"/>
            <w:noWrap/>
            <w:vAlign w:val="bottom"/>
            <w:hideMark/>
          </w:tcPr>
          <w:p w14:paraId="7A32DCF5" w14:textId="77777777" w:rsidR="00AF4D71" w:rsidRPr="00F15FF6" w:rsidRDefault="00AF4D71" w:rsidP="00592C3D">
            <w:pPr>
              <w:spacing w:after="0" w:line="240" w:lineRule="auto"/>
              <w:rPr>
                <w:rFonts w:ascii="Times New Roman" w:eastAsia="Times New Roman" w:hAnsi="Times New Roman" w:cs="Times New Roman"/>
                <w:i/>
                <w:iCs/>
                <w:color w:val="000000"/>
              </w:rPr>
            </w:pPr>
            <w:r w:rsidRPr="00F15FF6">
              <w:rPr>
                <w:rFonts w:ascii="Times New Roman" w:eastAsia="Times New Roman" w:hAnsi="Times New Roman" w:cs="Times New Roman"/>
                <w:i/>
                <w:iCs/>
                <w:color w:val="000000"/>
              </w:rPr>
              <w:t>INSTOWN_DED</w:t>
            </w:r>
          </w:p>
        </w:tc>
        <w:tc>
          <w:tcPr>
            <w:tcW w:w="1807" w:type="pct"/>
            <w:tcBorders>
              <w:top w:val="nil"/>
              <w:left w:val="nil"/>
              <w:bottom w:val="nil"/>
              <w:right w:val="nil"/>
            </w:tcBorders>
            <w:shd w:val="clear" w:color="auto" w:fill="auto"/>
            <w:noWrap/>
            <w:vAlign w:val="bottom"/>
            <w:hideMark/>
          </w:tcPr>
          <w:p w14:paraId="0C53A2E9"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-0.016</w:t>
            </w:r>
          </w:p>
        </w:tc>
        <w:tc>
          <w:tcPr>
            <w:tcW w:w="1899" w:type="pct"/>
            <w:tcBorders>
              <w:top w:val="nil"/>
              <w:left w:val="nil"/>
              <w:bottom w:val="nil"/>
              <w:right w:val="nil"/>
            </w:tcBorders>
            <w:shd w:val="clear" w:color="auto" w:fill="auto"/>
            <w:noWrap/>
            <w:vAlign w:val="bottom"/>
            <w:hideMark/>
          </w:tcPr>
          <w:p w14:paraId="7F9D7A84"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-0.011</w:t>
            </w:r>
          </w:p>
        </w:tc>
      </w:tr>
      <w:tr w:rsidR="00AF4D71" w:rsidRPr="005217FE" w14:paraId="3DCDEB1E" w14:textId="77777777" w:rsidTr="00811D08">
        <w:trPr>
          <w:trHeight w:val="288"/>
        </w:trPr>
        <w:tc>
          <w:tcPr>
            <w:tcW w:w="1294" w:type="pct"/>
            <w:tcBorders>
              <w:top w:val="nil"/>
              <w:left w:val="nil"/>
              <w:bottom w:val="nil"/>
              <w:right w:val="nil"/>
            </w:tcBorders>
            <w:shd w:val="clear" w:color="auto" w:fill="auto"/>
            <w:noWrap/>
            <w:vAlign w:val="bottom"/>
            <w:hideMark/>
          </w:tcPr>
          <w:p w14:paraId="4D14FCDD" w14:textId="77777777" w:rsidR="00AF4D71" w:rsidRPr="00F15FF6" w:rsidRDefault="00AF4D71" w:rsidP="00592C3D">
            <w:pPr>
              <w:spacing w:after="0" w:line="240" w:lineRule="auto"/>
              <w:rPr>
                <w:rFonts w:ascii="Times New Roman" w:eastAsia="Times New Roman" w:hAnsi="Times New Roman" w:cs="Times New Roman"/>
                <w:color w:val="000000"/>
              </w:rPr>
            </w:pPr>
          </w:p>
        </w:tc>
        <w:tc>
          <w:tcPr>
            <w:tcW w:w="1807" w:type="pct"/>
            <w:tcBorders>
              <w:top w:val="nil"/>
              <w:left w:val="nil"/>
              <w:bottom w:val="nil"/>
              <w:right w:val="nil"/>
            </w:tcBorders>
            <w:shd w:val="clear" w:color="auto" w:fill="auto"/>
            <w:noWrap/>
            <w:vAlign w:val="bottom"/>
            <w:hideMark/>
          </w:tcPr>
          <w:p w14:paraId="39359270"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(-3.928***)</w:t>
            </w:r>
          </w:p>
        </w:tc>
        <w:tc>
          <w:tcPr>
            <w:tcW w:w="1899" w:type="pct"/>
            <w:tcBorders>
              <w:top w:val="nil"/>
              <w:left w:val="nil"/>
              <w:bottom w:val="nil"/>
              <w:right w:val="nil"/>
            </w:tcBorders>
            <w:shd w:val="clear" w:color="auto" w:fill="auto"/>
            <w:noWrap/>
            <w:vAlign w:val="bottom"/>
            <w:hideMark/>
          </w:tcPr>
          <w:p w14:paraId="573F9898"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(-2.200**)</w:t>
            </w:r>
          </w:p>
        </w:tc>
      </w:tr>
      <w:tr w:rsidR="00AF4D71" w:rsidRPr="005217FE" w14:paraId="36824CDF" w14:textId="77777777" w:rsidTr="00811D08">
        <w:trPr>
          <w:trHeight w:val="288"/>
        </w:trPr>
        <w:tc>
          <w:tcPr>
            <w:tcW w:w="1294" w:type="pct"/>
            <w:tcBorders>
              <w:top w:val="nil"/>
              <w:left w:val="nil"/>
              <w:bottom w:val="nil"/>
              <w:right w:val="nil"/>
            </w:tcBorders>
            <w:shd w:val="clear" w:color="auto" w:fill="auto"/>
            <w:noWrap/>
            <w:vAlign w:val="bottom"/>
            <w:hideMark/>
          </w:tcPr>
          <w:p w14:paraId="1FC1A6F5" w14:textId="77777777" w:rsidR="00AF4D71" w:rsidRPr="00F15FF6" w:rsidRDefault="00AF4D71" w:rsidP="00592C3D">
            <w:pPr>
              <w:spacing w:after="0" w:line="240" w:lineRule="auto"/>
              <w:rPr>
                <w:rFonts w:ascii="Times New Roman" w:eastAsia="Times New Roman" w:hAnsi="Times New Roman" w:cs="Times New Roman"/>
                <w:i/>
                <w:iCs/>
                <w:color w:val="000000"/>
              </w:rPr>
            </w:pPr>
            <w:r w:rsidRPr="00F15FF6">
              <w:rPr>
                <w:rFonts w:ascii="Times New Roman" w:eastAsia="Times New Roman" w:hAnsi="Times New Roman" w:cs="Times New Roman"/>
                <w:i/>
                <w:iCs/>
                <w:color w:val="000000"/>
              </w:rPr>
              <w:t>SKILL</w:t>
            </w:r>
          </w:p>
        </w:tc>
        <w:tc>
          <w:tcPr>
            <w:tcW w:w="1807" w:type="pct"/>
            <w:tcBorders>
              <w:top w:val="nil"/>
              <w:left w:val="nil"/>
              <w:bottom w:val="nil"/>
              <w:right w:val="nil"/>
            </w:tcBorders>
            <w:shd w:val="clear" w:color="auto" w:fill="auto"/>
            <w:noWrap/>
            <w:vAlign w:val="bottom"/>
            <w:hideMark/>
          </w:tcPr>
          <w:p w14:paraId="632EBC4D"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-0.035</w:t>
            </w:r>
          </w:p>
        </w:tc>
        <w:tc>
          <w:tcPr>
            <w:tcW w:w="1899" w:type="pct"/>
            <w:tcBorders>
              <w:top w:val="nil"/>
              <w:left w:val="nil"/>
              <w:bottom w:val="nil"/>
              <w:right w:val="nil"/>
            </w:tcBorders>
            <w:shd w:val="clear" w:color="auto" w:fill="auto"/>
            <w:noWrap/>
            <w:vAlign w:val="bottom"/>
            <w:hideMark/>
          </w:tcPr>
          <w:p w14:paraId="12FAB1C3"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0.001</w:t>
            </w:r>
          </w:p>
        </w:tc>
      </w:tr>
      <w:tr w:rsidR="00AF4D71" w:rsidRPr="005217FE" w14:paraId="32504423" w14:textId="77777777" w:rsidTr="00811D08">
        <w:trPr>
          <w:trHeight w:val="288"/>
        </w:trPr>
        <w:tc>
          <w:tcPr>
            <w:tcW w:w="1294" w:type="pct"/>
            <w:tcBorders>
              <w:top w:val="nil"/>
              <w:left w:val="nil"/>
              <w:bottom w:val="nil"/>
              <w:right w:val="nil"/>
            </w:tcBorders>
            <w:shd w:val="clear" w:color="auto" w:fill="auto"/>
            <w:noWrap/>
            <w:vAlign w:val="bottom"/>
            <w:hideMark/>
          </w:tcPr>
          <w:p w14:paraId="3FCBE858" w14:textId="77777777" w:rsidR="00AF4D71" w:rsidRPr="00F15FF6" w:rsidRDefault="00AF4D71" w:rsidP="00592C3D">
            <w:pPr>
              <w:spacing w:after="0" w:line="240" w:lineRule="auto"/>
              <w:rPr>
                <w:rFonts w:ascii="Times New Roman" w:eastAsia="Times New Roman" w:hAnsi="Times New Roman" w:cs="Times New Roman"/>
                <w:color w:val="000000"/>
              </w:rPr>
            </w:pPr>
          </w:p>
        </w:tc>
        <w:tc>
          <w:tcPr>
            <w:tcW w:w="1807" w:type="pct"/>
            <w:tcBorders>
              <w:top w:val="nil"/>
              <w:left w:val="nil"/>
              <w:bottom w:val="nil"/>
              <w:right w:val="nil"/>
            </w:tcBorders>
            <w:shd w:val="clear" w:color="auto" w:fill="auto"/>
            <w:noWrap/>
            <w:vAlign w:val="bottom"/>
            <w:hideMark/>
          </w:tcPr>
          <w:p w14:paraId="0C9D4FF0"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(-7.139***)</w:t>
            </w:r>
          </w:p>
        </w:tc>
        <w:tc>
          <w:tcPr>
            <w:tcW w:w="1899" w:type="pct"/>
            <w:tcBorders>
              <w:top w:val="nil"/>
              <w:left w:val="nil"/>
              <w:bottom w:val="nil"/>
              <w:right w:val="nil"/>
            </w:tcBorders>
            <w:shd w:val="clear" w:color="auto" w:fill="auto"/>
            <w:noWrap/>
            <w:vAlign w:val="bottom"/>
            <w:hideMark/>
          </w:tcPr>
          <w:p w14:paraId="0A10671C"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(0.256)</w:t>
            </w:r>
          </w:p>
        </w:tc>
      </w:tr>
      <w:tr w:rsidR="00AF4D71" w:rsidRPr="005217FE" w14:paraId="292C719A" w14:textId="77777777" w:rsidTr="00811D08">
        <w:trPr>
          <w:trHeight w:val="288"/>
        </w:trPr>
        <w:tc>
          <w:tcPr>
            <w:tcW w:w="1294" w:type="pct"/>
            <w:tcBorders>
              <w:top w:val="nil"/>
              <w:left w:val="nil"/>
              <w:bottom w:val="nil"/>
              <w:right w:val="nil"/>
            </w:tcBorders>
            <w:shd w:val="clear" w:color="auto" w:fill="auto"/>
            <w:noWrap/>
            <w:vAlign w:val="bottom"/>
            <w:hideMark/>
          </w:tcPr>
          <w:p w14:paraId="4C52B793" w14:textId="77777777" w:rsidR="00AF4D71" w:rsidRPr="00F15FF6" w:rsidRDefault="00AF4D71" w:rsidP="00592C3D">
            <w:pPr>
              <w:spacing w:after="0" w:line="240" w:lineRule="auto"/>
              <w:rPr>
                <w:rFonts w:ascii="Times New Roman" w:eastAsia="Times New Roman" w:hAnsi="Times New Roman" w:cs="Times New Roman"/>
                <w:i/>
                <w:iCs/>
                <w:color w:val="000000"/>
              </w:rPr>
            </w:pPr>
            <w:r w:rsidRPr="00F15FF6">
              <w:rPr>
                <w:rFonts w:ascii="Times New Roman" w:eastAsia="Times New Roman" w:hAnsi="Times New Roman" w:cs="Times New Roman"/>
                <w:i/>
                <w:iCs/>
                <w:color w:val="000000"/>
              </w:rPr>
              <w:t>MKTCON</w:t>
            </w:r>
          </w:p>
        </w:tc>
        <w:tc>
          <w:tcPr>
            <w:tcW w:w="1807" w:type="pct"/>
            <w:tcBorders>
              <w:top w:val="nil"/>
              <w:left w:val="nil"/>
              <w:bottom w:val="nil"/>
              <w:right w:val="nil"/>
            </w:tcBorders>
            <w:shd w:val="clear" w:color="auto" w:fill="auto"/>
            <w:noWrap/>
            <w:vAlign w:val="bottom"/>
            <w:hideMark/>
          </w:tcPr>
          <w:p w14:paraId="1C595979"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-0.008</w:t>
            </w:r>
          </w:p>
        </w:tc>
        <w:tc>
          <w:tcPr>
            <w:tcW w:w="1899" w:type="pct"/>
            <w:tcBorders>
              <w:top w:val="nil"/>
              <w:left w:val="nil"/>
              <w:bottom w:val="nil"/>
              <w:right w:val="nil"/>
            </w:tcBorders>
            <w:shd w:val="clear" w:color="auto" w:fill="auto"/>
            <w:noWrap/>
            <w:vAlign w:val="bottom"/>
            <w:hideMark/>
          </w:tcPr>
          <w:p w14:paraId="2ACA2CFB"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0.031</w:t>
            </w:r>
          </w:p>
        </w:tc>
      </w:tr>
      <w:tr w:rsidR="00AF4D71" w:rsidRPr="005217FE" w14:paraId="15B5A497" w14:textId="77777777" w:rsidTr="00811D08">
        <w:trPr>
          <w:trHeight w:val="288"/>
        </w:trPr>
        <w:tc>
          <w:tcPr>
            <w:tcW w:w="1294" w:type="pct"/>
            <w:tcBorders>
              <w:top w:val="nil"/>
              <w:left w:val="nil"/>
              <w:bottom w:val="nil"/>
              <w:right w:val="nil"/>
            </w:tcBorders>
            <w:shd w:val="clear" w:color="auto" w:fill="auto"/>
            <w:noWrap/>
            <w:vAlign w:val="bottom"/>
            <w:hideMark/>
          </w:tcPr>
          <w:p w14:paraId="290EE14F" w14:textId="77777777" w:rsidR="00AF4D71" w:rsidRPr="00F15FF6" w:rsidRDefault="00AF4D71" w:rsidP="00592C3D">
            <w:pPr>
              <w:spacing w:after="0" w:line="240" w:lineRule="auto"/>
              <w:rPr>
                <w:rFonts w:ascii="Times New Roman" w:eastAsia="Times New Roman" w:hAnsi="Times New Roman" w:cs="Times New Roman"/>
                <w:color w:val="000000"/>
              </w:rPr>
            </w:pPr>
          </w:p>
        </w:tc>
        <w:tc>
          <w:tcPr>
            <w:tcW w:w="1807" w:type="pct"/>
            <w:tcBorders>
              <w:top w:val="nil"/>
              <w:left w:val="nil"/>
              <w:bottom w:val="nil"/>
              <w:right w:val="nil"/>
            </w:tcBorders>
            <w:shd w:val="clear" w:color="auto" w:fill="auto"/>
            <w:noWrap/>
            <w:vAlign w:val="bottom"/>
            <w:hideMark/>
          </w:tcPr>
          <w:p w14:paraId="3AE66EAA"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(-0.914)</w:t>
            </w:r>
          </w:p>
        </w:tc>
        <w:tc>
          <w:tcPr>
            <w:tcW w:w="1899" w:type="pct"/>
            <w:tcBorders>
              <w:top w:val="nil"/>
              <w:left w:val="nil"/>
              <w:bottom w:val="nil"/>
              <w:right w:val="nil"/>
            </w:tcBorders>
            <w:shd w:val="clear" w:color="auto" w:fill="auto"/>
            <w:noWrap/>
            <w:vAlign w:val="bottom"/>
            <w:hideMark/>
          </w:tcPr>
          <w:p w14:paraId="353036DE"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(2.356**)</w:t>
            </w:r>
          </w:p>
        </w:tc>
      </w:tr>
      <w:tr w:rsidR="00AF4D71" w:rsidRPr="005217FE" w14:paraId="3C42DCC8" w14:textId="77777777" w:rsidTr="00811D08">
        <w:trPr>
          <w:trHeight w:val="288"/>
        </w:trPr>
        <w:tc>
          <w:tcPr>
            <w:tcW w:w="1294" w:type="pct"/>
            <w:tcBorders>
              <w:top w:val="nil"/>
              <w:left w:val="nil"/>
              <w:bottom w:val="nil"/>
              <w:right w:val="nil"/>
            </w:tcBorders>
            <w:shd w:val="clear" w:color="auto" w:fill="auto"/>
            <w:noWrap/>
            <w:vAlign w:val="bottom"/>
            <w:hideMark/>
          </w:tcPr>
          <w:p w14:paraId="7477E256"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Constant</w:t>
            </w:r>
          </w:p>
        </w:tc>
        <w:tc>
          <w:tcPr>
            <w:tcW w:w="1807" w:type="pct"/>
            <w:tcBorders>
              <w:top w:val="nil"/>
              <w:left w:val="nil"/>
              <w:bottom w:val="nil"/>
              <w:right w:val="nil"/>
            </w:tcBorders>
            <w:shd w:val="clear" w:color="auto" w:fill="auto"/>
            <w:noWrap/>
            <w:vAlign w:val="bottom"/>
            <w:hideMark/>
          </w:tcPr>
          <w:p w14:paraId="3632E0E6"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0.723</w:t>
            </w:r>
          </w:p>
        </w:tc>
        <w:tc>
          <w:tcPr>
            <w:tcW w:w="1899" w:type="pct"/>
            <w:tcBorders>
              <w:top w:val="nil"/>
              <w:left w:val="nil"/>
              <w:bottom w:val="nil"/>
              <w:right w:val="nil"/>
            </w:tcBorders>
            <w:shd w:val="clear" w:color="auto" w:fill="auto"/>
            <w:noWrap/>
            <w:vAlign w:val="bottom"/>
            <w:hideMark/>
          </w:tcPr>
          <w:p w14:paraId="58EAA182"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0.350</w:t>
            </w:r>
          </w:p>
        </w:tc>
      </w:tr>
      <w:tr w:rsidR="00AF4D71" w:rsidRPr="005217FE" w14:paraId="4BDEF358" w14:textId="77777777" w:rsidTr="00811D08">
        <w:trPr>
          <w:trHeight w:val="288"/>
        </w:trPr>
        <w:tc>
          <w:tcPr>
            <w:tcW w:w="1294" w:type="pct"/>
            <w:tcBorders>
              <w:top w:val="nil"/>
              <w:left w:val="nil"/>
              <w:bottom w:val="nil"/>
              <w:right w:val="nil"/>
            </w:tcBorders>
            <w:shd w:val="clear" w:color="auto" w:fill="auto"/>
            <w:noWrap/>
            <w:vAlign w:val="bottom"/>
            <w:hideMark/>
          </w:tcPr>
          <w:p w14:paraId="6C1CB55A" w14:textId="77777777" w:rsidR="00AF4D71" w:rsidRPr="00F15FF6" w:rsidRDefault="00AF4D71" w:rsidP="00592C3D">
            <w:pPr>
              <w:spacing w:after="0" w:line="240" w:lineRule="auto"/>
              <w:rPr>
                <w:rFonts w:ascii="Times New Roman" w:eastAsia="Times New Roman" w:hAnsi="Times New Roman" w:cs="Times New Roman"/>
                <w:color w:val="000000"/>
              </w:rPr>
            </w:pPr>
          </w:p>
        </w:tc>
        <w:tc>
          <w:tcPr>
            <w:tcW w:w="1807" w:type="pct"/>
            <w:tcBorders>
              <w:top w:val="nil"/>
              <w:left w:val="nil"/>
              <w:bottom w:val="nil"/>
              <w:right w:val="nil"/>
            </w:tcBorders>
            <w:shd w:val="clear" w:color="auto" w:fill="auto"/>
            <w:noWrap/>
            <w:vAlign w:val="bottom"/>
            <w:hideMark/>
          </w:tcPr>
          <w:p w14:paraId="24662F97"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(10.428***)</w:t>
            </w:r>
          </w:p>
        </w:tc>
        <w:tc>
          <w:tcPr>
            <w:tcW w:w="1899" w:type="pct"/>
            <w:tcBorders>
              <w:top w:val="nil"/>
              <w:left w:val="nil"/>
              <w:bottom w:val="nil"/>
              <w:right w:val="nil"/>
            </w:tcBorders>
            <w:shd w:val="clear" w:color="auto" w:fill="auto"/>
            <w:noWrap/>
            <w:vAlign w:val="bottom"/>
            <w:hideMark/>
          </w:tcPr>
          <w:p w14:paraId="7F3C6AED"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(25.640***)</w:t>
            </w:r>
          </w:p>
        </w:tc>
      </w:tr>
      <w:tr w:rsidR="00AF4D71" w:rsidRPr="005217FE" w14:paraId="6EB5369C" w14:textId="77777777" w:rsidTr="00811D08">
        <w:trPr>
          <w:trHeight w:val="288"/>
        </w:trPr>
        <w:tc>
          <w:tcPr>
            <w:tcW w:w="1294" w:type="pct"/>
            <w:tcBorders>
              <w:top w:val="nil"/>
              <w:left w:val="nil"/>
              <w:bottom w:val="nil"/>
              <w:right w:val="nil"/>
            </w:tcBorders>
            <w:shd w:val="clear" w:color="auto" w:fill="auto"/>
            <w:noWrap/>
            <w:vAlign w:val="bottom"/>
            <w:hideMark/>
          </w:tcPr>
          <w:p w14:paraId="432A4A84" w14:textId="77777777" w:rsidR="00AF4D71" w:rsidRPr="00F15FF6" w:rsidRDefault="00AF4D71" w:rsidP="00592C3D">
            <w:pPr>
              <w:spacing w:after="0" w:line="240" w:lineRule="auto"/>
              <w:rPr>
                <w:rFonts w:ascii="Times New Roman" w:eastAsia="Times New Roman" w:hAnsi="Times New Roman" w:cs="Times New Roman"/>
                <w:color w:val="000000"/>
              </w:rPr>
            </w:pPr>
          </w:p>
        </w:tc>
        <w:tc>
          <w:tcPr>
            <w:tcW w:w="1807" w:type="pct"/>
            <w:tcBorders>
              <w:top w:val="nil"/>
              <w:left w:val="nil"/>
              <w:bottom w:val="nil"/>
              <w:right w:val="nil"/>
            </w:tcBorders>
            <w:shd w:val="clear" w:color="auto" w:fill="auto"/>
            <w:noWrap/>
            <w:vAlign w:val="bottom"/>
            <w:hideMark/>
          </w:tcPr>
          <w:p w14:paraId="487971BC" w14:textId="77777777" w:rsidR="00AF4D71" w:rsidRPr="00F15FF6" w:rsidRDefault="00AF4D71" w:rsidP="00592C3D">
            <w:pPr>
              <w:spacing w:after="0" w:line="240" w:lineRule="auto"/>
              <w:rPr>
                <w:rFonts w:ascii="Times New Roman" w:eastAsia="Times New Roman" w:hAnsi="Times New Roman" w:cs="Times New Roman"/>
              </w:rPr>
            </w:pPr>
          </w:p>
        </w:tc>
        <w:tc>
          <w:tcPr>
            <w:tcW w:w="1899" w:type="pct"/>
            <w:tcBorders>
              <w:top w:val="nil"/>
              <w:left w:val="nil"/>
              <w:bottom w:val="nil"/>
              <w:right w:val="nil"/>
            </w:tcBorders>
            <w:shd w:val="clear" w:color="auto" w:fill="auto"/>
            <w:noWrap/>
            <w:vAlign w:val="bottom"/>
            <w:hideMark/>
          </w:tcPr>
          <w:p w14:paraId="760D1395" w14:textId="77777777" w:rsidR="00AF4D71" w:rsidRPr="00F15FF6" w:rsidRDefault="00AF4D71" w:rsidP="00592C3D">
            <w:pPr>
              <w:spacing w:after="0" w:line="240" w:lineRule="auto"/>
              <w:rPr>
                <w:rFonts w:ascii="Times New Roman" w:eastAsia="Times New Roman" w:hAnsi="Times New Roman" w:cs="Times New Roman"/>
              </w:rPr>
            </w:pPr>
          </w:p>
        </w:tc>
      </w:tr>
      <w:tr w:rsidR="00AF4D71" w:rsidRPr="005217FE" w14:paraId="46FA5BBC" w14:textId="77777777" w:rsidTr="00811D08">
        <w:trPr>
          <w:trHeight w:val="288"/>
        </w:trPr>
        <w:tc>
          <w:tcPr>
            <w:tcW w:w="1294" w:type="pct"/>
            <w:tcBorders>
              <w:top w:val="nil"/>
              <w:left w:val="nil"/>
              <w:bottom w:val="nil"/>
              <w:right w:val="nil"/>
            </w:tcBorders>
            <w:shd w:val="clear" w:color="auto" w:fill="auto"/>
            <w:noWrap/>
            <w:vAlign w:val="bottom"/>
            <w:hideMark/>
          </w:tcPr>
          <w:p w14:paraId="38FCE5B3"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Adj. R-squared</w:t>
            </w:r>
          </w:p>
        </w:tc>
        <w:tc>
          <w:tcPr>
            <w:tcW w:w="1807" w:type="pct"/>
            <w:tcBorders>
              <w:top w:val="nil"/>
              <w:left w:val="nil"/>
              <w:bottom w:val="nil"/>
              <w:right w:val="nil"/>
            </w:tcBorders>
            <w:shd w:val="clear" w:color="auto" w:fill="auto"/>
            <w:noWrap/>
            <w:vAlign w:val="bottom"/>
            <w:hideMark/>
          </w:tcPr>
          <w:p w14:paraId="5904D493"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0.151</w:t>
            </w:r>
          </w:p>
        </w:tc>
        <w:tc>
          <w:tcPr>
            <w:tcW w:w="1899" w:type="pct"/>
            <w:tcBorders>
              <w:top w:val="nil"/>
              <w:left w:val="nil"/>
              <w:bottom w:val="nil"/>
              <w:right w:val="nil"/>
            </w:tcBorders>
            <w:shd w:val="clear" w:color="auto" w:fill="auto"/>
            <w:noWrap/>
            <w:vAlign w:val="bottom"/>
            <w:hideMark/>
          </w:tcPr>
          <w:p w14:paraId="295BEF5C"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0.0936</w:t>
            </w:r>
          </w:p>
        </w:tc>
      </w:tr>
      <w:tr w:rsidR="00AF4D71" w:rsidRPr="005217FE" w14:paraId="5FD9FFC5" w14:textId="77777777" w:rsidTr="00811D08">
        <w:trPr>
          <w:trHeight w:val="288"/>
        </w:trPr>
        <w:tc>
          <w:tcPr>
            <w:tcW w:w="1294" w:type="pct"/>
            <w:tcBorders>
              <w:top w:val="nil"/>
              <w:left w:val="nil"/>
              <w:bottom w:val="nil"/>
              <w:right w:val="nil"/>
            </w:tcBorders>
            <w:shd w:val="clear" w:color="auto" w:fill="auto"/>
            <w:noWrap/>
            <w:vAlign w:val="bottom"/>
            <w:hideMark/>
          </w:tcPr>
          <w:p w14:paraId="0D9E27CC"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Year fixed effect</w:t>
            </w:r>
          </w:p>
        </w:tc>
        <w:tc>
          <w:tcPr>
            <w:tcW w:w="1807" w:type="pct"/>
            <w:tcBorders>
              <w:top w:val="nil"/>
              <w:left w:val="nil"/>
              <w:bottom w:val="nil"/>
              <w:right w:val="nil"/>
            </w:tcBorders>
            <w:shd w:val="clear" w:color="auto" w:fill="auto"/>
            <w:noWrap/>
            <w:vAlign w:val="bottom"/>
            <w:hideMark/>
          </w:tcPr>
          <w:p w14:paraId="07697130"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Yes</w:t>
            </w:r>
          </w:p>
        </w:tc>
        <w:tc>
          <w:tcPr>
            <w:tcW w:w="1899" w:type="pct"/>
            <w:tcBorders>
              <w:top w:val="nil"/>
              <w:left w:val="nil"/>
              <w:bottom w:val="nil"/>
              <w:right w:val="nil"/>
            </w:tcBorders>
            <w:shd w:val="clear" w:color="auto" w:fill="auto"/>
            <w:noWrap/>
            <w:vAlign w:val="bottom"/>
            <w:hideMark/>
          </w:tcPr>
          <w:p w14:paraId="7327FB20"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Yes</w:t>
            </w:r>
          </w:p>
        </w:tc>
      </w:tr>
      <w:tr w:rsidR="00AF4D71" w:rsidRPr="005217FE" w14:paraId="72793854" w14:textId="77777777" w:rsidTr="00811D08">
        <w:trPr>
          <w:trHeight w:val="288"/>
        </w:trPr>
        <w:tc>
          <w:tcPr>
            <w:tcW w:w="1294" w:type="pct"/>
            <w:tcBorders>
              <w:top w:val="nil"/>
              <w:left w:val="nil"/>
              <w:bottom w:val="nil"/>
              <w:right w:val="nil"/>
            </w:tcBorders>
            <w:shd w:val="clear" w:color="auto" w:fill="auto"/>
            <w:noWrap/>
            <w:vAlign w:val="bottom"/>
            <w:hideMark/>
          </w:tcPr>
          <w:p w14:paraId="4936203A"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Firm fixed effect</w:t>
            </w:r>
          </w:p>
        </w:tc>
        <w:tc>
          <w:tcPr>
            <w:tcW w:w="1807" w:type="pct"/>
            <w:tcBorders>
              <w:top w:val="nil"/>
              <w:left w:val="nil"/>
              <w:bottom w:val="nil"/>
              <w:right w:val="nil"/>
            </w:tcBorders>
            <w:shd w:val="clear" w:color="auto" w:fill="auto"/>
            <w:noWrap/>
            <w:vAlign w:val="bottom"/>
            <w:hideMark/>
          </w:tcPr>
          <w:p w14:paraId="3C7F2DFB"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Yes</w:t>
            </w:r>
          </w:p>
        </w:tc>
        <w:tc>
          <w:tcPr>
            <w:tcW w:w="1899" w:type="pct"/>
            <w:tcBorders>
              <w:top w:val="nil"/>
              <w:left w:val="nil"/>
              <w:bottom w:val="nil"/>
              <w:right w:val="nil"/>
            </w:tcBorders>
            <w:shd w:val="clear" w:color="auto" w:fill="auto"/>
            <w:noWrap/>
            <w:vAlign w:val="bottom"/>
            <w:hideMark/>
          </w:tcPr>
          <w:p w14:paraId="7613D903"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Yes</w:t>
            </w:r>
          </w:p>
        </w:tc>
      </w:tr>
      <w:tr w:rsidR="00AF4D71" w:rsidRPr="005217FE" w14:paraId="095A59A2" w14:textId="77777777" w:rsidTr="00811D08">
        <w:trPr>
          <w:trHeight w:val="288"/>
        </w:trPr>
        <w:tc>
          <w:tcPr>
            <w:tcW w:w="1294" w:type="pct"/>
            <w:tcBorders>
              <w:top w:val="nil"/>
              <w:left w:val="nil"/>
              <w:right w:val="nil"/>
            </w:tcBorders>
            <w:shd w:val="clear" w:color="auto" w:fill="auto"/>
            <w:noWrap/>
            <w:vAlign w:val="bottom"/>
            <w:hideMark/>
          </w:tcPr>
          <w:p w14:paraId="2F72F29E"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Clustered std err by firm</w:t>
            </w:r>
          </w:p>
        </w:tc>
        <w:tc>
          <w:tcPr>
            <w:tcW w:w="1807" w:type="pct"/>
            <w:tcBorders>
              <w:top w:val="nil"/>
              <w:left w:val="nil"/>
              <w:right w:val="nil"/>
            </w:tcBorders>
            <w:shd w:val="clear" w:color="auto" w:fill="auto"/>
            <w:noWrap/>
            <w:vAlign w:val="bottom"/>
            <w:hideMark/>
          </w:tcPr>
          <w:p w14:paraId="67D253DD"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Yes</w:t>
            </w:r>
          </w:p>
        </w:tc>
        <w:tc>
          <w:tcPr>
            <w:tcW w:w="1899" w:type="pct"/>
            <w:tcBorders>
              <w:top w:val="nil"/>
              <w:left w:val="nil"/>
              <w:right w:val="nil"/>
            </w:tcBorders>
            <w:shd w:val="clear" w:color="auto" w:fill="auto"/>
            <w:noWrap/>
            <w:vAlign w:val="bottom"/>
            <w:hideMark/>
          </w:tcPr>
          <w:p w14:paraId="0AE83588"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Yes</w:t>
            </w:r>
          </w:p>
        </w:tc>
      </w:tr>
      <w:tr w:rsidR="00AF4D71" w:rsidRPr="005217FE" w14:paraId="444C6AA8" w14:textId="77777777" w:rsidTr="00811D08">
        <w:trPr>
          <w:trHeight w:val="288"/>
        </w:trPr>
        <w:tc>
          <w:tcPr>
            <w:tcW w:w="1294" w:type="pct"/>
            <w:tcBorders>
              <w:top w:val="nil"/>
              <w:left w:val="nil"/>
              <w:bottom w:val="single" w:sz="4" w:space="0" w:color="auto"/>
              <w:right w:val="nil"/>
            </w:tcBorders>
            <w:shd w:val="clear" w:color="auto" w:fill="auto"/>
            <w:noWrap/>
            <w:vAlign w:val="bottom"/>
            <w:hideMark/>
          </w:tcPr>
          <w:p w14:paraId="6A2D4A4E"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Observations</w:t>
            </w:r>
          </w:p>
        </w:tc>
        <w:tc>
          <w:tcPr>
            <w:tcW w:w="1807" w:type="pct"/>
            <w:tcBorders>
              <w:top w:val="nil"/>
              <w:left w:val="nil"/>
              <w:bottom w:val="single" w:sz="4" w:space="0" w:color="auto"/>
              <w:right w:val="nil"/>
            </w:tcBorders>
            <w:shd w:val="clear" w:color="auto" w:fill="auto"/>
            <w:noWrap/>
            <w:vAlign w:val="bottom"/>
            <w:hideMark/>
          </w:tcPr>
          <w:p w14:paraId="668883DA"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71,812</w:t>
            </w:r>
          </w:p>
        </w:tc>
        <w:tc>
          <w:tcPr>
            <w:tcW w:w="1899" w:type="pct"/>
            <w:tcBorders>
              <w:top w:val="nil"/>
              <w:left w:val="nil"/>
              <w:bottom w:val="single" w:sz="4" w:space="0" w:color="auto"/>
              <w:right w:val="nil"/>
            </w:tcBorders>
            <w:shd w:val="clear" w:color="auto" w:fill="auto"/>
            <w:noWrap/>
            <w:vAlign w:val="bottom"/>
            <w:hideMark/>
          </w:tcPr>
          <w:p w14:paraId="1E372328" w14:textId="77777777" w:rsidR="00AF4D71" w:rsidRPr="00F15FF6" w:rsidRDefault="00AF4D71" w:rsidP="00592C3D">
            <w:pPr>
              <w:spacing w:after="0" w:line="240" w:lineRule="auto"/>
              <w:rPr>
                <w:rFonts w:ascii="Times New Roman" w:eastAsia="Times New Roman" w:hAnsi="Times New Roman" w:cs="Times New Roman"/>
                <w:color w:val="000000"/>
              </w:rPr>
            </w:pPr>
            <w:r w:rsidRPr="00F15FF6">
              <w:rPr>
                <w:rFonts w:ascii="Times New Roman" w:eastAsia="Times New Roman" w:hAnsi="Times New Roman" w:cs="Times New Roman"/>
                <w:color w:val="000000"/>
              </w:rPr>
              <w:t>71,902</w:t>
            </w:r>
          </w:p>
        </w:tc>
      </w:tr>
    </w:tbl>
    <w:p w14:paraId="1ADEC5E1" w14:textId="635402C7" w:rsidR="004E7553" w:rsidRPr="00D23517" w:rsidRDefault="00AF4D71" w:rsidP="00811D08">
      <w:pPr>
        <w:jc w:val="both"/>
        <w:rPr>
          <w:rFonts w:ascii="Times New Roman" w:hAnsi="Times New Roman" w:cs="Times New Roman"/>
          <w:sz w:val="20"/>
          <w:szCs w:val="20"/>
        </w:rPr>
      </w:pPr>
      <w:r w:rsidRPr="00F15FF6">
        <w:rPr>
          <w:rFonts w:ascii="Times New Roman" w:hAnsi="Times New Roman" w:cs="Times New Roman"/>
          <w:sz w:val="20"/>
          <w:szCs w:val="20"/>
        </w:rPr>
        <w:t>Note: This table reports the</w:t>
      </w:r>
      <w:r w:rsidR="00486F5C">
        <w:rPr>
          <w:rFonts w:ascii="Times New Roman" w:hAnsi="Times New Roman" w:cs="Times New Roman"/>
          <w:sz w:val="20"/>
          <w:szCs w:val="20"/>
        </w:rPr>
        <w:t xml:space="preserve"> regression</w:t>
      </w:r>
      <w:r w:rsidRPr="00F15FF6">
        <w:rPr>
          <w:rFonts w:ascii="Times New Roman" w:hAnsi="Times New Roman" w:cs="Times New Roman"/>
          <w:sz w:val="20"/>
          <w:szCs w:val="20"/>
        </w:rPr>
        <w:t xml:space="preserve"> results of the component</w:t>
      </w:r>
      <w:r w:rsidR="00486F5C">
        <w:rPr>
          <w:rFonts w:ascii="Times New Roman" w:hAnsi="Times New Roman" w:cs="Times New Roman"/>
          <w:sz w:val="20"/>
          <w:szCs w:val="20"/>
        </w:rPr>
        <w:t>s</w:t>
      </w:r>
      <w:r w:rsidRPr="00F15FF6">
        <w:rPr>
          <w:rFonts w:ascii="Times New Roman" w:hAnsi="Times New Roman" w:cs="Times New Roman"/>
          <w:sz w:val="20"/>
          <w:szCs w:val="20"/>
        </w:rPr>
        <w:t xml:space="preserve"> of ROA volatility</w:t>
      </w:r>
      <w:r w:rsidR="00486F5C">
        <w:rPr>
          <w:rFonts w:ascii="Times New Roman" w:hAnsi="Times New Roman" w:cs="Times New Roman"/>
          <w:sz w:val="20"/>
          <w:szCs w:val="20"/>
        </w:rPr>
        <w:t xml:space="preserve"> (</w:t>
      </w:r>
      <w:r w:rsidRPr="00F15FF6">
        <w:rPr>
          <w:rFonts w:ascii="Times New Roman" w:hAnsi="Times New Roman" w:cs="Times New Roman"/>
          <w:sz w:val="20"/>
          <w:szCs w:val="20"/>
        </w:rPr>
        <w:t>the profit margin volatility</w:t>
      </w:r>
      <w:r w:rsidR="007B45EF" w:rsidRPr="00F15FF6">
        <w:rPr>
          <w:rFonts w:ascii="Times New Roman" w:hAnsi="Times New Roman" w:cs="Times New Roman"/>
          <w:sz w:val="20"/>
          <w:szCs w:val="20"/>
        </w:rPr>
        <w:t xml:space="preserve"> </w:t>
      </w:r>
      <w:r w:rsidRPr="00F15FF6">
        <w:rPr>
          <w:rFonts w:ascii="Times New Roman" w:hAnsi="Times New Roman" w:cs="Times New Roman"/>
          <w:sz w:val="20"/>
          <w:szCs w:val="20"/>
        </w:rPr>
        <w:t>and the asset turnover volatility</w:t>
      </w:r>
      <w:r w:rsidR="00486F5C">
        <w:rPr>
          <w:rFonts w:ascii="Times New Roman" w:hAnsi="Times New Roman" w:cs="Times New Roman"/>
          <w:sz w:val="20"/>
          <w:szCs w:val="20"/>
        </w:rPr>
        <w:t>) on non-operating earnings</w:t>
      </w:r>
      <w:r w:rsidRPr="00F15FF6">
        <w:rPr>
          <w:rFonts w:ascii="Times New Roman" w:hAnsi="Times New Roman" w:cs="Times New Roman"/>
          <w:sz w:val="20"/>
          <w:szCs w:val="20"/>
        </w:rPr>
        <w:t xml:space="preserve">. </w:t>
      </w:r>
      <w:r w:rsidR="00486F5C">
        <w:rPr>
          <w:rFonts w:ascii="Times New Roman" w:hAnsi="Times New Roman" w:cs="Times New Roman"/>
          <w:sz w:val="20"/>
          <w:szCs w:val="20"/>
        </w:rPr>
        <w:t xml:space="preserve">Profit margin is net income scaled by sales. Assets turnover is sales divided by total assets. </w:t>
      </w:r>
      <w:r w:rsidRPr="00F15FF6">
        <w:rPr>
          <w:rFonts w:ascii="Times New Roman" w:hAnsi="Times New Roman" w:cs="Times New Roman"/>
          <w:sz w:val="20"/>
          <w:szCs w:val="20"/>
        </w:rPr>
        <w:t xml:space="preserve">Volatility is defined as the standard deviation of the variable over the last five years. </w:t>
      </w:r>
      <w:r w:rsidR="00393AD9" w:rsidRPr="00F15FF6">
        <w:rPr>
          <w:rFonts w:ascii="Times New Roman" w:hAnsi="Times New Roman" w:cs="Times New Roman"/>
          <w:i/>
          <w:sz w:val="20"/>
          <w:szCs w:val="20"/>
        </w:rPr>
        <w:t>NONOPERINC</w:t>
      </w:r>
      <w:r w:rsidR="00393AD9" w:rsidRPr="00F15FF6">
        <w:rPr>
          <w:rFonts w:ascii="Times New Roman" w:hAnsi="Times New Roman" w:cs="Times New Roman"/>
          <w:sz w:val="20"/>
          <w:szCs w:val="20"/>
        </w:rPr>
        <w:t xml:space="preserve"> is the ratio of non-operating earnings to assets at the end of the fiscal year. </w:t>
      </w:r>
      <w:r w:rsidR="00393AD9" w:rsidRPr="00F15FF6">
        <w:rPr>
          <w:rFonts w:ascii="Times New Roman" w:hAnsi="Times New Roman" w:cs="Times New Roman"/>
          <w:i/>
          <w:sz w:val="20"/>
          <w:szCs w:val="20"/>
        </w:rPr>
        <w:t>OPERINC</w:t>
      </w:r>
      <w:r w:rsidR="00393AD9" w:rsidRPr="00F15FF6">
        <w:rPr>
          <w:rFonts w:ascii="Times New Roman" w:hAnsi="Times New Roman" w:cs="Times New Roman"/>
          <w:sz w:val="20"/>
          <w:szCs w:val="20"/>
        </w:rPr>
        <w:t xml:space="preserve"> is the ratio of operating earnings to assets at the end of the fiscal year. </w:t>
      </w:r>
      <w:r w:rsidR="00393AD9" w:rsidRPr="00F15FF6">
        <w:rPr>
          <w:rFonts w:ascii="Times New Roman" w:eastAsia="Times New Roman" w:hAnsi="Times New Roman" w:cs="Times New Roman"/>
          <w:i/>
          <w:iCs/>
          <w:color w:val="000000"/>
          <w:sz w:val="20"/>
          <w:szCs w:val="20"/>
        </w:rPr>
        <w:t xml:space="preserve">LNAT </w:t>
      </w:r>
      <w:r w:rsidR="00393AD9" w:rsidRPr="00F15FF6">
        <w:rPr>
          <w:rFonts w:ascii="Times New Roman" w:eastAsia="Times New Roman" w:hAnsi="Times New Roman" w:cs="Times New Roman"/>
          <w:iCs/>
          <w:color w:val="000000"/>
          <w:sz w:val="20"/>
          <w:szCs w:val="20"/>
        </w:rPr>
        <w:t>is</w:t>
      </w:r>
      <w:r w:rsidR="00393AD9" w:rsidRPr="00F15FF6">
        <w:rPr>
          <w:rFonts w:ascii="Times New Roman" w:eastAsia="Times New Roman" w:hAnsi="Times New Roman" w:cs="Times New Roman"/>
          <w:i/>
          <w:iCs/>
          <w:color w:val="000000"/>
          <w:sz w:val="20"/>
          <w:szCs w:val="20"/>
        </w:rPr>
        <w:t xml:space="preserve"> </w:t>
      </w:r>
      <w:r w:rsidR="00393AD9" w:rsidRPr="00F15FF6">
        <w:rPr>
          <w:rFonts w:ascii="Times New Roman" w:hAnsi="Times New Roman" w:cs="Times New Roman"/>
          <w:sz w:val="20"/>
          <w:szCs w:val="20"/>
        </w:rPr>
        <w:t xml:space="preserve">the natural log of total assets at the end of the fiscal year. </w:t>
      </w:r>
      <w:r w:rsidR="00EA5ECC" w:rsidRPr="00D23517">
        <w:rPr>
          <w:rFonts w:ascii="Times New Roman" w:hAnsi="Times New Roman" w:cs="Times New Roman"/>
          <w:i/>
          <w:sz w:val="20"/>
          <w:szCs w:val="20"/>
        </w:rPr>
        <w:t>DEBT</w:t>
      </w:r>
      <w:r w:rsidR="00EA5ECC">
        <w:rPr>
          <w:rFonts w:ascii="Times New Roman" w:hAnsi="Times New Roman" w:cs="Times New Roman"/>
          <w:i/>
          <w:sz w:val="20"/>
          <w:szCs w:val="20"/>
        </w:rPr>
        <w:t>/</w:t>
      </w:r>
      <w:r w:rsidR="00EA5ECC" w:rsidRPr="00D23517">
        <w:rPr>
          <w:rFonts w:ascii="Times New Roman" w:hAnsi="Times New Roman" w:cs="Times New Roman"/>
          <w:i/>
          <w:sz w:val="20"/>
          <w:szCs w:val="20"/>
        </w:rPr>
        <w:t>XRD</w:t>
      </w:r>
      <w:r w:rsidR="00EA5ECC">
        <w:rPr>
          <w:rFonts w:ascii="Times New Roman" w:hAnsi="Times New Roman" w:cs="Times New Roman"/>
          <w:i/>
          <w:sz w:val="20"/>
          <w:szCs w:val="20"/>
        </w:rPr>
        <w:t>/</w:t>
      </w:r>
      <w:r w:rsidR="00EA5ECC" w:rsidRPr="00D23517">
        <w:rPr>
          <w:rFonts w:ascii="Times New Roman" w:hAnsi="Times New Roman" w:cs="Times New Roman"/>
          <w:i/>
          <w:sz w:val="20"/>
          <w:szCs w:val="20"/>
        </w:rPr>
        <w:t xml:space="preserve">XAD </w:t>
      </w:r>
      <w:r w:rsidR="00EA5ECC" w:rsidRPr="00D23517">
        <w:rPr>
          <w:rFonts w:ascii="Times New Roman" w:hAnsi="Times New Roman" w:cs="Times New Roman"/>
          <w:sz w:val="20"/>
          <w:szCs w:val="20"/>
        </w:rPr>
        <w:t>is</w:t>
      </w:r>
      <w:r w:rsidR="00EA5ECC" w:rsidRPr="00D23517">
        <w:rPr>
          <w:rFonts w:ascii="Times New Roman" w:hAnsi="Times New Roman" w:cs="Times New Roman"/>
          <w:i/>
          <w:sz w:val="20"/>
          <w:szCs w:val="20"/>
        </w:rPr>
        <w:t xml:space="preserve"> </w:t>
      </w:r>
      <w:r w:rsidR="00EA5ECC" w:rsidRPr="00D23517">
        <w:rPr>
          <w:rFonts w:ascii="Times New Roman" w:hAnsi="Times New Roman" w:cs="Times New Roman"/>
          <w:sz w:val="20"/>
          <w:szCs w:val="20"/>
        </w:rPr>
        <w:t>the ratio of long-term debt</w:t>
      </w:r>
      <w:r w:rsidR="00EA5ECC">
        <w:rPr>
          <w:rFonts w:ascii="Times New Roman" w:hAnsi="Times New Roman" w:cs="Times New Roman"/>
          <w:sz w:val="20"/>
          <w:szCs w:val="20"/>
        </w:rPr>
        <w:t>/</w:t>
      </w:r>
      <w:r w:rsidR="00EA5ECC" w:rsidRPr="00D23517">
        <w:rPr>
          <w:rFonts w:ascii="Times New Roman" w:hAnsi="Times New Roman" w:cs="Times New Roman"/>
          <w:sz w:val="20"/>
          <w:szCs w:val="20"/>
        </w:rPr>
        <w:t>R&amp;D expenditure</w:t>
      </w:r>
      <w:r w:rsidR="00EA5ECC">
        <w:rPr>
          <w:rFonts w:ascii="Times New Roman" w:hAnsi="Times New Roman" w:cs="Times New Roman"/>
          <w:sz w:val="20"/>
          <w:szCs w:val="20"/>
        </w:rPr>
        <w:t>/</w:t>
      </w:r>
      <w:r w:rsidR="00EA5ECC" w:rsidRPr="00D23517">
        <w:rPr>
          <w:rFonts w:ascii="Times New Roman" w:hAnsi="Times New Roman" w:cs="Times New Roman"/>
          <w:sz w:val="20"/>
          <w:szCs w:val="20"/>
        </w:rPr>
        <w:t xml:space="preserve">advertising expenditure to total assets at the end of the fiscal year. </w:t>
      </w:r>
      <w:r w:rsidR="00393AD9" w:rsidRPr="00F15FF6">
        <w:rPr>
          <w:rFonts w:ascii="Times New Roman" w:eastAsia="Times New Roman" w:hAnsi="Times New Roman" w:cs="Times New Roman"/>
          <w:i/>
          <w:color w:val="000000"/>
          <w:sz w:val="20"/>
          <w:szCs w:val="20"/>
        </w:rPr>
        <w:t xml:space="preserve">INSTOWN_TRAN/INSTOWN_QIX/INSTOWN_DED </w:t>
      </w:r>
      <w:r w:rsidR="00393AD9" w:rsidRPr="00F15FF6">
        <w:rPr>
          <w:rFonts w:ascii="Times New Roman" w:eastAsia="Times New Roman" w:hAnsi="Times New Roman" w:cs="Times New Roman"/>
          <w:color w:val="000000"/>
          <w:sz w:val="20"/>
          <w:szCs w:val="20"/>
        </w:rPr>
        <w:t>is</w:t>
      </w:r>
      <w:r w:rsidR="00393AD9" w:rsidRPr="00F15FF6">
        <w:rPr>
          <w:rFonts w:ascii="Times New Roman" w:eastAsia="Times New Roman" w:hAnsi="Times New Roman" w:cs="Times New Roman"/>
          <w:i/>
          <w:color w:val="000000"/>
          <w:sz w:val="20"/>
          <w:szCs w:val="20"/>
        </w:rPr>
        <w:t xml:space="preserve"> </w:t>
      </w:r>
      <w:r w:rsidR="00393AD9" w:rsidRPr="00F15FF6">
        <w:rPr>
          <w:rFonts w:ascii="Times New Roman" w:hAnsi="Times New Roman" w:cs="Times New Roman"/>
          <w:sz w:val="20"/>
          <w:szCs w:val="20"/>
        </w:rPr>
        <w:t xml:space="preserve">the percentage of firm shares held by transient institutional owners/quasi-index institutional owners/dedicated institutional owners. </w:t>
      </w:r>
      <w:r w:rsidR="00393AD9" w:rsidRPr="00F15FF6">
        <w:rPr>
          <w:rFonts w:ascii="Times New Roman" w:hAnsi="Times New Roman" w:cs="Times New Roman"/>
          <w:i/>
          <w:sz w:val="20"/>
          <w:szCs w:val="20"/>
        </w:rPr>
        <w:t xml:space="preserve">SKILL </w:t>
      </w:r>
      <w:r w:rsidR="00486F5C" w:rsidRPr="00F15FF6">
        <w:rPr>
          <w:rFonts w:ascii="Times New Roman" w:hAnsi="Times New Roman" w:cs="Times New Roman"/>
          <w:sz w:val="20"/>
          <w:szCs w:val="20"/>
        </w:rPr>
        <w:t>is</w:t>
      </w:r>
      <w:r w:rsidR="00486F5C">
        <w:rPr>
          <w:rFonts w:ascii="Times New Roman" w:hAnsi="Times New Roman" w:cs="Times New Roman"/>
          <w:i/>
          <w:sz w:val="20"/>
          <w:szCs w:val="20"/>
        </w:rPr>
        <w:t xml:space="preserve"> </w:t>
      </w:r>
      <w:r w:rsidR="00486F5C" w:rsidRPr="00D23517">
        <w:rPr>
          <w:rFonts w:ascii="Times New Roman" w:hAnsi="Times New Roman" w:cs="Times New Roman"/>
          <w:iCs/>
          <w:sz w:val="20"/>
          <w:szCs w:val="20"/>
        </w:rPr>
        <w:t>a</w:t>
      </w:r>
      <w:r w:rsidR="00486F5C" w:rsidRPr="00D23517">
        <w:rPr>
          <w:rFonts w:ascii="Times New Roman" w:hAnsi="Times New Roman" w:cs="Times New Roman"/>
          <w:sz w:val="20"/>
          <w:szCs w:val="20"/>
        </w:rPr>
        <w:t xml:space="preserve"> dummy variable </w:t>
      </w:r>
      <w:r w:rsidR="00486F5C">
        <w:rPr>
          <w:rFonts w:ascii="Times New Roman" w:hAnsi="Times New Roman" w:cs="Times New Roman"/>
          <w:sz w:val="20"/>
          <w:szCs w:val="20"/>
        </w:rPr>
        <w:t xml:space="preserve">that equals 1 </w:t>
      </w:r>
      <w:r w:rsidR="00486F5C" w:rsidRPr="00D23517">
        <w:rPr>
          <w:rFonts w:ascii="Times New Roman" w:hAnsi="Times New Roman" w:cs="Times New Roman"/>
          <w:sz w:val="20"/>
          <w:szCs w:val="20"/>
        </w:rPr>
        <w:t xml:space="preserve">for firms with managerial ability </w:t>
      </w:r>
      <w:r w:rsidR="00E97357">
        <w:rPr>
          <w:rFonts w:ascii="Times New Roman" w:hAnsi="Times New Roman" w:cs="Times New Roman"/>
          <w:sz w:val="20"/>
          <w:szCs w:val="20"/>
        </w:rPr>
        <w:t xml:space="preserve">scores </w:t>
      </w:r>
      <w:r w:rsidR="00486F5C" w:rsidRPr="00D23517">
        <w:rPr>
          <w:rFonts w:ascii="Times New Roman" w:hAnsi="Times New Roman" w:cs="Times New Roman"/>
          <w:sz w:val="20"/>
          <w:szCs w:val="20"/>
        </w:rPr>
        <w:t>above the industry median managerial ability</w:t>
      </w:r>
      <w:r w:rsidR="00E97357">
        <w:rPr>
          <w:rFonts w:ascii="Times New Roman" w:hAnsi="Times New Roman" w:cs="Times New Roman"/>
          <w:sz w:val="20"/>
          <w:szCs w:val="20"/>
        </w:rPr>
        <w:t xml:space="preserve"> </w:t>
      </w:r>
      <w:r w:rsidR="00E97357">
        <w:rPr>
          <w:rFonts w:ascii="Times New Roman" w:hAnsi="Times New Roman" w:cs="Times New Roman"/>
          <w:iCs/>
          <w:sz w:val="20"/>
          <w:szCs w:val="20"/>
        </w:rPr>
        <w:t>scores</w:t>
      </w:r>
      <w:r w:rsidR="00E97357" w:rsidRPr="00E97357">
        <w:rPr>
          <w:rFonts w:ascii="Times New Roman" w:hAnsi="Times New Roman" w:cs="Times New Roman"/>
          <w:iCs/>
          <w:sz w:val="20"/>
          <w:szCs w:val="20"/>
        </w:rPr>
        <w:t xml:space="preserve"> </w:t>
      </w:r>
      <w:r w:rsidR="00E97357" w:rsidRPr="00CF12A9">
        <w:rPr>
          <w:rFonts w:ascii="Times New Roman" w:hAnsi="Times New Roman" w:cs="Times New Roman"/>
          <w:iCs/>
          <w:sz w:val="20"/>
          <w:szCs w:val="20"/>
        </w:rPr>
        <w:t xml:space="preserve">in the </w:t>
      </w:r>
      <w:r w:rsidR="00E97357">
        <w:rPr>
          <w:rFonts w:ascii="Times New Roman" w:hAnsi="Times New Roman" w:cs="Times New Roman"/>
          <w:iCs/>
          <w:sz w:val="20"/>
          <w:szCs w:val="20"/>
        </w:rPr>
        <w:t>p</w:t>
      </w:r>
      <w:r w:rsidR="00E97357" w:rsidRPr="00CF12A9">
        <w:rPr>
          <w:rFonts w:ascii="Times New Roman" w:hAnsi="Times New Roman" w:cs="Times New Roman"/>
          <w:iCs/>
          <w:sz w:val="20"/>
          <w:szCs w:val="20"/>
        </w:rPr>
        <w:t>ast three years</w:t>
      </w:r>
      <w:r w:rsidR="00486F5C">
        <w:rPr>
          <w:rFonts w:ascii="Times New Roman" w:hAnsi="Times New Roman" w:cs="Times New Roman"/>
          <w:sz w:val="20"/>
          <w:szCs w:val="20"/>
        </w:rPr>
        <w:t>, and 0 otherwise</w:t>
      </w:r>
      <w:r w:rsidR="00486F5C" w:rsidRPr="00D23517">
        <w:rPr>
          <w:rFonts w:ascii="Times New Roman" w:hAnsi="Times New Roman" w:cs="Times New Roman"/>
          <w:sz w:val="20"/>
          <w:szCs w:val="20"/>
        </w:rPr>
        <w:t>.</w:t>
      </w:r>
      <w:r w:rsidR="00393AD9" w:rsidRPr="00F15FF6">
        <w:rPr>
          <w:rFonts w:ascii="Times New Roman" w:hAnsi="Times New Roman" w:cs="Times New Roman"/>
          <w:sz w:val="20"/>
          <w:szCs w:val="20"/>
        </w:rPr>
        <w:t xml:space="preserve"> </w:t>
      </w:r>
      <w:r w:rsidR="00393AD9" w:rsidRPr="00F15FF6">
        <w:rPr>
          <w:rFonts w:ascii="Times New Roman" w:hAnsi="Times New Roman" w:cs="Times New Roman"/>
          <w:i/>
          <w:sz w:val="20"/>
          <w:szCs w:val="20"/>
        </w:rPr>
        <w:t xml:space="preserve">MKTCON </w:t>
      </w:r>
      <w:r w:rsidR="00393AD9" w:rsidRPr="00F15FF6">
        <w:rPr>
          <w:rFonts w:ascii="Times New Roman" w:hAnsi="Times New Roman" w:cs="Times New Roman"/>
          <w:sz w:val="20"/>
          <w:szCs w:val="20"/>
        </w:rPr>
        <w:t>is</w:t>
      </w:r>
      <w:r w:rsidR="00393AD9" w:rsidRPr="00F15FF6">
        <w:rPr>
          <w:rFonts w:ascii="Times New Roman" w:hAnsi="Times New Roman" w:cs="Times New Roman"/>
          <w:i/>
          <w:sz w:val="20"/>
          <w:szCs w:val="20"/>
        </w:rPr>
        <w:t xml:space="preserve"> </w:t>
      </w:r>
      <w:r w:rsidR="00393AD9" w:rsidRPr="00F15FF6">
        <w:rPr>
          <w:rFonts w:ascii="Times New Roman" w:hAnsi="Times New Roman" w:cs="Times New Roman"/>
          <w:sz w:val="20"/>
          <w:szCs w:val="20"/>
        </w:rPr>
        <w:t>the Herfindahl sales-based industry concentration index.</w:t>
      </w:r>
      <w:r w:rsidR="00FB2D22" w:rsidRPr="00F15FF6">
        <w:rPr>
          <w:rFonts w:ascii="Times New Roman" w:hAnsi="Times New Roman" w:cs="Times New Roman"/>
          <w:sz w:val="20"/>
          <w:szCs w:val="20"/>
        </w:rPr>
        <w:t xml:space="preserve"> </w:t>
      </w:r>
      <w:r w:rsidRPr="00F15FF6">
        <w:rPr>
          <w:rFonts w:ascii="Times New Roman" w:hAnsi="Times New Roman" w:cs="Times New Roman"/>
          <w:sz w:val="20"/>
          <w:szCs w:val="20"/>
        </w:rPr>
        <w:t>*, ** and *** indicate the significance levels of 10%, 5% and 1%, respectively.</w:t>
      </w:r>
      <w:r w:rsidR="004E7553" w:rsidRPr="00D23517">
        <w:rPr>
          <w:rFonts w:ascii="Times New Roman" w:hAnsi="Times New Roman" w:cs="Times New Roman"/>
          <w:sz w:val="20"/>
          <w:szCs w:val="20"/>
        </w:rPr>
        <w:br w:type="page"/>
      </w:r>
    </w:p>
    <w:p w14:paraId="6C61024D" w14:textId="77777777" w:rsidR="004E7553" w:rsidRPr="00893E6D" w:rsidRDefault="004E7553" w:rsidP="00A1062B">
      <w:pPr>
        <w:jc w:val="both"/>
        <w:rPr>
          <w:rFonts w:ascii="Times New Roman" w:hAnsi="Times New Roman" w:cs="Times New Roman"/>
          <w:sz w:val="24"/>
          <w:szCs w:val="24"/>
        </w:rPr>
        <w:sectPr w:rsidR="004E7553" w:rsidRPr="00893E6D" w:rsidSect="00811D08">
          <w:pgSz w:w="12240" w:h="15840"/>
          <w:pgMar w:top="1440" w:right="1440" w:bottom="1440" w:left="1440" w:header="720" w:footer="720" w:gutter="0"/>
          <w:cols w:space="720"/>
          <w:docGrid w:linePitch="360"/>
        </w:sectPr>
      </w:pPr>
    </w:p>
    <w:p w14:paraId="4901A62F" w14:textId="14370805" w:rsidR="008D5265" w:rsidRPr="00D23517" w:rsidRDefault="008D5265" w:rsidP="00A1062B">
      <w:pPr>
        <w:spacing w:line="240" w:lineRule="auto"/>
        <w:jc w:val="both"/>
        <w:rPr>
          <w:rFonts w:ascii="Times New Roman" w:eastAsia="Times New Roman" w:hAnsi="Times New Roman" w:cs="Times New Roman"/>
          <w:b/>
          <w:bCs/>
          <w:color w:val="000000"/>
          <w:sz w:val="24"/>
          <w:szCs w:val="24"/>
        </w:rPr>
      </w:pPr>
      <w:r w:rsidRPr="00D23517">
        <w:rPr>
          <w:rFonts w:ascii="Times New Roman" w:eastAsia="Times New Roman" w:hAnsi="Times New Roman" w:cs="Times New Roman"/>
          <w:b/>
          <w:bCs/>
          <w:color w:val="000000"/>
          <w:sz w:val="24"/>
          <w:szCs w:val="24"/>
        </w:rPr>
        <w:lastRenderedPageBreak/>
        <w:t>Figure 1</w:t>
      </w:r>
      <w:r w:rsidR="00820044" w:rsidRPr="00D23517">
        <w:rPr>
          <w:rFonts w:ascii="Times New Roman" w:eastAsia="Times New Roman" w:hAnsi="Times New Roman" w:cs="Times New Roman"/>
          <w:b/>
          <w:bCs/>
          <w:color w:val="000000"/>
          <w:sz w:val="24"/>
          <w:szCs w:val="24"/>
        </w:rPr>
        <w:t xml:space="preserve">: </w:t>
      </w:r>
      <w:r w:rsidRPr="00D23517">
        <w:rPr>
          <w:rFonts w:ascii="Times New Roman" w:eastAsia="Times New Roman" w:hAnsi="Times New Roman" w:cs="Times New Roman"/>
          <w:b/>
          <w:bCs/>
          <w:color w:val="000000"/>
          <w:sz w:val="24"/>
          <w:szCs w:val="24"/>
        </w:rPr>
        <w:t xml:space="preserve">Time </w:t>
      </w:r>
      <w:r w:rsidR="002A1376" w:rsidRPr="00D23517">
        <w:rPr>
          <w:rFonts w:ascii="Times New Roman" w:eastAsia="Times New Roman" w:hAnsi="Times New Roman" w:cs="Times New Roman"/>
          <w:b/>
          <w:bCs/>
          <w:color w:val="000000"/>
          <w:sz w:val="24"/>
          <w:szCs w:val="24"/>
        </w:rPr>
        <w:t xml:space="preserve">series </w:t>
      </w:r>
      <w:r w:rsidRPr="00D23517">
        <w:rPr>
          <w:rFonts w:ascii="Times New Roman" w:eastAsia="Times New Roman" w:hAnsi="Times New Roman" w:cs="Times New Roman"/>
          <w:b/>
          <w:bCs/>
          <w:color w:val="000000"/>
          <w:sz w:val="24"/>
          <w:szCs w:val="24"/>
        </w:rPr>
        <w:t xml:space="preserve">of </w:t>
      </w:r>
      <w:r w:rsidR="002A1376" w:rsidRPr="00D23517">
        <w:rPr>
          <w:rFonts w:ascii="Times New Roman" w:eastAsia="Times New Roman" w:hAnsi="Times New Roman" w:cs="Times New Roman"/>
          <w:b/>
          <w:bCs/>
          <w:color w:val="000000"/>
          <w:sz w:val="24"/>
          <w:szCs w:val="24"/>
        </w:rPr>
        <w:t xml:space="preserve">operating income </w:t>
      </w:r>
      <w:r w:rsidRPr="00D23517">
        <w:rPr>
          <w:rFonts w:ascii="Times New Roman" w:eastAsia="Times New Roman" w:hAnsi="Times New Roman" w:cs="Times New Roman"/>
          <w:b/>
          <w:bCs/>
          <w:color w:val="000000"/>
          <w:sz w:val="24"/>
          <w:szCs w:val="24"/>
        </w:rPr>
        <w:t xml:space="preserve">to </w:t>
      </w:r>
      <w:r w:rsidR="002A1376" w:rsidRPr="00D23517">
        <w:rPr>
          <w:rFonts w:ascii="Times New Roman" w:eastAsia="Times New Roman" w:hAnsi="Times New Roman" w:cs="Times New Roman"/>
          <w:b/>
          <w:bCs/>
          <w:color w:val="000000"/>
          <w:sz w:val="24"/>
          <w:szCs w:val="24"/>
        </w:rPr>
        <w:t xml:space="preserve">assets </w:t>
      </w:r>
      <w:r w:rsidRPr="00D23517">
        <w:rPr>
          <w:rFonts w:ascii="Times New Roman" w:eastAsia="Times New Roman" w:hAnsi="Times New Roman" w:cs="Times New Roman"/>
          <w:b/>
          <w:bCs/>
          <w:color w:val="000000"/>
          <w:sz w:val="24"/>
          <w:szCs w:val="24"/>
        </w:rPr>
        <w:t xml:space="preserve">and </w:t>
      </w:r>
      <w:r w:rsidR="002A1376" w:rsidRPr="00D23517">
        <w:rPr>
          <w:rFonts w:ascii="Times New Roman" w:eastAsia="Times New Roman" w:hAnsi="Times New Roman" w:cs="Times New Roman"/>
          <w:b/>
          <w:bCs/>
          <w:color w:val="000000"/>
          <w:sz w:val="24"/>
          <w:szCs w:val="24"/>
        </w:rPr>
        <w:t>non</w:t>
      </w:r>
      <w:r w:rsidRPr="00D23517">
        <w:rPr>
          <w:rFonts w:ascii="Times New Roman" w:eastAsia="Times New Roman" w:hAnsi="Times New Roman" w:cs="Times New Roman"/>
          <w:b/>
          <w:bCs/>
          <w:color w:val="000000"/>
          <w:sz w:val="24"/>
          <w:szCs w:val="24"/>
        </w:rPr>
        <w:t xml:space="preserve">-operating </w:t>
      </w:r>
      <w:r w:rsidR="002A1376" w:rsidRPr="00D23517">
        <w:rPr>
          <w:rFonts w:ascii="Times New Roman" w:eastAsia="Times New Roman" w:hAnsi="Times New Roman" w:cs="Times New Roman"/>
          <w:b/>
          <w:bCs/>
          <w:color w:val="000000"/>
          <w:sz w:val="24"/>
          <w:szCs w:val="24"/>
        </w:rPr>
        <w:t xml:space="preserve">earnings </w:t>
      </w:r>
      <w:r w:rsidRPr="00D23517">
        <w:rPr>
          <w:rFonts w:ascii="Times New Roman" w:eastAsia="Times New Roman" w:hAnsi="Times New Roman" w:cs="Times New Roman"/>
          <w:b/>
          <w:bCs/>
          <w:color w:val="000000"/>
          <w:sz w:val="24"/>
          <w:szCs w:val="24"/>
        </w:rPr>
        <w:t xml:space="preserve">to </w:t>
      </w:r>
      <w:r w:rsidR="002A1376" w:rsidRPr="00D23517">
        <w:rPr>
          <w:rFonts w:ascii="Times New Roman" w:eastAsia="Times New Roman" w:hAnsi="Times New Roman" w:cs="Times New Roman"/>
          <w:b/>
          <w:bCs/>
          <w:color w:val="000000"/>
          <w:sz w:val="24"/>
          <w:szCs w:val="24"/>
        </w:rPr>
        <w:t>assets</w:t>
      </w:r>
    </w:p>
    <w:p w14:paraId="1BCA7848" w14:textId="77777777" w:rsidR="008D5265" w:rsidRPr="00893E6D" w:rsidRDefault="008D5265" w:rsidP="00A1062B">
      <w:pPr>
        <w:jc w:val="both"/>
      </w:pPr>
      <w:r w:rsidRPr="00893E6D">
        <w:rPr>
          <w:noProof/>
        </w:rPr>
        <w:drawing>
          <wp:inline distT="0" distB="0" distL="0" distR="0" wp14:anchorId="43A93B13" wp14:editId="5CFBA234">
            <wp:extent cx="5943600" cy="2673985"/>
            <wp:effectExtent l="0" t="0" r="0" b="12065"/>
            <wp:docPr id="1" name="Chart 1">
              <a:extLst xmlns:a="http://schemas.openxmlformats.org/drawingml/2006/main">
                <a:ext uri="{FF2B5EF4-FFF2-40B4-BE49-F238E27FC236}">
                  <a16:creationId xmlns:a16="http://schemas.microsoft.com/office/drawing/2014/main" id="{DFE60E51-395D-4D28-AF7D-B4844A53D5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2387C5" w14:textId="5AC61E52" w:rsidR="00820044" w:rsidRPr="00893E6D" w:rsidRDefault="00903DCE" w:rsidP="00820044">
      <w:pPr>
        <w:spacing w:line="240" w:lineRule="auto"/>
        <w:jc w:val="both"/>
      </w:pPr>
      <w:r>
        <w:rPr>
          <w:rFonts w:ascii="Times New Roman" w:hAnsi="Times New Roman" w:cs="Times New Roman"/>
          <w:sz w:val="20"/>
          <w:szCs w:val="20"/>
        </w:rPr>
        <w:t>Note</w:t>
      </w:r>
      <w:r w:rsidR="00820044">
        <w:rPr>
          <w:rFonts w:ascii="Times New Roman" w:hAnsi="Times New Roman" w:cs="Times New Roman"/>
          <w:sz w:val="20"/>
          <w:szCs w:val="20"/>
        </w:rPr>
        <w:t xml:space="preserve">: </w:t>
      </w:r>
      <w:r w:rsidR="00820044" w:rsidRPr="00893E6D">
        <w:rPr>
          <w:rFonts w:ascii="Times New Roman" w:hAnsi="Times New Roman" w:cs="Times New Roman"/>
          <w:sz w:val="20"/>
          <w:szCs w:val="20"/>
        </w:rPr>
        <w:t>This figure displays the average operating earnings to total assets ratio and the average non-operating earnings to total assets ratio of 72,100 firm year observations from 1990 to 2016.</w:t>
      </w:r>
      <w:r w:rsidR="00820044" w:rsidRPr="00893E6D">
        <w:t xml:space="preserve"> </w:t>
      </w:r>
    </w:p>
    <w:p w14:paraId="1D43676F" w14:textId="77777777" w:rsidR="00084B26" w:rsidRDefault="00084B26" w:rsidP="00A1062B">
      <w:pPr>
        <w:spacing w:line="240" w:lineRule="auto"/>
        <w:jc w:val="both"/>
        <w:rPr>
          <w:rFonts w:ascii="Times New Roman" w:hAnsi="Times New Roman" w:cs="Times New Roman"/>
          <w:sz w:val="24"/>
          <w:szCs w:val="24"/>
        </w:rPr>
      </w:pPr>
    </w:p>
    <w:sectPr w:rsidR="00084B26" w:rsidSect="00903D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3464A" w14:textId="77777777" w:rsidR="00CF6775" w:rsidRDefault="00CF6775" w:rsidP="00FA6563">
      <w:pPr>
        <w:spacing w:after="0" w:line="240" w:lineRule="auto"/>
      </w:pPr>
      <w:r>
        <w:separator/>
      </w:r>
    </w:p>
  </w:endnote>
  <w:endnote w:type="continuationSeparator" w:id="0">
    <w:p w14:paraId="6168A8A8" w14:textId="77777777" w:rsidR="00CF6775" w:rsidRDefault="00CF6775" w:rsidP="00FA6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6683816"/>
      <w:docPartObj>
        <w:docPartGallery w:val="Page Numbers (Bottom of Page)"/>
        <w:docPartUnique/>
      </w:docPartObj>
    </w:sdtPr>
    <w:sdtEndPr>
      <w:rPr>
        <w:noProof/>
      </w:rPr>
    </w:sdtEndPr>
    <w:sdtContent>
      <w:p w14:paraId="14B24D4F" w14:textId="72DCC674" w:rsidR="003A51F3" w:rsidRDefault="003A51F3">
        <w:pPr>
          <w:pStyle w:val="Footer"/>
          <w:jc w:val="center"/>
        </w:pPr>
        <w:r>
          <w:fldChar w:fldCharType="begin"/>
        </w:r>
        <w:r>
          <w:instrText xml:space="preserve"> PAGE   \* MERGEFORMAT </w:instrText>
        </w:r>
        <w:r>
          <w:fldChar w:fldCharType="separate"/>
        </w:r>
        <w:r w:rsidR="005841E9">
          <w:rPr>
            <w:noProof/>
          </w:rPr>
          <w:t>53</w:t>
        </w:r>
        <w:r>
          <w:rPr>
            <w:noProof/>
          </w:rPr>
          <w:fldChar w:fldCharType="end"/>
        </w:r>
      </w:p>
    </w:sdtContent>
  </w:sdt>
  <w:p w14:paraId="174C91DD" w14:textId="77777777" w:rsidR="003A51F3" w:rsidRDefault="003A5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700855"/>
      <w:docPartObj>
        <w:docPartGallery w:val="Page Numbers (Bottom of Page)"/>
        <w:docPartUnique/>
      </w:docPartObj>
    </w:sdtPr>
    <w:sdtEndPr>
      <w:rPr>
        <w:noProof/>
      </w:rPr>
    </w:sdtEndPr>
    <w:sdtContent>
      <w:p w14:paraId="69F78988" w14:textId="511969D0" w:rsidR="003A51F3" w:rsidRDefault="003A51F3">
        <w:pPr>
          <w:pStyle w:val="Footer"/>
          <w:jc w:val="center"/>
        </w:pPr>
        <w:r>
          <w:fldChar w:fldCharType="begin"/>
        </w:r>
        <w:r>
          <w:instrText xml:space="preserve"> PAGE   \* MERGEFORMAT </w:instrText>
        </w:r>
        <w:r>
          <w:fldChar w:fldCharType="separate"/>
        </w:r>
        <w:r w:rsidR="005841E9">
          <w:rPr>
            <w:noProof/>
          </w:rPr>
          <w:t>60</w:t>
        </w:r>
        <w:r>
          <w:rPr>
            <w:noProof/>
          </w:rPr>
          <w:fldChar w:fldCharType="end"/>
        </w:r>
      </w:p>
    </w:sdtContent>
  </w:sdt>
  <w:p w14:paraId="4DA44C7B" w14:textId="77777777" w:rsidR="003A51F3" w:rsidRDefault="003A5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4618E" w14:textId="77777777" w:rsidR="00CF6775" w:rsidRDefault="00CF6775" w:rsidP="00FA6563">
      <w:pPr>
        <w:spacing w:after="0" w:line="240" w:lineRule="auto"/>
      </w:pPr>
      <w:r>
        <w:separator/>
      </w:r>
    </w:p>
  </w:footnote>
  <w:footnote w:type="continuationSeparator" w:id="0">
    <w:p w14:paraId="322EDC54" w14:textId="77777777" w:rsidR="00CF6775" w:rsidRDefault="00CF6775" w:rsidP="00FA6563">
      <w:pPr>
        <w:spacing w:after="0" w:line="240" w:lineRule="auto"/>
      </w:pPr>
      <w:r>
        <w:continuationSeparator/>
      </w:r>
    </w:p>
  </w:footnote>
  <w:footnote w:id="1">
    <w:p w14:paraId="48535457" w14:textId="16BAC793" w:rsidR="003A51F3" w:rsidRPr="00C7480C" w:rsidRDefault="003A51F3" w:rsidP="00F15FF6">
      <w:pPr>
        <w:pStyle w:val="FootnoteText"/>
        <w:jc w:val="both"/>
        <w:rPr>
          <w:rFonts w:ascii="Times New Roman" w:hAnsi="Times New Roman" w:cs="Times New Roman"/>
        </w:rPr>
      </w:pPr>
      <w:r>
        <w:rPr>
          <w:rStyle w:val="FootnoteReference"/>
        </w:rPr>
        <w:footnoteRef/>
      </w:r>
      <w:r>
        <w:t xml:space="preserve"> </w:t>
      </w:r>
      <w:r w:rsidRPr="00F15FF6">
        <w:rPr>
          <w:rFonts w:ascii="Times New Roman" w:hAnsi="Times New Roman" w:cs="Times New Roman"/>
        </w:rPr>
        <w:t xml:space="preserve">We thank the Editor, Dr. </w:t>
      </w:r>
      <w:proofErr w:type="spellStart"/>
      <w:r w:rsidRPr="00F15FF6">
        <w:rPr>
          <w:rFonts w:ascii="Times New Roman" w:hAnsi="Times New Roman" w:cs="Times New Roman"/>
        </w:rPr>
        <w:t>Tarun</w:t>
      </w:r>
      <w:proofErr w:type="spellEnd"/>
      <w:r w:rsidRPr="00F15FF6">
        <w:rPr>
          <w:rFonts w:ascii="Times New Roman" w:hAnsi="Times New Roman" w:cs="Times New Roman"/>
        </w:rPr>
        <w:t xml:space="preserve"> Mukherjee, and two anonymous reviewers for their reviews and constructive feedback and suggestions. All remaining errors are ours.</w:t>
      </w:r>
    </w:p>
  </w:footnote>
  <w:footnote w:id="2">
    <w:p w14:paraId="420B32CB" w14:textId="360A0716" w:rsidR="003A51F3" w:rsidRPr="005E3678" w:rsidRDefault="003A51F3" w:rsidP="00197B3E">
      <w:pPr>
        <w:pStyle w:val="FootnoteText"/>
        <w:jc w:val="both"/>
        <w:rPr>
          <w:rFonts w:ascii="Times New Roman" w:hAnsi="Times New Roman" w:cs="Times New Roman"/>
        </w:rPr>
      </w:pPr>
      <w:r>
        <w:rPr>
          <w:rStyle w:val="FootnoteReference"/>
        </w:rPr>
        <w:footnoteRef/>
      </w:r>
      <w:r>
        <w:t xml:space="preserve"> </w:t>
      </w:r>
      <w:r w:rsidRPr="005E3678">
        <w:rPr>
          <w:rFonts w:ascii="Times New Roman" w:hAnsi="Times New Roman" w:cs="Times New Roman"/>
        </w:rPr>
        <w:t xml:space="preserve">For </w:t>
      </w:r>
      <w:r>
        <w:rPr>
          <w:rFonts w:ascii="Times New Roman" w:hAnsi="Times New Roman" w:cs="Times New Roman"/>
        </w:rPr>
        <w:t xml:space="preserve">specific </w:t>
      </w:r>
      <w:r w:rsidRPr="005E3678">
        <w:rPr>
          <w:rFonts w:ascii="Times New Roman" w:hAnsi="Times New Roman" w:cs="Times New Roman"/>
        </w:rPr>
        <w:t>components of non-operating income and expenses, refer to the section of variable discussion</w:t>
      </w:r>
      <w:r>
        <w:rPr>
          <w:rFonts w:ascii="Times New Roman" w:hAnsi="Times New Roman" w:cs="Times New Roman"/>
        </w:rPr>
        <w:t>s</w:t>
      </w:r>
      <w:r w:rsidRPr="005E3678">
        <w:rPr>
          <w:rFonts w:ascii="Times New Roman" w:hAnsi="Times New Roman" w:cs="Times New Roman"/>
        </w:rPr>
        <w:t xml:space="preserve"> (Section 3.2</w:t>
      </w:r>
      <w:r>
        <w:rPr>
          <w:rFonts w:ascii="Times New Roman" w:hAnsi="Times New Roman" w:cs="Times New Roman"/>
        </w:rPr>
        <w:t>.</w:t>
      </w:r>
      <w:r w:rsidRPr="005E3678">
        <w:rPr>
          <w:rFonts w:ascii="Times New Roman" w:hAnsi="Times New Roman" w:cs="Times New Roman"/>
        </w:rPr>
        <w:t>1)</w:t>
      </w:r>
      <w:r>
        <w:rPr>
          <w:rFonts w:ascii="Times New Roman" w:hAnsi="Times New Roman" w:cs="Times New Roman"/>
        </w:rPr>
        <w:t>.</w:t>
      </w:r>
    </w:p>
  </w:footnote>
  <w:footnote w:id="3">
    <w:p w14:paraId="12DBB741" w14:textId="09EB2FED" w:rsidR="003A51F3" w:rsidRPr="006A07BC" w:rsidRDefault="003A51F3" w:rsidP="00EF24D6">
      <w:pPr>
        <w:pStyle w:val="FootnoteText"/>
        <w:jc w:val="both"/>
        <w:rPr>
          <w:rStyle w:val="Hyperlink"/>
        </w:rPr>
      </w:pPr>
      <w:r>
        <w:rPr>
          <w:rStyle w:val="FootnoteReference"/>
        </w:rPr>
        <w:footnoteRef/>
      </w:r>
      <w:r>
        <w:rPr>
          <w:rStyle w:val="Hyperlink"/>
          <w:rFonts w:ascii="Times New Roman" w:hAnsi="Times New Roman" w:cs="Times New Roman"/>
        </w:rPr>
        <w:t xml:space="preserve"> </w:t>
      </w:r>
      <w:r w:rsidRPr="00F15FF6">
        <w:rPr>
          <w:rStyle w:val="Hyperlink"/>
          <w:rFonts w:ascii="Times New Roman" w:hAnsi="Times New Roman" w:cs="Times New Roman"/>
        </w:rPr>
        <w:t>http://www.mckinsey.com/business-functions/strategy-and-corporate-finance/our-insights/growing-beyond-the-core-business</w:t>
      </w:r>
    </w:p>
    <w:p w14:paraId="08737095" w14:textId="1211EE6A" w:rsidR="003A51F3" w:rsidRPr="006A07BC" w:rsidRDefault="003A51F3">
      <w:pPr>
        <w:pStyle w:val="FootnoteText"/>
        <w:rPr>
          <w:rFonts w:ascii="Times New Roman" w:hAnsi="Times New Roman" w:cs="Times New Roman"/>
        </w:rPr>
      </w:pPr>
    </w:p>
  </w:footnote>
  <w:footnote w:id="4">
    <w:p w14:paraId="3DEEEE98" w14:textId="40AA02F9" w:rsidR="003A51F3" w:rsidRPr="00F15FF6" w:rsidRDefault="003A51F3" w:rsidP="00F15FF6">
      <w:pPr>
        <w:pStyle w:val="FootnoteText"/>
        <w:jc w:val="both"/>
        <w:rPr>
          <w:rFonts w:ascii="Times New Roman" w:hAnsi="Times New Roman" w:cs="Times New Roman"/>
        </w:rPr>
      </w:pPr>
      <w:r>
        <w:rPr>
          <w:rStyle w:val="FootnoteReference"/>
        </w:rPr>
        <w:footnoteRef/>
      </w:r>
      <w:r>
        <w:t xml:space="preserve"> </w:t>
      </w:r>
      <w:r w:rsidR="00B803F1">
        <w:rPr>
          <w:rFonts w:ascii="Times New Roman" w:hAnsi="Times New Roman" w:cs="Times New Roman"/>
        </w:rPr>
        <w:t>For example, c</w:t>
      </w:r>
      <w:r w:rsidRPr="00F15FF6">
        <w:rPr>
          <w:rFonts w:ascii="Times New Roman" w:hAnsi="Times New Roman" w:cs="Times New Roman"/>
        </w:rPr>
        <w:t>ommitment in learning new skills in non-core business may jeopardize the firm’s core business</w:t>
      </w:r>
      <w:r>
        <w:rPr>
          <w:rFonts w:ascii="Times New Roman" w:hAnsi="Times New Roman" w:cs="Times New Roman"/>
        </w:rPr>
        <w:t>,</w:t>
      </w:r>
      <w:r w:rsidRPr="00F15FF6">
        <w:rPr>
          <w:rFonts w:ascii="Times New Roman" w:hAnsi="Times New Roman" w:cs="Times New Roman"/>
        </w:rPr>
        <w:t xml:space="preserve"> such as developing new products</w:t>
      </w:r>
      <w:r w:rsidR="004C1989">
        <w:rPr>
          <w:rFonts w:ascii="Times New Roman" w:hAnsi="Times New Roman" w:cs="Times New Roman"/>
        </w:rPr>
        <w:t xml:space="preserve"> and</w:t>
      </w:r>
      <w:r w:rsidR="004C1989" w:rsidRPr="00F15FF6">
        <w:rPr>
          <w:rFonts w:ascii="Times New Roman" w:hAnsi="Times New Roman" w:cs="Times New Roman"/>
        </w:rPr>
        <w:t xml:space="preserve"> </w:t>
      </w:r>
      <w:r w:rsidRPr="00F15FF6">
        <w:rPr>
          <w:rFonts w:ascii="Times New Roman" w:hAnsi="Times New Roman" w:cs="Times New Roman"/>
        </w:rPr>
        <w:t>maintaining good relationships with their customers</w:t>
      </w:r>
      <w:r>
        <w:rPr>
          <w:rFonts w:ascii="Times New Roman" w:hAnsi="Times New Roman" w:cs="Times New Roman"/>
        </w:rPr>
        <w:t>.</w:t>
      </w:r>
    </w:p>
  </w:footnote>
  <w:footnote w:id="5">
    <w:p w14:paraId="0FB28154" w14:textId="36D528F3" w:rsidR="003A51F3" w:rsidRPr="004E7553" w:rsidRDefault="003A51F3">
      <w:pPr>
        <w:pStyle w:val="FootnoteText"/>
        <w:rPr>
          <w:lang w:val="fr-FR"/>
        </w:rPr>
      </w:pPr>
      <w:r>
        <w:rPr>
          <w:rStyle w:val="FootnoteReference"/>
        </w:rPr>
        <w:footnoteRef/>
      </w:r>
      <w:r w:rsidRPr="004E7553">
        <w:rPr>
          <w:lang w:val="fr-FR"/>
        </w:rPr>
        <w:t xml:space="preserve"> </w:t>
      </w:r>
      <w:hyperlink r:id="rId1" w:history="1">
        <w:r w:rsidRPr="004E7553">
          <w:rPr>
            <w:rStyle w:val="Hyperlink"/>
            <w:rFonts w:ascii="Times New Roman" w:hAnsi="Times New Roman" w:cs="Times New Roman"/>
            <w:lang w:val="fr-FR"/>
          </w:rPr>
          <w:t>http://mba.tuck.dartmouth.edu/pages/faculty/ken.french/data_library.html</w:t>
        </w:r>
      </w:hyperlink>
      <w:r w:rsidRPr="004E7553">
        <w:rPr>
          <w:lang w:val="fr-FR"/>
        </w:rPr>
        <w:t xml:space="preserve"> </w:t>
      </w:r>
    </w:p>
  </w:footnote>
  <w:footnote w:id="6">
    <w:p w14:paraId="6EF50FB8" w14:textId="62BC2A19" w:rsidR="003A51F3" w:rsidRPr="005E3678" w:rsidRDefault="003A51F3" w:rsidP="00197B3E">
      <w:pPr>
        <w:pStyle w:val="FootnoteText"/>
        <w:jc w:val="both"/>
        <w:rPr>
          <w:rFonts w:ascii="Times New Roman" w:hAnsi="Times New Roman" w:cs="Times New Roman"/>
        </w:rPr>
      </w:pPr>
      <w:r>
        <w:rPr>
          <w:rStyle w:val="FootnoteReference"/>
        </w:rPr>
        <w:footnoteRef/>
      </w:r>
      <w:r>
        <w:t xml:space="preserve"> </w:t>
      </w:r>
      <w:r w:rsidRPr="005E3678">
        <w:rPr>
          <w:rFonts w:ascii="Times New Roman" w:hAnsi="Times New Roman" w:cs="Times New Roman"/>
        </w:rPr>
        <w:t xml:space="preserve">Hamada (1972) documents a positive relation between a firm’s financial leverage and its stock price risk. Mandelker and Rhee (1984) show that </w:t>
      </w:r>
      <w:r>
        <w:rPr>
          <w:rFonts w:ascii="Times New Roman" w:hAnsi="Times New Roman" w:cs="Times New Roman"/>
        </w:rPr>
        <w:t xml:space="preserve">both </w:t>
      </w:r>
      <w:r w:rsidRPr="005E3678">
        <w:rPr>
          <w:rFonts w:ascii="Times New Roman" w:hAnsi="Times New Roman" w:cs="Times New Roman"/>
        </w:rPr>
        <w:t>financial leverage and operating leverage contribute to firm risk.</w:t>
      </w:r>
    </w:p>
  </w:footnote>
  <w:footnote w:id="7">
    <w:p w14:paraId="51D0E93B" w14:textId="4DF70ED3" w:rsidR="003A51F3" w:rsidRPr="00AE75D7" w:rsidRDefault="003A51F3">
      <w:pPr>
        <w:pStyle w:val="FootnoteText"/>
        <w:rPr>
          <w:rFonts w:ascii="Times New Roman" w:hAnsi="Times New Roman" w:cs="Times New Roman"/>
          <w:lang w:val="en-GB"/>
        </w:rPr>
      </w:pPr>
      <w:r w:rsidRPr="00AE75D7">
        <w:rPr>
          <w:rStyle w:val="FootnoteReference"/>
          <w:rFonts w:ascii="Times New Roman" w:hAnsi="Times New Roman" w:cs="Times New Roman"/>
        </w:rPr>
        <w:footnoteRef/>
      </w:r>
      <w:r w:rsidRPr="00AE75D7">
        <w:rPr>
          <w:rFonts w:ascii="Times New Roman" w:hAnsi="Times New Roman" w:cs="Times New Roman"/>
        </w:rPr>
        <w:t xml:space="preserve"> </w:t>
      </w:r>
      <w:r w:rsidRPr="009D4B75">
        <w:rPr>
          <w:rFonts w:ascii="Times New Roman" w:hAnsi="Times New Roman" w:cs="Times New Roman"/>
          <w:lang w:val="en-GB"/>
        </w:rPr>
        <w:t>This was kindly pointed to us by an anonymous reviewer.</w:t>
      </w:r>
    </w:p>
  </w:footnote>
  <w:footnote w:id="8">
    <w:p w14:paraId="792C656A" w14:textId="47C52FE0" w:rsidR="003A51F3" w:rsidRPr="004158F8" w:rsidRDefault="003A51F3" w:rsidP="006A07BC">
      <w:pPr>
        <w:pStyle w:val="FootnoteText"/>
        <w:jc w:val="both"/>
        <w:rPr>
          <w:rFonts w:ascii="Times New Roman" w:hAnsi="Times New Roman" w:cs="Times New Roman"/>
        </w:rPr>
      </w:pPr>
      <w:r w:rsidRPr="004158F8">
        <w:rPr>
          <w:rStyle w:val="FootnoteReference"/>
          <w:rFonts w:ascii="Times New Roman" w:hAnsi="Times New Roman" w:cs="Times New Roman"/>
        </w:rPr>
        <w:footnoteRef/>
      </w:r>
      <w:r w:rsidRPr="004158F8">
        <w:rPr>
          <w:rFonts w:ascii="Times New Roman" w:hAnsi="Times New Roman" w:cs="Times New Roman"/>
        </w:rPr>
        <w:t xml:space="preserve"> One standard deviation increase in </w:t>
      </w:r>
      <w:r w:rsidRPr="00B25554">
        <w:rPr>
          <w:rFonts w:ascii="Times New Roman" w:hAnsi="Times New Roman" w:cs="Times New Roman"/>
          <w:i/>
        </w:rPr>
        <w:t xml:space="preserve">NONOPERINC </w:t>
      </w:r>
      <w:r w:rsidRPr="004158F8">
        <w:rPr>
          <w:rFonts w:ascii="Times New Roman" w:hAnsi="Times New Roman" w:cs="Times New Roman"/>
        </w:rPr>
        <w:t>is associated with 0.017 × standard deviation</w:t>
      </w:r>
      <w:r>
        <w:rPr>
          <w:rFonts w:ascii="Times New Roman" w:hAnsi="Times New Roman" w:cs="Times New Roman"/>
        </w:rPr>
        <w:t>-</w:t>
      </w:r>
      <w:r w:rsidRPr="004158F8">
        <w:rPr>
          <w:rFonts w:ascii="Times New Roman" w:hAnsi="Times New Roman" w:cs="Times New Roman"/>
        </w:rPr>
        <w:t xml:space="preserve">decrease in </w:t>
      </w:r>
      <w:r w:rsidRPr="00B25554">
        <w:rPr>
          <w:rFonts w:ascii="Times New Roman" w:hAnsi="Times New Roman" w:cs="Times New Roman"/>
          <w:i/>
        </w:rPr>
        <w:t>ROAVOL</w:t>
      </w:r>
      <w:r w:rsidRPr="004158F8">
        <w:rPr>
          <w:rFonts w:ascii="Times New Roman" w:hAnsi="Times New Roman" w:cs="Times New Roman"/>
        </w:rPr>
        <w:t xml:space="preserve"> (Panel A of Table </w:t>
      </w:r>
      <w:r>
        <w:rPr>
          <w:rFonts w:ascii="Times New Roman" w:hAnsi="Times New Roman" w:cs="Times New Roman"/>
        </w:rPr>
        <w:t>3</w:t>
      </w:r>
      <w:r w:rsidRPr="004158F8">
        <w:rPr>
          <w:rFonts w:ascii="Times New Roman" w:hAnsi="Times New Roman" w:cs="Times New Roman"/>
        </w:rPr>
        <w:t xml:space="preserve">). Specifically, 1.7% increase in in </w:t>
      </w:r>
      <w:r w:rsidRPr="00B25554">
        <w:rPr>
          <w:rFonts w:ascii="Times New Roman" w:hAnsi="Times New Roman" w:cs="Times New Roman"/>
          <w:i/>
        </w:rPr>
        <w:t>NONOPERINC</w:t>
      </w:r>
      <w:r w:rsidRPr="004158F8">
        <w:rPr>
          <w:rFonts w:ascii="Times New Roman" w:hAnsi="Times New Roman" w:cs="Times New Roman"/>
        </w:rPr>
        <w:t xml:space="preserve"> is associated with 0.214% (0.017 × 0.126) decrease in </w:t>
      </w:r>
      <w:r w:rsidRPr="00B25554">
        <w:rPr>
          <w:rFonts w:ascii="Times New Roman" w:hAnsi="Times New Roman" w:cs="Times New Roman"/>
          <w:i/>
        </w:rPr>
        <w:t>ROAVOL</w:t>
      </w:r>
      <w:r w:rsidRPr="004158F8">
        <w:rPr>
          <w:rFonts w:ascii="Times New Roman" w:hAnsi="Times New Roman" w:cs="Times New Roman"/>
        </w:rPr>
        <w:t xml:space="preserve">. The impact ratio is equal to 0.214% divided by 1.7% or 0.126. </w:t>
      </w:r>
    </w:p>
  </w:footnote>
  <w:footnote w:id="9">
    <w:p w14:paraId="5D335DF5" w14:textId="72CA8E65" w:rsidR="003A51F3" w:rsidRDefault="003A51F3" w:rsidP="00197B3E">
      <w:pPr>
        <w:pStyle w:val="FootnoteText"/>
        <w:jc w:val="both"/>
      </w:pPr>
      <w:r>
        <w:rPr>
          <w:rStyle w:val="FootnoteReference"/>
        </w:rPr>
        <w:footnoteRef/>
      </w:r>
      <w:r>
        <w:t xml:space="preserve"> </w:t>
      </w:r>
      <w:r w:rsidRPr="004158F8">
        <w:rPr>
          <w:rFonts w:ascii="Times New Roman" w:hAnsi="Times New Roman" w:cs="Times New Roman"/>
        </w:rPr>
        <w:t xml:space="preserve">One standard deviation increase in </w:t>
      </w:r>
      <w:r w:rsidRPr="00B25554">
        <w:rPr>
          <w:rFonts w:ascii="Times New Roman" w:hAnsi="Times New Roman" w:cs="Times New Roman"/>
          <w:i/>
        </w:rPr>
        <w:t>NONOPERINC</w:t>
      </w:r>
      <w:r w:rsidRPr="004158F8">
        <w:rPr>
          <w:rFonts w:ascii="Times New Roman" w:hAnsi="Times New Roman" w:cs="Times New Roman"/>
        </w:rPr>
        <w:t xml:space="preserve"> is associated with 0.01</w:t>
      </w:r>
      <w:r>
        <w:rPr>
          <w:rFonts w:ascii="Times New Roman" w:hAnsi="Times New Roman" w:cs="Times New Roman"/>
        </w:rPr>
        <w:t>0</w:t>
      </w:r>
      <w:r w:rsidRPr="004158F8">
        <w:rPr>
          <w:rFonts w:ascii="Times New Roman" w:hAnsi="Times New Roman" w:cs="Times New Roman"/>
        </w:rPr>
        <w:t xml:space="preserve"> × standard deviation</w:t>
      </w:r>
      <w:r>
        <w:rPr>
          <w:rFonts w:ascii="Times New Roman" w:hAnsi="Times New Roman" w:cs="Times New Roman"/>
        </w:rPr>
        <w:t>-</w:t>
      </w:r>
      <w:r w:rsidRPr="004158F8">
        <w:rPr>
          <w:rFonts w:ascii="Times New Roman" w:hAnsi="Times New Roman" w:cs="Times New Roman"/>
        </w:rPr>
        <w:t xml:space="preserve">decrease in </w:t>
      </w:r>
      <w:r w:rsidRPr="00B25554">
        <w:rPr>
          <w:rFonts w:ascii="Times New Roman" w:hAnsi="Times New Roman" w:cs="Times New Roman"/>
          <w:i/>
        </w:rPr>
        <w:t>ROAVOL</w:t>
      </w:r>
      <w:r w:rsidRPr="004158F8">
        <w:rPr>
          <w:rFonts w:ascii="Times New Roman" w:hAnsi="Times New Roman" w:cs="Times New Roman"/>
        </w:rPr>
        <w:t xml:space="preserve"> (Panel </w:t>
      </w:r>
      <w:r>
        <w:rPr>
          <w:rFonts w:ascii="Times New Roman" w:hAnsi="Times New Roman" w:cs="Times New Roman"/>
        </w:rPr>
        <w:t>B</w:t>
      </w:r>
      <w:r w:rsidRPr="004158F8">
        <w:rPr>
          <w:rFonts w:ascii="Times New Roman" w:hAnsi="Times New Roman" w:cs="Times New Roman"/>
        </w:rPr>
        <w:t xml:space="preserve"> of Table </w:t>
      </w:r>
      <w:r>
        <w:rPr>
          <w:rFonts w:ascii="Times New Roman" w:hAnsi="Times New Roman" w:cs="Times New Roman"/>
        </w:rPr>
        <w:t>3</w:t>
      </w:r>
      <w:r w:rsidRPr="004158F8">
        <w:rPr>
          <w:rFonts w:ascii="Times New Roman" w:hAnsi="Times New Roman" w:cs="Times New Roman"/>
        </w:rPr>
        <w:t xml:space="preserve">). Specifically, 1.7% increase in in </w:t>
      </w:r>
      <w:r w:rsidRPr="00B25554">
        <w:rPr>
          <w:rFonts w:ascii="Times New Roman" w:hAnsi="Times New Roman" w:cs="Times New Roman"/>
          <w:i/>
        </w:rPr>
        <w:t>NONOPERINC</w:t>
      </w:r>
      <w:r w:rsidRPr="004158F8">
        <w:rPr>
          <w:rFonts w:ascii="Times New Roman" w:hAnsi="Times New Roman" w:cs="Times New Roman"/>
        </w:rPr>
        <w:t xml:space="preserve"> is associated with 0.1</w:t>
      </w:r>
      <w:r>
        <w:rPr>
          <w:rFonts w:ascii="Times New Roman" w:hAnsi="Times New Roman" w:cs="Times New Roman"/>
        </w:rPr>
        <w:t>26</w:t>
      </w:r>
      <w:r w:rsidRPr="004158F8">
        <w:rPr>
          <w:rFonts w:ascii="Times New Roman" w:hAnsi="Times New Roman" w:cs="Times New Roman"/>
        </w:rPr>
        <w:t>% (0.01</w:t>
      </w:r>
      <w:r>
        <w:rPr>
          <w:rFonts w:ascii="Times New Roman" w:hAnsi="Times New Roman" w:cs="Times New Roman"/>
        </w:rPr>
        <w:t>0</w:t>
      </w:r>
      <w:r w:rsidRPr="004158F8">
        <w:rPr>
          <w:rFonts w:ascii="Times New Roman" w:hAnsi="Times New Roman" w:cs="Times New Roman"/>
        </w:rPr>
        <w:t xml:space="preserve"> × 0.126) decrease in </w:t>
      </w:r>
      <w:r w:rsidRPr="00B25554">
        <w:rPr>
          <w:rFonts w:ascii="Times New Roman" w:hAnsi="Times New Roman" w:cs="Times New Roman"/>
          <w:i/>
        </w:rPr>
        <w:t>ROAVOL</w:t>
      </w:r>
      <w:r w:rsidRPr="004158F8">
        <w:rPr>
          <w:rFonts w:ascii="Times New Roman" w:hAnsi="Times New Roman" w:cs="Times New Roman"/>
        </w:rPr>
        <w:t>. The impact ratio is equal to 0.</w:t>
      </w:r>
      <w:r>
        <w:rPr>
          <w:rFonts w:ascii="Times New Roman" w:hAnsi="Times New Roman" w:cs="Times New Roman"/>
        </w:rPr>
        <w:t>1</w:t>
      </w:r>
      <w:r w:rsidRPr="004158F8">
        <w:rPr>
          <w:rFonts w:ascii="Times New Roman" w:hAnsi="Times New Roman" w:cs="Times New Roman"/>
        </w:rPr>
        <w:t>2</w:t>
      </w:r>
      <w:r>
        <w:rPr>
          <w:rFonts w:ascii="Times New Roman" w:hAnsi="Times New Roman" w:cs="Times New Roman"/>
        </w:rPr>
        <w:t>6</w:t>
      </w:r>
      <w:r w:rsidRPr="004158F8">
        <w:rPr>
          <w:rFonts w:ascii="Times New Roman" w:hAnsi="Times New Roman" w:cs="Times New Roman"/>
        </w:rPr>
        <w:t>% divided by 1.7% or 0.</w:t>
      </w:r>
      <w:r>
        <w:rPr>
          <w:rFonts w:ascii="Times New Roman" w:hAnsi="Times New Roman" w:cs="Times New Roman"/>
        </w:rPr>
        <w:t>074</w:t>
      </w:r>
      <w:r w:rsidRPr="004158F8">
        <w:rPr>
          <w:rFonts w:ascii="Times New Roman" w:hAnsi="Times New Roman" w:cs="Times New Roman"/>
        </w:rPr>
        <w:t>.</w:t>
      </w:r>
    </w:p>
  </w:footnote>
  <w:footnote w:id="10">
    <w:p w14:paraId="75DD2A23" w14:textId="5FC5B9B7" w:rsidR="003A51F3" w:rsidRDefault="003A51F3" w:rsidP="00197B3E">
      <w:pPr>
        <w:pStyle w:val="FootnoteText"/>
        <w:jc w:val="both"/>
      </w:pPr>
      <w:r>
        <w:rPr>
          <w:rStyle w:val="FootnoteReference"/>
        </w:rPr>
        <w:footnoteRef/>
      </w:r>
      <w:r>
        <w:t xml:space="preserve"> </w:t>
      </w:r>
      <w:r w:rsidRPr="004158F8">
        <w:rPr>
          <w:rFonts w:ascii="Times New Roman" w:hAnsi="Times New Roman" w:cs="Times New Roman"/>
        </w:rPr>
        <w:t xml:space="preserve">One standard deviation increase in </w:t>
      </w:r>
      <w:r w:rsidRPr="00B25554">
        <w:rPr>
          <w:rFonts w:ascii="Times New Roman" w:hAnsi="Times New Roman" w:cs="Times New Roman"/>
          <w:i/>
        </w:rPr>
        <w:t>OPERINC</w:t>
      </w:r>
      <w:r w:rsidRPr="004158F8">
        <w:rPr>
          <w:rFonts w:ascii="Times New Roman" w:hAnsi="Times New Roman" w:cs="Times New Roman"/>
        </w:rPr>
        <w:t xml:space="preserve"> is associated with</w:t>
      </w:r>
      <w:r>
        <w:rPr>
          <w:rFonts w:ascii="Times New Roman" w:hAnsi="Times New Roman" w:cs="Times New Roman"/>
        </w:rPr>
        <w:t xml:space="preserve"> </w:t>
      </w:r>
      <w:r w:rsidRPr="004158F8">
        <w:rPr>
          <w:rFonts w:ascii="Times New Roman" w:hAnsi="Times New Roman" w:cs="Times New Roman"/>
        </w:rPr>
        <w:t>0.</w:t>
      </w:r>
      <w:r>
        <w:rPr>
          <w:rFonts w:ascii="Times New Roman" w:hAnsi="Times New Roman" w:cs="Times New Roman"/>
        </w:rPr>
        <w:t>360</w:t>
      </w:r>
      <w:r w:rsidRPr="004158F8">
        <w:rPr>
          <w:rFonts w:ascii="Times New Roman" w:hAnsi="Times New Roman" w:cs="Times New Roman"/>
        </w:rPr>
        <w:t xml:space="preserve"> × standard deviation</w:t>
      </w:r>
      <w:r>
        <w:rPr>
          <w:rFonts w:ascii="Times New Roman" w:hAnsi="Times New Roman" w:cs="Times New Roman"/>
        </w:rPr>
        <w:t>-</w:t>
      </w:r>
      <w:r w:rsidRPr="004158F8">
        <w:rPr>
          <w:rFonts w:ascii="Times New Roman" w:hAnsi="Times New Roman" w:cs="Times New Roman"/>
        </w:rPr>
        <w:t xml:space="preserve">decrease in </w:t>
      </w:r>
      <w:r w:rsidRPr="00B25554">
        <w:rPr>
          <w:rFonts w:ascii="Times New Roman" w:hAnsi="Times New Roman" w:cs="Times New Roman"/>
          <w:i/>
        </w:rPr>
        <w:t>ROAVOL</w:t>
      </w:r>
      <w:r w:rsidRPr="004158F8">
        <w:rPr>
          <w:rFonts w:ascii="Times New Roman" w:hAnsi="Times New Roman" w:cs="Times New Roman"/>
        </w:rPr>
        <w:t xml:space="preserve"> (Panel A of Table </w:t>
      </w:r>
      <w:r>
        <w:rPr>
          <w:rFonts w:ascii="Times New Roman" w:hAnsi="Times New Roman" w:cs="Times New Roman"/>
        </w:rPr>
        <w:t>3</w:t>
      </w:r>
      <w:r w:rsidRPr="004158F8">
        <w:rPr>
          <w:rFonts w:ascii="Times New Roman" w:hAnsi="Times New Roman" w:cs="Times New Roman"/>
        </w:rPr>
        <w:t>). Specifically, 17</w:t>
      </w:r>
      <w:r>
        <w:rPr>
          <w:rFonts w:ascii="Times New Roman" w:hAnsi="Times New Roman" w:cs="Times New Roman"/>
        </w:rPr>
        <w:t>.6</w:t>
      </w:r>
      <w:r w:rsidRPr="004158F8">
        <w:rPr>
          <w:rFonts w:ascii="Times New Roman" w:hAnsi="Times New Roman" w:cs="Times New Roman"/>
        </w:rPr>
        <w:t xml:space="preserve">% increase in in </w:t>
      </w:r>
      <w:r w:rsidRPr="00B25554">
        <w:rPr>
          <w:rFonts w:ascii="Times New Roman" w:hAnsi="Times New Roman" w:cs="Times New Roman"/>
          <w:i/>
        </w:rPr>
        <w:t>OPERINC</w:t>
      </w:r>
      <w:r w:rsidRPr="004158F8">
        <w:rPr>
          <w:rFonts w:ascii="Times New Roman" w:hAnsi="Times New Roman" w:cs="Times New Roman"/>
        </w:rPr>
        <w:t xml:space="preserve"> is associated with </w:t>
      </w:r>
      <w:r>
        <w:rPr>
          <w:rFonts w:ascii="Times New Roman" w:hAnsi="Times New Roman" w:cs="Times New Roman"/>
        </w:rPr>
        <w:t>4.536</w:t>
      </w:r>
      <w:r w:rsidRPr="004158F8">
        <w:rPr>
          <w:rFonts w:ascii="Times New Roman" w:hAnsi="Times New Roman" w:cs="Times New Roman"/>
        </w:rPr>
        <w:t>% (0.</w:t>
      </w:r>
      <w:r>
        <w:rPr>
          <w:rFonts w:ascii="Times New Roman" w:hAnsi="Times New Roman" w:cs="Times New Roman"/>
        </w:rPr>
        <w:t>360</w:t>
      </w:r>
      <w:r w:rsidRPr="004158F8">
        <w:rPr>
          <w:rFonts w:ascii="Times New Roman" w:hAnsi="Times New Roman" w:cs="Times New Roman"/>
        </w:rPr>
        <w:t xml:space="preserve"> × 0.126) decrease in </w:t>
      </w:r>
      <w:r w:rsidRPr="00B25554">
        <w:rPr>
          <w:rFonts w:ascii="Times New Roman" w:hAnsi="Times New Roman" w:cs="Times New Roman"/>
          <w:i/>
        </w:rPr>
        <w:t>ROAVOL</w:t>
      </w:r>
      <w:r w:rsidRPr="004158F8">
        <w:rPr>
          <w:rFonts w:ascii="Times New Roman" w:hAnsi="Times New Roman" w:cs="Times New Roman"/>
        </w:rPr>
        <w:t xml:space="preserve">. The impact ratio is equal to </w:t>
      </w:r>
      <w:r>
        <w:rPr>
          <w:rFonts w:ascii="Times New Roman" w:hAnsi="Times New Roman" w:cs="Times New Roman"/>
        </w:rPr>
        <w:t>4.536</w:t>
      </w:r>
      <w:r w:rsidRPr="004158F8">
        <w:rPr>
          <w:rFonts w:ascii="Times New Roman" w:hAnsi="Times New Roman" w:cs="Times New Roman"/>
        </w:rPr>
        <w:t>% divided by 17</w:t>
      </w:r>
      <w:r>
        <w:rPr>
          <w:rFonts w:ascii="Times New Roman" w:hAnsi="Times New Roman" w:cs="Times New Roman"/>
        </w:rPr>
        <w:t>.6</w:t>
      </w:r>
      <w:r w:rsidRPr="004158F8">
        <w:rPr>
          <w:rFonts w:ascii="Times New Roman" w:hAnsi="Times New Roman" w:cs="Times New Roman"/>
        </w:rPr>
        <w:t>% or 0.</w:t>
      </w:r>
      <w:r>
        <w:rPr>
          <w:rFonts w:ascii="Times New Roman" w:hAnsi="Times New Roman" w:cs="Times New Roman"/>
        </w:rPr>
        <w:t>258</w:t>
      </w:r>
      <w:r w:rsidRPr="004158F8">
        <w:rPr>
          <w:rFonts w:ascii="Times New Roman" w:hAnsi="Times New Roman" w:cs="Times New Roman"/>
        </w:rPr>
        <w:t>.</w:t>
      </w:r>
    </w:p>
  </w:footnote>
  <w:footnote w:id="11">
    <w:p w14:paraId="48B86286" w14:textId="3F729997" w:rsidR="003A51F3" w:rsidRDefault="003A51F3" w:rsidP="00197B3E">
      <w:pPr>
        <w:pStyle w:val="FootnoteText"/>
        <w:jc w:val="both"/>
      </w:pPr>
      <w:r>
        <w:rPr>
          <w:rStyle w:val="FootnoteReference"/>
        </w:rPr>
        <w:footnoteRef/>
      </w:r>
      <w:r>
        <w:t xml:space="preserve"> </w:t>
      </w:r>
      <w:r w:rsidRPr="004158F8">
        <w:rPr>
          <w:rFonts w:ascii="Times New Roman" w:hAnsi="Times New Roman" w:cs="Times New Roman"/>
        </w:rPr>
        <w:t xml:space="preserve">One standard deviation increase in </w:t>
      </w:r>
      <w:r w:rsidRPr="00B25554">
        <w:rPr>
          <w:rFonts w:ascii="Times New Roman" w:hAnsi="Times New Roman" w:cs="Times New Roman"/>
          <w:i/>
        </w:rPr>
        <w:t>OPERINC</w:t>
      </w:r>
      <w:r w:rsidRPr="004158F8">
        <w:rPr>
          <w:rFonts w:ascii="Times New Roman" w:hAnsi="Times New Roman" w:cs="Times New Roman"/>
        </w:rPr>
        <w:t xml:space="preserve"> is associated with</w:t>
      </w:r>
      <w:r>
        <w:rPr>
          <w:rFonts w:ascii="Times New Roman" w:hAnsi="Times New Roman" w:cs="Times New Roman"/>
        </w:rPr>
        <w:t xml:space="preserve"> </w:t>
      </w:r>
      <w:r w:rsidRPr="004158F8">
        <w:rPr>
          <w:rFonts w:ascii="Times New Roman" w:hAnsi="Times New Roman" w:cs="Times New Roman"/>
        </w:rPr>
        <w:t>0.</w:t>
      </w:r>
      <w:r>
        <w:rPr>
          <w:rFonts w:ascii="Times New Roman" w:hAnsi="Times New Roman" w:cs="Times New Roman"/>
        </w:rPr>
        <w:t>167</w:t>
      </w:r>
      <w:r w:rsidRPr="004158F8">
        <w:rPr>
          <w:rFonts w:ascii="Times New Roman" w:hAnsi="Times New Roman" w:cs="Times New Roman"/>
        </w:rPr>
        <w:t xml:space="preserve"> × standard deviation</w:t>
      </w:r>
      <w:r>
        <w:rPr>
          <w:rFonts w:ascii="Times New Roman" w:hAnsi="Times New Roman" w:cs="Times New Roman"/>
        </w:rPr>
        <w:t>-</w:t>
      </w:r>
      <w:r w:rsidRPr="004158F8">
        <w:rPr>
          <w:rFonts w:ascii="Times New Roman" w:hAnsi="Times New Roman" w:cs="Times New Roman"/>
        </w:rPr>
        <w:t xml:space="preserve">decrease in </w:t>
      </w:r>
      <w:r w:rsidRPr="00B25554">
        <w:rPr>
          <w:rFonts w:ascii="Times New Roman" w:hAnsi="Times New Roman" w:cs="Times New Roman"/>
          <w:i/>
        </w:rPr>
        <w:t>ROAVOL</w:t>
      </w:r>
      <w:r w:rsidRPr="004158F8">
        <w:rPr>
          <w:rFonts w:ascii="Times New Roman" w:hAnsi="Times New Roman" w:cs="Times New Roman"/>
        </w:rPr>
        <w:t xml:space="preserve"> (Panel </w:t>
      </w:r>
      <w:r>
        <w:rPr>
          <w:rFonts w:ascii="Times New Roman" w:hAnsi="Times New Roman" w:cs="Times New Roman"/>
        </w:rPr>
        <w:t>B</w:t>
      </w:r>
      <w:r w:rsidRPr="004158F8">
        <w:rPr>
          <w:rFonts w:ascii="Times New Roman" w:hAnsi="Times New Roman" w:cs="Times New Roman"/>
        </w:rPr>
        <w:t xml:space="preserve"> of Table </w:t>
      </w:r>
      <w:r>
        <w:rPr>
          <w:rFonts w:ascii="Times New Roman" w:hAnsi="Times New Roman" w:cs="Times New Roman"/>
        </w:rPr>
        <w:t>3</w:t>
      </w:r>
      <w:r w:rsidRPr="004158F8">
        <w:rPr>
          <w:rFonts w:ascii="Times New Roman" w:hAnsi="Times New Roman" w:cs="Times New Roman"/>
        </w:rPr>
        <w:t>). Specifically, 17</w:t>
      </w:r>
      <w:r>
        <w:rPr>
          <w:rFonts w:ascii="Times New Roman" w:hAnsi="Times New Roman" w:cs="Times New Roman"/>
        </w:rPr>
        <w:t>.6</w:t>
      </w:r>
      <w:r w:rsidRPr="004158F8">
        <w:rPr>
          <w:rFonts w:ascii="Times New Roman" w:hAnsi="Times New Roman" w:cs="Times New Roman"/>
        </w:rPr>
        <w:t xml:space="preserve">% increase in in </w:t>
      </w:r>
      <w:r w:rsidRPr="00B25554">
        <w:rPr>
          <w:rFonts w:ascii="Times New Roman" w:hAnsi="Times New Roman" w:cs="Times New Roman"/>
          <w:i/>
        </w:rPr>
        <w:t>OPERINC</w:t>
      </w:r>
      <w:r w:rsidRPr="004158F8">
        <w:rPr>
          <w:rFonts w:ascii="Times New Roman" w:hAnsi="Times New Roman" w:cs="Times New Roman"/>
        </w:rPr>
        <w:t xml:space="preserve"> is associated with </w:t>
      </w:r>
      <w:r>
        <w:rPr>
          <w:rFonts w:ascii="Times New Roman" w:hAnsi="Times New Roman" w:cs="Times New Roman"/>
        </w:rPr>
        <w:t>2.104</w:t>
      </w:r>
      <w:r w:rsidRPr="004158F8">
        <w:rPr>
          <w:rFonts w:ascii="Times New Roman" w:hAnsi="Times New Roman" w:cs="Times New Roman"/>
        </w:rPr>
        <w:t>% (0.</w:t>
      </w:r>
      <w:r>
        <w:rPr>
          <w:rFonts w:ascii="Times New Roman" w:hAnsi="Times New Roman" w:cs="Times New Roman"/>
        </w:rPr>
        <w:t>167</w:t>
      </w:r>
      <w:r w:rsidRPr="004158F8">
        <w:rPr>
          <w:rFonts w:ascii="Times New Roman" w:hAnsi="Times New Roman" w:cs="Times New Roman"/>
        </w:rPr>
        <w:t xml:space="preserve"> × 0.126) decrease in </w:t>
      </w:r>
      <w:r w:rsidRPr="00B25554">
        <w:rPr>
          <w:rFonts w:ascii="Times New Roman" w:hAnsi="Times New Roman" w:cs="Times New Roman"/>
          <w:i/>
        </w:rPr>
        <w:t>ROAVOL</w:t>
      </w:r>
      <w:r w:rsidRPr="004158F8">
        <w:rPr>
          <w:rFonts w:ascii="Times New Roman" w:hAnsi="Times New Roman" w:cs="Times New Roman"/>
        </w:rPr>
        <w:t xml:space="preserve">. The impact ratio is equal to </w:t>
      </w:r>
      <w:r>
        <w:rPr>
          <w:rFonts w:ascii="Times New Roman" w:hAnsi="Times New Roman" w:cs="Times New Roman"/>
        </w:rPr>
        <w:t>2.104</w:t>
      </w:r>
      <w:r w:rsidRPr="004158F8">
        <w:rPr>
          <w:rFonts w:ascii="Times New Roman" w:hAnsi="Times New Roman" w:cs="Times New Roman"/>
        </w:rPr>
        <w:t>% divided by 17</w:t>
      </w:r>
      <w:r>
        <w:rPr>
          <w:rFonts w:ascii="Times New Roman" w:hAnsi="Times New Roman" w:cs="Times New Roman"/>
        </w:rPr>
        <w:t>.6</w:t>
      </w:r>
      <w:r w:rsidRPr="004158F8">
        <w:rPr>
          <w:rFonts w:ascii="Times New Roman" w:hAnsi="Times New Roman" w:cs="Times New Roman"/>
        </w:rPr>
        <w:t>% or 0.</w:t>
      </w:r>
      <w:r>
        <w:rPr>
          <w:rFonts w:ascii="Times New Roman" w:hAnsi="Times New Roman" w:cs="Times New Roman"/>
        </w:rPr>
        <w:t>120</w:t>
      </w:r>
      <w:r w:rsidRPr="004158F8">
        <w:rPr>
          <w:rFonts w:ascii="Times New Roman" w:hAnsi="Times New Roman" w:cs="Times New Roman"/>
        </w:rPr>
        <w:t>.</w:t>
      </w:r>
    </w:p>
  </w:footnote>
  <w:footnote w:id="12">
    <w:p w14:paraId="54949C87" w14:textId="1E9A5690" w:rsidR="003A51F3" w:rsidRPr="00FA6563" w:rsidRDefault="003A51F3" w:rsidP="00197B3E">
      <w:pPr>
        <w:pStyle w:val="FootnoteText"/>
        <w:jc w:val="both"/>
        <w:rPr>
          <w:rFonts w:ascii="Times New Roman" w:hAnsi="Times New Roman" w:cs="Times New Roman"/>
        </w:rPr>
      </w:pPr>
      <w:r w:rsidRPr="00FA6563">
        <w:rPr>
          <w:rStyle w:val="FootnoteReference"/>
          <w:rFonts w:ascii="Times New Roman" w:hAnsi="Times New Roman" w:cs="Times New Roman"/>
        </w:rPr>
        <w:footnoteRef/>
      </w:r>
      <w:r w:rsidRPr="00FA6563">
        <w:rPr>
          <w:rFonts w:ascii="Times New Roman" w:hAnsi="Times New Roman" w:cs="Times New Roman"/>
        </w:rPr>
        <w:t xml:space="preserve"> </w:t>
      </w:r>
      <w:bookmarkStart w:id="5" w:name="_Hlk523554561"/>
      <w:r w:rsidRPr="00FA6563">
        <w:rPr>
          <w:rFonts w:ascii="Times New Roman" w:hAnsi="Times New Roman" w:cs="Times New Roman"/>
        </w:rPr>
        <w:t xml:space="preserve">To conserve space, </w:t>
      </w:r>
      <w:r>
        <w:rPr>
          <w:rFonts w:ascii="Times New Roman" w:hAnsi="Times New Roman" w:cs="Times New Roman"/>
        </w:rPr>
        <w:t>we</w:t>
      </w:r>
      <w:r w:rsidRPr="00FA6563">
        <w:rPr>
          <w:rFonts w:ascii="Times New Roman" w:hAnsi="Times New Roman" w:cs="Times New Roman"/>
        </w:rPr>
        <w:t xml:space="preserve"> only report the regression results from the</w:t>
      </w:r>
      <w:r>
        <w:rPr>
          <w:rFonts w:ascii="Times New Roman" w:hAnsi="Times New Roman" w:cs="Times New Roman"/>
        </w:rPr>
        <w:t xml:space="preserve"> </w:t>
      </w:r>
      <w:r w:rsidRPr="00FA6563">
        <w:rPr>
          <w:rFonts w:ascii="Times New Roman" w:hAnsi="Times New Roman" w:cs="Times New Roman"/>
        </w:rPr>
        <w:t xml:space="preserve">panel-data fixed effect </w:t>
      </w:r>
      <w:r>
        <w:rPr>
          <w:rFonts w:ascii="Times New Roman" w:hAnsi="Times New Roman" w:cs="Times New Roman"/>
        </w:rPr>
        <w:t xml:space="preserve">estimation </w:t>
      </w:r>
      <w:r w:rsidRPr="00FA6563">
        <w:rPr>
          <w:rFonts w:ascii="Times New Roman" w:hAnsi="Times New Roman" w:cs="Times New Roman"/>
        </w:rPr>
        <w:t xml:space="preserve">approach. </w:t>
      </w:r>
      <w:r>
        <w:rPr>
          <w:rFonts w:ascii="Times New Roman" w:hAnsi="Times New Roman" w:cs="Times New Roman"/>
        </w:rPr>
        <w:t>Using</w:t>
      </w:r>
      <w:r w:rsidRPr="00FA6563">
        <w:rPr>
          <w:rFonts w:ascii="Times New Roman" w:hAnsi="Times New Roman" w:cs="Times New Roman"/>
        </w:rPr>
        <w:t xml:space="preserve"> pooled ordinary least squares and feasible generalized least squared </w:t>
      </w:r>
      <w:r>
        <w:rPr>
          <w:rFonts w:ascii="Times New Roman" w:hAnsi="Times New Roman" w:cs="Times New Roman"/>
        </w:rPr>
        <w:t xml:space="preserve">estimation </w:t>
      </w:r>
      <w:r w:rsidRPr="00FA6563">
        <w:rPr>
          <w:rFonts w:ascii="Times New Roman" w:hAnsi="Times New Roman" w:cs="Times New Roman"/>
        </w:rPr>
        <w:t>approach</w:t>
      </w:r>
      <w:r>
        <w:rPr>
          <w:rFonts w:ascii="Times New Roman" w:hAnsi="Times New Roman" w:cs="Times New Roman"/>
        </w:rPr>
        <w:t>es, we find similar results. The results are not tabulated, but are</w:t>
      </w:r>
      <w:r w:rsidRPr="00FA6563">
        <w:rPr>
          <w:rFonts w:ascii="Times New Roman" w:hAnsi="Times New Roman" w:cs="Times New Roman"/>
        </w:rPr>
        <w:t xml:space="preserve"> available upon request.</w:t>
      </w:r>
      <w:bookmarkEnd w:id="5"/>
    </w:p>
  </w:footnote>
  <w:footnote w:id="13">
    <w:p w14:paraId="3F207E2F" w14:textId="361C60C4" w:rsidR="003A51F3" w:rsidRPr="00D133EC" w:rsidRDefault="003A51F3" w:rsidP="00197B3E">
      <w:pPr>
        <w:pStyle w:val="FootnoteText"/>
        <w:jc w:val="both"/>
        <w:rPr>
          <w:rFonts w:ascii="Times New Roman" w:hAnsi="Times New Roman" w:cs="Times New Roman"/>
        </w:rPr>
      </w:pPr>
      <w:r w:rsidRPr="00D133EC">
        <w:rPr>
          <w:rStyle w:val="FootnoteReference"/>
          <w:rFonts w:ascii="Times New Roman" w:hAnsi="Times New Roman" w:cs="Times New Roman"/>
        </w:rPr>
        <w:footnoteRef/>
      </w:r>
      <w:r w:rsidRPr="00D133EC">
        <w:rPr>
          <w:rFonts w:ascii="Times New Roman" w:hAnsi="Times New Roman" w:cs="Times New Roman"/>
        </w:rPr>
        <w:t xml:space="preserve"> 0.</w:t>
      </w:r>
      <w:r>
        <w:rPr>
          <w:rFonts w:ascii="Times New Roman" w:hAnsi="Times New Roman" w:cs="Times New Roman"/>
        </w:rPr>
        <w:t>737</w:t>
      </w:r>
      <w:r w:rsidRPr="00D133EC">
        <w:rPr>
          <w:rFonts w:ascii="Times New Roman" w:hAnsi="Times New Roman" w:cs="Times New Roman"/>
        </w:rPr>
        <w:t>% = 0.0</w:t>
      </w:r>
      <w:r>
        <w:rPr>
          <w:rFonts w:ascii="Times New Roman" w:hAnsi="Times New Roman" w:cs="Times New Roman"/>
        </w:rPr>
        <w:t>2</w:t>
      </w:r>
      <w:r w:rsidRPr="00D133EC">
        <w:rPr>
          <w:rFonts w:ascii="Times New Roman" w:hAnsi="Times New Roman" w:cs="Times New Roman"/>
        </w:rPr>
        <w:t>2 × 0.33</w:t>
      </w:r>
      <w:r>
        <w:rPr>
          <w:rFonts w:ascii="Times New Roman" w:hAnsi="Times New Roman" w:cs="Times New Roman"/>
        </w:rPr>
        <w:t>5</w:t>
      </w:r>
      <w:r w:rsidRPr="00D133EC">
        <w:rPr>
          <w:rFonts w:ascii="Times New Roman" w:hAnsi="Times New Roman" w:cs="Times New Roman"/>
        </w:rPr>
        <w:t>, where 0.0</w:t>
      </w:r>
      <w:r>
        <w:rPr>
          <w:rFonts w:ascii="Times New Roman" w:hAnsi="Times New Roman" w:cs="Times New Roman"/>
        </w:rPr>
        <w:t>2</w:t>
      </w:r>
      <w:r w:rsidRPr="00D133EC">
        <w:rPr>
          <w:rFonts w:ascii="Times New Roman" w:hAnsi="Times New Roman" w:cs="Times New Roman"/>
        </w:rPr>
        <w:t xml:space="preserve">2 is the coefficient on </w:t>
      </w:r>
      <w:r w:rsidRPr="00D133EC">
        <w:rPr>
          <w:rFonts w:ascii="Times New Roman" w:hAnsi="Times New Roman" w:cs="Times New Roman"/>
          <w:i/>
        </w:rPr>
        <w:t>NONOPERINC</w:t>
      </w:r>
      <w:r w:rsidRPr="00D133EC">
        <w:rPr>
          <w:rFonts w:ascii="Times New Roman" w:hAnsi="Times New Roman" w:cs="Times New Roman"/>
        </w:rPr>
        <w:t xml:space="preserve"> in Panel B of Table </w:t>
      </w:r>
      <w:r>
        <w:rPr>
          <w:rFonts w:ascii="Times New Roman" w:hAnsi="Times New Roman" w:cs="Times New Roman"/>
        </w:rPr>
        <w:t>4</w:t>
      </w:r>
      <w:r w:rsidRPr="00D133EC">
        <w:rPr>
          <w:rFonts w:ascii="Times New Roman" w:hAnsi="Times New Roman" w:cs="Times New Roman"/>
        </w:rPr>
        <w:t xml:space="preserve"> and 0.33</w:t>
      </w:r>
      <w:r>
        <w:rPr>
          <w:rFonts w:ascii="Times New Roman" w:hAnsi="Times New Roman" w:cs="Times New Roman"/>
        </w:rPr>
        <w:t>5</w:t>
      </w:r>
      <w:r w:rsidRPr="00D133EC">
        <w:rPr>
          <w:rFonts w:ascii="Times New Roman" w:hAnsi="Times New Roman" w:cs="Times New Roman"/>
        </w:rPr>
        <w:t xml:space="preserve"> is the standard deviation of </w:t>
      </w:r>
      <w:r w:rsidRPr="00D133EC">
        <w:rPr>
          <w:rFonts w:ascii="Times New Roman" w:hAnsi="Times New Roman" w:cs="Times New Roman"/>
          <w:i/>
        </w:rPr>
        <w:t xml:space="preserve">IDIORISK </w:t>
      </w:r>
      <w:r w:rsidRPr="00D133EC">
        <w:rPr>
          <w:rFonts w:ascii="Times New Roman" w:hAnsi="Times New Roman" w:cs="Times New Roman"/>
        </w:rPr>
        <w:t xml:space="preserve">in Table </w:t>
      </w:r>
      <w:r>
        <w:rPr>
          <w:rFonts w:ascii="Times New Roman" w:hAnsi="Times New Roman" w:cs="Times New Roman"/>
        </w:rPr>
        <w:t>2</w:t>
      </w:r>
      <w:r w:rsidRPr="00D133EC">
        <w:rPr>
          <w:rFonts w:ascii="Times New Roman" w:hAnsi="Times New Roman" w:cs="Times New Roman"/>
        </w:rPr>
        <w:t xml:space="preserve">. </w:t>
      </w:r>
    </w:p>
  </w:footnote>
  <w:footnote w:id="14">
    <w:p w14:paraId="662EF050" w14:textId="4A4D7B78" w:rsidR="003A51F3" w:rsidRPr="005F2202" w:rsidRDefault="003A51F3" w:rsidP="00197B3E">
      <w:pPr>
        <w:pStyle w:val="FootnoteText"/>
        <w:jc w:val="both"/>
        <w:rPr>
          <w:rFonts w:ascii="Times New Roman" w:hAnsi="Times New Roman" w:cs="Times New Roman"/>
        </w:rPr>
      </w:pPr>
      <w:r w:rsidRPr="005F2202">
        <w:rPr>
          <w:rStyle w:val="FootnoteReference"/>
          <w:rFonts w:ascii="Times New Roman" w:hAnsi="Times New Roman" w:cs="Times New Roman"/>
        </w:rPr>
        <w:footnoteRef/>
      </w:r>
      <w:r w:rsidRPr="005F2202">
        <w:rPr>
          <w:rFonts w:ascii="Times New Roman" w:hAnsi="Times New Roman" w:cs="Times New Roman"/>
        </w:rPr>
        <w:t xml:space="preserve"> 0.</w:t>
      </w:r>
      <w:r>
        <w:rPr>
          <w:rFonts w:ascii="Times New Roman" w:hAnsi="Times New Roman" w:cs="Times New Roman"/>
        </w:rPr>
        <w:t>4</w:t>
      </w:r>
      <w:r w:rsidRPr="005F2202">
        <w:rPr>
          <w:rFonts w:ascii="Times New Roman" w:hAnsi="Times New Roman" w:cs="Times New Roman"/>
        </w:rPr>
        <w:t>3</w:t>
      </w:r>
      <w:r>
        <w:rPr>
          <w:rFonts w:ascii="Times New Roman" w:hAnsi="Times New Roman" w:cs="Times New Roman"/>
        </w:rPr>
        <w:t>4</w:t>
      </w:r>
      <w:r w:rsidRPr="005F2202">
        <w:rPr>
          <w:rFonts w:ascii="Times New Roman" w:hAnsi="Times New Roman" w:cs="Times New Roman"/>
        </w:rPr>
        <w:t xml:space="preserve"> = 0.</w:t>
      </w:r>
      <w:r>
        <w:rPr>
          <w:rFonts w:ascii="Times New Roman" w:hAnsi="Times New Roman" w:cs="Times New Roman"/>
        </w:rPr>
        <w:t>7</w:t>
      </w:r>
      <w:r w:rsidRPr="005F2202">
        <w:rPr>
          <w:rFonts w:ascii="Times New Roman" w:hAnsi="Times New Roman" w:cs="Times New Roman"/>
        </w:rPr>
        <w:t>3</w:t>
      </w:r>
      <w:r>
        <w:rPr>
          <w:rFonts w:ascii="Times New Roman" w:hAnsi="Times New Roman" w:cs="Times New Roman"/>
        </w:rPr>
        <w:t>7</w:t>
      </w:r>
      <w:r w:rsidRPr="005F2202">
        <w:rPr>
          <w:rFonts w:ascii="Times New Roman" w:hAnsi="Times New Roman" w:cs="Times New Roman"/>
        </w:rPr>
        <w:t>% divided by 1.7%.</w:t>
      </w:r>
    </w:p>
  </w:footnote>
  <w:footnote w:id="15">
    <w:p w14:paraId="2D01F8DB" w14:textId="121048DF" w:rsidR="003A51F3" w:rsidRPr="00D500A1" w:rsidRDefault="003A51F3" w:rsidP="00197B3E">
      <w:pPr>
        <w:pStyle w:val="FootnoteText"/>
        <w:jc w:val="both"/>
        <w:rPr>
          <w:rFonts w:ascii="Times New Roman" w:hAnsi="Times New Roman" w:cs="Times New Roman"/>
        </w:rPr>
      </w:pPr>
      <w:r w:rsidRPr="00D500A1">
        <w:rPr>
          <w:rStyle w:val="FootnoteReference"/>
          <w:rFonts w:ascii="Times New Roman" w:hAnsi="Times New Roman" w:cs="Times New Roman"/>
        </w:rPr>
        <w:footnoteRef/>
      </w:r>
      <w:r w:rsidRPr="00D500A1">
        <w:rPr>
          <w:rFonts w:ascii="Times New Roman" w:hAnsi="Times New Roman" w:cs="Times New Roman"/>
        </w:rPr>
        <w:t xml:space="preserve"> 6.2</w:t>
      </w:r>
      <w:r>
        <w:rPr>
          <w:rFonts w:ascii="Times New Roman" w:hAnsi="Times New Roman" w:cs="Times New Roman"/>
        </w:rPr>
        <w:t>31</w:t>
      </w:r>
      <w:r w:rsidRPr="00D500A1">
        <w:rPr>
          <w:rFonts w:ascii="Times New Roman" w:hAnsi="Times New Roman" w:cs="Times New Roman"/>
        </w:rPr>
        <w:t>% = 0.186 × 0.33</w:t>
      </w:r>
      <w:r>
        <w:rPr>
          <w:rFonts w:ascii="Times New Roman" w:hAnsi="Times New Roman" w:cs="Times New Roman"/>
        </w:rPr>
        <w:t>5</w:t>
      </w:r>
      <w:r w:rsidRPr="00D500A1">
        <w:rPr>
          <w:rFonts w:ascii="Times New Roman" w:hAnsi="Times New Roman" w:cs="Times New Roman"/>
        </w:rPr>
        <w:t xml:space="preserve">, where 0.186 is the coefficient on </w:t>
      </w:r>
      <w:r w:rsidRPr="00D500A1">
        <w:rPr>
          <w:rFonts w:ascii="Times New Roman" w:hAnsi="Times New Roman" w:cs="Times New Roman"/>
          <w:i/>
        </w:rPr>
        <w:t>OPERINC</w:t>
      </w:r>
      <w:r w:rsidRPr="00D500A1">
        <w:rPr>
          <w:rFonts w:ascii="Times New Roman" w:hAnsi="Times New Roman" w:cs="Times New Roman"/>
        </w:rPr>
        <w:t xml:space="preserve"> in Panel B of Table </w:t>
      </w:r>
      <w:r>
        <w:rPr>
          <w:rFonts w:ascii="Times New Roman" w:hAnsi="Times New Roman" w:cs="Times New Roman"/>
        </w:rPr>
        <w:t>4</w:t>
      </w:r>
      <w:r w:rsidRPr="00D500A1">
        <w:rPr>
          <w:rFonts w:ascii="Times New Roman" w:hAnsi="Times New Roman" w:cs="Times New Roman"/>
        </w:rPr>
        <w:t xml:space="preserve"> and 0.33</w:t>
      </w:r>
      <w:r>
        <w:rPr>
          <w:rFonts w:ascii="Times New Roman" w:hAnsi="Times New Roman" w:cs="Times New Roman"/>
        </w:rPr>
        <w:t>5</w:t>
      </w:r>
      <w:r w:rsidRPr="00D500A1">
        <w:rPr>
          <w:rFonts w:ascii="Times New Roman" w:hAnsi="Times New Roman" w:cs="Times New Roman"/>
        </w:rPr>
        <w:t xml:space="preserve"> is the standard deviation of </w:t>
      </w:r>
      <w:r w:rsidRPr="00D500A1">
        <w:rPr>
          <w:rFonts w:ascii="Times New Roman" w:hAnsi="Times New Roman" w:cs="Times New Roman"/>
          <w:i/>
        </w:rPr>
        <w:t xml:space="preserve">IDIORISK </w:t>
      </w:r>
      <w:r w:rsidRPr="00D500A1">
        <w:rPr>
          <w:rFonts w:ascii="Times New Roman" w:hAnsi="Times New Roman" w:cs="Times New Roman"/>
        </w:rPr>
        <w:t xml:space="preserve">in Table </w:t>
      </w:r>
      <w:r>
        <w:rPr>
          <w:rFonts w:ascii="Times New Roman" w:hAnsi="Times New Roman" w:cs="Times New Roman"/>
        </w:rPr>
        <w:t>2</w:t>
      </w:r>
      <w:r w:rsidRPr="00D500A1">
        <w:rPr>
          <w:rFonts w:ascii="Times New Roman" w:hAnsi="Times New Roman" w:cs="Times New Roman"/>
        </w:rPr>
        <w:t>.</w:t>
      </w:r>
    </w:p>
  </w:footnote>
  <w:footnote w:id="16">
    <w:p w14:paraId="76F76A07" w14:textId="5972DDF9" w:rsidR="003A51F3" w:rsidRDefault="003A51F3" w:rsidP="00197B3E">
      <w:pPr>
        <w:pStyle w:val="FootnoteText"/>
        <w:jc w:val="both"/>
      </w:pPr>
      <w:r w:rsidRPr="00D500A1">
        <w:rPr>
          <w:rStyle w:val="FootnoteReference"/>
          <w:rFonts w:ascii="Times New Roman" w:hAnsi="Times New Roman" w:cs="Times New Roman"/>
        </w:rPr>
        <w:footnoteRef/>
      </w:r>
      <w:r w:rsidRPr="00D500A1">
        <w:rPr>
          <w:rFonts w:ascii="Times New Roman" w:hAnsi="Times New Roman" w:cs="Times New Roman"/>
        </w:rPr>
        <w:t xml:space="preserve"> 0.35</w:t>
      </w:r>
      <w:r>
        <w:rPr>
          <w:rFonts w:ascii="Times New Roman" w:hAnsi="Times New Roman" w:cs="Times New Roman"/>
        </w:rPr>
        <w:t>4</w:t>
      </w:r>
      <w:r w:rsidRPr="00D500A1">
        <w:rPr>
          <w:rFonts w:ascii="Times New Roman" w:hAnsi="Times New Roman" w:cs="Times New Roman"/>
        </w:rPr>
        <w:t xml:space="preserve"> = 6.2</w:t>
      </w:r>
      <w:r>
        <w:rPr>
          <w:rFonts w:ascii="Times New Roman" w:hAnsi="Times New Roman" w:cs="Times New Roman"/>
        </w:rPr>
        <w:t>31</w:t>
      </w:r>
      <w:r w:rsidRPr="00D500A1">
        <w:rPr>
          <w:rFonts w:ascii="Times New Roman" w:hAnsi="Times New Roman" w:cs="Times New Roman"/>
        </w:rPr>
        <w:t>% divided by 17.6%</w:t>
      </w:r>
    </w:p>
  </w:footnote>
  <w:footnote w:id="17">
    <w:p w14:paraId="4AD3482C" w14:textId="5FAB694B" w:rsidR="003A51F3" w:rsidRPr="00A40123" w:rsidRDefault="003A51F3" w:rsidP="00197B3E">
      <w:pPr>
        <w:pStyle w:val="FootnoteText"/>
        <w:jc w:val="both"/>
        <w:rPr>
          <w:rFonts w:ascii="Times New Roman" w:hAnsi="Times New Roman" w:cs="Times New Roman"/>
        </w:rPr>
      </w:pPr>
      <w:r w:rsidRPr="00A40123">
        <w:rPr>
          <w:rStyle w:val="FootnoteReference"/>
          <w:rFonts w:ascii="Times New Roman" w:hAnsi="Times New Roman" w:cs="Times New Roman"/>
        </w:rPr>
        <w:footnoteRef/>
      </w:r>
      <w:r w:rsidRPr="00A40123">
        <w:rPr>
          <w:rFonts w:ascii="Times New Roman" w:hAnsi="Times New Roman" w:cs="Times New Roman"/>
        </w:rPr>
        <w:t xml:space="preserve"> 0.</w:t>
      </w:r>
      <w:r>
        <w:rPr>
          <w:rFonts w:ascii="Times New Roman" w:hAnsi="Times New Roman" w:cs="Times New Roman"/>
        </w:rPr>
        <w:t>718</w:t>
      </w:r>
      <w:r w:rsidRPr="00A40123">
        <w:rPr>
          <w:rFonts w:ascii="Times New Roman" w:hAnsi="Times New Roman" w:cs="Times New Roman"/>
        </w:rPr>
        <w:t>% = 0.01</w:t>
      </w:r>
      <w:r>
        <w:rPr>
          <w:rFonts w:ascii="Times New Roman" w:hAnsi="Times New Roman" w:cs="Times New Roman"/>
        </w:rPr>
        <w:t>4</w:t>
      </w:r>
      <w:r w:rsidRPr="00A40123">
        <w:rPr>
          <w:rFonts w:ascii="Times New Roman" w:hAnsi="Times New Roman" w:cs="Times New Roman"/>
        </w:rPr>
        <w:t xml:space="preserve"> × 0.513, where 0.01</w:t>
      </w:r>
      <w:r>
        <w:rPr>
          <w:rFonts w:ascii="Times New Roman" w:hAnsi="Times New Roman" w:cs="Times New Roman"/>
        </w:rPr>
        <w:t>4</w:t>
      </w:r>
      <w:r w:rsidRPr="00A40123">
        <w:rPr>
          <w:rFonts w:ascii="Times New Roman" w:hAnsi="Times New Roman" w:cs="Times New Roman"/>
        </w:rPr>
        <w:t xml:space="preserve"> is the coefficient on </w:t>
      </w:r>
      <w:r w:rsidRPr="00A40123">
        <w:rPr>
          <w:rFonts w:ascii="Times New Roman" w:hAnsi="Times New Roman" w:cs="Times New Roman"/>
          <w:i/>
        </w:rPr>
        <w:t>NONOPERINC</w:t>
      </w:r>
      <w:r w:rsidRPr="00A40123">
        <w:rPr>
          <w:rFonts w:ascii="Times New Roman" w:hAnsi="Times New Roman" w:cs="Times New Roman"/>
        </w:rPr>
        <w:t xml:space="preserve"> in Panel B of Table </w:t>
      </w:r>
      <w:r>
        <w:rPr>
          <w:rFonts w:ascii="Times New Roman" w:hAnsi="Times New Roman" w:cs="Times New Roman"/>
        </w:rPr>
        <w:t>5</w:t>
      </w:r>
      <w:r w:rsidRPr="00A40123">
        <w:rPr>
          <w:rFonts w:ascii="Times New Roman" w:hAnsi="Times New Roman" w:cs="Times New Roman"/>
        </w:rPr>
        <w:t xml:space="preserve"> and 0.513 is the standard deviation of </w:t>
      </w:r>
      <w:r w:rsidRPr="00A40123">
        <w:rPr>
          <w:rFonts w:ascii="Times New Roman" w:hAnsi="Times New Roman" w:cs="Times New Roman"/>
          <w:i/>
        </w:rPr>
        <w:t>DUVOL</w:t>
      </w:r>
      <w:r w:rsidRPr="00A40123">
        <w:rPr>
          <w:rFonts w:ascii="Times New Roman" w:hAnsi="Times New Roman" w:cs="Times New Roman"/>
        </w:rPr>
        <w:t xml:space="preserve"> in Table </w:t>
      </w:r>
      <w:r>
        <w:rPr>
          <w:rFonts w:ascii="Times New Roman" w:hAnsi="Times New Roman" w:cs="Times New Roman"/>
        </w:rPr>
        <w:t>2</w:t>
      </w:r>
      <w:r w:rsidRPr="00A40123">
        <w:rPr>
          <w:rFonts w:ascii="Times New Roman" w:hAnsi="Times New Roman" w:cs="Times New Roman"/>
        </w:rPr>
        <w:t>.</w:t>
      </w:r>
    </w:p>
  </w:footnote>
  <w:footnote w:id="18">
    <w:p w14:paraId="26849CBF" w14:textId="18180986" w:rsidR="003A51F3" w:rsidRPr="00A40123" w:rsidRDefault="003A51F3" w:rsidP="00197B3E">
      <w:pPr>
        <w:pStyle w:val="FootnoteText"/>
        <w:jc w:val="both"/>
        <w:rPr>
          <w:rFonts w:ascii="Times New Roman" w:hAnsi="Times New Roman" w:cs="Times New Roman"/>
        </w:rPr>
      </w:pPr>
      <w:r w:rsidRPr="00A40123">
        <w:rPr>
          <w:rStyle w:val="FootnoteReference"/>
          <w:rFonts w:ascii="Times New Roman" w:hAnsi="Times New Roman" w:cs="Times New Roman"/>
        </w:rPr>
        <w:footnoteRef/>
      </w:r>
      <w:r w:rsidRPr="00A40123">
        <w:rPr>
          <w:rFonts w:ascii="Times New Roman" w:hAnsi="Times New Roman" w:cs="Times New Roman"/>
        </w:rPr>
        <w:t xml:space="preserve"> 0.</w:t>
      </w:r>
      <w:r>
        <w:rPr>
          <w:rFonts w:ascii="Times New Roman" w:hAnsi="Times New Roman" w:cs="Times New Roman"/>
        </w:rPr>
        <w:t>422</w:t>
      </w:r>
      <w:r w:rsidRPr="00A40123">
        <w:rPr>
          <w:rFonts w:ascii="Times New Roman" w:hAnsi="Times New Roman" w:cs="Times New Roman"/>
        </w:rPr>
        <w:t xml:space="preserve"> = 0.</w:t>
      </w:r>
      <w:r>
        <w:rPr>
          <w:rFonts w:ascii="Times New Roman" w:hAnsi="Times New Roman" w:cs="Times New Roman"/>
        </w:rPr>
        <w:t>718</w:t>
      </w:r>
      <w:r w:rsidRPr="00A40123">
        <w:rPr>
          <w:rFonts w:ascii="Times New Roman" w:hAnsi="Times New Roman" w:cs="Times New Roman"/>
        </w:rPr>
        <w:t>% divided by 1.7%</w:t>
      </w:r>
    </w:p>
  </w:footnote>
  <w:footnote w:id="19">
    <w:p w14:paraId="487E2048" w14:textId="39BE7370" w:rsidR="003A51F3" w:rsidRPr="00A40123" w:rsidRDefault="003A51F3" w:rsidP="00197B3E">
      <w:pPr>
        <w:pStyle w:val="FootnoteText"/>
        <w:jc w:val="both"/>
        <w:rPr>
          <w:rFonts w:ascii="Times New Roman" w:hAnsi="Times New Roman" w:cs="Times New Roman"/>
        </w:rPr>
      </w:pPr>
      <w:r w:rsidRPr="00A40123">
        <w:rPr>
          <w:rStyle w:val="FootnoteReference"/>
          <w:rFonts w:ascii="Times New Roman" w:hAnsi="Times New Roman" w:cs="Times New Roman"/>
        </w:rPr>
        <w:footnoteRef/>
      </w:r>
      <w:r w:rsidRPr="00A40123">
        <w:rPr>
          <w:rFonts w:ascii="Times New Roman" w:hAnsi="Times New Roman" w:cs="Times New Roman"/>
        </w:rPr>
        <w:t xml:space="preserve"> </w:t>
      </w:r>
      <w:r>
        <w:rPr>
          <w:rFonts w:ascii="Times New Roman" w:hAnsi="Times New Roman" w:cs="Times New Roman"/>
        </w:rPr>
        <w:t>2.719</w:t>
      </w:r>
      <w:r w:rsidRPr="00A40123">
        <w:rPr>
          <w:rFonts w:ascii="Times New Roman" w:hAnsi="Times New Roman" w:cs="Times New Roman"/>
        </w:rPr>
        <w:t>% = 0.0</w:t>
      </w:r>
      <w:r>
        <w:rPr>
          <w:rFonts w:ascii="Times New Roman" w:hAnsi="Times New Roman" w:cs="Times New Roman"/>
        </w:rPr>
        <w:t>53</w:t>
      </w:r>
      <w:r w:rsidRPr="00A40123">
        <w:rPr>
          <w:rFonts w:ascii="Times New Roman" w:hAnsi="Times New Roman" w:cs="Times New Roman"/>
        </w:rPr>
        <w:t xml:space="preserve"> × 0.513, where 0.0</w:t>
      </w:r>
      <w:r>
        <w:rPr>
          <w:rFonts w:ascii="Times New Roman" w:hAnsi="Times New Roman" w:cs="Times New Roman"/>
        </w:rPr>
        <w:t>53</w:t>
      </w:r>
      <w:r w:rsidRPr="00A40123">
        <w:rPr>
          <w:rFonts w:ascii="Times New Roman" w:hAnsi="Times New Roman" w:cs="Times New Roman"/>
        </w:rPr>
        <w:t xml:space="preserve"> is the coefficient on </w:t>
      </w:r>
      <w:r w:rsidRPr="00A40123">
        <w:rPr>
          <w:rFonts w:ascii="Times New Roman" w:hAnsi="Times New Roman" w:cs="Times New Roman"/>
          <w:i/>
        </w:rPr>
        <w:t>OPERINC</w:t>
      </w:r>
      <w:r w:rsidRPr="00A40123">
        <w:rPr>
          <w:rFonts w:ascii="Times New Roman" w:hAnsi="Times New Roman" w:cs="Times New Roman"/>
        </w:rPr>
        <w:t xml:space="preserve"> in Panel B of Table </w:t>
      </w:r>
      <w:r>
        <w:rPr>
          <w:rFonts w:ascii="Times New Roman" w:hAnsi="Times New Roman" w:cs="Times New Roman"/>
        </w:rPr>
        <w:t>5</w:t>
      </w:r>
      <w:r w:rsidRPr="00A40123">
        <w:rPr>
          <w:rFonts w:ascii="Times New Roman" w:hAnsi="Times New Roman" w:cs="Times New Roman"/>
        </w:rPr>
        <w:t xml:space="preserve"> and 0.513 is the standard deviation of </w:t>
      </w:r>
      <w:r w:rsidRPr="00A40123">
        <w:rPr>
          <w:rFonts w:ascii="Times New Roman" w:hAnsi="Times New Roman" w:cs="Times New Roman"/>
          <w:i/>
        </w:rPr>
        <w:t>DUVOL</w:t>
      </w:r>
      <w:r w:rsidRPr="00A40123">
        <w:rPr>
          <w:rFonts w:ascii="Times New Roman" w:hAnsi="Times New Roman" w:cs="Times New Roman"/>
        </w:rPr>
        <w:t xml:space="preserve"> in Table </w:t>
      </w:r>
      <w:r>
        <w:rPr>
          <w:rFonts w:ascii="Times New Roman" w:hAnsi="Times New Roman" w:cs="Times New Roman"/>
        </w:rPr>
        <w:t>2</w:t>
      </w:r>
      <w:r w:rsidRPr="00A40123">
        <w:rPr>
          <w:rFonts w:ascii="Times New Roman" w:hAnsi="Times New Roman" w:cs="Times New Roman"/>
        </w:rPr>
        <w:t>.</w:t>
      </w:r>
    </w:p>
  </w:footnote>
  <w:footnote w:id="20">
    <w:p w14:paraId="29A93C48" w14:textId="2BA2B836" w:rsidR="003A51F3" w:rsidRDefault="003A51F3" w:rsidP="00197B3E">
      <w:pPr>
        <w:pStyle w:val="FootnoteText"/>
        <w:jc w:val="both"/>
      </w:pPr>
      <w:r w:rsidRPr="00A40123">
        <w:rPr>
          <w:rStyle w:val="FootnoteReference"/>
          <w:rFonts w:ascii="Times New Roman" w:hAnsi="Times New Roman" w:cs="Times New Roman"/>
        </w:rPr>
        <w:footnoteRef/>
      </w:r>
      <w:r w:rsidRPr="00A40123">
        <w:rPr>
          <w:rFonts w:ascii="Times New Roman" w:hAnsi="Times New Roman" w:cs="Times New Roman"/>
        </w:rPr>
        <w:t xml:space="preserve"> 0.</w:t>
      </w:r>
      <w:r>
        <w:rPr>
          <w:rFonts w:ascii="Times New Roman" w:hAnsi="Times New Roman" w:cs="Times New Roman"/>
        </w:rPr>
        <w:t>154</w:t>
      </w:r>
      <w:r w:rsidRPr="00A40123">
        <w:rPr>
          <w:rFonts w:ascii="Times New Roman" w:hAnsi="Times New Roman" w:cs="Times New Roman"/>
        </w:rPr>
        <w:t xml:space="preserve"> = </w:t>
      </w:r>
      <w:r>
        <w:rPr>
          <w:rFonts w:ascii="Times New Roman" w:hAnsi="Times New Roman" w:cs="Times New Roman"/>
        </w:rPr>
        <w:t>2.719</w:t>
      </w:r>
      <w:r w:rsidRPr="00A40123">
        <w:rPr>
          <w:rFonts w:ascii="Times New Roman" w:hAnsi="Times New Roman" w:cs="Times New Roman"/>
        </w:rPr>
        <w:t>% divided by 17.6%</w:t>
      </w:r>
    </w:p>
  </w:footnote>
  <w:footnote w:id="21">
    <w:p w14:paraId="5C7A4CA1" w14:textId="7EE5CE39" w:rsidR="003A51F3" w:rsidRPr="00A40123" w:rsidRDefault="003A51F3" w:rsidP="00197B3E">
      <w:pPr>
        <w:pStyle w:val="FootnoteText"/>
        <w:jc w:val="both"/>
        <w:rPr>
          <w:rFonts w:ascii="Times New Roman" w:hAnsi="Times New Roman" w:cs="Times New Roman"/>
        </w:rPr>
      </w:pPr>
      <w:r w:rsidRPr="00A40123">
        <w:rPr>
          <w:rStyle w:val="FootnoteReference"/>
          <w:rFonts w:ascii="Times New Roman" w:hAnsi="Times New Roman" w:cs="Times New Roman"/>
        </w:rPr>
        <w:footnoteRef/>
      </w:r>
      <w:r w:rsidRPr="00A40123">
        <w:rPr>
          <w:rFonts w:ascii="Times New Roman" w:hAnsi="Times New Roman" w:cs="Times New Roman"/>
        </w:rPr>
        <w:t xml:space="preserve"> 0.</w:t>
      </w:r>
      <w:r>
        <w:rPr>
          <w:rFonts w:ascii="Times New Roman" w:hAnsi="Times New Roman" w:cs="Times New Roman"/>
        </w:rPr>
        <w:t>452</w:t>
      </w:r>
      <w:r w:rsidRPr="00A40123">
        <w:rPr>
          <w:rFonts w:ascii="Times New Roman" w:hAnsi="Times New Roman" w:cs="Times New Roman"/>
        </w:rPr>
        <w:t>% = 0.0</w:t>
      </w:r>
      <w:r>
        <w:rPr>
          <w:rFonts w:ascii="Times New Roman" w:hAnsi="Times New Roman" w:cs="Times New Roman"/>
        </w:rPr>
        <w:t>07</w:t>
      </w:r>
      <w:r w:rsidRPr="00A40123">
        <w:rPr>
          <w:rFonts w:ascii="Times New Roman" w:hAnsi="Times New Roman" w:cs="Times New Roman"/>
        </w:rPr>
        <w:t xml:space="preserve"> × 0.</w:t>
      </w:r>
      <w:r>
        <w:rPr>
          <w:rFonts w:ascii="Times New Roman" w:hAnsi="Times New Roman" w:cs="Times New Roman"/>
        </w:rPr>
        <w:t>645</w:t>
      </w:r>
      <w:r w:rsidRPr="00A40123">
        <w:rPr>
          <w:rFonts w:ascii="Times New Roman" w:hAnsi="Times New Roman" w:cs="Times New Roman"/>
        </w:rPr>
        <w:t>, where 0.0</w:t>
      </w:r>
      <w:r>
        <w:rPr>
          <w:rFonts w:ascii="Times New Roman" w:hAnsi="Times New Roman" w:cs="Times New Roman"/>
        </w:rPr>
        <w:t xml:space="preserve">07 </w:t>
      </w:r>
      <w:r w:rsidRPr="00A40123">
        <w:rPr>
          <w:rFonts w:ascii="Times New Roman" w:hAnsi="Times New Roman" w:cs="Times New Roman"/>
        </w:rPr>
        <w:t xml:space="preserve">is the coefficient on </w:t>
      </w:r>
      <w:r w:rsidRPr="00A40123">
        <w:rPr>
          <w:rFonts w:ascii="Times New Roman" w:hAnsi="Times New Roman" w:cs="Times New Roman"/>
          <w:i/>
        </w:rPr>
        <w:t>NONOPERINC</w:t>
      </w:r>
      <w:r w:rsidRPr="00A40123">
        <w:rPr>
          <w:rFonts w:ascii="Times New Roman" w:hAnsi="Times New Roman" w:cs="Times New Roman"/>
        </w:rPr>
        <w:t xml:space="preserve"> in Panel </w:t>
      </w:r>
      <w:r>
        <w:rPr>
          <w:rFonts w:ascii="Times New Roman" w:hAnsi="Times New Roman" w:cs="Times New Roman"/>
        </w:rPr>
        <w:t>C</w:t>
      </w:r>
      <w:r w:rsidRPr="00A40123">
        <w:rPr>
          <w:rFonts w:ascii="Times New Roman" w:hAnsi="Times New Roman" w:cs="Times New Roman"/>
        </w:rPr>
        <w:t xml:space="preserve"> of Table </w:t>
      </w:r>
      <w:r>
        <w:rPr>
          <w:rFonts w:ascii="Times New Roman" w:hAnsi="Times New Roman" w:cs="Times New Roman"/>
        </w:rPr>
        <w:t>5</w:t>
      </w:r>
      <w:r w:rsidRPr="00A40123">
        <w:rPr>
          <w:rFonts w:ascii="Times New Roman" w:hAnsi="Times New Roman" w:cs="Times New Roman"/>
        </w:rPr>
        <w:t xml:space="preserve"> and 0.</w:t>
      </w:r>
      <w:r>
        <w:rPr>
          <w:rFonts w:ascii="Times New Roman" w:hAnsi="Times New Roman" w:cs="Times New Roman"/>
        </w:rPr>
        <w:t>645</w:t>
      </w:r>
      <w:r w:rsidRPr="00A40123">
        <w:rPr>
          <w:rFonts w:ascii="Times New Roman" w:hAnsi="Times New Roman" w:cs="Times New Roman"/>
        </w:rPr>
        <w:t xml:space="preserve"> is the standard deviation of </w:t>
      </w:r>
      <w:r>
        <w:rPr>
          <w:rFonts w:ascii="Times New Roman" w:hAnsi="Times New Roman" w:cs="Times New Roman"/>
          <w:i/>
        </w:rPr>
        <w:t>COUNT</w:t>
      </w:r>
      <w:r w:rsidRPr="00A40123">
        <w:rPr>
          <w:rFonts w:ascii="Times New Roman" w:hAnsi="Times New Roman" w:cs="Times New Roman"/>
        </w:rPr>
        <w:t xml:space="preserve"> in Table </w:t>
      </w:r>
      <w:r>
        <w:rPr>
          <w:rFonts w:ascii="Times New Roman" w:hAnsi="Times New Roman" w:cs="Times New Roman"/>
        </w:rPr>
        <w:t>2</w:t>
      </w:r>
      <w:r w:rsidRPr="00A40123">
        <w:rPr>
          <w:rFonts w:ascii="Times New Roman" w:hAnsi="Times New Roman" w:cs="Times New Roman"/>
        </w:rPr>
        <w:t>.</w:t>
      </w:r>
    </w:p>
  </w:footnote>
  <w:footnote w:id="22">
    <w:p w14:paraId="5ADA9859" w14:textId="19BF7639" w:rsidR="003A51F3" w:rsidRPr="00A40123" w:rsidRDefault="003A51F3" w:rsidP="00197B3E">
      <w:pPr>
        <w:pStyle w:val="FootnoteText"/>
        <w:jc w:val="both"/>
        <w:rPr>
          <w:rFonts w:ascii="Times New Roman" w:hAnsi="Times New Roman" w:cs="Times New Roman"/>
        </w:rPr>
      </w:pPr>
      <w:r w:rsidRPr="00A40123">
        <w:rPr>
          <w:rStyle w:val="FootnoteReference"/>
          <w:rFonts w:ascii="Times New Roman" w:hAnsi="Times New Roman" w:cs="Times New Roman"/>
        </w:rPr>
        <w:footnoteRef/>
      </w:r>
      <w:r w:rsidRPr="00A40123">
        <w:rPr>
          <w:rFonts w:ascii="Times New Roman" w:hAnsi="Times New Roman" w:cs="Times New Roman"/>
        </w:rPr>
        <w:t xml:space="preserve"> 0.</w:t>
      </w:r>
      <w:r>
        <w:rPr>
          <w:rFonts w:ascii="Times New Roman" w:hAnsi="Times New Roman" w:cs="Times New Roman"/>
        </w:rPr>
        <w:t>266</w:t>
      </w:r>
      <w:r w:rsidRPr="00A40123">
        <w:rPr>
          <w:rFonts w:ascii="Times New Roman" w:hAnsi="Times New Roman" w:cs="Times New Roman"/>
        </w:rPr>
        <w:t xml:space="preserve"> = 0.</w:t>
      </w:r>
      <w:r>
        <w:rPr>
          <w:rFonts w:ascii="Times New Roman" w:hAnsi="Times New Roman" w:cs="Times New Roman"/>
        </w:rPr>
        <w:t>452</w:t>
      </w:r>
      <w:r w:rsidRPr="00A40123">
        <w:rPr>
          <w:rFonts w:ascii="Times New Roman" w:hAnsi="Times New Roman" w:cs="Times New Roman"/>
        </w:rPr>
        <w:t>% divided by 1.7%</w:t>
      </w:r>
    </w:p>
  </w:footnote>
  <w:footnote w:id="23">
    <w:p w14:paraId="0F1382B3" w14:textId="3E61DC71" w:rsidR="003A51F3" w:rsidRPr="00A40123" w:rsidRDefault="003A51F3" w:rsidP="00197B3E">
      <w:pPr>
        <w:pStyle w:val="FootnoteText"/>
        <w:jc w:val="both"/>
        <w:rPr>
          <w:rFonts w:ascii="Times New Roman" w:hAnsi="Times New Roman" w:cs="Times New Roman"/>
        </w:rPr>
      </w:pPr>
      <w:r w:rsidRPr="00A40123">
        <w:rPr>
          <w:rStyle w:val="FootnoteReference"/>
          <w:rFonts w:ascii="Times New Roman" w:hAnsi="Times New Roman" w:cs="Times New Roman"/>
        </w:rPr>
        <w:footnoteRef/>
      </w:r>
      <w:r w:rsidRPr="00A40123">
        <w:rPr>
          <w:rFonts w:ascii="Times New Roman" w:hAnsi="Times New Roman" w:cs="Times New Roman"/>
        </w:rPr>
        <w:t xml:space="preserve"> </w:t>
      </w:r>
      <w:r>
        <w:rPr>
          <w:rFonts w:ascii="Times New Roman" w:hAnsi="Times New Roman" w:cs="Times New Roman"/>
        </w:rPr>
        <w:t>1.355</w:t>
      </w:r>
      <w:r w:rsidRPr="00A40123">
        <w:rPr>
          <w:rFonts w:ascii="Times New Roman" w:hAnsi="Times New Roman" w:cs="Times New Roman"/>
        </w:rPr>
        <w:t>% = 0.0</w:t>
      </w:r>
      <w:r>
        <w:rPr>
          <w:rFonts w:ascii="Times New Roman" w:hAnsi="Times New Roman" w:cs="Times New Roman"/>
        </w:rPr>
        <w:t>21</w:t>
      </w:r>
      <w:r w:rsidRPr="00A40123">
        <w:rPr>
          <w:rFonts w:ascii="Times New Roman" w:hAnsi="Times New Roman" w:cs="Times New Roman"/>
        </w:rPr>
        <w:t xml:space="preserve"> × 0.</w:t>
      </w:r>
      <w:r>
        <w:rPr>
          <w:rFonts w:ascii="Times New Roman" w:hAnsi="Times New Roman" w:cs="Times New Roman"/>
        </w:rPr>
        <w:t>645</w:t>
      </w:r>
      <w:r w:rsidRPr="00A40123">
        <w:rPr>
          <w:rFonts w:ascii="Times New Roman" w:hAnsi="Times New Roman" w:cs="Times New Roman"/>
        </w:rPr>
        <w:t>, where 0.0</w:t>
      </w:r>
      <w:r>
        <w:rPr>
          <w:rFonts w:ascii="Times New Roman" w:hAnsi="Times New Roman" w:cs="Times New Roman"/>
        </w:rPr>
        <w:t>21</w:t>
      </w:r>
      <w:r w:rsidRPr="00A40123">
        <w:rPr>
          <w:rFonts w:ascii="Times New Roman" w:hAnsi="Times New Roman" w:cs="Times New Roman"/>
        </w:rPr>
        <w:t xml:space="preserve"> is the coefficient on </w:t>
      </w:r>
      <w:r w:rsidRPr="00A40123">
        <w:rPr>
          <w:rFonts w:ascii="Times New Roman" w:hAnsi="Times New Roman" w:cs="Times New Roman"/>
          <w:i/>
        </w:rPr>
        <w:t>OPERINC</w:t>
      </w:r>
      <w:r w:rsidRPr="00A40123">
        <w:rPr>
          <w:rFonts w:ascii="Times New Roman" w:hAnsi="Times New Roman" w:cs="Times New Roman"/>
        </w:rPr>
        <w:t xml:space="preserve"> in Panel </w:t>
      </w:r>
      <w:r>
        <w:rPr>
          <w:rFonts w:ascii="Times New Roman" w:hAnsi="Times New Roman" w:cs="Times New Roman"/>
        </w:rPr>
        <w:t>C</w:t>
      </w:r>
      <w:r w:rsidRPr="00A40123">
        <w:rPr>
          <w:rFonts w:ascii="Times New Roman" w:hAnsi="Times New Roman" w:cs="Times New Roman"/>
        </w:rPr>
        <w:t xml:space="preserve"> of Table </w:t>
      </w:r>
      <w:r>
        <w:rPr>
          <w:rFonts w:ascii="Times New Roman" w:hAnsi="Times New Roman" w:cs="Times New Roman"/>
        </w:rPr>
        <w:t>5</w:t>
      </w:r>
      <w:r w:rsidRPr="00A40123">
        <w:rPr>
          <w:rFonts w:ascii="Times New Roman" w:hAnsi="Times New Roman" w:cs="Times New Roman"/>
        </w:rPr>
        <w:t xml:space="preserve"> and 0.</w:t>
      </w:r>
      <w:r>
        <w:rPr>
          <w:rFonts w:ascii="Times New Roman" w:hAnsi="Times New Roman" w:cs="Times New Roman"/>
        </w:rPr>
        <w:t>645</w:t>
      </w:r>
      <w:r w:rsidRPr="00A40123">
        <w:rPr>
          <w:rFonts w:ascii="Times New Roman" w:hAnsi="Times New Roman" w:cs="Times New Roman"/>
        </w:rPr>
        <w:t xml:space="preserve"> is the standard deviation of </w:t>
      </w:r>
      <w:r>
        <w:rPr>
          <w:rFonts w:ascii="Times New Roman" w:hAnsi="Times New Roman" w:cs="Times New Roman"/>
          <w:i/>
        </w:rPr>
        <w:t>COUNT</w:t>
      </w:r>
      <w:r w:rsidRPr="00A40123">
        <w:rPr>
          <w:rFonts w:ascii="Times New Roman" w:hAnsi="Times New Roman" w:cs="Times New Roman"/>
        </w:rPr>
        <w:t xml:space="preserve"> in Table </w:t>
      </w:r>
      <w:r>
        <w:rPr>
          <w:rFonts w:ascii="Times New Roman" w:hAnsi="Times New Roman" w:cs="Times New Roman"/>
        </w:rPr>
        <w:t>2</w:t>
      </w:r>
      <w:r w:rsidRPr="00A40123">
        <w:rPr>
          <w:rFonts w:ascii="Times New Roman" w:hAnsi="Times New Roman" w:cs="Times New Roman"/>
        </w:rPr>
        <w:t>.</w:t>
      </w:r>
    </w:p>
  </w:footnote>
  <w:footnote w:id="24">
    <w:p w14:paraId="7A89C3DF" w14:textId="34A97304" w:rsidR="003A51F3" w:rsidRDefault="003A51F3" w:rsidP="00197B3E">
      <w:pPr>
        <w:pStyle w:val="FootnoteText"/>
        <w:jc w:val="both"/>
      </w:pPr>
      <w:r w:rsidRPr="00A40123">
        <w:rPr>
          <w:rStyle w:val="FootnoteReference"/>
          <w:rFonts w:ascii="Times New Roman" w:hAnsi="Times New Roman" w:cs="Times New Roman"/>
        </w:rPr>
        <w:footnoteRef/>
      </w:r>
      <w:r w:rsidRPr="00A40123">
        <w:rPr>
          <w:rFonts w:ascii="Times New Roman" w:hAnsi="Times New Roman" w:cs="Times New Roman"/>
        </w:rPr>
        <w:t xml:space="preserve"> 0.</w:t>
      </w:r>
      <w:r>
        <w:rPr>
          <w:rFonts w:ascii="Times New Roman" w:hAnsi="Times New Roman" w:cs="Times New Roman"/>
        </w:rPr>
        <w:t>077</w:t>
      </w:r>
      <w:r w:rsidRPr="00A40123">
        <w:rPr>
          <w:rFonts w:ascii="Times New Roman" w:hAnsi="Times New Roman" w:cs="Times New Roman"/>
        </w:rPr>
        <w:t xml:space="preserve"> = </w:t>
      </w:r>
      <w:r>
        <w:rPr>
          <w:rFonts w:ascii="Times New Roman" w:hAnsi="Times New Roman" w:cs="Times New Roman"/>
        </w:rPr>
        <w:t>1.355</w:t>
      </w:r>
      <w:r w:rsidRPr="00A40123">
        <w:rPr>
          <w:rFonts w:ascii="Times New Roman" w:hAnsi="Times New Roman" w:cs="Times New Roman"/>
        </w:rPr>
        <w:t>% divided by 17.6%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31494"/>
    <w:multiLevelType w:val="multilevel"/>
    <w:tmpl w:val="3AC605C2"/>
    <w:lvl w:ilvl="0">
      <w:start w:val="1"/>
      <w:numFmt w:val="decimal"/>
      <w:lvlText w:val="%1."/>
      <w:lvlJc w:val="left"/>
      <w:pPr>
        <w:ind w:left="720" w:hanging="360"/>
      </w:pPr>
      <w:rPr>
        <w:rFonts w:hint="default"/>
      </w:rPr>
    </w:lvl>
    <w:lvl w:ilvl="1">
      <w:start w:val="1"/>
      <w:numFmt w:val="decimal"/>
      <w:isLgl/>
      <w:lvlText w:val="%1.%2."/>
      <w:lvlJc w:val="left"/>
      <w:pPr>
        <w:ind w:left="2250" w:hanging="360"/>
      </w:pPr>
      <w:rPr>
        <w:rFonts w:hint="default"/>
        <w:b/>
        <w:i/>
      </w:rPr>
    </w:lvl>
    <w:lvl w:ilvl="2">
      <w:start w:val="1"/>
      <w:numFmt w:val="decimal"/>
      <w:isLgl/>
      <w:lvlText w:val="%1.%2.%3."/>
      <w:lvlJc w:val="left"/>
      <w:pPr>
        <w:ind w:left="189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13667BE"/>
    <w:multiLevelType w:val="hybridMultilevel"/>
    <w:tmpl w:val="85AEFA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15897"/>
    <w:multiLevelType w:val="multilevel"/>
    <w:tmpl w:val="E8583A6A"/>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BF36CA"/>
    <w:multiLevelType w:val="multilevel"/>
    <w:tmpl w:val="39F623CC"/>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E76737"/>
    <w:multiLevelType w:val="multilevel"/>
    <w:tmpl w:val="F0A6A866"/>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CC20B5"/>
    <w:multiLevelType w:val="multilevel"/>
    <w:tmpl w:val="3AC605C2"/>
    <w:lvl w:ilvl="0">
      <w:start w:val="1"/>
      <w:numFmt w:val="decimal"/>
      <w:lvlText w:val="%1."/>
      <w:lvlJc w:val="left"/>
      <w:pPr>
        <w:ind w:left="720" w:hanging="360"/>
      </w:pPr>
      <w:rPr>
        <w:rFonts w:hint="default"/>
      </w:rPr>
    </w:lvl>
    <w:lvl w:ilvl="1">
      <w:start w:val="1"/>
      <w:numFmt w:val="decimal"/>
      <w:isLgl/>
      <w:lvlText w:val="%1.%2."/>
      <w:lvlJc w:val="left"/>
      <w:pPr>
        <w:ind w:left="450" w:hanging="360"/>
      </w:pPr>
      <w:rPr>
        <w:rFonts w:hint="default"/>
        <w:b/>
        <w: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9B753C8"/>
    <w:multiLevelType w:val="multilevel"/>
    <w:tmpl w:val="EFA058BA"/>
    <w:lvl w:ilvl="0">
      <w:start w:val="4"/>
      <w:numFmt w:val="decimal"/>
      <w:lvlText w:val="%1"/>
      <w:lvlJc w:val="left"/>
      <w:pPr>
        <w:ind w:left="600" w:hanging="600"/>
      </w:pPr>
      <w:rPr>
        <w:rFonts w:hint="default"/>
      </w:rPr>
    </w:lvl>
    <w:lvl w:ilvl="1">
      <w:start w:val="6"/>
      <w:numFmt w:val="decimal"/>
      <w:lvlText w:val="%1.%2"/>
      <w:lvlJc w:val="left"/>
      <w:pPr>
        <w:ind w:left="960" w:hanging="600"/>
      </w:pPr>
      <w:rPr>
        <w:rFonts w:hint="default"/>
      </w:rPr>
    </w:lvl>
    <w:lvl w:ilvl="2">
      <w:start w:val="3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7A6717A"/>
    <w:multiLevelType w:val="multilevel"/>
    <w:tmpl w:val="3AC605C2"/>
    <w:lvl w:ilvl="0">
      <w:start w:val="1"/>
      <w:numFmt w:val="decimal"/>
      <w:lvlText w:val="%1."/>
      <w:lvlJc w:val="left"/>
      <w:pPr>
        <w:ind w:left="450" w:hanging="360"/>
      </w:pPr>
      <w:rPr>
        <w:rFonts w:hint="default"/>
      </w:rPr>
    </w:lvl>
    <w:lvl w:ilvl="1">
      <w:start w:val="1"/>
      <w:numFmt w:val="decimal"/>
      <w:isLgl/>
      <w:lvlText w:val="%1.%2."/>
      <w:lvlJc w:val="left"/>
      <w:pPr>
        <w:ind w:left="360" w:hanging="360"/>
      </w:pPr>
      <w:rPr>
        <w:rFonts w:hint="default"/>
        <w:b/>
        <w:i/>
      </w:rPr>
    </w:lvl>
    <w:lvl w:ilvl="2">
      <w:start w:val="1"/>
      <w:numFmt w:val="decimal"/>
      <w:isLgl/>
      <w:lvlText w:val="%1.%2.%3."/>
      <w:lvlJc w:val="left"/>
      <w:pPr>
        <w:ind w:left="189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AA735EF"/>
    <w:multiLevelType w:val="multilevel"/>
    <w:tmpl w:val="866A0E98"/>
    <w:lvl w:ilvl="0">
      <w:start w:val="4"/>
      <w:numFmt w:val="decimal"/>
      <w:lvlText w:val="%1."/>
      <w:lvlJc w:val="left"/>
      <w:pPr>
        <w:ind w:left="540" w:hanging="540"/>
      </w:pPr>
      <w:rPr>
        <w:rFonts w:hint="default"/>
      </w:rPr>
    </w:lvl>
    <w:lvl w:ilvl="1">
      <w:start w:val="6"/>
      <w:numFmt w:val="decimal"/>
      <w:lvlText w:val="%1.%2."/>
      <w:lvlJc w:val="left"/>
      <w:pPr>
        <w:ind w:left="1260" w:hanging="540"/>
      </w:pPr>
      <w:rPr>
        <w:rFonts w:hint="default"/>
      </w:rPr>
    </w:lvl>
    <w:lvl w:ilvl="2">
      <w:start w:val="3"/>
      <w:numFmt w:val="decimal"/>
      <w:lvlText w:val="%1.%2.%3."/>
      <w:lvlJc w:val="left"/>
      <w:pPr>
        <w:ind w:left="81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C335F17"/>
    <w:multiLevelType w:val="hybridMultilevel"/>
    <w:tmpl w:val="5A06226C"/>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0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8A1F21"/>
    <w:multiLevelType w:val="multilevel"/>
    <w:tmpl w:val="CB90C774"/>
    <w:lvl w:ilvl="0">
      <w:start w:val="4"/>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BAB21D9"/>
    <w:multiLevelType w:val="multilevel"/>
    <w:tmpl w:val="6C044E68"/>
    <w:lvl w:ilvl="0">
      <w:start w:val="4"/>
      <w:numFmt w:val="decimal"/>
      <w:lvlText w:val="%1."/>
      <w:lvlJc w:val="left"/>
      <w:pPr>
        <w:ind w:left="540" w:hanging="540"/>
      </w:pPr>
      <w:rPr>
        <w:rFonts w:hint="default"/>
      </w:rPr>
    </w:lvl>
    <w:lvl w:ilvl="1">
      <w:start w:val="6"/>
      <w:numFmt w:val="decimal"/>
      <w:lvlText w:val="%1.%2."/>
      <w:lvlJc w:val="left"/>
      <w:pPr>
        <w:ind w:left="585" w:hanging="540"/>
      </w:pPr>
      <w:rPr>
        <w:rFonts w:hint="default"/>
      </w:rPr>
    </w:lvl>
    <w:lvl w:ilvl="2">
      <w:start w:val="2"/>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num w:numId="1">
    <w:abstractNumId w:val="7"/>
  </w:num>
  <w:num w:numId="2">
    <w:abstractNumId w:val="5"/>
  </w:num>
  <w:num w:numId="3">
    <w:abstractNumId w:val="1"/>
  </w:num>
  <w:num w:numId="4">
    <w:abstractNumId w:val="0"/>
  </w:num>
  <w:num w:numId="5">
    <w:abstractNumId w:val="9"/>
  </w:num>
  <w:num w:numId="6">
    <w:abstractNumId w:val="4"/>
  </w:num>
  <w:num w:numId="7">
    <w:abstractNumId w:val="6"/>
  </w:num>
  <w:num w:numId="8">
    <w:abstractNumId w:val="8"/>
  </w:num>
  <w:num w:numId="9">
    <w:abstractNumId w:val="3"/>
  </w:num>
  <w:num w:numId="10">
    <w:abstractNumId w:val="2"/>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3tzAxsLQwMTcwMTdU0lEKTi0uzszPAykwrgUAss6+NywAAAA="/>
  </w:docVars>
  <w:rsids>
    <w:rsidRoot w:val="0011554E"/>
    <w:rsid w:val="0000069A"/>
    <w:rsid w:val="00001371"/>
    <w:rsid w:val="000038AC"/>
    <w:rsid w:val="00003BED"/>
    <w:rsid w:val="00003CFC"/>
    <w:rsid w:val="0000596C"/>
    <w:rsid w:val="00005E21"/>
    <w:rsid w:val="0000720C"/>
    <w:rsid w:val="00007ED9"/>
    <w:rsid w:val="000110A0"/>
    <w:rsid w:val="0001129A"/>
    <w:rsid w:val="0001135E"/>
    <w:rsid w:val="00011456"/>
    <w:rsid w:val="00013163"/>
    <w:rsid w:val="0001499B"/>
    <w:rsid w:val="00017329"/>
    <w:rsid w:val="00017624"/>
    <w:rsid w:val="00020F5D"/>
    <w:rsid w:val="0002186A"/>
    <w:rsid w:val="00022185"/>
    <w:rsid w:val="00022757"/>
    <w:rsid w:val="000245B5"/>
    <w:rsid w:val="000254D3"/>
    <w:rsid w:val="000268C2"/>
    <w:rsid w:val="0002730D"/>
    <w:rsid w:val="000304C9"/>
    <w:rsid w:val="000307F6"/>
    <w:rsid w:val="00030F01"/>
    <w:rsid w:val="000311B2"/>
    <w:rsid w:val="00033643"/>
    <w:rsid w:val="00033C7D"/>
    <w:rsid w:val="00033C8C"/>
    <w:rsid w:val="00034037"/>
    <w:rsid w:val="00034EF5"/>
    <w:rsid w:val="00040454"/>
    <w:rsid w:val="00041058"/>
    <w:rsid w:val="00041A68"/>
    <w:rsid w:val="00041DB4"/>
    <w:rsid w:val="00042858"/>
    <w:rsid w:val="000430D7"/>
    <w:rsid w:val="00043463"/>
    <w:rsid w:val="0004352B"/>
    <w:rsid w:val="00044E91"/>
    <w:rsid w:val="00045208"/>
    <w:rsid w:val="000459CF"/>
    <w:rsid w:val="000461A4"/>
    <w:rsid w:val="00047955"/>
    <w:rsid w:val="00050A74"/>
    <w:rsid w:val="00050EF4"/>
    <w:rsid w:val="00051BBA"/>
    <w:rsid w:val="0005291E"/>
    <w:rsid w:val="00052FE4"/>
    <w:rsid w:val="00053ADA"/>
    <w:rsid w:val="00057491"/>
    <w:rsid w:val="00057B47"/>
    <w:rsid w:val="00060377"/>
    <w:rsid w:val="00060F39"/>
    <w:rsid w:val="0006177E"/>
    <w:rsid w:val="00061CAC"/>
    <w:rsid w:val="00062C03"/>
    <w:rsid w:val="00063FC2"/>
    <w:rsid w:val="000644A4"/>
    <w:rsid w:val="0006463D"/>
    <w:rsid w:val="0006491D"/>
    <w:rsid w:val="00064A3E"/>
    <w:rsid w:val="00064CBE"/>
    <w:rsid w:val="0006559C"/>
    <w:rsid w:val="00065B8A"/>
    <w:rsid w:val="00066590"/>
    <w:rsid w:val="0006665E"/>
    <w:rsid w:val="00067C9F"/>
    <w:rsid w:val="00071F02"/>
    <w:rsid w:val="00072BC4"/>
    <w:rsid w:val="00075779"/>
    <w:rsid w:val="00076474"/>
    <w:rsid w:val="00076C1F"/>
    <w:rsid w:val="0007755F"/>
    <w:rsid w:val="00077A38"/>
    <w:rsid w:val="0008056F"/>
    <w:rsid w:val="0008121E"/>
    <w:rsid w:val="0008328F"/>
    <w:rsid w:val="000845F0"/>
    <w:rsid w:val="00084B26"/>
    <w:rsid w:val="00084D58"/>
    <w:rsid w:val="000850D4"/>
    <w:rsid w:val="000854DE"/>
    <w:rsid w:val="00085DFD"/>
    <w:rsid w:val="00086CD5"/>
    <w:rsid w:val="000874F3"/>
    <w:rsid w:val="00090CE4"/>
    <w:rsid w:val="00091B44"/>
    <w:rsid w:val="000923BB"/>
    <w:rsid w:val="00092D7B"/>
    <w:rsid w:val="00093D1B"/>
    <w:rsid w:val="00093F5C"/>
    <w:rsid w:val="00094227"/>
    <w:rsid w:val="00094EE5"/>
    <w:rsid w:val="000950FE"/>
    <w:rsid w:val="0009616A"/>
    <w:rsid w:val="00096319"/>
    <w:rsid w:val="00096980"/>
    <w:rsid w:val="000974AA"/>
    <w:rsid w:val="00097ADE"/>
    <w:rsid w:val="00097F80"/>
    <w:rsid w:val="000A04D4"/>
    <w:rsid w:val="000A133C"/>
    <w:rsid w:val="000A37C9"/>
    <w:rsid w:val="000A4181"/>
    <w:rsid w:val="000A463E"/>
    <w:rsid w:val="000A7CEE"/>
    <w:rsid w:val="000B0D23"/>
    <w:rsid w:val="000B1AF6"/>
    <w:rsid w:val="000B1D20"/>
    <w:rsid w:val="000B2409"/>
    <w:rsid w:val="000B27A6"/>
    <w:rsid w:val="000B3772"/>
    <w:rsid w:val="000B3EE1"/>
    <w:rsid w:val="000B67DA"/>
    <w:rsid w:val="000B7F31"/>
    <w:rsid w:val="000C175D"/>
    <w:rsid w:val="000C23E1"/>
    <w:rsid w:val="000C29D2"/>
    <w:rsid w:val="000C3A0E"/>
    <w:rsid w:val="000C436B"/>
    <w:rsid w:val="000C44F1"/>
    <w:rsid w:val="000C58EF"/>
    <w:rsid w:val="000C59C2"/>
    <w:rsid w:val="000C6C6C"/>
    <w:rsid w:val="000D0473"/>
    <w:rsid w:val="000D0772"/>
    <w:rsid w:val="000D1040"/>
    <w:rsid w:val="000D1227"/>
    <w:rsid w:val="000D13FB"/>
    <w:rsid w:val="000D1EC5"/>
    <w:rsid w:val="000D44DA"/>
    <w:rsid w:val="000D5AB6"/>
    <w:rsid w:val="000D6149"/>
    <w:rsid w:val="000D738F"/>
    <w:rsid w:val="000D783B"/>
    <w:rsid w:val="000E01C0"/>
    <w:rsid w:val="000E032B"/>
    <w:rsid w:val="000E06C7"/>
    <w:rsid w:val="000E1BAF"/>
    <w:rsid w:val="000E1D48"/>
    <w:rsid w:val="000E2632"/>
    <w:rsid w:val="000E2B43"/>
    <w:rsid w:val="000E3476"/>
    <w:rsid w:val="000E3550"/>
    <w:rsid w:val="000E41A2"/>
    <w:rsid w:val="000E43D8"/>
    <w:rsid w:val="000E4AE4"/>
    <w:rsid w:val="000E5416"/>
    <w:rsid w:val="000E54D8"/>
    <w:rsid w:val="000E69D7"/>
    <w:rsid w:val="000E6CD2"/>
    <w:rsid w:val="000F0228"/>
    <w:rsid w:val="000F03E0"/>
    <w:rsid w:val="000F08A8"/>
    <w:rsid w:val="000F0B4A"/>
    <w:rsid w:val="000F10FF"/>
    <w:rsid w:val="000F47F2"/>
    <w:rsid w:val="000F5471"/>
    <w:rsid w:val="000F7A1B"/>
    <w:rsid w:val="001012D0"/>
    <w:rsid w:val="00101384"/>
    <w:rsid w:val="00101C10"/>
    <w:rsid w:val="00101C66"/>
    <w:rsid w:val="00102195"/>
    <w:rsid w:val="00106C44"/>
    <w:rsid w:val="00107134"/>
    <w:rsid w:val="00107BE9"/>
    <w:rsid w:val="00107C77"/>
    <w:rsid w:val="00107F1C"/>
    <w:rsid w:val="00112831"/>
    <w:rsid w:val="00112B29"/>
    <w:rsid w:val="0011554E"/>
    <w:rsid w:val="001155F0"/>
    <w:rsid w:val="00115771"/>
    <w:rsid w:val="001157F4"/>
    <w:rsid w:val="001178AD"/>
    <w:rsid w:val="0012015E"/>
    <w:rsid w:val="0012019A"/>
    <w:rsid w:val="00121F92"/>
    <w:rsid w:val="001237DB"/>
    <w:rsid w:val="00123F61"/>
    <w:rsid w:val="0012485A"/>
    <w:rsid w:val="001248E9"/>
    <w:rsid w:val="00124E11"/>
    <w:rsid w:val="00125983"/>
    <w:rsid w:val="00126397"/>
    <w:rsid w:val="001267FF"/>
    <w:rsid w:val="00127254"/>
    <w:rsid w:val="00127C3E"/>
    <w:rsid w:val="001316FC"/>
    <w:rsid w:val="001319B2"/>
    <w:rsid w:val="00132060"/>
    <w:rsid w:val="00132EDB"/>
    <w:rsid w:val="0013411F"/>
    <w:rsid w:val="0013451E"/>
    <w:rsid w:val="00134568"/>
    <w:rsid w:val="001350ED"/>
    <w:rsid w:val="00135F4A"/>
    <w:rsid w:val="001404F1"/>
    <w:rsid w:val="0014072F"/>
    <w:rsid w:val="001413D0"/>
    <w:rsid w:val="001432C6"/>
    <w:rsid w:val="001433AC"/>
    <w:rsid w:val="00143DDD"/>
    <w:rsid w:val="001447B5"/>
    <w:rsid w:val="00144C39"/>
    <w:rsid w:val="0014574C"/>
    <w:rsid w:val="00145948"/>
    <w:rsid w:val="00145EB3"/>
    <w:rsid w:val="0014677D"/>
    <w:rsid w:val="001476EA"/>
    <w:rsid w:val="0015199B"/>
    <w:rsid w:val="00151ADA"/>
    <w:rsid w:val="00151F3C"/>
    <w:rsid w:val="0015347E"/>
    <w:rsid w:val="0015350E"/>
    <w:rsid w:val="001537F3"/>
    <w:rsid w:val="00154303"/>
    <w:rsid w:val="001562CA"/>
    <w:rsid w:val="00160013"/>
    <w:rsid w:val="0016151F"/>
    <w:rsid w:val="00161B51"/>
    <w:rsid w:val="00163328"/>
    <w:rsid w:val="00163B41"/>
    <w:rsid w:val="001646C1"/>
    <w:rsid w:val="00165E5D"/>
    <w:rsid w:val="00167B2D"/>
    <w:rsid w:val="00170472"/>
    <w:rsid w:val="00171A10"/>
    <w:rsid w:val="00173260"/>
    <w:rsid w:val="001734AA"/>
    <w:rsid w:val="00174383"/>
    <w:rsid w:val="00175509"/>
    <w:rsid w:val="00175D87"/>
    <w:rsid w:val="001767EE"/>
    <w:rsid w:val="0017688D"/>
    <w:rsid w:val="00181565"/>
    <w:rsid w:val="00181EDD"/>
    <w:rsid w:val="00182F5A"/>
    <w:rsid w:val="001848DB"/>
    <w:rsid w:val="00186517"/>
    <w:rsid w:val="00186585"/>
    <w:rsid w:val="00186999"/>
    <w:rsid w:val="0018761A"/>
    <w:rsid w:val="00191B32"/>
    <w:rsid w:val="0019274D"/>
    <w:rsid w:val="001934BD"/>
    <w:rsid w:val="0019382D"/>
    <w:rsid w:val="00193DDA"/>
    <w:rsid w:val="00195622"/>
    <w:rsid w:val="00196554"/>
    <w:rsid w:val="001967B5"/>
    <w:rsid w:val="00197B3E"/>
    <w:rsid w:val="001A01C1"/>
    <w:rsid w:val="001A025D"/>
    <w:rsid w:val="001A362D"/>
    <w:rsid w:val="001A4372"/>
    <w:rsid w:val="001A5898"/>
    <w:rsid w:val="001A6AC3"/>
    <w:rsid w:val="001A7529"/>
    <w:rsid w:val="001B1068"/>
    <w:rsid w:val="001B48B5"/>
    <w:rsid w:val="001B4A69"/>
    <w:rsid w:val="001B613C"/>
    <w:rsid w:val="001B66CE"/>
    <w:rsid w:val="001C046F"/>
    <w:rsid w:val="001C0897"/>
    <w:rsid w:val="001C0C9A"/>
    <w:rsid w:val="001C3132"/>
    <w:rsid w:val="001C3CE2"/>
    <w:rsid w:val="001C56C3"/>
    <w:rsid w:val="001C58E7"/>
    <w:rsid w:val="001C6AA7"/>
    <w:rsid w:val="001C6CC5"/>
    <w:rsid w:val="001D106A"/>
    <w:rsid w:val="001D18E8"/>
    <w:rsid w:val="001D2DCC"/>
    <w:rsid w:val="001D317A"/>
    <w:rsid w:val="001D45A4"/>
    <w:rsid w:val="001D56E3"/>
    <w:rsid w:val="001D6184"/>
    <w:rsid w:val="001D6958"/>
    <w:rsid w:val="001D6DA9"/>
    <w:rsid w:val="001D74CE"/>
    <w:rsid w:val="001E053D"/>
    <w:rsid w:val="001E16F2"/>
    <w:rsid w:val="001E24A5"/>
    <w:rsid w:val="001E3F2C"/>
    <w:rsid w:val="001E4D34"/>
    <w:rsid w:val="001E53AA"/>
    <w:rsid w:val="001E62E5"/>
    <w:rsid w:val="001E6588"/>
    <w:rsid w:val="001E6FCA"/>
    <w:rsid w:val="001F15E5"/>
    <w:rsid w:val="001F190D"/>
    <w:rsid w:val="001F2800"/>
    <w:rsid w:val="001F377A"/>
    <w:rsid w:val="001F3B73"/>
    <w:rsid w:val="001F46FB"/>
    <w:rsid w:val="001F5D55"/>
    <w:rsid w:val="001F6AFC"/>
    <w:rsid w:val="001F78DC"/>
    <w:rsid w:val="0020085F"/>
    <w:rsid w:val="00200CBC"/>
    <w:rsid w:val="00200F44"/>
    <w:rsid w:val="002015D0"/>
    <w:rsid w:val="00201BE0"/>
    <w:rsid w:val="002023DF"/>
    <w:rsid w:val="00203364"/>
    <w:rsid w:val="00203FA4"/>
    <w:rsid w:val="002056F1"/>
    <w:rsid w:val="00206A39"/>
    <w:rsid w:val="002073C9"/>
    <w:rsid w:val="00207E01"/>
    <w:rsid w:val="0021329A"/>
    <w:rsid w:val="00215BCF"/>
    <w:rsid w:val="00216084"/>
    <w:rsid w:val="00216E50"/>
    <w:rsid w:val="0022347C"/>
    <w:rsid w:val="00224F69"/>
    <w:rsid w:val="0022510E"/>
    <w:rsid w:val="00225706"/>
    <w:rsid w:val="00225FC6"/>
    <w:rsid w:val="00226DB4"/>
    <w:rsid w:val="00230C92"/>
    <w:rsid w:val="00231160"/>
    <w:rsid w:val="002318EA"/>
    <w:rsid w:val="00234B0C"/>
    <w:rsid w:val="002350F7"/>
    <w:rsid w:val="002351F9"/>
    <w:rsid w:val="00236132"/>
    <w:rsid w:val="00236624"/>
    <w:rsid w:val="00236B7D"/>
    <w:rsid w:val="00236EBF"/>
    <w:rsid w:val="0023772D"/>
    <w:rsid w:val="00240646"/>
    <w:rsid w:val="00241312"/>
    <w:rsid w:val="002416E4"/>
    <w:rsid w:val="00241D7B"/>
    <w:rsid w:val="00242A7E"/>
    <w:rsid w:val="00242CC9"/>
    <w:rsid w:val="00242D45"/>
    <w:rsid w:val="00242FF1"/>
    <w:rsid w:val="002430EE"/>
    <w:rsid w:val="00243782"/>
    <w:rsid w:val="00244270"/>
    <w:rsid w:val="0024510B"/>
    <w:rsid w:val="002457BC"/>
    <w:rsid w:val="002468D7"/>
    <w:rsid w:val="00247EEE"/>
    <w:rsid w:val="0025004F"/>
    <w:rsid w:val="0025086B"/>
    <w:rsid w:val="00251456"/>
    <w:rsid w:val="0025225C"/>
    <w:rsid w:val="00253677"/>
    <w:rsid w:val="00254078"/>
    <w:rsid w:val="00256D1E"/>
    <w:rsid w:val="002574E6"/>
    <w:rsid w:val="00257DBB"/>
    <w:rsid w:val="002621D1"/>
    <w:rsid w:val="002643E4"/>
    <w:rsid w:val="002663D2"/>
    <w:rsid w:val="00271BE7"/>
    <w:rsid w:val="00272113"/>
    <w:rsid w:val="00274088"/>
    <w:rsid w:val="00274150"/>
    <w:rsid w:val="0027525D"/>
    <w:rsid w:val="00275271"/>
    <w:rsid w:val="002771D1"/>
    <w:rsid w:val="002811CB"/>
    <w:rsid w:val="002816F7"/>
    <w:rsid w:val="0028358D"/>
    <w:rsid w:val="00284082"/>
    <w:rsid w:val="002848E3"/>
    <w:rsid w:val="00284DC6"/>
    <w:rsid w:val="002852DD"/>
    <w:rsid w:val="002913CC"/>
    <w:rsid w:val="00291448"/>
    <w:rsid w:val="0029156D"/>
    <w:rsid w:val="002916C3"/>
    <w:rsid w:val="0029323E"/>
    <w:rsid w:val="00293D99"/>
    <w:rsid w:val="00294B59"/>
    <w:rsid w:val="002953AE"/>
    <w:rsid w:val="002A1026"/>
    <w:rsid w:val="002A1376"/>
    <w:rsid w:val="002A22EB"/>
    <w:rsid w:val="002A2FB7"/>
    <w:rsid w:val="002A31A0"/>
    <w:rsid w:val="002A3793"/>
    <w:rsid w:val="002A4474"/>
    <w:rsid w:val="002A47C4"/>
    <w:rsid w:val="002A4B81"/>
    <w:rsid w:val="002A5607"/>
    <w:rsid w:val="002A5D4C"/>
    <w:rsid w:val="002A6F72"/>
    <w:rsid w:val="002B06B6"/>
    <w:rsid w:val="002B2A52"/>
    <w:rsid w:val="002B3C6F"/>
    <w:rsid w:val="002B3ED3"/>
    <w:rsid w:val="002B4107"/>
    <w:rsid w:val="002B54AE"/>
    <w:rsid w:val="002B59CA"/>
    <w:rsid w:val="002B5D90"/>
    <w:rsid w:val="002B613F"/>
    <w:rsid w:val="002B62A1"/>
    <w:rsid w:val="002B6B87"/>
    <w:rsid w:val="002B7402"/>
    <w:rsid w:val="002B7547"/>
    <w:rsid w:val="002C100D"/>
    <w:rsid w:val="002C1079"/>
    <w:rsid w:val="002C1CDA"/>
    <w:rsid w:val="002C342E"/>
    <w:rsid w:val="002C4342"/>
    <w:rsid w:val="002C5F6C"/>
    <w:rsid w:val="002C6D6D"/>
    <w:rsid w:val="002C77AC"/>
    <w:rsid w:val="002C7B35"/>
    <w:rsid w:val="002D0064"/>
    <w:rsid w:val="002D038A"/>
    <w:rsid w:val="002D0866"/>
    <w:rsid w:val="002D0CA9"/>
    <w:rsid w:val="002D0E24"/>
    <w:rsid w:val="002D2ED3"/>
    <w:rsid w:val="002D2F83"/>
    <w:rsid w:val="002D34BC"/>
    <w:rsid w:val="002D395E"/>
    <w:rsid w:val="002D39C1"/>
    <w:rsid w:val="002D4283"/>
    <w:rsid w:val="002D5327"/>
    <w:rsid w:val="002D6BFA"/>
    <w:rsid w:val="002E0245"/>
    <w:rsid w:val="002E39E3"/>
    <w:rsid w:val="002E3EC8"/>
    <w:rsid w:val="002E3F08"/>
    <w:rsid w:val="002E411B"/>
    <w:rsid w:val="002E4699"/>
    <w:rsid w:val="002E56F3"/>
    <w:rsid w:val="002E5D1A"/>
    <w:rsid w:val="002E67BC"/>
    <w:rsid w:val="002E74D4"/>
    <w:rsid w:val="002F09C8"/>
    <w:rsid w:val="002F1326"/>
    <w:rsid w:val="002F14E6"/>
    <w:rsid w:val="002F22B5"/>
    <w:rsid w:val="002F2A7C"/>
    <w:rsid w:val="002F3180"/>
    <w:rsid w:val="002F4067"/>
    <w:rsid w:val="002F46AA"/>
    <w:rsid w:val="002F6C6B"/>
    <w:rsid w:val="00300B8B"/>
    <w:rsid w:val="0030133F"/>
    <w:rsid w:val="00302126"/>
    <w:rsid w:val="00302CE3"/>
    <w:rsid w:val="00302D4A"/>
    <w:rsid w:val="00303296"/>
    <w:rsid w:val="00303E4C"/>
    <w:rsid w:val="00304ECD"/>
    <w:rsid w:val="00304FEC"/>
    <w:rsid w:val="0030597B"/>
    <w:rsid w:val="003068F6"/>
    <w:rsid w:val="00306DF5"/>
    <w:rsid w:val="003106ED"/>
    <w:rsid w:val="003109C5"/>
    <w:rsid w:val="00311869"/>
    <w:rsid w:val="0031299B"/>
    <w:rsid w:val="00313337"/>
    <w:rsid w:val="00313918"/>
    <w:rsid w:val="003140E8"/>
    <w:rsid w:val="00314ABA"/>
    <w:rsid w:val="00315CDD"/>
    <w:rsid w:val="00316146"/>
    <w:rsid w:val="00316B73"/>
    <w:rsid w:val="003172B9"/>
    <w:rsid w:val="0031767C"/>
    <w:rsid w:val="00317C8B"/>
    <w:rsid w:val="00317E24"/>
    <w:rsid w:val="00321337"/>
    <w:rsid w:val="00322637"/>
    <w:rsid w:val="003237F7"/>
    <w:rsid w:val="00325676"/>
    <w:rsid w:val="0032653C"/>
    <w:rsid w:val="003271A8"/>
    <w:rsid w:val="00327673"/>
    <w:rsid w:val="003278F2"/>
    <w:rsid w:val="003301EC"/>
    <w:rsid w:val="003315AB"/>
    <w:rsid w:val="003319C1"/>
    <w:rsid w:val="00331B50"/>
    <w:rsid w:val="00331D70"/>
    <w:rsid w:val="0033247F"/>
    <w:rsid w:val="0033268B"/>
    <w:rsid w:val="003329BF"/>
    <w:rsid w:val="003339A0"/>
    <w:rsid w:val="00333DD6"/>
    <w:rsid w:val="00335877"/>
    <w:rsid w:val="0033617F"/>
    <w:rsid w:val="00336AEB"/>
    <w:rsid w:val="00337665"/>
    <w:rsid w:val="003403DF"/>
    <w:rsid w:val="00340C36"/>
    <w:rsid w:val="003416BB"/>
    <w:rsid w:val="003422FA"/>
    <w:rsid w:val="00342EA6"/>
    <w:rsid w:val="00343AFE"/>
    <w:rsid w:val="0034610E"/>
    <w:rsid w:val="00347B59"/>
    <w:rsid w:val="00347D55"/>
    <w:rsid w:val="00351D2B"/>
    <w:rsid w:val="00351E4C"/>
    <w:rsid w:val="00351FF3"/>
    <w:rsid w:val="003530E5"/>
    <w:rsid w:val="00353594"/>
    <w:rsid w:val="00354981"/>
    <w:rsid w:val="0035617D"/>
    <w:rsid w:val="00356C54"/>
    <w:rsid w:val="003578BC"/>
    <w:rsid w:val="003579B3"/>
    <w:rsid w:val="003630A3"/>
    <w:rsid w:val="00363183"/>
    <w:rsid w:val="003633CE"/>
    <w:rsid w:val="003635B6"/>
    <w:rsid w:val="003635BF"/>
    <w:rsid w:val="00364CFF"/>
    <w:rsid w:val="003654F4"/>
    <w:rsid w:val="00366872"/>
    <w:rsid w:val="003708C4"/>
    <w:rsid w:val="003711F4"/>
    <w:rsid w:val="003713E8"/>
    <w:rsid w:val="003715D4"/>
    <w:rsid w:val="00371691"/>
    <w:rsid w:val="003724AF"/>
    <w:rsid w:val="0037259D"/>
    <w:rsid w:val="003728BA"/>
    <w:rsid w:val="00372E45"/>
    <w:rsid w:val="00374841"/>
    <w:rsid w:val="00375011"/>
    <w:rsid w:val="003750F5"/>
    <w:rsid w:val="00375169"/>
    <w:rsid w:val="003752D6"/>
    <w:rsid w:val="00376A74"/>
    <w:rsid w:val="00376D02"/>
    <w:rsid w:val="00377878"/>
    <w:rsid w:val="003807A3"/>
    <w:rsid w:val="003807CD"/>
    <w:rsid w:val="00380D64"/>
    <w:rsid w:val="00380DB0"/>
    <w:rsid w:val="00381D5A"/>
    <w:rsid w:val="00382470"/>
    <w:rsid w:val="0038323F"/>
    <w:rsid w:val="00383C03"/>
    <w:rsid w:val="0038576E"/>
    <w:rsid w:val="00386511"/>
    <w:rsid w:val="00386BB6"/>
    <w:rsid w:val="00387C69"/>
    <w:rsid w:val="00391B45"/>
    <w:rsid w:val="00393883"/>
    <w:rsid w:val="00393AD9"/>
    <w:rsid w:val="00393D70"/>
    <w:rsid w:val="00394103"/>
    <w:rsid w:val="003A08EC"/>
    <w:rsid w:val="003A0E73"/>
    <w:rsid w:val="003A24E6"/>
    <w:rsid w:val="003A3142"/>
    <w:rsid w:val="003A4433"/>
    <w:rsid w:val="003A51F3"/>
    <w:rsid w:val="003A5205"/>
    <w:rsid w:val="003B0567"/>
    <w:rsid w:val="003B0A26"/>
    <w:rsid w:val="003B0F62"/>
    <w:rsid w:val="003B235A"/>
    <w:rsid w:val="003B2A58"/>
    <w:rsid w:val="003B53FC"/>
    <w:rsid w:val="003B7149"/>
    <w:rsid w:val="003B7BF2"/>
    <w:rsid w:val="003C050D"/>
    <w:rsid w:val="003C2676"/>
    <w:rsid w:val="003C3D6D"/>
    <w:rsid w:val="003C4917"/>
    <w:rsid w:val="003C4AAB"/>
    <w:rsid w:val="003C5292"/>
    <w:rsid w:val="003C6799"/>
    <w:rsid w:val="003C6D28"/>
    <w:rsid w:val="003D0448"/>
    <w:rsid w:val="003D09D0"/>
    <w:rsid w:val="003D0C22"/>
    <w:rsid w:val="003D1595"/>
    <w:rsid w:val="003D1E99"/>
    <w:rsid w:val="003D2666"/>
    <w:rsid w:val="003D44ED"/>
    <w:rsid w:val="003D4697"/>
    <w:rsid w:val="003D6FF3"/>
    <w:rsid w:val="003D7319"/>
    <w:rsid w:val="003D7832"/>
    <w:rsid w:val="003E2A2F"/>
    <w:rsid w:val="003E34DF"/>
    <w:rsid w:val="003E6013"/>
    <w:rsid w:val="003E723E"/>
    <w:rsid w:val="003E7F8F"/>
    <w:rsid w:val="003E7FC6"/>
    <w:rsid w:val="003F0507"/>
    <w:rsid w:val="003F0667"/>
    <w:rsid w:val="003F0DB2"/>
    <w:rsid w:val="003F1F10"/>
    <w:rsid w:val="003F2471"/>
    <w:rsid w:val="003F4E09"/>
    <w:rsid w:val="003F680D"/>
    <w:rsid w:val="003F6A56"/>
    <w:rsid w:val="003F72EE"/>
    <w:rsid w:val="00401E1D"/>
    <w:rsid w:val="004020EB"/>
    <w:rsid w:val="00403F6B"/>
    <w:rsid w:val="004042CE"/>
    <w:rsid w:val="004053CD"/>
    <w:rsid w:val="00406D05"/>
    <w:rsid w:val="00407CE0"/>
    <w:rsid w:val="00407D1D"/>
    <w:rsid w:val="004119CA"/>
    <w:rsid w:val="00411E21"/>
    <w:rsid w:val="00411E72"/>
    <w:rsid w:val="004121CC"/>
    <w:rsid w:val="004147F5"/>
    <w:rsid w:val="004158F8"/>
    <w:rsid w:val="004178E1"/>
    <w:rsid w:val="00417E09"/>
    <w:rsid w:val="00417E30"/>
    <w:rsid w:val="00420905"/>
    <w:rsid w:val="004218B2"/>
    <w:rsid w:val="00423E4D"/>
    <w:rsid w:val="004241DE"/>
    <w:rsid w:val="00424359"/>
    <w:rsid w:val="00424A05"/>
    <w:rsid w:val="00424FAE"/>
    <w:rsid w:val="004253C5"/>
    <w:rsid w:val="004259FE"/>
    <w:rsid w:val="00425BB8"/>
    <w:rsid w:val="00426373"/>
    <w:rsid w:val="00427565"/>
    <w:rsid w:val="00427E1F"/>
    <w:rsid w:val="00430FDF"/>
    <w:rsid w:val="00431247"/>
    <w:rsid w:val="00432251"/>
    <w:rsid w:val="004323D8"/>
    <w:rsid w:val="00432E3C"/>
    <w:rsid w:val="004331F2"/>
    <w:rsid w:val="004336BC"/>
    <w:rsid w:val="004342E4"/>
    <w:rsid w:val="00434E85"/>
    <w:rsid w:val="00436176"/>
    <w:rsid w:val="004366D2"/>
    <w:rsid w:val="004368D0"/>
    <w:rsid w:val="004379B2"/>
    <w:rsid w:val="00441664"/>
    <w:rsid w:val="00442090"/>
    <w:rsid w:val="004421F4"/>
    <w:rsid w:val="00443057"/>
    <w:rsid w:val="00443B9D"/>
    <w:rsid w:val="00443FB9"/>
    <w:rsid w:val="004441A0"/>
    <w:rsid w:val="004441A6"/>
    <w:rsid w:val="00444DEF"/>
    <w:rsid w:val="00445FE6"/>
    <w:rsid w:val="00446EF1"/>
    <w:rsid w:val="00450266"/>
    <w:rsid w:val="004525D0"/>
    <w:rsid w:val="00452E5B"/>
    <w:rsid w:val="004530F0"/>
    <w:rsid w:val="004533B1"/>
    <w:rsid w:val="00454081"/>
    <w:rsid w:val="004545AB"/>
    <w:rsid w:val="00456AF8"/>
    <w:rsid w:val="00457F6A"/>
    <w:rsid w:val="00460A56"/>
    <w:rsid w:val="00460AE5"/>
    <w:rsid w:val="00461939"/>
    <w:rsid w:val="00462294"/>
    <w:rsid w:val="004635DF"/>
    <w:rsid w:val="00463783"/>
    <w:rsid w:val="00463A9F"/>
    <w:rsid w:val="00463F5A"/>
    <w:rsid w:val="00465471"/>
    <w:rsid w:val="0046643F"/>
    <w:rsid w:val="00466CF4"/>
    <w:rsid w:val="00467823"/>
    <w:rsid w:val="00470FEA"/>
    <w:rsid w:val="004716F5"/>
    <w:rsid w:val="0047293E"/>
    <w:rsid w:val="00474FAC"/>
    <w:rsid w:val="00474FEF"/>
    <w:rsid w:val="004807BF"/>
    <w:rsid w:val="00482D86"/>
    <w:rsid w:val="004834ED"/>
    <w:rsid w:val="00486B7D"/>
    <w:rsid w:val="00486F5C"/>
    <w:rsid w:val="00487DA0"/>
    <w:rsid w:val="0049012C"/>
    <w:rsid w:val="00491751"/>
    <w:rsid w:val="00494175"/>
    <w:rsid w:val="00496222"/>
    <w:rsid w:val="00496849"/>
    <w:rsid w:val="00496962"/>
    <w:rsid w:val="00496F6F"/>
    <w:rsid w:val="00497A37"/>
    <w:rsid w:val="004A6CE5"/>
    <w:rsid w:val="004A6DFF"/>
    <w:rsid w:val="004B043C"/>
    <w:rsid w:val="004B0CFF"/>
    <w:rsid w:val="004B1072"/>
    <w:rsid w:val="004B1158"/>
    <w:rsid w:val="004B268B"/>
    <w:rsid w:val="004B2CFF"/>
    <w:rsid w:val="004B300E"/>
    <w:rsid w:val="004B3975"/>
    <w:rsid w:val="004B5233"/>
    <w:rsid w:val="004B628F"/>
    <w:rsid w:val="004B67E8"/>
    <w:rsid w:val="004B6BAC"/>
    <w:rsid w:val="004B7759"/>
    <w:rsid w:val="004C0671"/>
    <w:rsid w:val="004C1608"/>
    <w:rsid w:val="004C1989"/>
    <w:rsid w:val="004C19B0"/>
    <w:rsid w:val="004C2034"/>
    <w:rsid w:val="004C21AF"/>
    <w:rsid w:val="004C236A"/>
    <w:rsid w:val="004C2BC2"/>
    <w:rsid w:val="004C2D2B"/>
    <w:rsid w:val="004C4363"/>
    <w:rsid w:val="004D12E9"/>
    <w:rsid w:val="004D1319"/>
    <w:rsid w:val="004D15E8"/>
    <w:rsid w:val="004D347D"/>
    <w:rsid w:val="004D58C8"/>
    <w:rsid w:val="004D6A2B"/>
    <w:rsid w:val="004D7A5D"/>
    <w:rsid w:val="004E0317"/>
    <w:rsid w:val="004E0763"/>
    <w:rsid w:val="004E185B"/>
    <w:rsid w:val="004E186E"/>
    <w:rsid w:val="004E1940"/>
    <w:rsid w:val="004E383E"/>
    <w:rsid w:val="004E4811"/>
    <w:rsid w:val="004E4DD1"/>
    <w:rsid w:val="004E518C"/>
    <w:rsid w:val="004E57AC"/>
    <w:rsid w:val="004E6A27"/>
    <w:rsid w:val="004E6C3C"/>
    <w:rsid w:val="004E7553"/>
    <w:rsid w:val="004F0457"/>
    <w:rsid w:val="004F20AD"/>
    <w:rsid w:val="004F4BB6"/>
    <w:rsid w:val="004F570B"/>
    <w:rsid w:val="004F57C4"/>
    <w:rsid w:val="005000C7"/>
    <w:rsid w:val="00500139"/>
    <w:rsid w:val="005021FA"/>
    <w:rsid w:val="005031D4"/>
    <w:rsid w:val="00503293"/>
    <w:rsid w:val="00503618"/>
    <w:rsid w:val="005049FB"/>
    <w:rsid w:val="00504CB8"/>
    <w:rsid w:val="005054A5"/>
    <w:rsid w:val="00506E1C"/>
    <w:rsid w:val="00507092"/>
    <w:rsid w:val="005104E2"/>
    <w:rsid w:val="00510889"/>
    <w:rsid w:val="005111CE"/>
    <w:rsid w:val="00511F67"/>
    <w:rsid w:val="0051268A"/>
    <w:rsid w:val="00512E62"/>
    <w:rsid w:val="0051335A"/>
    <w:rsid w:val="00513E1D"/>
    <w:rsid w:val="0051477E"/>
    <w:rsid w:val="00515153"/>
    <w:rsid w:val="005153ED"/>
    <w:rsid w:val="00515755"/>
    <w:rsid w:val="00515909"/>
    <w:rsid w:val="00516A52"/>
    <w:rsid w:val="00517B66"/>
    <w:rsid w:val="0052088C"/>
    <w:rsid w:val="00520A69"/>
    <w:rsid w:val="0052114E"/>
    <w:rsid w:val="005211C4"/>
    <w:rsid w:val="005217FE"/>
    <w:rsid w:val="00521908"/>
    <w:rsid w:val="005234CC"/>
    <w:rsid w:val="00526570"/>
    <w:rsid w:val="005306EB"/>
    <w:rsid w:val="00530C82"/>
    <w:rsid w:val="00530D17"/>
    <w:rsid w:val="00531E90"/>
    <w:rsid w:val="005325EE"/>
    <w:rsid w:val="00532D05"/>
    <w:rsid w:val="00533054"/>
    <w:rsid w:val="005348EF"/>
    <w:rsid w:val="00534C80"/>
    <w:rsid w:val="00536A73"/>
    <w:rsid w:val="005404AA"/>
    <w:rsid w:val="005409E8"/>
    <w:rsid w:val="00540D37"/>
    <w:rsid w:val="00540E74"/>
    <w:rsid w:val="00540E84"/>
    <w:rsid w:val="005418BF"/>
    <w:rsid w:val="00541F63"/>
    <w:rsid w:val="00542F35"/>
    <w:rsid w:val="00543667"/>
    <w:rsid w:val="00543C4F"/>
    <w:rsid w:val="00543EAA"/>
    <w:rsid w:val="00544F62"/>
    <w:rsid w:val="00545F97"/>
    <w:rsid w:val="0054609F"/>
    <w:rsid w:val="005462B7"/>
    <w:rsid w:val="0054690D"/>
    <w:rsid w:val="00546E9F"/>
    <w:rsid w:val="005504FC"/>
    <w:rsid w:val="00550720"/>
    <w:rsid w:val="00551973"/>
    <w:rsid w:val="00551ACC"/>
    <w:rsid w:val="00554313"/>
    <w:rsid w:val="00555687"/>
    <w:rsid w:val="005631FB"/>
    <w:rsid w:val="00563D5B"/>
    <w:rsid w:val="00567ED0"/>
    <w:rsid w:val="00570178"/>
    <w:rsid w:val="00570312"/>
    <w:rsid w:val="00570EC0"/>
    <w:rsid w:val="00571C38"/>
    <w:rsid w:val="00572281"/>
    <w:rsid w:val="005732C5"/>
    <w:rsid w:val="00573CD6"/>
    <w:rsid w:val="0057445C"/>
    <w:rsid w:val="00574E4D"/>
    <w:rsid w:val="005751FC"/>
    <w:rsid w:val="00575C8E"/>
    <w:rsid w:val="0057634B"/>
    <w:rsid w:val="00576EA3"/>
    <w:rsid w:val="00576FF9"/>
    <w:rsid w:val="00577CC3"/>
    <w:rsid w:val="00581383"/>
    <w:rsid w:val="00582DCB"/>
    <w:rsid w:val="00583726"/>
    <w:rsid w:val="005838B4"/>
    <w:rsid w:val="00583E11"/>
    <w:rsid w:val="005841E9"/>
    <w:rsid w:val="00585AA5"/>
    <w:rsid w:val="00585AFF"/>
    <w:rsid w:val="00586DB9"/>
    <w:rsid w:val="0058774F"/>
    <w:rsid w:val="0059042A"/>
    <w:rsid w:val="00591119"/>
    <w:rsid w:val="00592C3D"/>
    <w:rsid w:val="00594544"/>
    <w:rsid w:val="00595C64"/>
    <w:rsid w:val="00596252"/>
    <w:rsid w:val="0059674A"/>
    <w:rsid w:val="00596C81"/>
    <w:rsid w:val="005A1433"/>
    <w:rsid w:val="005A1C9A"/>
    <w:rsid w:val="005A324C"/>
    <w:rsid w:val="005A366F"/>
    <w:rsid w:val="005A3A50"/>
    <w:rsid w:val="005A4408"/>
    <w:rsid w:val="005A5AFE"/>
    <w:rsid w:val="005A6C8F"/>
    <w:rsid w:val="005A7CE1"/>
    <w:rsid w:val="005A7D05"/>
    <w:rsid w:val="005B0D26"/>
    <w:rsid w:val="005B176D"/>
    <w:rsid w:val="005B22DD"/>
    <w:rsid w:val="005B2468"/>
    <w:rsid w:val="005B3FBF"/>
    <w:rsid w:val="005B4665"/>
    <w:rsid w:val="005B49E9"/>
    <w:rsid w:val="005B5B8F"/>
    <w:rsid w:val="005B5EAA"/>
    <w:rsid w:val="005B5FAC"/>
    <w:rsid w:val="005B7AC0"/>
    <w:rsid w:val="005C20EF"/>
    <w:rsid w:val="005C32ED"/>
    <w:rsid w:val="005C4E03"/>
    <w:rsid w:val="005C5467"/>
    <w:rsid w:val="005C6FE5"/>
    <w:rsid w:val="005C721F"/>
    <w:rsid w:val="005D1544"/>
    <w:rsid w:val="005D225F"/>
    <w:rsid w:val="005D2BDE"/>
    <w:rsid w:val="005D48DC"/>
    <w:rsid w:val="005D4CD3"/>
    <w:rsid w:val="005D567F"/>
    <w:rsid w:val="005E0164"/>
    <w:rsid w:val="005E016A"/>
    <w:rsid w:val="005E1C1A"/>
    <w:rsid w:val="005E2106"/>
    <w:rsid w:val="005E293C"/>
    <w:rsid w:val="005E2B00"/>
    <w:rsid w:val="005E2D89"/>
    <w:rsid w:val="005E3246"/>
    <w:rsid w:val="005E325C"/>
    <w:rsid w:val="005E35F9"/>
    <w:rsid w:val="005E3678"/>
    <w:rsid w:val="005E38BD"/>
    <w:rsid w:val="005E43B6"/>
    <w:rsid w:val="005E49C1"/>
    <w:rsid w:val="005E6396"/>
    <w:rsid w:val="005E6ACC"/>
    <w:rsid w:val="005E7C0E"/>
    <w:rsid w:val="005E7C80"/>
    <w:rsid w:val="005F0087"/>
    <w:rsid w:val="005F0479"/>
    <w:rsid w:val="005F2202"/>
    <w:rsid w:val="005F29FA"/>
    <w:rsid w:val="005F2C7A"/>
    <w:rsid w:val="005F2DE2"/>
    <w:rsid w:val="005F30C3"/>
    <w:rsid w:val="005F4B30"/>
    <w:rsid w:val="005F4B74"/>
    <w:rsid w:val="005F4D86"/>
    <w:rsid w:val="005F50BE"/>
    <w:rsid w:val="005F620A"/>
    <w:rsid w:val="00600525"/>
    <w:rsid w:val="00602B51"/>
    <w:rsid w:val="00602BC1"/>
    <w:rsid w:val="00603103"/>
    <w:rsid w:val="00603C32"/>
    <w:rsid w:val="00604AB3"/>
    <w:rsid w:val="00604CB7"/>
    <w:rsid w:val="00604D97"/>
    <w:rsid w:val="006053FB"/>
    <w:rsid w:val="0060591A"/>
    <w:rsid w:val="00605D79"/>
    <w:rsid w:val="00606A62"/>
    <w:rsid w:val="00606D6B"/>
    <w:rsid w:val="00606E3A"/>
    <w:rsid w:val="00607F78"/>
    <w:rsid w:val="006114B3"/>
    <w:rsid w:val="00612AE6"/>
    <w:rsid w:val="006166D1"/>
    <w:rsid w:val="00617588"/>
    <w:rsid w:val="00620FB8"/>
    <w:rsid w:val="00621CDC"/>
    <w:rsid w:val="0062346C"/>
    <w:rsid w:val="00623A14"/>
    <w:rsid w:val="00624E71"/>
    <w:rsid w:val="0062584C"/>
    <w:rsid w:val="0062638F"/>
    <w:rsid w:val="00626B11"/>
    <w:rsid w:val="006304A3"/>
    <w:rsid w:val="00630A72"/>
    <w:rsid w:val="00630DF0"/>
    <w:rsid w:val="00632E26"/>
    <w:rsid w:val="006331BE"/>
    <w:rsid w:val="006333D0"/>
    <w:rsid w:val="00633EC3"/>
    <w:rsid w:val="00634394"/>
    <w:rsid w:val="006346EB"/>
    <w:rsid w:val="00634A33"/>
    <w:rsid w:val="00636C4A"/>
    <w:rsid w:val="00637533"/>
    <w:rsid w:val="006408F5"/>
    <w:rsid w:val="00641988"/>
    <w:rsid w:val="00641A66"/>
    <w:rsid w:val="0064257F"/>
    <w:rsid w:val="006428C4"/>
    <w:rsid w:val="006447F2"/>
    <w:rsid w:val="0064484E"/>
    <w:rsid w:val="00644B5D"/>
    <w:rsid w:val="00644D3D"/>
    <w:rsid w:val="00646B3C"/>
    <w:rsid w:val="00647375"/>
    <w:rsid w:val="006505BE"/>
    <w:rsid w:val="00651917"/>
    <w:rsid w:val="00651C69"/>
    <w:rsid w:val="00653859"/>
    <w:rsid w:val="00653C44"/>
    <w:rsid w:val="00654950"/>
    <w:rsid w:val="00656583"/>
    <w:rsid w:val="00661927"/>
    <w:rsid w:val="00661B3A"/>
    <w:rsid w:val="00662F59"/>
    <w:rsid w:val="00663099"/>
    <w:rsid w:val="00664DEB"/>
    <w:rsid w:val="006654B8"/>
    <w:rsid w:val="006666CA"/>
    <w:rsid w:val="00666ABD"/>
    <w:rsid w:val="006702A2"/>
    <w:rsid w:val="00670E08"/>
    <w:rsid w:val="006713AE"/>
    <w:rsid w:val="00672E3B"/>
    <w:rsid w:val="006748CB"/>
    <w:rsid w:val="00677CB1"/>
    <w:rsid w:val="00677D4E"/>
    <w:rsid w:val="006803B1"/>
    <w:rsid w:val="00680A1E"/>
    <w:rsid w:val="00682E63"/>
    <w:rsid w:val="00683853"/>
    <w:rsid w:val="00684236"/>
    <w:rsid w:val="00684377"/>
    <w:rsid w:val="00684593"/>
    <w:rsid w:val="006857DC"/>
    <w:rsid w:val="00685B7C"/>
    <w:rsid w:val="006862BF"/>
    <w:rsid w:val="006907C9"/>
    <w:rsid w:val="006928C0"/>
    <w:rsid w:val="00692EEC"/>
    <w:rsid w:val="006935DE"/>
    <w:rsid w:val="0069455B"/>
    <w:rsid w:val="00694A41"/>
    <w:rsid w:val="00696DC0"/>
    <w:rsid w:val="00697792"/>
    <w:rsid w:val="006A0460"/>
    <w:rsid w:val="006A0461"/>
    <w:rsid w:val="006A05E7"/>
    <w:rsid w:val="006A07BC"/>
    <w:rsid w:val="006A1E33"/>
    <w:rsid w:val="006A72E3"/>
    <w:rsid w:val="006A77A1"/>
    <w:rsid w:val="006A7EC3"/>
    <w:rsid w:val="006B4B61"/>
    <w:rsid w:val="006B70BA"/>
    <w:rsid w:val="006B7EBC"/>
    <w:rsid w:val="006C04E5"/>
    <w:rsid w:val="006C07DA"/>
    <w:rsid w:val="006C0C91"/>
    <w:rsid w:val="006C0E1D"/>
    <w:rsid w:val="006C18A9"/>
    <w:rsid w:val="006C1DEB"/>
    <w:rsid w:val="006C2F7B"/>
    <w:rsid w:val="006C45FF"/>
    <w:rsid w:val="006C501D"/>
    <w:rsid w:val="006C5B2D"/>
    <w:rsid w:val="006C6F14"/>
    <w:rsid w:val="006C6F9A"/>
    <w:rsid w:val="006C7429"/>
    <w:rsid w:val="006D1639"/>
    <w:rsid w:val="006D1EC0"/>
    <w:rsid w:val="006D3077"/>
    <w:rsid w:val="006D310D"/>
    <w:rsid w:val="006D3307"/>
    <w:rsid w:val="006D4981"/>
    <w:rsid w:val="006D5FA4"/>
    <w:rsid w:val="006D63FA"/>
    <w:rsid w:val="006D6686"/>
    <w:rsid w:val="006D7B36"/>
    <w:rsid w:val="006E0873"/>
    <w:rsid w:val="006E1A9C"/>
    <w:rsid w:val="006E28F8"/>
    <w:rsid w:val="006E3361"/>
    <w:rsid w:val="006E48C1"/>
    <w:rsid w:val="006E5F2E"/>
    <w:rsid w:val="006E606D"/>
    <w:rsid w:val="006E6481"/>
    <w:rsid w:val="006E6644"/>
    <w:rsid w:val="006E682A"/>
    <w:rsid w:val="006E73EC"/>
    <w:rsid w:val="006E7F78"/>
    <w:rsid w:val="006E7F9D"/>
    <w:rsid w:val="006F246C"/>
    <w:rsid w:val="006F2D1C"/>
    <w:rsid w:val="006F2DC3"/>
    <w:rsid w:val="006F3DDB"/>
    <w:rsid w:val="006F4564"/>
    <w:rsid w:val="006F4FAD"/>
    <w:rsid w:val="006F5C23"/>
    <w:rsid w:val="006F606A"/>
    <w:rsid w:val="006F664B"/>
    <w:rsid w:val="006F6AF9"/>
    <w:rsid w:val="00700794"/>
    <w:rsid w:val="0070120C"/>
    <w:rsid w:val="00701F53"/>
    <w:rsid w:val="00703357"/>
    <w:rsid w:val="00703F4E"/>
    <w:rsid w:val="00704908"/>
    <w:rsid w:val="00704CF4"/>
    <w:rsid w:val="00705EB4"/>
    <w:rsid w:val="007077A3"/>
    <w:rsid w:val="00710281"/>
    <w:rsid w:val="007111A6"/>
    <w:rsid w:val="007117EF"/>
    <w:rsid w:val="00712CB3"/>
    <w:rsid w:val="00714B86"/>
    <w:rsid w:val="00715761"/>
    <w:rsid w:val="00715A1B"/>
    <w:rsid w:val="00715E0E"/>
    <w:rsid w:val="00716CCD"/>
    <w:rsid w:val="00720637"/>
    <w:rsid w:val="0072114A"/>
    <w:rsid w:val="007212B9"/>
    <w:rsid w:val="007265FA"/>
    <w:rsid w:val="00727BEF"/>
    <w:rsid w:val="00727D54"/>
    <w:rsid w:val="007305E2"/>
    <w:rsid w:val="00731846"/>
    <w:rsid w:val="007320D2"/>
    <w:rsid w:val="0073353E"/>
    <w:rsid w:val="00733705"/>
    <w:rsid w:val="00733F37"/>
    <w:rsid w:val="00734B2A"/>
    <w:rsid w:val="00734C7B"/>
    <w:rsid w:val="007375C6"/>
    <w:rsid w:val="007376D1"/>
    <w:rsid w:val="007405D7"/>
    <w:rsid w:val="00740FAC"/>
    <w:rsid w:val="00741390"/>
    <w:rsid w:val="00741FFF"/>
    <w:rsid w:val="00742579"/>
    <w:rsid w:val="0074365E"/>
    <w:rsid w:val="00744073"/>
    <w:rsid w:val="00744621"/>
    <w:rsid w:val="00744CA3"/>
    <w:rsid w:val="00744E26"/>
    <w:rsid w:val="00745829"/>
    <w:rsid w:val="00745BA7"/>
    <w:rsid w:val="00746879"/>
    <w:rsid w:val="0074724A"/>
    <w:rsid w:val="007474AE"/>
    <w:rsid w:val="00747783"/>
    <w:rsid w:val="0075011D"/>
    <w:rsid w:val="00750497"/>
    <w:rsid w:val="00751478"/>
    <w:rsid w:val="0075148A"/>
    <w:rsid w:val="007529B2"/>
    <w:rsid w:val="00753E3D"/>
    <w:rsid w:val="0075600B"/>
    <w:rsid w:val="00756357"/>
    <w:rsid w:val="00756BCD"/>
    <w:rsid w:val="00757845"/>
    <w:rsid w:val="007618A6"/>
    <w:rsid w:val="00762A70"/>
    <w:rsid w:val="00762C16"/>
    <w:rsid w:val="007632F9"/>
    <w:rsid w:val="007635B7"/>
    <w:rsid w:val="00764372"/>
    <w:rsid w:val="0076652A"/>
    <w:rsid w:val="00770435"/>
    <w:rsid w:val="00771242"/>
    <w:rsid w:val="00771346"/>
    <w:rsid w:val="00772143"/>
    <w:rsid w:val="00774524"/>
    <w:rsid w:val="00775917"/>
    <w:rsid w:val="00776AFE"/>
    <w:rsid w:val="00777070"/>
    <w:rsid w:val="00777134"/>
    <w:rsid w:val="0078083F"/>
    <w:rsid w:val="007814BE"/>
    <w:rsid w:val="00782386"/>
    <w:rsid w:val="007823D2"/>
    <w:rsid w:val="00782532"/>
    <w:rsid w:val="0078514F"/>
    <w:rsid w:val="00785C96"/>
    <w:rsid w:val="00786AA6"/>
    <w:rsid w:val="007878EF"/>
    <w:rsid w:val="007901D6"/>
    <w:rsid w:val="0079038D"/>
    <w:rsid w:val="00791BE9"/>
    <w:rsid w:val="007928AE"/>
    <w:rsid w:val="00792C90"/>
    <w:rsid w:val="0079343C"/>
    <w:rsid w:val="0079397D"/>
    <w:rsid w:val="00794019"/>
    <w:rsid w:val="00794314"/>
    <w:rsid w:val="0079513C"/>
    <w:rsid w:val="007A04F9"/>
    <w:rsid w:val="007A0789"/>
    <w:rsid w:val="007A0F6A"/>
    <w:rsid w:val="007A1072"/>
    <w:rsid w:val="007A1256"/>
    <w:rsid w:val="007A23F2"/>
    <w:rsid w:val="007A395B"/>
    <w:rsid w:val="007A3AC7"/>
    <w:rsid w:val="007A5506"/>
    <w:rsid w:val="007A5EF9"/>
    <w:rsid w:val="007A660A"/>
    <w:rsid w:val="007A6E3C"/>
    <w:rsid w:val="007A77FA"/>
    <w:rsid w:val="007B14F1"/>
    <w:rsid w:val="007B1A5B"/>
    <w:rsid w:val="007B1B44"/>
    <w:rsid w:val="007B45EF"/>
    <w:rsid w:val="007B5A88"/>
    <w:rsid w:val="007B5CA9"/>
    <w:rsid w:val="007B6996"/>
    <w:rsid w:val="007B6A1D"/>
    <w:rsid w:val="007C0669"/>
    <w:rsid w:val="007C195E"/>
    <w:rsid w:val="007C253A"/>
    <w:rsid w:val="007C2DB2"/>
    <w:rsid w:val="007C3C84"/>
    <w:rsid w:val="007C45BA"/>
    <w:rsid w:val="007C45CD"/>
    <w:rsid w:val="007C45E4"/>
    <w:rsid w:val="007C5413"/>
    <w:rsid w:val="007C5E17"/>
    <w:rsid w:val="007C6302"/>
    <w:rsid w:val="007C649E"/>
    <w:rsid w:val="007C713F"/>
    <w:rsid w:val="007C7B64"/>
    <w:rsid w:val="007D0DE1"/>
    <w:rsid w:val="007D1679"/>
    <w:rsid w:val="007D1705"/>
    <w:rsid w:val="007D1E72"/>
    <w:rsid w:val="007D2013"/>
    <w:rsid w:val="007D2ACE"/>
    <w:rsid w:val="007D2F46"/>
    <w:rsid w:val="007D3227"/>
    <w:rsid w:val="007D4198"/>
    <w:rsid w:val="007D5069"/>
    <w:rsid w:val="007D5500"/>
    <w:rsid w:val="007D625D"/>
    <w:rsid w:val="007D6C5D"/>
    <w:rsid w:val="007D7129"/>
    <w:rsid w:val="007E01ED"/>
    <w:rsid w:val="007E024D"/>
    <w:rsid w:val="007E0526"/>
    <w:rsid w:val="007E1B29"/>
    <w:rsid w:val="007E3DDB"/>
    <w:rsid w:val="007E4375"/>
    <w:rsid w:val="007E45C0"/>
    <w:rsid w:val="007E4822"/>
    <w:rsid w:val="007E51FE"/>
    <w:rsid w:val="007E5282"/>
    <w:rsid w:val="007E52AC"/>
    <w:rsid w:val="007E5F40"/>
    <w:rsid w:val="007E6C97"/>
    <w:rsid w:val="007E6E49"/>
    <w:rsid w:val="007E7581"/>
    <w:rsid w:val="007E77D5"/>
    <w:rsid w:val="007F0879"/>
    <w:rsid w:val="007F1964"/>
    <w:rsid w:val="007F1FA8"/>
    <w:rsid w:val="007F4C96"/>
    <w:rsid w:val="007F5249"/>
    <w:rsid w:val="007F706E"/>
    <w:rsid w:val="007F7C65"/>
    <w:rsid w:val="007F7EE7"/>
    <w:rsid w:val="008024EC"/>
    <w:rsid w:val="00802ABE"/>
    <w:rsid w:val="0080328D"/>
    <w:rsid w:val="00804994"/>
    <w:rsid w:val="00804E28"/>
    <w:rsid w:val="00805BED"/>
    <w:rsid w:val="00806942"/>
    <w:rsid w:val="0080730F"/>
    <w:rsid w:val="00810465"/>
    <w:rsid w:val="00811D08"/>
    <w:rsid w:val="00812991"/>
    <w:rsid w:val="0081350B"/>
    <w:rsid w:val="0081469A"/>
    <w:rsid w:val="0081555D"/>
    <w:rsid w:val="00816847"/>
    <w:rsid w:val="008168A1"/>
    <w:rsid w:val="008169EA"/>
    <w:rsid w:val="00816B88"/>
    <w:rsid w:val="00820044"/>
    <w:rsid w:val="0082091B"/>
    <w:rsid w:val="00821EB4"/>
    <w:rsid w:val="00823729"/>
    <w:rsid w:val="00823E11"/>
    <w:rsid w:val="0082434D"/>
    <w:rsid w:val="00826014"/>
    <w:rsid w:val="0082647B"/>
    <w:rsid w:val="00826BDC"/>
    <w:rsid w:val="0083161B"/>
    <w:rsid w:val="00833188"/>
    <w:rsid w:val="0083320C"/>
    <w:rsid w:val="00833DE9"/>
    <w:rsid w:val="00833F77"/>
    <w:rsid w:val="00834C0E"/>
    <w:rsid w:val="0083514D"/>
    <w:rsid w:val="008355A3"/>
    <w:rsid w:val="00835AC3"/>
    <w:rsid w:val="0083748A"/>
    <w:rsid w:val="00837A40"/>
    <w:rsid w:val="008412BC"/>
    <w:rsid w:val="008413D1"/>
    <w:rsid w:val="00841E72"/>
    <w:rsid w:val="00842F16"/>
    <w:rsid w:val="00843603"/>
    <w:rsid w:val="00843B51"/>
    <w:rsid w:val="008442A3"/>
    <w:rsid w:val="00844396"/>
    <w:rsid w:val="00844912"/>
    <w:rsid w:val="00845B98"/>
    <w:rsid w:val="008473A8"/>
    <w:rsid w:val="00850123"/>
    <w:rsid w:val="0085134B"/>
    <w:rsid w:val="0085162B"/>
    <w:rsid w:val="00851A26"/>
    <w:rsid w:val="0085231E"/>
    <w:rsid w:val="008554ED"/>
    <w:rsid w:val="008554F4"/>
    <w:rsid w:val="00855F16"/>
    <w:rsid w:val="00856B1F"/>
    <w:rsid w:val="0085740C"/>
    <w:rsid w:val="00857BD9"/>
    <w:rsid w:val="0086047E"/>
    <w:rsid w:val="00860958"/>
    <w:rsid w:val="008612CA"/>
    <w:rsid w:val="008626DD"/>
    <w:rsid w:val="008639B3"/>
    <w:rsid w:val="00864A68"/>
    <w:rsid w:val="00864DB1"/>
    <w:rsid w:val="00865F31"/>
    <w:rsid w:val="00870252"/>
    <w:rsid w:val="00871167"/>
    <w:rsid w:val="00871F78"/>
    <w:rsid w:val="00873214"/>
    <w:rsid w:val="008739B5"/>
    <w:rsid w:val="008739BF"/>
    <w:rsid w:val="00874EA3"/>
    <w:rsid w:val="00875327"/>
    <w:rsid w:val="00876BF2"/>
    <w:rsid w:val="008804D5"/>
    <w:rsid w:val="00880D77"/>
    <w:rsid w:val="0088182E"/>
    <w:rsid w:val="00884061"/>
    <w:rsid w:val="00884B29"/>
    <w:rsid w:val="00886690"/>
    <w:rsid w:val="00887320"/>
    <w:rsid w:val="008877C3"/>
    <w:rsid w:val="0089005F"/>
    <w:rsid w:val="008902A9"/>
    <w:rsid w:val="00890EBF"/>
    <w:rsid w:val="008911C4"/>
    <w:rsid w:val="00891ECA"/>
    <w:rsid w:val="0089334B"/>
    <w:rsid w:val="00893E6D"/>
    <w:rsid w:val="008945A2"/>
    <w:rsid w:val="00894AD6"/>
    <w:rsid w:val="0089505A"/>
    <w:rsid w:val="008955C1"/>
    <w:rsid w:val="00897447"/>
    <w:rsid w:val="00897E96"/>
    <w:rsid w:val="008A256A"/>
    <w:rsid w:val="008A2691"/>
    <w:rsid w:val="008A2889"/>
    <w:rsid w:val="008A60CC"/>
    <w:rsid w:val="008B00EB"/>
    <w:rsid w:val="008B01E8"/>
    <w:rsid w:val="008B08C1"/>
    <w:rsid w:val="008B0F9B"/>
    <w:rsid w:val="008B3C9F"/>
    <w:rsid w:val="008B3EBE"/>
    <w:rsid w:val="008B40F9"/>
    <w:rsid w:val="008B4A1E"/>
    <w:rsid w:val="008B5031"/>
    <w:rsid w:val="008B5BD8"/>
    <w:rsid w:val="008C0002"/>
    <w:rsid w:val="008C0CCF"/>
    <w:rsid w:val="008C2B44"/>
    <w:rsid w:val="008C2C88"/>
    <w:rsid w:val="008C4D9B"/>
    <w:rsid w:val="008C62B4"/>
    <w:rsid w:val="008C6F4B"/>
    <w:rsid w:val="008C7D2B"/>
    <w:rsid w:val="008D0290"/>
    <w:rsid w:val="008D0BFB"/>
    <w:rsid w:val="008D2F89"/>
    <w:rsid w:val="008D3023"/>
    <w:rsid w:val="008D326E"/>
    <w:rsid w:val="008D3731"/>
    <w:rsid w:val="008D3960"/>
    <w:rsid w:val="008D39E4"/>
    <w:rsid w:val="008D5265"/>
    <w:rsid w:val="008D52BE"/>
    <w:rsid w:val="008D56E8"/>
    <w:rsid w:val="008D62C6"/>
    <w:rsid w:val="008D7FA7"/>
    <w:rsid w:val="008E0481"/>
    <w:rsid w:val="008E10EA"/>
    <w:rsid w:val="008E15C7"/>
    <w:rsid w:val="008E300E"/>
    <w:rsid w:val="008E40A3"/>
    <w:rsid w:val="008E41E5"/>
    <w:rsid w:val="008E4382"/>
    <w:rsid w:val="008E4AD1"/>
    <w:rsid w:val="008E4DA4"/>
    <w:rsid w:val="008E4DF5"/>
    <w:rsid w:val="008E7130"/>
    <w:rsid w:val="008E76AB"/>
    <w:rsid w:val="008F0254"/>
    <w:rsid w:val="008F0986"/>
    <w:rsid w:val="008F208B"/>
    <w:rsid w:val="008F2621"/>
    <w:rsid w:val="008F377B"/>
    <w:rsid w:val="008F3B2B"/>
    <w:rsid w:val="008F527A"/>
    <w:rsid w:val="008F561C"/>
    <w:rsid w:val="008F6E16"/>
    <w:rsid w:val="008F7715"/>
    <w:rsid w:val="008F7B7E"/>
    <w:rsid w:val="009001BD"/>
    <w:rsid w:val="0090079C"/>
    <w:rsid w:val="00901A11"/>
    <w:rsid w:val="00901C3B"/>
    <w:rsid w:val="009029F3"/>
    <w:rsid w:val="009034B7"/>
    <w:rsid w:val="00903DCE"/>
    <w:rsid w:val="00903F9E"/>
    <w:rsid w:val="0090508A"/>
    <w:rsid w:val="009050D1"/>
    <w:rsid w:val="00905773"/>
    <w:rsid w:val="009065D7"/>
    <w:rsid w:val="00907491"/>
    <w:rsid w:val="00907880"/>
    <w:rsid w:val="00907B3F"/>
    <w:rsid w:val="00910665"/>
    <w:rsid w:val="00910BFB"/>
    <w:rsid w:val="00912590"/>
    <w:rsid w:val="00912958"/>
    <w:rsid w:val="0091426E"/>
    <w:rsid w:val="00915D16"/>
    <w:rsid w:val="00916030"/>
    <w:rsid w:val="00916266"/>
    <w:rsid w:val="00916433"/>
    <w:rsid w:val="00916C8E"/>
    <w:rsid w:val="00916CBF"/>
    <w:rsid w:val="00920039"/>
    <w:rsid w:val="009205BA"/>
    <w:rsid w:val="00920C64"/>
    <w:rsid w:val="00920DB9"/>
    <w:rsid w:val="00922A4A"/>
    <w:rsid w:val="0092535C"/>
    <w:rsid w:val="0092549A"/>
    <w:rsid w:val="009256B3"/>
    <w:rsid w:val="0092777A"/>
    <w:rsid w:val="00930248"/>
    <w:rsid w:val="00930CB4"/>
    <w:rsid w:val="009312A6"/>
    <w:rsid w:val="00931527"/>
    <w:rsid w:val="00931DB7"/>
    <w:rsid w:val="00931FF0"/>
    <w:rsid w:val="0093233A"/>
    <w:rsid w:val="009328D4"/>
    <w:rsid w:val="00933E53"/>
    <w:rsid w:val="00934353"/>
    <w:rsid w:val="009364A9"/>
    <w:rsid w:val="00937AA1"/>
    <w:rsid w:val="009411DC"/>
    <w:rsid w:val="00942198"/>
    <w:rsid w:val="00942FDB"/>
    <w:rsid w:val="009435CF"/>
    <w:rsid w:val="00943A67"/>
    <w:rsid w:val="00943FE1"/>
    <w:rsid w:val="00944D09"/>
    <w:rsid w:val="00944F0A"/>
    <w:rsid w:val="00945987"/>
    <w:rsid w:val="00945A9C"/>
    <w:rsid w:val="00947B8B"/>
    <w:rsid w:val="009517A1"/>
    <w:rsid w:val="00953DA0"/>
    <w:rsid w:val="00954421"/>
    <w:rsid w:val="0095602D"/>
    <w:rsid w:val="00957DD5"/>
    <w:rsid w:val="00957F0E"/>
    <w:rsid w:val="00960D2D"/>
    <w:rsid w:val="009617BF"/>
    <w:rsid w:val="00961A57"/>
    <w:rsid w:val="00964732"/>
    <w:rsid w:val="0096584E"/>
    <w:rsid w:val="00965F61"/>
    <w:rsid w:val="00966954"/>
    <w:rsid w:val="0096792B"/>
    <w:rsid w:val="00970F63"/>
    <w:rsid w:val="00974CED"/>
    <w:rsid w:val="009754B9"/>
    <w:rsid w:val="00980317"/>
    <w:rsid w:val="00981542"/>
    <w:rsid w:val="009818A9"/>
    <w:rsid w:val="00981A3E"/>
    <w:rsid w:val="009820CE"/>
    <w:rsid w:val="009820F2"/>
    <w:rsid w:val="0098218D"/>
    <w:rsid w:val="00982C8F"/>
    <w:rsid w:val="00983889"/>
    <w:rsid w:val="00984373"/>
    <w:rsid w:val="00985A0A"/>
    <w:rsid w:val="00986072"/>
    <w:rsid w:val="0098618D"/>
    <w:rsid w:val="0098639F"/>
    <w:rsid w:val="009863ED"/>
    <w:rsid w:val="00987498"/>
    <w:rsid w:val="00987918"/>
    <w:rsid w:val="00990317"/>
    <w:rsid w:val="00990339"/>
    <w:rsid w:val="009907CB"/>
    <w:rsid w:val="009908FE"/>
    <w:rsid w:val="00991932"/>
    <w:rsid w:val="00991B67"/>
    <w:rsid w:val="009940B2"/>
    <w:rsid w:val="00994661"/>
    <w:rsid w:val="0099533A"/>
    <w:rsid w:val="00995E17"/>
    <w:rsid w:val="00997318"/>
    <w:rsid w:val="009A01AC"/>
    <w:rsid w:val="009A0753"/>
    <w:rsid w:val="009A19A3"/>
    <w:rsid w:val="009A22A9"/>
    <w:rsid w:val="009A27B2"/>
    <w:rsid w:val="009A5653"/>
    <w:rsid w:val="009A5E2B"/>
    <w:rsid w:val="009A624F"/>
    <w:rsid w:val="009A67A6"/>
    <w:rsid w:val="009A683B"/>
    <w:rsid w:val="009A6E3C"/>
    <w:rsid w:val="009A775C"/>
    <w:rsid w:val="009B0552"/>
    <w:rsid w:val="009B0903"/>
    <w:rsid w:val="009B114E"/>
    <w:rsid w:val="009B40C4"/>
    <w:rsid w:val="009B46CB"/>
    <w:rsid w:val="009B5431"/>
    <w:rsid w:val="009B5923"/>
    <w:rsid w:val="009B5E21"/>
    <w:rsid w:val="009B5E6F"/>
    <w:rsid w:val="009B6D99"/>
    <w:rsid w:val="009B6F98"/>
    <w:rsid w:val="009B783C"/>
    <w:rsid w:val="009C0A9B"/>
    <w:rsid w:val="009C0BE8"/>
    <w:rsid w:val="009C31F6"/>
    <w:rsid w:val="009C3F21"/>
    <w:rsid w:val="009C4B5C"/>
    <w:rsid w:val="009C5899"/>
    <w:rsid w:val="009C5DDC"/>
    <w:rsid w:val="009C781E"/>
    <w:rsid w:val="009C7BC9"/>
    <w:rsid w:val="009D1312"/>
    <w:rsid w:val="009D1A2F"/>
    <w:rsid w:val="009D1EAF"/>
    <w:rsid w:val="009D1FDD"/>
    <w:rsid w:val="009D2230"/>
    <w:rsid w:val="009D4261"/>
    <w:rsid w:val="009D4B75"/>
    <w:rsid w:val="009D5A36"/>
    <w:rsid w:val="009D6EDE"/>
    <w:rsid w:val="009D74A6"/>
    <w:rsid w:val="009D79C4"/>
    <w:rsid w:val="009E0730"/>
    <w:rsid w:val="009E1713"/>
    <w:rsid w:val="009E2512"/>
    <w:rsid w:val="009E35FD"/>
    <w:rsid w:val="009E36FB"/>
    <w:rsid w:val="009E37E4"/>
    <w:rsid w:val="009E3FB9"/>
    <w:rsid w:val="009E6A3C"/>
    <w:rsid w:val="009E6C21"/>
    <w:rsid w:val="009F0053"/>
    <w:rsid w:val="009F03F8"/>
    <w:rsid w:val="009F0AE4"/>
    <w:rsid w:val="009F146F"/>
    <w:rsid w:val="009F1982"/>
    <w:rsid w:val="009F23A7"/>
    <w:rsid w:val="009F2ADC"/>
    <w:rsid w:val="009F5208"/>
    <w:rsid w:val="009F63C6"/>
    <w:rsid w:val="009F767A"/>
    <w:rsid w:val="009F78CB"/>
    <w:rsid w:val="009F7946"/>
    <w:rsid w:val="00A03397"/>
    <w:rsid w:val="00A03B25"/>
    <w:rsid w:val="00A04C83"/>
    <w:rsid w:val="00A05F84"/>
    <w:rsid w:val="00A07059"/>
    <w:rsid w:val="00A07824"/>
    <w:rsid w:val="00A07F77"/>
    <w:rsid w:val="00A07FA1"/>
    <w:rsid w:val="00A1062B"/>
    <w:rsid w:val="00A10834"/>
    <w:rsid w:val="00A11213"/>
    <w:rsid w:val="00A1184A"/>
    <w:rsid w:val="00A11FA5"/>
    <w:rsid w:val="00A12560"/>
    <w:rsid w:val="00A133EA"/>
    <w:rsid w:val="00A13B1F"/>
    <w:rsid w:val="00A14082"/>
    <w:rsid w:val="00A14668"/>
    <w:rsid w:val="00A15370"/>
    <w:rsid w:val="00A15779"/>
    <w:rsid w:val="00A15E13"/>
    <w:rsid w:val="00A16115"/>
    <w:rsid w:val="00A17A74"/>
    <w:rsid w:val="00A2092F"/>
    <w:rsid w:val="00A20B10"/>
    <w:rsid w:val="00A20C99"/>
    <w:rsid w:val="00A215B0"/>
    <w:rsid w:val="00A22D9C"/>
    <w:rsid w:val="00A22ED8"/>
    <w:rsid w:val="00A23571"/>
    <w:rsid w:val="00A2369C"/>
    <w:rsid w:val="00A24E17"/>
    <w:rsid w:val="00A24F00"/>
    <w:rsid w:val="00A26BAA"/>
    <w:rsid w:val="00A30432"/>
    <w:rsid w:val="00A31CB9"/>
    <w:rsid w:val="00A32196"/>
    <w:rsid w:val="00A32F09"/>
    <w:rsid w:val="00A35B0A"/>
    <w:rsid w:val="00A40123"/>
    <w:rsid w:val="00A401A8"/>
    <w:rsid w:val="00A411C4"/>
    <w:rsid w:val="00A41287"/>
    <w:rsid w:val="00A42563"/>
    <w:rsid w:val="00A4284C"/>
    <w:rsid w:val="00A445D4"/>
    <w:rsid w:val="00A44F60"/>
    <w:rsid w:val="00A45985"/>
    <w:rsid w:val="00A46B20"/>
    <w:rsid w:val="00A47768"/>
    <w:rsid w:val="00A5026B"/>
    <w:rsid w:val="00A532AF"/>
    <w:rsid w:val="00A54D40"/>
    <w:rsid w:val="00A55B0C"/>
    <w:rsid w:val="00A560D6"/>
    <w:rsid w:val="00A5653B"/>
    <w:rsid w:val="00A56A83"/>
    <w:rsid w:val="00A601C1"/>
    <w:rsid w:val="00A605E4"/>
    <w:rsid w:val="00A6131E"/>
    <w:rsid w:val="00A6253C"/>
    <w:rsid w:val="00A66401"/>
    <w:rsid w:val="00A6656B"/>
    <w:rsid w:val="00A713B1"/>
    <w:rsid w:val="00A71892"/>
    <w:rsid w:val="00A72693"/>
    <w:rsid w:val="00A728A7"/>
    <w:rsid w:val="00A732AF"/>
    <w:rsid w:val="00A740A2"/>
    <w:rsid w:val="00A74D5F"/>
    <w:rsid w:val="00A776DD"/>
    <w:rsid w:val="00A77780"/>
    <w:rsid w:val="00A81C9D"/>
    <w:rsid w:val="00A81DE9"/>
    <w:rsid w:val="00A8393C"/>
    <w:rsid w:val="00A83EB7"/>
    <w:rsid w:val="00A8449C"/>
    <w:rsid w:val="00A85064"/>
    <w:rsid w:val="00A8723D"/>
    <w:rsid w:val="00A87465"/>
    <w:rsid w:val="00A87484"/>
    <w:rsid w:val="00A9003B"/>
    <w:rsid w:val="00A901A5"/>
    <w:rsid w:val="00A91852"/>
    <w:rsid w:val="00A921B1"/>
    <w:rsid w:val="00A93684"/>
    <w:rsid w:val="00A939A3"/>
    <w:rsid w:val="00A93B71"/>
    <w:rsid w:val="00A94F22"/>
    <w:rsid w:val="00A95167"/>
    <w:rsid w:val="00A9531E"/>
    <w:rsid w:val="00A9697C"/>
    <w:rsid w:val="00A97175"/>
    <w:rsid w:val="00A97CE1"/>
    <w:rsid w:val="00A97D7D"/>
    <w:rsid w:val="00AA1499"/>
    <w:rsid w:val="00AA1E29"/>
    <w:rsid w:val="00AA2B99"/>
    <w:rsid w:val="00AA3104"/>
    <w:rsid w:val="00AA36B2"/>
    <w:rsid w:val="00AA40ED"/>
    <w:rsid w:val="00AA4727"/>
    <w:rsid w:val="00AA55C3"/>
    <w:rsid w:val="00AA788B"/>
    <w:rsid w:val="00AB02FF"/>
    <w:rsid w:val="00AB0AA7"/>
    <w:rsid w:val="00AB2468"/>
    <w:rsid w:val="00AB570A"/>
    <w:rsid w:val="00AB6519"/>
    <w:rsid w:val="00AB7041"/>
    <w:rsid w:val="00AB77C0"/>
    <w:rsid w:val="00AC0D8E"/>
    <w:rsid w:val="00AC393F"/>
    <w:rsid w:val="00AC4824"/>
    <w:rsid w:val="00AC57C1"/>
    <w:rsid w:val="00AC74B2"/>
    <w:rsid w:val="00AD0B80"/>
    <w:rsid w:val="00AD1129"/>
    <w:rsid w:val="00AD2320"/>
    <w:rsid w:val="00AD25C9"/>
    <w:rsid w:val="00AD4BE7"/>
    <w:rsid w:val="00AD5208"/>
    <w:rsid w:val="00AD549C"/>
    <w:rsid w:val="00AD5D23"/>
    <w:rsid w:val="00AD7E7D"/>
    <w:rsid w:val="00AE0184"/>
    <w:rsid w:val="00AE035C"/>
    <w:rsid w:val="00AE0528"/>
    <w:rsid w:val="00AE05A2"/>
    <w:rsid w:val="00AE080C"/>
    <w:rsid w:val="00AE22B1"/>
    <w:rsid w:val="00AE37FA"/>
    <w:rsid w:val="00AE653B"/>
    <w:rsid w:val="00AE75D7"/>
    <w:rsid w:val="00AE7E1D"/>
    <w:rsid w:val="00AE7E34"/>
    <w:rsid w:val="00AF006E"/>
    <w:rsid w:val="00AF05D8"/>
    <w:rsid w:val="00AF1283"/>
    <w:rsid w:val="00AF3079"/>
    <w:rsid w:val="00AF3415"/>
    <w:rsid w:val="00AF3852"/>
    <w:rsid w:val="00AF4D71"/>
    <w:rsid w:val="00AF6639"/>
    <w:rsid w:val="00AF785D"/>
    <w:rsid w:val="00AF7A0A"/>
    <w:rsid w:val="00AF7B73"/>
    <w:rsid w:val="00B016B4"/>
    <w:rsid w:val="00B022D5"/>
    <w:rsid w:val="00B02F9F"/>
    <w:rsid w:val="00B0417E"/>
    <w:rsid w:val="00B04211"/>
    <w:rsid w:val="00B04FBC"/>
    <w:rsid w:val="00B050D5"/>
    <w:rsid w:val="00B059D8"/>
    <w:rsid w:val="00B0745D"/>
    <w:rsid w:val="00B07B39"/>
    <w:rsid w:val="00B07F26"/>
    <w:rsid w:val="00B107B1"/>
    <w:rsid w:val="00B10DC7"/>
    <w:rsid w:val="00B10F7C"/>
    <w:rsid w:val="00B112AA"/>
    <w:rsid w:val="00B112D4"/>
    <w:rsid w:val="00B1141C"/>
    <w:rsid w:val="00B11481"/>
    <w:rsid w:val="00B12780"/>
    <w:rsid w:val="00B13031"/>
    <w:rsid w:val="00B14430"/>
    <w:rsid w:val="00B1507B"/>
    <w:rsid w:val="00B221BA"/>
    <w:rsid w:val="00B22A79"/>
    <w:rsid w:val="00B22E62"/>
    <w:rsid w:val="00B22F36"/>
    <w:rsid w:val="00B22FDC"/>
    <w:rsid w:val="00B25554"/>
    <w:rsid w:val="00B25E17"/>
    <w:rsid w:val="00B27326"/>
    <w:rsid w:val="00B276E3"/>
    <w:rsid w:val="00B31C6F"/>
    <w:rsid w:val="00B3225F"/>
    <w:rsid w:val="00B325E8"/>
    <w:rsid w:val="00B3321C"/>
    <w:rsid w:val="00B34307"/>
    <w:rsid w:val="00B34843"/>
    <w:rsid w:val="00B3537A"/>
    <w:rsid w:val="00B3602F"/>
    <w:rsid w:val="00B3623E"/>
    <w:rsid w:val="00B373AE"/>
    <w:rsid w:val="00B40FBB"/>
    <w:rsid w:val="00B41CC8"/>
    <w:rsid w:val="00B45922"/>
    <w:rsid w:val="00B45D9D"/>
    <w:rsid w:val="00B45F25"/>
    <w:rsid w:val="00B50113"/>
    <w:rsid w:val="00B505A8"/>
    <w:rsid w:val="00B50F08"/>
    <w:rsid w:val="00B51690"/>
    <w:rsid w:val="00B517FE"/>
    <w:rsid w:val="00B54811"/>
    <w:rsid w:val="00B552E1"/>
    <w:rsid w:val="00B55CF3"/>
    <w:rsid w:val="00B566D3"/>
    <w:rsid w:val="00B5732F"/>
    <w:rsid w:val="00B57BDE"/>
    <w:rsid w:val="00B6093B"/>
    <w:rsid w:val="00B61036"/>
    <w:rsid w:val="00B61F55"/>
    <w:rsid w:val="00B623B1"/>
    <w:rsid w:val="00B62542"/>
    <w:rsid w:val="00B625F0"/>
    <w:rsid w:val="00B6314A"/>
    <w:rsid w:val="00B641BC"/>
    <w:rsid w:val="00B6440C"/>
    <w:rsid w:val="00B647C1"/>
    <w:rsid w:val="00B64D06"/>
    <w:rsid w:val="00B67453"/>
    <w:rsid w:val="00B67D14"/>
    <w:rsid w:val="00B71803"/>
    <w:rsid w:val="00B730EC"/>
    <w:rsid w:val="00B73A42"/>
    <w:rsid w:val="00B76242"/>
    <w:rsid w:val="00B768FD"/>
    <w:rsid w:val="00B77CDF"/>
    <w:rsid w:val="00B8021B"/>
    <w:rsid w:val="00B803F1"/>
    <w:rsid w:val="00B814E6"/>
    <w:rsid w:val="00B82CCC"/>
    <w:rsid w:val="00B82CF0"/>
    <w:rsid w:val="00B833F1"/>
    <w:rsid w:val="00B83852"/>
    <w:rsid w:val="00B83D0C"/>
    <w:rsid w:val="00B846E9"/>
    <w:rsid w:val="00B85D46"/>
    <w:rsid w:val="00B86E3D"/>
    <w:rsid w:val="00B87B76"/>
    <w:rsid w:val="00B909BA"/>
    <w:rsid w:val="00B912FB"/>
    <w:rsid w:val="00B91340"/>
    <w:rsid w:val="00B91C8D"/>
    <w:rsid w:val="00B92832"/>
    <w:rsid w:val="00B93D82"/>
    <w:rsid w:val="00B96126"/>
    <w:rsid w:val="00B96417"/>
    <w:rsid w:val="00B9673C"/>
    <w:rsid w:val="00B968CD"/>
    <w:rsid w:val="00B96FCD"/>
    <w:rsid w:val="00BA0CF8"/>
    <w:rsid w:val="00BA130D"/>
    <w:rsid w:val="00BA1679"/>
    <w:rsid w:val="00BA2C91"/>
    <w:rsid w:val="00BA2F10"/>
    <w:rsid w:val="00BA3375"/>
    <w:rsid w:val="00BA4DDD"/>
    <w:rsid w:val="00BA50BC"/>
    <w:rsid w:val="00BA6948"/>
    <w:rsid w:val="00BA70BD"/>
    <w:rsid w:val="00BA73BB"/>
    <w:rsid w:val="00BA793E"/>
    <w:rsid w:val="00BA7D5A"/>
    <w:rsid w:val="00BB00E8"/>
    <w:rsid w:val="00BB0C59"/>
    <w:rsid w:val="00BB0D39"/>
    <w:rsid w:val="00BB1795"/>
    <w:rsid w:val="00BB3F78"/>
    <w:rsid w:val="00BB4CDF"/>
    <w:rsid w:val="00BB72F0"/>
    <w:rsid w:val="00BB7C4F"/>
    <w:rsid w:val="00BB7F09"/>
    <w:rsid w:val="00BC0B34"/>
    <w:rsid w:val="00BC0BB8"/>
    <w:rsid w:val="00BC0CD0"/>
    <w:rsid w:val="00BC13E0"/>
    <w:rsid w:val="00BC1D9B"/>
    <w:rsid w:val="00BC2127"/>
    <w:rsid w:val="00BC2523"/>
    <w:rsid w:val="00BC5186"/>
    <w:rsid w:val="00BC57F2"/>
    <w:rsid w:val="00BC59F9"/>
    <w:rsid w:val="00BC76E7"/>
    <w:rsid w:val="00BC7AC6"/>
    <w:rsid w:val="00BD01FF"/>
    <w:rsid w:val="00BD0C41"/>
    <w:rsid w:val="00BD1468"/>
    <w:rsid w:val="00BD416B"/>
    <w:rsid w:val="00BD5843"/>
    <w:rsid w:val="00BD6043"/>
    <w:rsid w:val="00BD688D"/>
    <w:rsid w:val="00BD73B0"/>
    <w:rsid w:val="00BD73CF"/>
    <w:rsid w:val="00BE010D"/>
    <w:rsid w:val="00BE1FD9"/>
    <w:rsid w:val="00BE38DF"/>
    <w:rsid w:val="00BE3E8B"/>
    <w:rsid w:val="00BE4489"/>
    <w:rsid w:val="00BE5180"/>
    <w:rsid w:val="00BE74C8"/>
    <w:rsid w:val="00BE7BD0"/>
    <w:rsid w:val="00BF07F0"/>
    <w:rsid w:val="00BF1455"/>
    <w:rsid w:val="00BF1E50"/>
    <w:rsid w:val="00BF2F46"/>
    <w:rsid w:val="00BF50B2"/>
    <w:rsid w:val="00BF5828"/>
    <w:rsid w:val="00BF6807"/>
    <w:rsid w:val="00BF7569"/>
    <w:rsid w:val="00BF7739"/>
    <w:rsid w:val="00C00684"/>
    <w:rsid w:val="00C00B2A"/>
    <w:rsid w:val="00C00F98"/>
    <w:rsid w:val="00C0192D"/>
    <w:rsid w:val="00C03AD5"/>
    <w:rsid w:val="00C0498F"/>
    <w:rsid w:val="00C06ACD"/>
    <w:rsid w:val="00C0718C"/>
    <w:rsid w:val="00C07830"/>
    <w:rsid w:val="00C07D32"/>
    <w:rsid w:val="00C120E8"/>
    <w:rsid w:val="00C12AC4"/>
    <w:rsid w:val="00C13044"/>
    <w:rsid w:val="00C13E48"/>
    <w:rsid w:val="00C1429C"/>
    <w:rsid w:val="00C152D9"/>
    <w:rsid w:val="00C15791"/>
    <w:rsid w:val="00C15891"/>
    <w:rsid w:val="00C15A83"/>
    <w:rsid w:val="00C171BE"/>
    <w:rsid w:val="00C20F1B"/>
    <w:rsid w:val="00C21813"/>
    <w:rsid w:val="00C22B2E"/>
    <w:rsid w:val="00C23124"/>
    <w:rsid w:val="00C23CF4"/>
    <w:rsid w:val="00C23DF4"/>
    <w:rsid w:val="00C240C0"/>
    <w:rsid w:val="00C24EC9"/>
    <w:rsid w:val="00C250A8"/>
    <w:rsid w:val="00C26549"/>
    <w:rsid w:val="00C27802"/>
    <w:rsid w:val="00C30496"/>
    <w:rsid w:val="00C31BEF"/>
    <w:rsid w:val="00C32C80"/>
    <w:rsid w:val="00C32E7F"/>
    <w:rsid w:val="00C34107"/>
    <w:rsid w:val="00C35094"/>
    <w:rsid w:val="00C367AF"/>
    <w:rsid w:val="00C37D11"/>
    <w:rsid w:val="00C37D7F"/>
    <w:rsid w:val="00C40DF6"/>
    <w:rsid w:val="00C418FF"/>
    <w:rsid w:val="00C4275D"/>
    <w:rsid w:val="00C42C3F"/>
    <w:rsid w:val="00C42F1F"/>
    <w:rsid w:val="00C43D0E"/>
    <w:rsid w:val="00C43E26"/>
    <w:rsid w:val="00C446F5"/>
    <w:rsid w:val="00C44B54"/>
    <w:rsid w:val="00C4558E"/>
    <w:rsid w:val="00C46B70"/>
    <w:rsid w:val="00C47F85"/>
    <w:rsid w:val="00C5025D"/>
    <w:rsid w:val="00C50763"/>
    <w:rsid w:val="00C50C23"/>
    <w:rsid w:val="00C5279B"/>
    <w:rsid w:val="00C52F71"/>
    <w:rsid w:val="00C5528E"/>
    <w:rsid w:val="00C55745"/>
    <w:rsid w:val="00C60A95"/>
    <w:rsid w:val="00C61723"/>
    <w:rsid w:val="00C63472"/>
    <w:rsid w:val="00C65846"/>
    <w:rsid w:val="00C66583"/>
    <w:rsid w:val="00C70027"/>
    <w:rsid w:val="00C70153"/>
    <w:rsid w:val="00C71B07"/>
    <w:rsid w:val="00C73D06"/>
    <w:rsid w:val="00C740ED"/>
    <w:rsid w:val="00C742AA"/>
    <w:rsid w:val="00C7480C"/>
    <w:rsid w:val="00C7526F"/>
    <w:rsid w:val="00C756FE"/>
    <w:rsid w:val="00C75C58"/>
    <w:rsid w:val="00C77327"/>
    <w:rsid w:val="00C77E2D"/>
    <w:rsid w:val="00C8018A"/>
    <w:rsid w:val="00C80652"/>
    <w:rsid w:val="00C80810"/>
    <w:rsid w:val="00C81D0F"/>
    <w:rsid w:val="00C821EC"/>
    <w:rsid w:val="00C826A7"/>
    <w:rsid w:val="00C828CC"/>
    <w:rsid w:val="00C82BB2"/>
    <w:rsid w:val="00C82E9F"/>
    <w:rsid w:val="00C8385F"/>
    <w:rsid w:val="00C83942"/>
    <w:rsid w:val="00C83ABF"/>
    <w:rsid w:val="00C83F82"/>
    <w:rsid w:val="00C84331"/>
    <w:rsid w:val="00C84A00"/>
    <w:rsid w:val="00C8510A"/>
    <w:rsid w:val="00C853B6"/>
    <w:rsid w:val="00C8698D"/>
    <w:rsid w:val="00C86D34"/>
    <w:rsid w:val="00C9141B"/>
    <w:rsid w:val="00C927E2"/>
    <w:rsid w:val="00C928EE"/>
    <w:rsid w:val="00C92CAB"/>
    <w:rsid w:val="00C94482"/>
    <w:rsid w:val="00C9510B"/>
    <w:rsid w:val="00C9513E"/>
    <w:rsid w:val="00C95724"/>
    <w:rsid w:val="00C95CE2"/>
    <w:rsid w:val="00C96E1D"/>
    <w:rsid w:val="00CA1012"/>
    <w:rsid w:val="00CA1254"/>
    <w:rsid w:val="00CA25F9"/>
    <w:rsid w:val="00CA3142"/>
    <w:rsid w:val="00CA4A05"/>
    <w:rsid w:val="00CA58CF"/>
    <w:rsid w:val="00CA611A"/>
    <w:rsid w:val="00CB001C"/>
    <w:rsid w:val="00CB01BA"/>
    <w:rsid w:val="00CB14B9"/>
    <w:rsid w:val="00CB1EC0"/>
    <w:rsid w:val="00CB27DA"/>
    <w:rsid w:val="00CB5A37"/>
    <w:rsid w:val="00CB5A90"/>
    <w:rsid w:val="00CB6BF2"/>
    <w:rsid w:val="00CB7766"/>
    <w:rsid w:val="00CC08DC"/>
    <w:rsid w:val="00CC1039"/>
    <w:rsid w:val="00CC1AB6"/>
    <w:rsid w:val="00CC1B05"/>
    <w:rsid w:val="00CC1E91"/>
    <w:rsid w:val="00CC220F"/>
    <w:rsid w:val="00CC42ED"/>
    <w:rsid w:val="00CC5A36"/>
    <w:rsid w:val="00CC6AE1"/>
    <w:rsid w:val="00CC6CC2"/>
    <w:rsid w:val="00CC6E10"/>
    <w:rsid w:val="00CC78D1"/>
    <w:rsid w:val="00CC7901"/>
    <w:rsid w:val="00CD0601"/>
    <w:rsid w:val="00CD0A24"/>
    <w:rsid w:val="00CD3A38"/>
    <w:rsid w:val="00CD49C5"/>
    <w:rsid w:val="00CD56E5"/>
    <w:rsid w:val="00CD56F3"/>
    <w:rsid w:val="00CD571A"/>
    <w:rsid w:val="00CD7B9B"/>
    <w:rsid w:val="00CD7D22"/>
    <w:rsid w:val="00CD7FA4"/>
    <w:rsid w:val="00CE009B"/>
    <w:rsid w:val="00CE19D6"/>
    <w:rsid w:val="00CE1C8D"/>
    <w:rsid w:val="00CE2746"/>
    <w:rsid w:val="00CE39C1"/>
    <w:rsid w:val="00CE4010"/>
    <w:rsid w:val="00CE4F2C"/>
    <w:rsid w:val="00CE6882"/>
    <w:rsid w:val="00CF17D5"/>
    <w:rsid w:val="00CF2B01"/>
    <w:rsid w:val="00CF2C10"/>
    <w:rsid w:val="00CF2EB2"/>
    <w:rsid w:val="00CF4214"/>
    <w:rsid w:val="00CF54E0"/>
    <w:rsid w:val="00CF5A53"/>
    <w:rsid w:val="00CF6775"/>
    <w:rsid w:val="00CF7619"/>
    <w:rsid w:val="00D009A4"/>
    <w:rsid w:val="00D018FD"/>
    <w:rsid w:val="00D02FB8"/>
    <w:rsid w:val="00D031B4"/>
    <w:rsid w:val="00D0327A"/>
    <w:rsid w:val="00D033F8"/>
    <w:rsid w:val="00D03997"/>
    <w:rsid w:val="00D04708"/>
    <w:rsid w:val="00D055A8"/>
    <w:rsid w:val="00D05F26"/>
    <w:rsid w:val="00D06618"/>
    <w:rsid w:val="00D06A3D"/>
    <w:rsid w:val="00D103C9"/>
    <w:rsid w:val="00D11031"/>
    <w:rsid w:val="00D11CA0"/>
    <w:rsid w:val="00D125E8"/>
    <w:rsid w:val="00D1325E"/>
    <w:rsid w:val="00D133EC"/>
    <w:rsid w:val="00D1399A"/>
    <w:rsid w:val="00D15432"/>
    <w:rsid w:val="00D15E34"/>
    <w:rsid w:val="00D16F91"/>
    <w:rsid w:val="00D17B82"/>
    <w:rsid w:val="00D204F0"/>
    <w:rsid w:val="00D21597"/>
    <w:rsid w:val="00D2237A"/>
    <w:rsid w:val="00D23517"/>
    <w:rsid w:val="00D23D53"/>
    <w:rsid w:val="00D2441F"/>
    <w:rsid w:val="00D24556"/>
    <w:rsid w:val="00D25F17"/>
    <w:rsid w:val="00D26D75"/>
    <w:rsid w:val="00D26F53"/>
    <w:rsid w:val="00D27AA9"/>
    <w:rsid w:val="00D3042B"/>
    <w:rsid w:val="00D32496"/>
    <w:rsid w:val="00D32D4C"/>
    <w:rsid w:val="00D32D8B"/>
    <w:rsid w:val="00D339FB"/>
    <w:rsid w:val="00D34214"/>
    <w:rsid w:val="00D34285"/>
    <w:rsid w:val="00D34B59"/>
    <w:rsid w:val="00D35875"/>
    <w:rsid w:val="00D360DD"/>
    <w:rsid w:val="00D363DD"/>
    <w:rsid w:val="00D40D49"/>
    <w:rsid w:val="00D413EC"/>
    <w:rsid w:val="00D41403"/>
    <w:rsid w:val="00D41DAA"/>
    <w:rsid w:val="00D420C8"/>
    <w:rsid w:val="00D439CF"/>
    <w:rsid w:val="00D44995"/>
    <w:rsid w:val="00D453FB"/>
    <w:rsid w:val="00D45743"/>
    <w:rsid w:val="00D458FE"/>
    <w:rsid w:val="00D45DC2"/>
    <w:rsid w:val="00D46F87"/>
    <w:rsid w:val="00D500A1"/>
    <w:rsid w:val="00D51760"/>
    <w:rsid w:val="00D52F05"/>
    <w:rsid w:val="00D53307"/>
    <w:rsid w:val="00D5375D"/>
    <w:rsid w:val="00D5401F"/>
    <w:rsid w:val="00D54269"/>
    <w:rsid w:val="00D54610"/>
    <w:rsid w:val="00D5569C"/>
    <w:rsid w:val="00D56140"/>
    <w:rsid w:val="00D566DF"/>
    <w:rsid w:val="00D57BDF"/>
    <w:rsid w:val="00D60632"/>
    <w:rsid w:val="00D63066"/>
    <w:rsid w:val="00D63834"/>
    <w:rsid w:val="00D63CAA"/>
    <w:rsid w:val="00D6419E"/>
    <w:rsid w:val="00D66605"/>
    <w:rsid w:val="00D668F1"/>
    <w:rsid w:val="00D7031A"/>
    <w:rsid w:val="00D71063"/>
    <w:rsid w:val="00D73171"/>
    <w:rsid w:val="00D73D31"/>
    <w:rsid w:val="00D74212"/>
    <w:rsid w:val="00D74C8E"/>
    <w:rsid w:val="00D74FE9"/>
    <w:rsid w:val="00D755AA"/>
    <w:rsid w:val="00D76ACD"/>
    <w:rsid w:val="00D770B5"/>
    <w:rsid w:val="00D7734E"/>
    <w:rsid w:val="00D779AB"/>
    <w:rsid w:val="00D80F1F"/>
    <w:rsid w:val="00D8307A"/>
    <w:rsid w:val="00D846F1"/>
    <w:rsid w:val="00D8557F"/>
    <w:rsid w:val="00D85779"/>
    <w:rsid w:val="00D873F1"/>
    <w:rsid w:val="00D87A93"/>
    <w:rsid w:val="00D90113"/>
    <w:rsid w:val="00D9182F"/>
    <w:rsid w:val="00D91F2F"/>
    <w:rsid w:val="00D92608"/>
    <w:rsid w:val="00D930C1"/>
    <w:rsid w:val="00D93CA5"/>
    <w:rsid w:val="00D94761"/>
    <w:rsid w:val="00D95C3A"/>
    <w:rsid w:val="00D95C42"/>
    <w:rsid w:val="00D96616"/>
    <w:rsid w:val="00D96F20"/>
    <w:rsid w:val="00D97D0B"/>
    <w:rsid w:val="00DA0B25"/>
    <w:rsid w:val="00DA1D6A"/>
    <w:rsid w:val="00DA2366"/>
    <w:rsid w:val="00DA26B7"/>
    <w:rsid w:val="00DA40BC"/>
    <w:rsid w:val="00DA4E08"/>
    <w:rsid w:val="00DA5231"/>
    <w:rsid w:val="00DA6017"/>
    <w:rsid w:val="00DA7531"/>
    <w:rsid w:val="00DA7993"/>
    <w:rsid w:val="00DB033B"/>
    <w:rsid w:val="00DB137D"/>
    <w:rsid w:val="00DB1462"/>
    <w:rsid w:val="00DB17B1"/>
    <w:rsid w:val="00DB2729"/>
    <w:rsid w:val="00DB3382"/>
    <w:rsid w:val="00DB3AD9"/>
    <w:rsid w:val="00DB4DEE"/>
    <w:rsid w:val="00DB4FE1"/>
    <w:rsid w:val="00DB6612"/>
    <w:rsid w:val="00DB72E7"/>
    <w:rsid w:val="00DB7660"/>
    <w:rsid w:val="00DC209A"/>
    <w:rsid w:val="00DC299D"/>
    <w:rsid w:val="00DC29B2"/>
    <w:rsid w:val="00DC3490"/>
    <w:rsid w:val="00DC3753"/>
    <w:rsid w:val="00DC43E4"/>
    <w:rsid w:val="00DC4670"/>
    <w:rsid w:val="00DC4E34"/>
    <w:rsid w:val="00DC63DF"/>
    <w:rsid w:val="00DC6676"/>
    <w:rsid w:val="00DD00FF"/>
    <w:rsid w:val="00DD0632"/>
    <w:rsid w:val="00DD202F"/>
    <w:rsid w:val="00DD2079"/>
    <w:rsid w:val="00DD2722"/>
    <w:rsid w:val="00DD4D32"/>
    <w:rsid w:val="00DD569E"/>
    <w:rsid w:val="00DD56DF"/>
    <w:rsid w:val="00DD58CD"/>
    <w:rsid w:val="00DD654C"/>
    <w:rsid w:val="00DD74B2"/>
    <w:rsid w:val="00DD7686"/>
    <w:rsid w:val="00DD7D99"/>
    <w:rsid w:val="00DE0719"/>
    <w:rsid w:val="00DE08C5"/>
    <w:rsid w:val="00DE0F32"/>
    <w:rsid w:val="00DE179E"/>
    <w:rsid w:val="00DE2326"/>
    <w:rsid w:val="00DE2DF1"/>
    <w:rsid w:val="00DE44E5"/>
    <w:rsid w:val="00DE4ABE"/>
    <w:rsid w:val="00DE546B"/>
    <w:rsid w:val="00DE563E"/>
    <w:rsid w:val="00DE63A6"/>
    <w:rsid w:val="00DE7045"/>
    <w:rsid w:val="00DF0F12"/>
    <w:rsid w:val="00DF19C5"/>
    <w:rsid w:val="00DF2489"/>
    <w:rsid w:val="00DF28DC"/>
    <w:rsid w:val="00DF2EC3"/>
    <w:rsid w:val="00DF32E0"/>
    <w:rsid w:val="00DF3558"/>
    <w:rsid w:val="00DF3864"/>
    <w:rsid w:val="00DF4B38"/>
    <w:rsid w:val="00DF579C"/>
    <w:rsid w:val="00DF5E8C"/>
    <w:rsid w:val="00DF6133"/>
    <w:rsid w:val="00DF628E"/>
    <w:rsid w:val="00DF69D2"/>
    <w:rsid w:val="00DF744D"/>
    <w:rsid w:val="00E00AFA"/>
    <w:rsid w:val="00E00B4B"/>
    <w:rsid w:val="00E02BD3"/>
    <w:rsid w:val="00E037F9"/>
    <w:rsid w:val="00E04764"/>
    <w:rsid w:val="00E05FF6"/>
    <w:rsid w:val="00E061AA"/>
    <w:rsid w:val="00E06774"/>
    <w:rsid w:val="00E077FD"/>
    <w:rsid w:val="00E07FDC"/>
    <w:rsid w:val="00E1027E"/>
    <w:rsid w:val="00E10D24"/>
    <w:rsid w:val="00E114A3"/>
    <w:rsid w:val="00E11B7D"/>
    <w:rsid w:val="00E12B72"/>
    <w:rsid w:val="00E132FA"/>
    <w:rsid w:val="00E154F8"/>
    <w:rsid w:val="00E15513"/>
    <w:rsid w:val="00E17DD5"/>
    <w:rsid w:val="00E2026D"/>
    <w:rsid w:val="00E216EB"/>
    <w:rsid w:val="00E233D8"/>
    <w:rsid w:val="00E26551"/>
    <w:rsid w:val="00E30609"/>
    <w:rsid w:val="00E30850"/>
    <w:rsid w:val="00E31336"/>
    <w:rsid w:val="00E31D08"/>
    <w:rsid w:val="00E3265E"/>
    <w:rsid w:val="00E33283"/>
    <w:rsid w:val="00E33420"/>
    <w:rsid w:val="00E34B4D"/>
    <w:rsid w:val="00E352B5"/>
    <w:rsid w:val="00E35C99"/>
    <w:rsid w:val="00E3660C"/>
    <w:rsid w:val="00E36A32"/>
    <w:rsid w:val="00E36F8E"/>
    <w:rsid w:val="00E40158"/>
    <w:rsid w:val="00E404CF"/>
    <w:rsid w:val="00E40878"/>
    <w:rsid w:val="00E408B3"/>
    <w:rsid w:val="00E40F42"/>
    <w:rsid w:val="00E40FEF"/>
    <w:rsid w:val="00E41555"/>
    <w:rsid w:val="00E42790"/>
    <w:rsid w:val="00E42B0B"/>
    <w:rsid w:val="00E42DCD"/>
    <w:rsid w:val="00E436D7"/>
    <w:rsid w:val="00E43CA4"/>
    <w:rsid w:val="00E44A10"/>
    <w:rsid w:val="00E44C49"/>
    <w:rsid w:val="00E460F7"/>
    <w:rsid w:val="00E47286"/>
    <w:rsid w:val="00E50088"/>
    <w:rsid w:val="00E50C23"/>
    <w:rsid w:val="00E51E8C"/>
    <w:rsid w:val="00E53BD0"/>
    <w:rsid w:val="00E5408F"/>
    <w:rsid w:val="00E5440F"/>
    <w:rsid w:val="00E56074"/>
    <w:rsid w:val="00E56419"/>
    <w:rsid w:val="00E568AF"/>
    <w:rsid w:val="00E61DD0"/>
    <w:rsid w:val="00E62CC7"/>
    <w:rsid w:val="00E630CC"/>
    <w:rsid w:val="00E63CF2"/>
    <w:rsid w:val="00E64219"/>
    <w:rsid w:val="00E64270"/>
    <w:rsid w:val="00E64C81"/>
    <w:rsid w:val="00E66370"/>
    <w:rsid w:val="00E66C6C"/>
    <w:rsid w:val="00E671F7"/>
    <w:rsid w:val="00E7044B"/>
    <w:rsid w:val="00E708AA"/>
    <w:rsid w:val="00E70970"/>
    <w:rsid w:val="00E71258"/>
    <w:rsid w:val="00E714E3"/>
    <w:rsid w:val="00E72E40"/>
    <w:rsid w:val="00E753A2"/>
    <w:rsid w:val="00E75A94"/>
    <w:rsid w:val="00E76996"/>
    <w:rsid w:val="00E80C69"/>
    <w:rsid w:val="00E80FBC"/>
    <w:rsid w:val="00E81BA2"/>
    <w:rsid w:val="00E81C81"/>
    <w:rsid w:val="00E82F44"/>
    <w:rsid w:val="00E838FC"/>
    <w:rsid w:val="00E83C8A"/>
    <w:rsid w:val="00E8458C"/>
    <w:rsid w:val="00E84C59"/>
    <w:rsid w:val="00E84FCD"/>
    <w:rsid w:val="00E9008E"/>
    <w:rsid w:val="00E90A21"/>
    <w:rsid w:val="00E90AA9"/>
    <w:rsid w:val="00E915E9"/>
    <w:rsid w:val="00E9436C"/>
    <w:rsid w:val="00E95432"/>
    <w:rsid w:val="00E9597E"/>
    <w:rsid w:val="00E963D0"/>
    <w:rsid w:val="00E97357"/>
    <w:rsid w:val="00E973FC"/>
    <w:rsid w:val="00EA0E16"/>
    <w:rsid w:val="00EA20A9"/>
    <w:rsid w:val="00EA477C"/>
    <w:rsid w:val="00EA4887"/>
    <w:rsid w:val="00EA4C5C"/>
    <w:rsid w:val="00EA5ECC"/>
    <w:rsid w:val="00EA6B10"/>
    <w:rsid w:val="00EB0167"/>
    <w:rsid w:val="00EB04C0"/>
    <w:rsid w:val="00EB0A58"/>
    <w:rsid w:val="00EB0AC6"/>
    <w:rsid w:val="00EB0C23"/>
    <w:rsid w:val="00EB2B52"/>
    <w:rsid w:val="00EB319D"/>
    <w:rsid w:val="00EB37F6"/>
    <w:rsid w:val="00EB3D08"/>
    <w:rsid w:val="00EB4187"/>
    <w:rsid w:val="00EB48EF"/>
    <w:rsid w:val="00EB5321"/>
    <w:rsid w:val="00EB564B"/>
    <w:rsid w:val="00EB597A"/>
    <w:rsid w:val="00EC068C"/>
    <w:rsid w:val="00EC0F10"/>
    <w:rsid w:val="00EC103A"/>
    <w:rsid w:val="00EC1E9F"/>
    <w:rsid w:val="00EC359D"/>
    <w:rsid w:val="00EC404C"/>
    <w:rsid w:val="00EC4F29"/>
    <w:rsid w:val="00EC7B4C"/>
    <w:rsid w:val="00EC7C15"/>
    <w:rsid w:val="00EC7CC5"/>
    <w:rsid w:val="00EC7CFC"/>
    <w:rsid w:val="00ED25FB"/>
    <w:rsid w:val="00ED2BC1"/>
    <w:rsid w:val="00ED467B"/>
    <w:rsid w:val="00ED4AAB"/>
    <w:rsid w:val="00ED4B86"/>
    <w:rsid w:val="00ED62C8"/>
    <w:rsid w:val="00ED6D06"/>
    <w:rsid w:val="00ED7178"/>
    <w:rsid w:val="00ED72AB"/>
    <w:rsid w:val="00ED73A0"/>
    <w:rsid w:val="00ED7555"/>
    <w:rsid w:val="00ED7586"/>
    <w:rsid w:val="00EE082F"/>
    <w:rsid w:val="00EE34A1"/>
    <w:rsid w:val="00EE4309"/>
    <w:rsid w:val="00EE4B16"/>
    <w:rsid w:val="00EE4B30"/>
    <w:rsid w:val="00EE5EDF"/>
    <w:rsid w:val="00EF006B"/>
    <w:rsid w:val="00EF047C"/>
    <w:rsid w:val="00EF08F5"/>
    <w:rsid w:val="00EF169D"/>
    <w:rsid w:val="00EF24D6"/>
    <w:rsid w:val="00EF3AC7"/>
    <w:rsid w:val="00EF3B39"/>
    <w:rsid w:val="00EF4292"/>
    <w:rsid w:val="00EF6892"/>
    <w:rsid w:val="00EF69FD"/>
    <w:rsid w:val="00EF7671"/>
    <w:rsid w:val="00EF7AA8"/>
    <w:rsid w:val="00F0056A"/>
    <w:rsid w:val="00F00C28"/>
    <w:rsid w:val="00F00E72"/>
    <w:rsid w:val="00F00EF8"/>
    <w:rsid w:val="00F0289B"/>
    <w:rsid w:val="00F03366"/>
    <w:rsid w:val="00F0353E"/>
    <w:rsid w:val="00F03907"/>
    <w:rsid w:val="00F039DA"/>
    <w:rsid w:val="00F03D26"/>
    <w:rsid w:val="00F106DE"/>
    <w:rsid w:val="00F1180A"/>
    <w:rsid w:val="00F12862"/>
    <w:rsid w:val="00F13BDE"/>
    <w:rsid w:val="00F1404F"/>
    <w:rsid w:val="00F1428C"/>
    <w:rsid w:val="00F14977"/>
    <w:rsid w:val="00F15FF6"/>
    <w:rsid w:val="00F163F4"/>
    <w:rsid w:val="00F16958"/>
    <w:rsid w:val="00F179AC"/>
    <w:rsid w:val="00F20754"/>
    <w:rsid w:val="00F20BAC"/>
    <w:rsid w:val="00F22945"/>
    <w:rsid w:val="00F22E6C"/>
    <w:rsid w:val="00F23C90"/>
    <w:rsid w:val="00F240CC"/>
    <w:rsid w:val="00F25A30"/>
    <w:rsid w:val="00F266D8"/>
    <w:rsid w:val="00F26804"/>
    <w:rsid w:val="00F26C35"/>
    <w:rsid w:val="00F30B67"/>
    <w:rsid w:val="00F32858"/>
    <w:rsid w:val="00F32AFF"/>
    <w:rsid w:val="00F374B0"/>
    <w:rsid w:val="00F37719"/>
    <w:rsid w:val="00F377C6"/>
    <w:rsid w:val="00F377CC"/>
    <w:rsid w:val="00F37FD3"/>
    <w:rsid w:val="00F40002"/>
    <w:rsid w:val="00F41406"/>
    <w:rsid w:val="00F41C5C"/>
    <w:rsid w:val="00F42C04"/>
    <w:rsid w:val="00F44545"/>
    <w:rsid w:val="00F44C6D"/>
    <w:rsid w:val="00F451FF"/>
    <w:rsid w:val="00F45EB0"/>
    <w:rsid w:val="00F4726F"/>
    <w:rsid w:val="00F5005D"/>
    <w:rsid w:val="00F50B56"/>
    <w:rsid w:val="00F50EF1"/>
    <w:rsid w:val="00F51AA2"/>
    <w:rsid w:val="00F5219E"/>
    <w:rsid w:val="00F538FB"/>
    <w:rsid w:val="00F53D4D"/>
    <w:rsid w:val="00F53F24"/>
    <w:rsid w:val="00F5450B"/>
    <w:rsid w:val="00F54CE9"/>
    <w:rsid w:val="00F54DEE"/>
    <w:rsid w:val="00F54FF0"/>
    <w:rsid w:val="00F5501B"/>
    <w:rsid w:val="00F55131"/>
    <w:rsid w:val="00F55419"/>
    <w:rsid w:val="00F55C93"/>
    <w:rsid w:val="00F569D2"/>
    <w:rsid w:val="00F5795E"/>
    <w:rsid w:val="00F60E5D"/>
    <w:rsid w:val="00F631FB"/>
    <w:rsid w:val="00F6367D"/>
    <w:rsid w:val="00F64914"/>
    <w:rsid w:val="00F65040"/>
    <w:rsid w:val="00F6611D"/>
    <w:rsid w:val="00F665DE"/>
    <w:rsid w:val="00F70121"/>
    <w:rsid w:val="00F7030B"/>
    <w:rsid w:val="00F70A84"/>
    <w:rsid w:val="00F71398"/>
    <w:rsid w:val="00F71F01"/>
    <w:rsid w:val="00F726C1"/>
    <w:rsid w:val="00F735FD"/>
    <w:rsid w:val="00F73ECB"/>
    <w:rsid w:val="00F7489F"/>
    <w:rsid w:val="00F750D3"/>
    <w:rsid w:val="00F75DEA"/>
    <w:rsid w:val="00F75EC6"/>
    <w:rsid w:val="00F76516"/>
    <w:rsid w:val="00F76D51"/>
    <w:rsid w:val="00F8128A"/>
    <w:rsid w:val="00F85201"/>
    <w:rsid w:val="00F861B7"/>
    <w:rsid w:val="00F86F3A"/>
    <w:rsid w:val="00F920E2"/>
    <w:rsid w:val="00F933BE"/>
    <w:rsid w:val="00F934C6"/>
    <w:rsid w:val="00F9353A"/>
    <w:rsid w:val="00F936DB"/>
    <w:rsid w:val="00F93820"/>
    <w:rsid w:val="00F9414B"/>
    <w:rsid w:val="00F94332"/>
    <w:rsid w:val="00F96B9F"/>
    <w:rsid w:val="00FA103B"/>
    <w:rsid w:val="00FA113A"/>
    <w:rsid w:val="00FA14D8"/>
    <w:rsid w:val="00FA190D"/>
    <w:rsid w:val="00FA1F64"/>
    <w:rsid w:val="00FA20B0"/>
    <w:rsid w:val="00FA25A3"/>
    <w:rsid w:val="00FA61EC"/>
    <w:rsid w:val="00FA6490"/>
    <w:rsid w:val="00FA6563"/>
    <w:rsid w:val="00FA7BA0"/>
    <w:rsid w:val="00FB0D6F"/>
    <w:rsid w:val="00FB2D22"/>
    <w:rsid w:val="00FB383F"/>
    <w:rsid w:val="00FB3A1F"/>
    <w:rsid w:val="00FB3A83"/>
    <w:rsid w:val="00FB3CF8"/>
    <w:rsid w:val="00FB40A2"/>
    <w:rsid w:val="00FB4BBB"/>
    <w:rsid w:val="00FB52E3"/>
    <w:rsid w:val="00FB7C57"/>
    <w:rsid w:val="00FC0E93"/>
    <w:rsid w:val="00FC100D"/>
    <w:rsid w:val="00FC1F53"/>
    <w:rsid w:val="00FC2A29"/>
    <w:rsid w:val="00FC2B37"/>
    <w:rsid w:val="00FC2CCB"/>
    <w:rsid w:val="00FC3235"/>
    <w:rsid w:val="00FC32CD"/>
    <w:rsid w:val="00FC4DD9"/>
    <w:rsid w:val="00FC513E"/>
    <w:rsid w:val="00FC6F5C"/>
    <w:rsid w:val="00FD0380"/>
    <w:rsid w:val="00FD2151"/>
    <w:rsid w:val="00FD288D"/>
    <w:rsid w:val="00FD343D"/>
    <w:rsid w:val="00FD4235"/>
    <w:rsid w:val="00FD48B7"/>
    <w:rsid w:val="00FD4CB0"/>
    <w:rsid w:val="00FD4FB0"/>
    <w:rsid w:val="00FD6FB3"/>
    <w:rsid w:val="00FE0013"/>
    <w:rsid w:val="00FE0552"/>
    <w:rsid w:val="00FE0D24"/>
    <w:rsid w:val="00FE2844"/>
    <w:rsid w:val="00FE2B09"/>
    <w:rsid w:val="00FE33CF"/>
    <w:rsid w:val="00FE3662"/>
    <w:rsid w:val="00FE422C"/>
    <w:rsid w:val="00FE4DEB"/>
    <w:rsid w:val="00FE58AC"/>
    <w:rsid w:val="00FE59A6"/>
    <w:rsid w:val="00FE7B36"/>
    <w:rsid w:val="00FF0E6E"/>
    <w:rsid w:val="00FF1A9A"/>
    <w:rsid w:val="00FF1E69"/>
    <w:rsid w:val="00FF28EE"/>
    <w:rsid w:val="00FF2D1F"/>
    <w:rsid w:val="00FF40E1"/>
    <w:rsid w:val="00FF49E2"/>
    <w:rsid w:val="00FF5ED6"/>
    <w:rsid w:val="00FF6283"/>
    <w:rsid w:val="00FF64E7"/>
    <w:rsid w:val="00FF722B"/>
    <w:rsid w:val="00FF7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D62D55"/>
  <w15:chartTrackingRefBased/>
  <w15:docId w15:val="{602659D9-DD07-474D-A2E4-7DBDCA01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5A3"/>
    <w:pPr>
      <w:ind w:left="720"/>
      <w:contextualSpacing/>
    </w:pPr>
  </w:style>
  <w:style w:type="character" w:styleId="PlaceholderText">
    <w:name w:val="Placeholder Text"/>
    <w:basedOn w:val="DefaultParagraphFont"/>
    <w:uiPriority w:val="99"/>
    <w:semiHidden/>
    <w:rsid w:val="00ED25FB"/>
    <w:rPr>
      <w:color w:val="808080"/>
    </w:rPr>
  </w:style>
  <w:style w:type="paragraph" w:styleId="FootnoteText">
    <w:name w:val="footnote text"/>
    <w:basedOn w:val="Normal"/>
    <w:link w:val="FootnoteTextChar"/>
    <w:uiPriority w:val="99"/>
    <w:unhideWhenUsed/>
    <w:rsid w:val="00FA6563"/>
    <w:pPr>
      <w:spacing w:after="0" w:line="240" w:lineRule="auto"/>
    </w:pPr>
    <w:rPr>
      <w:sz w:val="20"/>
      <w:szCs w:val="20"/>
    </w:rPr>
  </w:style>
  <w:style w:type="character" w:customStyle="1" w:styleId="FootnoteTextChar">
    <w:name w:val="Footnote Text Char"/>
    <w:basedOn w:val="DefaultParagraphFont"/>
    <w:link w:val="FootnoteText"/>
    <w:uiPriority w:val="99"/>
    <w:rsid w:val="00FA6563"/>
    <w:rPr>
      <w:sz w:val="20"/>
      <w:szCs w:val="20"/>
    </w:rPr>
  </w:style>
  <w:style w:type="character" w:styleId="FootnoteReference">
    <w:name w:val="footnote reference"/>
    <w:basedOn w:val="DefaultParagraphFont"/>
    <w:uiPriority w:val="99"/>
    <w:semiHidden/>
    <w:unhideWhenUsed/>
    <w:rsid w:val="00FA6563"/>
    <w:rPr>
      <w:vertAlign w:val="superscript"/>
    </w:rPr>
  </w:style>
  <w:style w:type="character" w:styleId="CommentReference">
    <w:name w:val="annotation reference"/>
    <w:basedOn w:val="DefaultParagraphFont"/>
    <w:uiPriority w:val="99"/>
    <w:semiHidden/>
    <w:unhideWhenUsed/>
    <w:rsid w:val="00C73D06"/>
    <w:rPr>
      <w:sz w:val="16"/>
      <w:szCs w:val="16"/>
    </w:rPr>
  </w:style>
  <w:style w:type="paragraph" w:styleId="CommentText">
    <w:name w:val="annotation text"/>
    <w:basedOn w:val="Normal"/>
    <w:link w:val="CommentTextChar"/>
    <w:uiPriority w:val="99"/>
    <w:semiHidden/>
    <w:unhideWhenUsed/>
    <w:rsid w:val="00C73D06"/>
    <w:pPr>
      <w:spacing w:line="240" w:lineRule="auto"/>
    </w:pPr>
    <w:rPr>
      <w:sz w:val="20"/>
      <w:szCs w:val="20"/>
    </w:rPr>
  </w:style>
  <w:style w:type="character" w:customStyle="1" w:styleId="CommentTextChar">
    <w:name w:val="Comment Text Char"/>
    <w:basedOn w:val="DefaultParagraphFont"/>
    <w:link w:val="CommentText"/>
    <w:uiPriority w:val="99"/>
    <w:semiHidden/>
    <w:rsid w:val="00C73D06"/>
    <w:rPr>
      <w:sz w:val="20"/>
      <w:szCs w:val="20"/>
    </w:rPr>
  </w:style>
  <w:style w:type="paragraph" w:styleId="CommentSubject">
    <w:name w:val="annotation subject"/>
    <w:basedOn w:val="CommentText"/>
    <w:next w:val="CommentText"/>
    <w:link w:val="CommentSubjectChar"/>
    <w:uiPriority w:val="99"/>
    <w:semiHidden/>
    <w:unhideWhenUsed/>
    <w:rsid w:val="00C73D06"/>
    <w:rPr>
      <w:b/>
      <w:bCs/>
    </w:rPr>
  </w:style>
  <w:style w:type="character" w:customStyle="1" w:styleId="CommentSubjectChar">
    <w:name w:val="Comment Subject Char"/>
    <w:basedOn w:val="CommentTextChar"/>
    <w:link w:val="CommentSubject"/>
    <w:uiPriority w:val="99"/>
    <w:semiHidden/>
    <w:rsid w:val="00C73D06"/>
    <w:rPr>
      <w:b/>
      <w:bCs/>
      <w:sz w:val="20"/>
      <w:szCs w:val="20"/>
    </w:rPr>
  </w:style>
  <w:style w:type="paragraph" w:styleId="BalloonText">
    <w:name w:val="Balloon Text"/>
    <w:basedOn w:val="Normal"/>
    <w:link w:val="BalloonTextChar"/>
    <w:uiPriority w:val="99"/>
    <w:semiHidden/>
    <w:unhideWhenUsed/>
    <w:rsid w:val="00C73D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D06"/>
    <w:rPr>
      <w:rFonts w:ascii="Segoe UI" w:hAnsi="Segoe UI" w:cs="Segoe UI"/>
      <w:sz w:val="18"/>
      <w:szCs w:val="18"/>
    </w:rPr>
  </w:style>
  <w:style w:type="character" w:styleId="Hyperlink">
    <w:name w:val="Hyperlink"/>
    <w:basedOn w:val="DefaultParagraphFont"/>
    <w:uiPriority w:val="99"/>
    <w:unhideWhenUsed/>
    <w:rsid w:val="00DE08C5"/>
    <w:rPr>
      <w:color w:val="0563C1" w:themeColor="hyperlink"/>
      <w:u w:val="single"/>
    </w:rPr>
  </w:style>
  <w:style w:type="character" w:customStyle="1" w:styleId="UnresolvedMention1">
    <w:name w:val="Unresolved Mention1"/>
    <w:basedOn w:val="DefaultParagraphFont"/>
    <w:uiPriority w:val="99"/>
    <w:semiHidden/>
    <w:unhideWhenUsed/>
    <w:rsid w:val="00DE08C5"/>
    <w:rPr>
      <w:color w:val="605E5C"/>
      <w:shd w:val="clear" w:color="auto" w:fill="E1DFDD"/>
    </w:rPr>
  </w:style>
  <w:style w:type="paragraph" w:styleId="Header">
    <w:name w:val="header"/>
    <w:basedOn w:val="Normal"/>
    <w:link w:val="HeaderChar"/>
    <w:uiPriority w:val="99"/>
    <w:unhideWhenUsed/>
    <w:rsid w:val="00405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3CD"/>
  </w:style>
  <w:style w:type="paragraph" w:styleId="Footer">
    <w:name w:val="footer"/>
    <w:basedOn w:val="Normal"/>
    <w:link w:val="FooterChar"/>
    <w:uiPriority w:val="99"/>
    <w:unhideWhenUsed/>
    <w:rsid w:val="00405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3CD"/>
  </w:style>
  <w:style w:type="table" w:styleId="TableGrid">
    <w:name w:val="Table Grid"/>
    <w:basedOn w:val="TableNormal"/>
    <w:uiPriority w:val="39"/>
    <w:rsid w:val="00E40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83C03"/>
    <w:rPr>
      <w:color w:val="605E5C"/>
      <w:shd w:val="clear" w:color="auto" w:fill="E1DFDD"/>
    </w:rPr>
  </w:style>
  <w:style w:type="paragraph" w:styleId="Revision">
    <w:name w:val="Revision"/>
    <w:hidden/>
    <w:uiPriority w:val="99"/>
    <w:semiHidden/>
    <w:rsid w:val="00621CDC"/>
    <w:pPr>
      <w:spacing w:after="0" w:line="240" w:lineRule="auto"/>
    </w:pPr>
  </w:style>
  <w:style w:type="character" w:styleId="Strong">
    <w:name w:val="Strong"/>
    <w:basedOn w:val="DefaultParagraphFont"/>
    <w:uiPriority w:val="22"/>
    <w:qFormat/>
    <w:rsid w:val="00B31C6F"/>
    <w:rPr>
      <w:b/>
      <w:bCs/>
    </w:rPr>
  </w:style>
  <w:style w:type="paragraph" w:customStyle="1" w:styleId="paragraph">
    <w:name w:val="paragraph"/>
    <w:basedOn w:val="Normal"/>
    <w:rsid w:val="00D032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0327A"/>
  </w:style>
  <w:style w:type="character" w:customStyle="1" w:styleId="eop">
    <w:name w:val="eop"/>
    <w:basedOn w:val="DefaultParagraphFont"/>
    <w:rsid w:val="00D03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913295">
      <w:bodyDiv w:val="1"/>
      <w:marLeft w:val="0"/>
      <w:marRight w:val="0"/>
      <w:marTop w:val="0"/>
      <w:marBottom w:val="0"/>
      <w:divBdr>
        <w:top w:val="none" w:sz="0" w:space="0" w:color="auto"/>
        <w:left w:val="none" w:sz="0" w:space="0" w:color="auto"/>
        <w:bottom w:val="none" w:sz="0" w:space="0" w:color="auto"/>
        <w:right w:val="none" w:sz="0" w:space="0" w:color="auto"/>
      </w:divBdr>
      <w:divsChild>
        <w:div w:id="169829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LinkPostBack('','ss~~AR%20%22Chauvin%2C%20Keith%20W.%22%7C%7Csl~~r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__doLinkPostBack('','mdb~~bth%7C%7Cjdb~~bthjnh%7C%7Css~~JN%20%22Management%20Science%22%7C%7Csl~~j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__doLinkPostBack('','ss~~AR%20%22Hirschey%2C%20Mark%22%7C%7Csl~~rl','');"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javascript:__doLinkPostBack('','ss~~AR%20%22Chauvin%2C%20Keith%20W.%22%7C%7Csl~~rl','');" TargetMode="External"/><Relationship Id="rId4" Type="http://schemas.openxmlformats.org/officeDocument/2006/relationships/settings" Target="settings.xml"/><Relationship Id="rId9" Type="http://schemas.openxmlformats.org/officeDocument/2006/relationships/hyperlink" Target="javascript:__doLinkPostBack('','ss~~AR%20%22Hirschey%2C%20Mark%22%7C%7Csl~~r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mba.tuck.dartmouth.edu/pages/faculty/ken.french/data_library.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ngot\Desktop\THANH\Research\Firm%20investment\September%20201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577293222962515E-2"/>
          <c:y val="4.7494656851104253E-2"/>
          <c:w val="0.88719193754626824"/>
          <c:h val="0.68885614541592421"/>
        </c:manualLayout>
      </c:layout>
      <c:lineChart>
        <c:grouping val="standard"/>
        <c:varyColors val="0"/>
        <c:ser>
          <c:idx val="0"/>
          <c:order val="0"/>
          <c:tx>
            <c:v>Nonoperating income/Asset</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'ROA volatility XTREG'!$R$4:$R$30</c:f>
              <c:numCache>
                <c:formatCode>General</c:formatCode>
                <c:ptCount val="27"/>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numCache>
            </c:numRef>
          </c:cat>
          <c:val>
            <c:numRef>
              <c:f>'ROA volatility XTREG'!$S$4:$S$30</c:f>
              <c:numCache>
                <c:formatCode>0.000%</c:formatCode>
                <c:ptCount val="27"/>
                <c:pt idx="0">
                  <c:v>1.3668E-2</c:v>
                </c:pt>
                <c:pt idx="1">
                  <c:v>1.1402199999999999E-2</c:v>
                </c:pt>
                <c:pt idx="2">
                  <c:v>9.6734000000000004E-3</c:v>
                </c:pt>
                <c:pt idx="3">
                  <c:v>8.1022999999999998E-3</c:v>
                </c:pt>
                <c:pt idx="4">
                  <c:v>8.2501999999999992E-3</c:v>
                </c:pt>
                <c:pt idx="5">
                  <c:v>1.05057E-2</c:v>
                </c:pt>
                <c:pt idx="6">
                  <c:v>1.06759E-2</c:v>
                </c:pt>
                <c:pt idx="7">
                  <c:v>1.09205E-2</c:v>
                </c:pt>
                <c:pt idx="8">
                  <c:v>1.1128300000000001E-2</c:v>
                </c:pt>
                <c:pt idx="9">
                  <c:v>9.5000999999999992E-3</c:v>
                </c:pt>
                <c:pt idx="10">
                  <c:v>1.20205E-2</c:v>
                </c:pt>
                <c:pt idx="11">
                  <c:v>9.8887000000000003E-3</c:v>
                </c:pt>
                <c:pt idx="12">
                  <c:v>5.9883999999999996E-3</c:v>
                </c:pt>
                <c:pt idx="13">
                  <c:v>5.6587E-3</c:v>
                </c:pt>
                <c:pt idx="14">
                  <c:v>6.3436999999999999E-3</c:v>
                </c:pt>
                <c:pt idx="15">
                  <c:v>8.3298000000000001E-3</c:v>
                </c:pt>
                <c:pt idx="16">
                  <c:v>1.1653500000000001E-2</c:v>
                </c:pt>
                <c:pt idx="17">
                  <c:v>1.2356300000000001E-2</c:v>
                </c:pt>
                <c:pt idx="18">
                  <c:v>6.4105999999999998E-3</c:v>
                </c:pt>
                <c:pt idx="19">
                  <c:v>3.4088E-3</c:v>
                </c:pt>
                <c:pt idx="20">
                  <c:v>3.9103000000000002E-3</c:v>
                </c:pt>
                <c:pt idx="21">
                  <c:v>4.5208000000000002E-3</c:v>
                </c:pt>
                <c:pt idx="22">
                  <c:v>4.5494000000000003E-3</c:v>
                </c:pt>
                <c:pt idx="23">
                  <c:v>3.4789E-3</c:v>
                </c:pt>
                <c:pt idx="24">
                  <c:v>3.6511E-3</c:v>
                </c:pt>
                <c:pt idx="25">
                  <c:v>3.0534999999999998E-3</c:v>
                </c:pt>
                <c:pt idx="26">
                  <c:v>2.7266999999999999E-3</c:v>
                </c:pt>
              </c:numCache>
            </c:numRef>
          </c:val>
          <c:smooth val="0"/>
          <c:extLst>
            <c:ext xmlns:c16="http://schemas.microsoft.com/office/drawing/2014/chart" uri="{C3380CC4-5D6E-409C-BE32-E72D297353CC}">
              <c16:uniqueId val="{00000000-C180-449C-BC1B-6D1C43E628D5}"/>
            </c:ext>
          </c:extLst>
        </c:ser>
        <c:ser>
          <c:idx val="1"/>
          <c:order val="1"/>
          <c:tx>
            <c:v>Operating income/Asset</c:v>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'ROA volatility XTREG'!$R$4:$R$30</c:f>
              <c:numCache>
                <c:formatCode>General</c:formatCode>
                <c:ptCount val="27"/>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numCache>
            </c:numRef>
          </c:cat>
          <c:val>
            <c:numRef>
              <c:f>'ROA volatility XTREG'!$U$4:$U$30</c:f>
              <c:numCache>
                <c:formatCode>0.000%</c:formatCode>
                <c:ptCount val="27"/>
                <c:pt idx="0">
                  <c:v>6.5834299999999998E-2</c:v>
                </c:pt>
                <c:pt idx="1">
                  <c:v>5.7710699999999997E-2</c:v>
                </c:pt>
                <c:pt idx="2">
                  <c:v>5.0450200000000001E-2</c:v>
                </c:pt>
                <c:pt idx="3">
                  <c:v>5.3226299999999997E-2</c:v>
                </c:pt>
                <c:pt idx="4">
                  <c:v>5.76138E-2</c:v>
                </c:pt>
                <c:pt idx="5">
                  <c:v>5.6947600000000001E-2</c:v>
                </c:pt>
                <c:pt idx="6">
                  <c:v>4.9880300000000002E-2</c:v>
                </c:pt>
                <c:pt idx="7">
                  <c:v>3.8614999999999997E-2</c:v>
                </c:pt>
                <c:pt idx="8">
                  <c:v>2.6759700000000001E-2</c:v>
                </c:pt>
                <c:pt idx="9">
                  <c:v>2.8291500000000001E-2</c:v>
                </c:pt>
                <c:pt idx="10">
                  <c:v>5.6023999999999996E-3</c:v>
                </c:pt>
                <c:pt idx="11">
                  <c:v>1.8562100000000002E-2</c:v>
                </c:pt>
                <c:pt idx="12">
                  <c:v>7.0345E-3</c:v>
                </c:pt>
                <c:pt idx="13">
                  <c:v>3.1876799999999997E-2</c:v>
                </c:pt>
                <c:pt idx="14">
                  <c:v>4.90318E-2</c:v>
                </c:pt>
                <c:pt idx="15">
                  <c:v>5.2858099999999998E-2</c:v>
                </c:pt>
                <c:pt idx="16">
                  <c:v>4.7150600000000001E-2</c:v>
                </c:pt>
                <c:pt idx="17">
                  <c:v>3.9527899999999998E-2</c:v>
                </c:pt>
                <c:pt idx="18">
                  <c:v>3.9314099999999998E-2</c:v>
                </c:pt>
                <c:pt idx="19">
                  <c:v>3.6053399999999999E-2</c:v>
                </c:pt>
                <c:pt idx="20">
                  <c:v>6.4761799999999994E-2</c:v>
                </c:pt>
                <c:pt idx="21">
                  <c:v>6.3840599999999997E-2</c:v>
                </c:pt>
                <c:pt idx="22">
                  <c:v>5.2378000000000001E-2</c:v>
                </c:pt>
                <c:pt idx="23">
                  <c:v>4.7761499999999998E-2</c:v>
                </c:pt>
                <c:pt idx="24">
                  <c:v>4.2376700000000003E-2</c:v>
                </c:pt>
                <c:pt idx="25">
                  <c:v>1.6473000000000002E-2</c:v>
                </c:pt>
                <c:pt idx="26">
                  <c:v>5.3213000000000002E-3</c:v>
                </c:pt>
              </c:numCache>
            </c:numRef>
          </c:val>
          <c:smooth val="0"/>
          <c:extLst>
            <c:ext xmlns:c16="http://schemas.microsoft.com/office/drawing/2014/chart" uri="{C3380CC4-5D6E-409C-BE32-E72D297353CC}">
              <c16:uniqueId val="{00000001-C180-449C-BC1B-6D1C43E628D5}"/>
            </c:ext>
          </c:extLst>
        </c:ser>
        <c:dLbls>
          <c:showLegendKey val="0"/>
          <c:showVal val="0"/>
          <c:showCatName val="0"/>
          <c:showSerName val="0"/>
          <c:showPercent val="0"/>
          <c:showBubbleSize val="0"/>
        </c:dLbls>
        <c:marker val="1"/>
        <c:smooth val="0"/>
        <c:axId val="552739264"/>
        <c:axId val="552739656"/>
      </c:lineChart>
      <c:catAx>
        <c:axId val="552739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2739656"/>
        <c:crosses val="autoZero"/>
        <c:auto val="1"/>
        <c:lblAlgn val="ctr"/>
        <c:lblOffset val="100"/>
        <c:noMultiLvlLbl val="0"/>
      </c:catAx>
      <c:valAx>
        <c:axId val="552739656"/>
        <c:scaling>
          <c:orientation val="minMax"/>
        </c:scaling>
        <c:delete val="0"/>
        <c:axPos val="l"/>
        <c:majorGridlines>
          <c:spPr>
            <a:ln w="9525" cap="flat" cmpd="sng" algn="ctr">
              <a:no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2739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D85A2-4880-4F06-9289-53ACD7595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17599</Words>
  <Characters>100319</Characters>
  <Application>Microsoft Office Word</Application>
  <DocSecurity>4</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ngo</dc:creator>
  <cp:keywords/>
  <dc:description/>
  <cp:lastModifiedBy>Whalley T.</cp:lastModifiedBy>
  <cp:revision>2</cp:revision>
  <cp:lastPrinted>2020-02-06T16:16:00Z</cp:lastPrinted>
  <dcterms:created xsi:type="dcterms:W3CDTF">2020-06-04T12:13:00Z</dcterms:created>
  <dcterms:modified xsi:type="dcterms:W3CDTF">2020-06-04T12:13:00Z</dcterms:modified>
</cp:coreProperties>
</file>