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50F8" w14:textId="35F2E2C6" w:rsidR="00EA714C" w:rsidRDefault="00B62A93" w:rsidP="00A54A34">
      <w:pPr>
        <w:jc w:val="center"/>
        <w:rPr>
          <w:rFonts w:cs="Times New Roman"/>
          <w:b/>
        </w:rPr>
      </w:pPr>
      <w:r>
        <w:rPr>
          <w:rFonts w:cs="Times New Roman"/>
          <w:b/>
        </w:rPr>
        <w:t xml:space="preserve">United </w:t>
      </w:r>
      <w:r w:rsidR="000B503A">
        <w:rPr>
          <w:rFonts w:cs="Times New Roman"/>
          <w:b/>
        </w:rPr>
        <w:t>W</w:t>
      </w:r>
      <w:r>
        <w:rPr>
          <w:rFonts w:cs="Times New Roman"/>
          <w:b/>
        </w:rPr>
        <w:t xml:space="preserve">e Stand? Marketization, </w:t>
      </w:r>
      <w:r w:rsidR="00EB4647" w:rsidRPr="007066D4">
        <w:rPr>
          <w:rFonts w:cs="Times New Roman"/>
          <w:b/>
        </w:rPr>
        <w:t>Institutional Change</w:t>
      </w:r>
      <w:r>
        <w:rPr>
          <w:rFonts w:cs="Times New Roman"/>
          <w:b/>
        </w:rPr>
        <w:t xml:space="preserve"> and</w:t>
      </w:r>
      <w:r w:rsidR="004514AC" w:rsidRPr="007066D4">
        <w:rPr>
          <w:rFonts w:cs="Times New Roman"/>
          <w:b/>
        </w:rPr>
        <w:t xml:space="preserve"> </w:t>
      </w:r>
      <w:r w:rsidR="001E6C96">
        <w:rPr>
          <w:rFonts w:cs="Times New Roman"/>
          <w:b/>
        </w:rPr>
        <w:t>Employers’</w:t>
      </w:r>
      <w:r>
        <w:rPr>
          <w:rFonts w:cs="Times New Roman"/>
          <w:b/>
        </w:rPr>
        <w:t xml:space="preserve"> </w:t>
      </w:r>
      <w:r w:rsidR="007A52AB">
        <w:rPr>
          <w:rFonts w:cs="Times New Roman"/>
          <w:b/>
        </w:rPr>
        <w:t>Associations</w:t>
      </w:r>
      <w:r w:rsidR="004514AC" w:rsidRPr="007066D4">
        <w:rPr>
          <w:rFonts w:cs="Times New Roman"/>
          <w:b/>
        </w:rPr>
        <w:t xml:space="preserve"> in</w:t>
      </w:r>
      <w:r>
        <w:rPr>
          <w:rFonts w:cs="Times New Roman"/>
          <w:b/>
        </w:rPr>
        <w:t xml:space="preserve"> </w:t>
      </w:r>
      <w:r w:rsidR="004514AC" w:rsidRPr="007066D4">
        <w:rPr>
          <w:rFonts w:cs="Times New Roman"/>
          <w:b/>
        </w:rPr>
        <w:t>Crisis</w:t>
      </w:r>
    </w:p>
    <w:p w14:paraId="41F28758" w14:textId="1E1B8FF1" w:rsidR="00A56512" w:rsidRDefault="00A56512" w:rsidP="00523F30">
      <w:pPr>
        <w:jc w:val="center"/>
      </w:pPr>
      <w:r>
        <w:t xml:space="preserve">Horen Voskeritsian, </w:t>
      </w:r>
      <w:r w:rsidR="00523F30">
        <w:t>Birkbeck College, University of London</w:t>
      </w:r>
    </w:p>
    <w:p w14:paraId="226DCC6C" w14:textId="32F805EA" w:rsidR="00523F30" w:rsidRDefault="00523F30" w:rsidP="00523F30">
      <w:pPr>
        <w:jc w:val="center"/>
      </w:pPr>
      <w:r>
        <w:t>Andreas Kornelakis, King’s College, London</w:t>
      </w:r>
    </w:p>
    <w:p w14:paraId="7007AC42" w14:textId="433B60B0" w:rsidR="00523F30" w:rsidRDefault="00523F30" w:rsidP="00523F30">
      <w:pPr>
        <w:jc w:val="center"/>
      </w:pPr>
      <w:r>
        <w:t>Panos Kapotas, University of Portsmouth</w:t>
      </w:r>
    </w:p>
    <w:p w14:paraId="57F91607" w14:textId="56B0646B" w:rsidR="00523F30" w:rsidRPr="00523F30" w:rsidRDefault="00523F30" w:rsidP="00523F30">
      <w:pPr>
        <w:jc w:val="center"/>
      </w:pPr>
      <w:r>
        <w:t>Michail Veliziotis, University of Southampton</w:t>
      </w:r>
    </w:p>
    <w:p w14:paraId="363271FC" w14:textId="6FF44DB3" w:rsidR="00A7079C" w:rsidRPr="00A7079C" w:rsidRDefault="00A7079C" w:rsidP="00373E29">
      <w:pPr>
        <w:rPr>
          <w:rStyle w:val="Strong"/>
        </w:rPr>
      </w:pPr>
      <w:r w:rsidRPr="00373E29">
        <w:rPr>
          <w:rStyle w:val="Strong"/>
        </w:rPr>
        <w:t>Abstract</w:t>
      </w:r>
    </w:p>
    <w:p w14:paraId="257ABDA5" w14:textId="5E96235E" w:rsidR="00A7079C" w:rsidRDefault="00A7079C" w:rsidP="00A7079C">
      <w:pPr>
        <w:rPr>
          <w:rFonts w:cs="Times New Roman"/>
          <w:lang w:val="en-US"/>
        </w:rPr>
      </w:pPr>
      <w:r>
        <w:t xml:space="preserve">The continuous process of marketization of </w:t>
      </w:r>
      <w:r w:rsidR="008977D1">
        <w:t>employment relations</w:t>
      </w:r>
      <w:r>
        <w:t xml:space="preserve"> in a variety of European countries has </w:t>
      </w:r>
      <w:r>
        <w:rPr>
          <w:rFonts w:cs="Times New Roman"/>
        </w:rPr>
        <w:t xml:space="preserve">raised questions about the power of collective social actors and their legitimizing role in policy-making. </w:t>
      </w:r>
      <w:r w:rsidR="004F4276">
        <w:rPr>
          <w:rFonts w:cs="Times New Roman"/>
        </w:rPr>
        <w:t>The article examines</w:t>
      </w:r>
      <w:r>
        <w:rPr>
          <w:rFonts w:cs="Times New Roman"/>
        </w:rPr>
        <w:t xml:space="preserve"> the responses of employers’ </w:t>
      </w:r>
      <w:r w:rsidR="007A52AB">
        <w:rPr>
          <w:rFonts w:cs="Times New Roman"/>
        </w:rPr>
        <w:t>associations</w:t>
      </w:r>
      <w:r>
        <w:rPr>
          <w:rFonts w:cs="Times New Roman"/>
        </w:rPr>
        <w:t xml:space="preserve"> to institutional changes towards marketization in the context of the Greek economic crisis</w:t>
      </w:r>
      <w:r w:rsidR="004F4276">
        <w:rPr>
          <w:rFonts w:cs="Times New Roman"/>
        </w:rPr>
        <w:t>. The analysis</w:t>
      </w:r>
      <w:r>
        <w:rPr>
          <w:rFonts w:cs="Times New Roman"/>
        </w:rPr>
        <w:t xml:space="preserve"> </w:t>
      </w:r>
      <w:r w:rsidR="00EE6473">
        <w:rPr>
          <w:rFonts w:cs="Times New Roman"/>
        </w:rPr>
        <w:t>exp</w:t>
      </w:r>
      <w:r w:rsidR="002B6A72">
        <w:rPr>
          <w:rFonts w:cs="Times New Roman"/>
        </w:rPr>
        <w:t>ose</w:t>
      </w:r>
      <w:r w:rsidR="004F4276">
        <w:rPr>
          <w:rFonts w:cs="Times New Roman"/>
        </w:rPr>
        <w:t>s</w:t>
      </w:r>
      <w:r w:rsidR="002B6A72">
        <w:rPr>
          <w:rFonts w:cs="Times New Roman"/>
        </w:rPr>
        <w:t xml:space="preserve"> the </w:t>
      </w:r>
      <w:r w:rsidRPr="00B6379A">
        <w:t xml:space="preserve">hidden fractures between and </w:t>
      </w:r>
      <w:r>
        <w:t>within the peak-level employer</w:t>
      </w:r>
      <w:r w:rsidR="00F946CE">
        <w:t>s’</w:t>
      </w:r>
      <w:r w:rsidRPr="00B6379A">
        <w:t xml:space="preserve"> </w:t>
      </w:r>
      <w:r w:rsidR="00F946CE">
        <w:t>associations and</w:t>
      </w:r>
      <w:r w:rsidR="004F4276">
        <w:t xml:space="preserve"> unveils a variation </w:t>
      </w:r>
      <w:r w:rsidR="002B6A72">
        <w:t xml:space="preserve">in their </w:t>
      </w:r>
      <w:r w:rsidR="000C5045">
        <w:t xml:space="preserve">strategic </w:t>
      </w:r>
      <w:r w:rsidR="00AA0150">
        <w:t>responses</w:t>
      </w:r>
      <w:r w:rsidR="009F18EC">
        <w:t xml:space="preserve"> </w:t>
      </w:r>
      <w:r w:rsidR="00F946CE">
        <w:t xml:space="preserve">towards </w:t>
      </w:r>
      <w:r w:rsidR="009F18EC">
        <w:t>institutional changes</w:t>
      </w:r>
      <w:r w:rsidR="002B6A72">
        <w:t>.</w:t>
      </w:r>
      <w:r>
        <w:t xml:space="preserve"> </w:t>
      </w:r>
      <w:r w:rsidR="004F4276">
        <w:rPr>
          <w:rFonts w:cs="Times New Roman"/>
        </w:rPr>
        <w:t>To explain this variation</w:t>
      </w:r>
      <w:r>
        <w:rPr>
          <w:rFonts w:cs="Times New Roman"/>
        </w:rPr>
        <w:t xml:space="preserve">, </w:t>
      </w:r>
      <w:r w:rsidR="00E35895">
        <w:rPr>
          <w:rFonts w:cs="Times New Roman"/>
        </w:rPr>
        <w:t xml:space="preserve">the </w:t>
      </w:r>
      <w:r w:rsidR="000C5045">
        <w:rPr>
          <w:rFonts w:cs="Times New Roman"/>
        </w:rPr>
        <w:t xml:space="preserve">article </w:t>
      </w:r>
      <w:r>
        <w:rPr>
          <w:rFonts w:cs="Times New Roman"/>
        </w:rPr>
        <w:t>advances a power-based explanation and</w:t>
      </w:r>
      <w:r w:rsidRPr="007066D4">
        <w:rPr>
          <w:rFonts w:cs="Times New Roman"/>
        </w:rPr>
        <w:t xml:space="preserve"> argue</w:t>
      </w:r>
      <w:r>
        <w:rPr>
          <w:rFonts w:cs="Times New Roman"/>
        </w:rPr>
        <w:t>s</w:t>
      </w:r>
      <w:r w:rsidRPr="007066D4">
        <w:rPr>
          <w:rFonts w:cs="Times New Roman"/>
        </w:rPr>
        <w:t xml:space="preserve"> that the institutional changes altered </w:t>
      </w:r>
      <w:r>
        <w:rPr>
          <w:rFonts w:cs="Times New Roman"/>
        </w:rPr>
        <w:t xml:space="preserve">the </w:t>
      </w:r>
      <w:r w:rsidR="000C5045">
        <w:rPr>
          <w:rFonts w:cs="Times New Roman"/>
        </w:rPr>
        <w:t>associations’</w:t>
      </w:r>
      <w:r w:rsidRPr="007066D4">
        <w:rPr>
          <w:rFonts w:cs="Times New Roman"/>
        </w:rPr>
        <w:t xml:space="preserve"> interest</w:t>
      </w:r>
      <w:r w:rsidR="00ED08E3">
        <w:rPr>
          <w:rFonts w:cs="Times New Roman"/>
        </w:rPr>
        <w:t xml:space="preserve"> representation</w:t>
      </w:r>
      <w:r>
        <w:rPr>
          <w:rFonts w:cs="Times New Roman"/>
        </w:rPr>
        <w:t xml:space="preserve"> and power</w:t>
      </w:r>
      <w:r>
        <w:rPr>
          <w:rFonts w:cs="Times New Roman"/>
          <w:lang w:val="en-US"/>
        </w:rPr>
        <w:t xml:space="preserve"> resources, which in turn, redefined their role and identit</w:t>
      </w:r>
      <w:r w:rsidR="000C5045">
        <w:rPr>
          <w:rFonts w:cs="Times New Roman"/>
          <w:lang w:val="en-US"/>
        </w:rPr>
        <w:t>ies</w:t>
      </w:r>
      <w:r>
        <w:rPr>
          <w:rFonts w:cs="Times New Roman"/>
          <w:lang w:val="en-US"/>
        </w:rPr>
        <w:t xml:space="preserve"> in the employment relations</w:t>
      </w:r>
      <w:r w:rsidR="000C5045">
        <w:rPr>
          <w:rFonts w:cs="Times New Roman"/>
          <w:lang w:val="en-US"/>
        </w:rPr>
        <w:t xml:space="preserve"> system</w:t>
      </w:r>
      <w:r>
        <w:rPr>
          <w:rFonts w:cs="Times New Roman"/>
          <w:lang w:val="en-US"/>
        </w:rPr>
        <w:t>.</w:t>
      </w:r>
    </w:p>
    <w:p w14:paraId="7A3B3FFF" w14:textId="3D40331E" w:rsidR="00D735A6" w:rsidRDefault="00243794" w:rsidP="00A7079C">
      <w:pPr>
        <w:rPr>
          <w:rFonts w:cs="Times New Roman"/>
        </w:rPr>
        <w:sectPr w:rsidR="00D735A6" w:rsidSect="00DF440E">
          <w:footerReference w:type="even" r:id="rId8"/>
          <w:footerReference w:type="default" r:id="rId9"/>
          <w:pgSz w:w="11900" w:h="16840"/>
          <w:pgMar w:top="1440" w:right="1800" w:bottom="1440" w:left="1800" w:header="708" w:footer="708" w:gutter="0"/>
          <w:cols w:space="708"/>
          <w:docGrid w:linePitch="360"/>
        </w:sectPr>
      </w:pPr>
      <w:r w:rsidRPr="00243794">
        <w:rPr>
          <w:rFonts w:cs="Times New Roman"/>
          <w:b/>
        </w:rPr>
        <w:t>Keywords</w:t>
      </w:r>
      <w:r>
        <w:rPr>
          <w:rFonts w:cs="Times New Roman"/>
        </w:rPr>
        <w:t xml:space="preserve">: </w:t>
      </w:r>
      <w:r w:rsidR="000C5045">
        <w:rPr>
          <w:rFonts w:cs="Times New Roman"/>
        </w:rPr>
        <w:t>Employer</w:t>
      </w:r>
      <w:r w:rsidR="00C036BA">
        <w:rPr>
          <w:rFonts w:cs="Times New Roman"/>
        </w:rPr>
        <w:t>s’</w:t>
      </w:r>
      <w:r w:rsidR="000C5045">
        <w:rPr>
          <w:rFonts w:cs="Times New Roman"/>
        </w:rPr>
        <w:t xml:space="preserve"> </w:t>
      </w:r>
      <w:r w:rsidR="00C036BA">
        <w:rPr>
          <w:rFonts w:cs="Times New Roman"/>
        </w:rPr>
        <w:t>Associations</w:t>
      </w:r>
      <w:r w:rsidR="004E1985">
        <w:rPr>
          <w:rFonts w:cs="Times New Roman"/>
        </w:rPr>
        <w:t xml:space="preserve">; </w:t>
      </w:r>
      <w:r w:rsidR="000C5045">
        <w:rPr>
          <w:rFonts w:cs="Times New Roman"/>
        </w:rPr>
        <w:t>E</w:t>
      </w:r>
      <w:r w:rsidR="004E1985">
        <w:rPr>
          <w:rFonts w:cs="Times New Roman"/>
        </w:rPr>
        <w:t xml:space="preserve">conomic </w:t>
      </w:r>
      <w:r w:rsidR="00C036BA">
        <w:rPr>
          <w:rFonts w:cs="Times New Roman"/>
        </w:rPr>
        <w:t>Crisis</w:t>
      </w:r>
      <w:r w:rsidR="000C5045">
        <w:rPr>
          <w:rFonts w:cs="Times New Roman"/>
        </w:rPr>
        <w:t xml:space="preserve">; Greece; Interests; Power </w:t>
      </w:r>
      <w:r w:rsidR="00F946CE">
        <w:rPr>
          <w:rFonts w:cs="Times New Roman"/>
        </w:rPr>
        <w:t>Dynamics</w:t>
      </w:r>
      <w:r w:rsidR="000C5045">
        <w:rPr>
          <w:rFonts w:cs="Times New Roman"/>
        </w:rPr>
        <w:t>.</w:t>
      </w:r>
    </w:p>
    <w:p w14:paraId="6EEE053D" w14:textId="47A10969" w:rsidR="00F11D8F" w:rsidRPr="007066D4" w:rsidRDefault="00974363" w:rsidP="00D46832">
      <w:pPr>
        <w:pStyle w:val="Heading2"/>
      </w:pPr>
      <w:r w:rsidRPr="007066D4">
        <w:lastRenderedPageBreak/>
        <w:t>Intro</w:t>
      </w:r>
      <w:r w:rsidR="00EB72A6" w:rsidRPr="007066D4">
        <w:t>duction</w:t>
      </w:r>
    </w:p>
    <w:p w14:paraId="26F8EE5E" w14:textId="2053268C" w:rsidR="00D46832" w:rsidRDefault="00D46832" w:rsidP="000417A0">
      <w:pPr>
        <w:rPr>
          <w:rFonts w:cs="Times New Roman"/>
        </w:rPr>
      </w:pPr>
      <w:r>
        <w:rPr>
          <w:rFonts w:cs="Times New Roman"/>
        </w:rPr>
        <w:t xml:space="preserve">The </w:t>
      </w:r>
      <w:r w:rsidR="00BC6A5B">
        <w:rPr>
          <w:rFonts w:cs="Times New Roman"/>
        </w:rPr>
        <w:t xml:space="preserve">continuous </w:t>
      </w:r>
      <w:r w:rsidR="00F57683">
        <w:rPr>
          <w:rFonts w:cs="Times New Roman"/>
        </w:rPr>
        <w:t>process</w:t>
      </w:r>
      <w:r w:rsidR="00BC6A5B">
        <w:rPr>
          <w:rFonts w:cs="Times New Roman"/>
        </w:rPr>
        <w:t xml:space="preserve"> of </w:t>
      </w:r>
      <w:r>
        <w:rPr>
          <w:rFonts w:cs="Times New Roman"/>
        </w:rPr>
        <w:t xml:space="preserve">marketization of </w:t>
      </w:r>
      <w:r w:rsidR="008977D1">
        <w:rPr>
          <w:rFonts w:cs="Times New Roman"/>
        </w:rPr>
        <w:t>employment relations</w:t>
      </w:r>
      <w:r>
        <w:rPr>
          <w:rFonts w:cs="Times New Roman"/>
        </w:rPr>
        <w:t xml:space="preserve"> in a variety of European countries has become a pervasive </w:t>
      </w:r>
      <w:r w:rsidR="00CC411C">
        <w:rPr>
          <w:rFonts w:cs="Times New Roman"/>
        </w:rPr>
        <w:t>trend that</w:t>
      </w:r>
      <w:r>
        <w:rPr>
          <w:rFonts w:cs="Times New Roman"/>
        </w:rPr>
        <w:t xml:space="preserve"> intensified in the context of the</w:t>
      </w:r>
      <w:r w:rsidR="00CC411C">
        <w:rPr>
          <w:rFonts w:cs="Times New Roman"/>
        </w:rPr>
        <w:t xml:space="preserve"> recent</w:t>
      </w:r>
      <w:r>
        <w:rPr>
          <w:rFonts w:cs="Times New Roman"/>
        </w:rPr>
        <w:t xml:space="preserve"> European </w:t>
      </w:r>
      <w:r w:rsidR="00BC6A5B">
        <w:rPr>
          <w:rFonts w:cs="Times New Roman"/>
        </w:rPr>
        <w:t xml:space="preserve">crisis. </w:t>
      </w:r>
      <w:r w:rsidR="00183008">
        <w:rPr>
          <w:rFonts w:cs="Times New Roman"/>
        </w:rPr>
        <w:t xml:space="preserve">This </w:t>
      </w:r>
      <w:r w:rsidR="00BC6A5B">
        <w:rPr>
          <w:rFonts w:cs="Times New Roman"/>
        </w:rPr>
        <w:t>trend ha</w:t>
      </w:r>
      <w:r w:rsidR="00183008">
        <w:rPr>
          <w:rFonts w:cs="Times New Roman"/>
        </w:rPr>
        <w:t>s</w:t>
      </w:r>
      <w:r w:rsidR="00BC6A5B">
        <w:rPr>
          <w:rFonts w:cs="Times New Roman"/>
        </w:rPr>
        <w:t xml:space="preserve"> </w:t>
      </w:r>
      <w:r w:rsidR="00E9752F">
        <w:rPr>
          <w:rFonts w:cs="Times New Roman"/>
        </w:rPr>
        <w:t>informed academic</w:t>
      </w:r>
      <w:r w:rsidR="00F57683">
        <w:rPr>
          <w:rFonts w:cs="Times New Roman"/>
        </w:rPr>
        <w:t xml:space="preserve"> debates</w:t>
      </w:r>
      <w:r w:rsidR="00BC6A5B">
        <w:rPr>
          <w:rFonts w:cs="Times New Roman"/>
        </w:rPr>
        <w:t xml:space="preserve"> about the trajectories of institutional change in Europe</w:t>
      </w:r>
      <w:r w:rsidR="00F57683">
        <w:rPr>
          <w:rFonts w:cs="Times New Roman"/>
        </w:rPr>
        <w:t xml:space="preserve"> and beyond</w:t>
      </w:r>
      <w:r w:rsidR="00BC6A5B">
        <w:rPr>
          <w:rFonts w:cs="Times New Roman"/>
        </w:rPr>
        <w:t xml:space="preserve"> </w:t>
      </w:r>
      <w:r w:rsidR="009F5961">
        <w:rPr>
          <w:rFonts w:cs="Times New Roman"/>
        </w:rPr>
        <w:fldChar w:fldCharType="begin"/>
      </w:r>
      <w:r w:rsidR="00C909E2">
        <w:rPr>
          <w:rFonts w:cs="Times New Roman"/>
        </w:rPr>
        <w:instrText xml:space="preserve"> ADDIN ZOTERO_ITEM CSL_CITATION {"citationID":"TNzR8EPx","properties":{"formattedCitation":"(Baccaro and Howell, 2011; Greer and Doellgast, 2017; Hall and Thelen, 2009)","plainCitation":"(Baccaro and Howell, 2011; Greer and Doellgast, 2017; Hall and Thelen, 2009)","noteIndex":0},"citationItems":[{"id":1136,"uris":["http://zotero.org/users/2360415/items/QDLHDK9Z"],"uri":["http://zotero.org/users/2360415/items/QDLHDK9Z"],"itemData":{"id":1136,"type":"article-journal","abstract":"Based on quantitative indicators for fifteen advanced countries between 1974 and 2005, and case studies of France, the United Kingdom, Germany, Italy, Sweden, and Ireland, this article analyzes the trajectory of institutional change in the industrial relations systems of advanced capitalist societies, with a focus on Western Europe. In contrast to current comparative political economy scholarship, which emphasizes the resilience of national institutions to common challenges and trends, it argues that despite a surface resilience of distinct national sets, all countries have been transformed in a neoliberal direction. Neoliberal transformation manifests itself not just as institutional deregulation but also as institutional conversion, as the functions associated with existing institutional forms change in a convergent direction. A key example is the institution of centralized bargaining, once the linchpin of an alternative, redistributive and egalitarian, model of negotiated capitalism, which has been reshaped in the past twenty years to fit the common imperative of liberalization.","container-title":"Politics &amp; Society","DOI":"10.1177/0032329211420082","ISSN":"0032-3292, 1552-7514","issue":"4","language":"en","page":"521-563","source":"Crossref","title":"A Common Neoliberal Trajectory: The Transformation of Industrial Relations in Advanced Capitalism","title-short":"A Common Neoliberal Trajectory","volume":"39","author":[{"family":"Baccaro","given":"Lucio"},{"family":"Howell","given":"Chris"}],"issued":{"date-parts":[["2011",12]]}}},{"id":1140,"uris":["http://zotero.org/users/2360415/items/7I23XR4A"],"uri":["http://zotero.org/users/2360415/items/7I23XR4A"],"itemData":{"id":1140,"type":"article-journal","container-title":"Journal of Industrial Relations","issue":"2","page":"192-208","title":"Marketization, inequality, and institutional change: Toward a new framework for comparative employment relations","volume":"59","author":[{"family":"Greer","given":"Ian"},{"family":"Doellgast","given":"Virginia"}],"issued":{"date-parts":[["2017"]]}}},{"id":"df9hae7d/UJyddA7e","uris":["http://www.mendeley.com/documents/?uuid=7214f55d-ca15-4373-aad4-c292b377b712"],"uri":["http://www.mendeley.com/documents/?uuid=7214f55d-ca15-4373-aad4-c292b377b712"],"itemData":{"DOI":"10.1093/ser/mwn020","ISBN":"1475-1461","ISSN":"1475-1461","PMID":"36437500","abstract":"Contemporary approaches to varieties to capitalism are often criticized for neglecting issues of institutional change. This paper develops an approach to institutional change more extended than the one provided in Hall and Soskice (in Varieties of Capitalism: The Institutional Foundations of Comparative Advantage, Oxford, Oxford University Press, 2001) but congruent with its varieties-of- capitalism perspective. It begins by outlining an approach to institutional stability, which suggests that the persistence of institutions depends not only on their aggregate welfare effects but also on the distributive benefits that they provide to the underlying social or political coalitions; and not only on the Pareto- optimal quality of such equilibria but also on continuous processes of mobilization through which the actors test the limits of the existing institutions. It then develops an analysis of institutional change that emphasizes the ways in which defection, reinterpretation and reform emerge out of such contestation and assesses the accuracy of this account against recent developments in the political economies of Europe. The paper concludes by outlining the implications of this perspective for contemporary analyses of liberalization in the political economy.","author":[{"dropping-particle":"","family":"Hall","given":"Peter A","non-dropping-particle":"","parse-names":false,"suffix":""},{"dropping-particle":"","family":"Thelen","given":"Kathleen","non-dropping-particle":"","parse-names":false,"suffix":""}],"container-title":"Socio - Economic Review","id":"7M97odCO/FjD8KUhW","issue":"1","issued":{"date-parts":[["2009"]]},"page":"7-34","title":"Institutional change in varieties of capitalism","type":"article-journal","volume":"7"}}],"schema":"https://github.com/citation-style-language/schema/raw/master/csl-citation.json"} </w:instrText>
      </w:r>
      <w:r w:rsidR="009F5961">
        <w:rPr>
          <w:rFonts w:cs="Times New Roman"/>
        </w:rPr>
        <w:fldChar w:fldCharType="separate"/>
      </w:r>
      <w:r w:rsidR="006C2C79" w:rsidRPr="006C2C79">
        <w:rPr>
          <w:rFonts w:cs="Times New Roman"/>
        </w:rPr>
        <w:t>(Baccaro and Howell, 2011; Greer and Doellgast, 2017; Hall and Thelen, 2009)</w:t>
      </w:r>
      <w:r w:rsidR="009F5961">
        <w:rPr>
          <w:rFonts w:cs="Times New Roman"/>
        </w:rPr>
        <w:fldChar w:fldCharType="end"/>
      </w:r>
      <w:r w:rsidR="00BC6A5B">
        <w:rPr>
          <w:rFonts w:cs="Times New Roman"/>
        </w:rPr>
        <w:t>. At the same time</w:t>
      </w:r>
      <w:r w:rsidR="00F57683">
        <w:rPr>
          <w:rFonts w:cs="Times New Roman"/>
        </w:rPr>
        <w:t xml:space="preserve">, </w:t>
      </w:r>
      <w:r w:rsidR="00183008">
        <w:rPr>
          <w:rFonts w:cs="Times New Roman"/>
        </w:rPr>
        <w:t>it has</w:t>
      </w:r>
      <w:r w:rsidR="00BC6A5B">
        <w:rPr>
          <w:rFonts w:cs="Times New Roman"/>
        </w:rPr>
        <w:t xml:space="preserve"> </w:t>
      </w:r>
      <w:r w:rsidR="00E9752F">
        <w:rPr>
          <w:rFonts w:cs="Times New Roman"/>
        </w:rPr>
        <w:t xml:space="preserve">raised questions about </w:t>
      </w:r>
      <w:r w:rsidR="00F57683">
        <w:rPr>
          <w:rFonts w:cs="Times New Roman"/>
        </w:rPr>
        <w:t xml:space="preserve">the </w:t>
      </w:r>
      <w:r w:rsidR="00CC411C">
        <w:rPr>
          <w:rFonts w:cs="Times New Roman"/>
        </w:rPr>
        <w:t>power of</w:t>
      </w:r>
      <w:r w:rsidR="00F57683">
        <w:rPr>
          <w:rFonts w:cs="Times New Roman"/>
        </w:rPr>
        <w:t xml:space="preserve"> collective social actors and their legitimizing role in policy-making</w:t>
      </w:r>
      <w:r w:rsidR="00B76447">
        <w:rPr>
          <w:rFonts w:cs="Times New Roman"/>
        </w:rPr>
        <w:t xml:space="preserve"> </w:t>
      </w:r>
      <w:r w:rsidR="00B34779">
        <w:rPr>
          <w:rFonts w:cs="Times New Roman"/>
        </w:rPr>
        <w:fldChar w:fldCharType="begin"/>
      </w:r>
      <w:r w:rsidR="00C909E2">
        <w:rPr>
          <w:rFonts w:cs="Times New Roman"/>
        </w:rPr>
        <w:instrText xml:space="preserve"> ADDIN ZOTERO_ITEM CSL_CITATION {"citationID":"FikxoRxG","properties":{"formattedCitation":"(Culpepper and Regan, 2014)","plainCitation":"(Culpepper and Regan, 2014)","noteIndex":0},"citationItems":[{"id":"df9hae7d/0bCoF1mt","uris":["http://www.mendeley.com/documents/?uuid=9ac738f6-6844-4046-bd29-292e585e044b"],"uri":["http://www.mendeley.com/documents/?uuid=9ac738f6-6844-4046-bd29-292e585e044b"],"itemData":{"DOI":"10.1093/ser/mwt028","ISBN":"1475-1461","ISSN":"1475147X","abstract":"During the 1990s, a prominent strategy of economic adjustment to the challenges of competitiveness and budgetary retrenchment among the non-corporatist countries of Europe was the negotiation of social pacts. Since the onset of the great recession and the Eurozone crisis, social pacts have been conspicuous by their absence. Why have unions not been invited into government buildings to negotiate paths of eco-nomic adjustment in the countries hardest hit by the crisis? Drawing on empirical experiences from Ireland and Italy—two cases on which much of the social pact litera-ture concentrated—this article attributes the exclusion of unions to their declining legitimacy. Unions in the new European periphery have lost the capacity either to threaten governments with the stick of protest or to seduce policymakers with the carrot of problem-solving. They are now seen as a narrow interest group like any other.","author":[{"dropping-particle":"","family":"Culpepper","given":"Pepper D.","non-dropping-particle":"","parse-names":false,"suffix":""},{"dropping-particle":"","family":"Regan","given":"Aidan","non-dropping-particle":"","parse-names":false,"suffix":""}],"container-title":"Socio-Economic Review","id":"7M97odCO/TCIcxPLJ","issue":"4","issued":{"date-parts":[["2014"]]},"page":"723-745","title":"Why don't governments need trade unions anymore? The death of social pacts in Ireland and Italy","type":"article-journal","volume":"12"}}],"schema":"https://github.com/citation-style-language/schema/raw/master/csl-citation.json"} </w:instrText>
      </w:r>
      <w:r w:rsidR="00B34779">
        <w:rPr>
          <w:rFonts w:cs="Times New Roman"/>
        </w:rPr>
        <w:fldChar w:fldCharType="separate"/>
      </w:r>
      <w:r w:rsidR="006C2C79" w:rsidRPr="006C2C79">
        <w:rPr>
          <w:rFonts w:cs="Times New Roman"/>
        </w:rPr>
        <w:t>(Culpepper and Regan, 2014)</w:t>
      </w:r>
      <w:r w:rsidR="00B34779">
        <w:rPr>
          <w:rFonts w:cs="Times New Roman"/>
        </w:rPr>
        <w:fldChar w:fldCharType="end"/>
      </w:r>
      <w:r w:rsidR="00F57683">
        <w:rPr>
          <w:rFonts w:cs="Times New Roman"/>
        </w:rPr>
        <w:t>.</w:t>
      </w:r>
    </w:p>
    <w:p w14:paraId="36F4E7D1" w14:textId="46CFCB9A" w:rsidR="005C2864" w:rsidRDefault="00F57683" w:rsidP="005C2864">
      <w:pPr>
        <w:rPr>
          <w:rFonts w:cs="Times New Roman"/>
        </w:rPr>
      </w:pPr>
      <w:r>
        <w:rPr>
          <w:rFonts w:cs="Times New Roman"/>
        </w:rPr>
        <w:t xml:space="preserve">The </w:t>
      </w:r>
      <w:r w:rsidR="000C5045">
        <w:rPr>
          <w:rFonts w:cs="Times New Roman"/>
        </w:rPr>
        <w:t xml:space="preserve">article </w:t>
      </w:r>
      <w:r w:rsidR="00E9752F">
        <w:rPr>
          <w:rFonts w:cs="Times New Roman"/>
        </w:rPr>
        <w:t>seeks to contribute to these debates by examining the</w:t>
      </w:r>
      <w:r>
        <w:rPr>
          <w:rFonts w:cs="Times New Roman"/>
        </w:rPr>
        <w:t xml:space="preserve"> responses of </w:t>
      </w:r>
      <w:r w:rsidR="00E10A14">
        <w:rPr>
          <w:rFonts w:cs="Times New Roman"/>
        </w:rPr>
        <w:t>employer</w:t>
      </w:r>
      <w:r w:rsidR="00413355">
        <w:rPr>
          <w:rFonts w:cs="Times New Roman"/>
        </w:rPr>
        <w:t>s’</w:t>
      </w:r>
      <w:r w:rsidR="00797E22">
        <w:rPr>
          <w:rFonts w:cs="Times New Roman"/>
        </w:rPr>
        <w:t xml:space="preserve"> </w:t>
      </w:r>
      <w:r w:rsidR="007A52AB">
        <w:rPr>
          <w:rFonts w:cs="Times New Roman"/>
        </w:rPr>
        <w:t>associations</w:t>
      </w:r>
      <w:r w:rsidR="00797E22">
        <w:rPr>
          <w:rFonts w:cs="Times New Roman"/>
        </w:rPr>
        <w:t xml:space="preserve"> </w:t>
      </w:r>
      <w:r>
        <w:rPr>
          <w:rFonts w:cs="Times New Roman"/>
        </w:rPr>
        <w:t>to institutional</w:t>
      </w:r>
      <w:r w:rsidR="00797E22">
        <w:rPr>
          <w:rFonts w:cs="Times New Roman"/>
        </w:rPr>
        <w:t xml:space="preserve"> changes towards marketization, </w:t>
      </w:r>
      <w:r w:rsidR="00E9752F">
        <w:rPr>
          <w:rFonts w:cs="Times New Roman"/>
        </w:rPr>
        <w:t xml:space="preserve">in </w:t>
      </w:r>
      <w:r w:rsidR="00F035AB">
        <w:rPr>
          <w:rFonts w:cs="Times New Roman"/>
        </w:rPr>
        <w:t>the</w:t>
      </w:r>
      <w:r w:rsidR="00E9752F">
        <w:rPr>
          <w:rFonts w:cs="Times New Roman"/>
        </w:rPr>
        <w:t xml:space="preserve"> context of</w:t>
      </w:r>
      <w:r w:rsidR="005C2864">
        <w:rPr>
          <w:rFonts w:cs="Times New Roman"/>
        </w:rPr>
        <w:t xml:space="preserve"> a severe economic</w:t>
      </w:r>
      <w:r w:rsidR="00E9752F">
        <w:rPr>
          <w:rFonts w:cs="Times New Roman"/>
        </w:rPr>
        <w:t xml:space="preserve"> crisis</w:t>
      </w:r>
      <w:r w:rsidR="00797E22">
        <w:rPr>
          <w:rFonts w:cs="Times New Roman"/>
        </w:rPr>
        <w:t>.</w:t>
      </w:r>
      <w:r w:rsidR="00DC11F3">
        <w:rPr>
          <w:rFonts w:cs="Times New Roman"/>
        </w:rPr>
        <w:t xml:space="preserve"> The response of employers </w:t>
      </w:r>
      <w:r w:rsidR="005C2864">
        <w:rPr>
          <w:rFonts w:cs="Times New Roman"/>
        </w:rPr>
        <w:t>is important</w:t>
      </w:r>
      <w:r w:rsidR="00E35895">
        <w:rPr>
          <w:rFonts w:cs="Times New Roman"/>
        </w:rPr>
        <w:t xml:space="preserve">, especially in view of the </w:t>
      </w:r>
      <w:r w:rsidR="00DC11F3">
        <w:rPr>
          <w:rFonts w:cs="Times New Roman"/>
        </w:rPr>
        <w:t>renewed interest in their role, functions and identities</w:t>
      </w:r>
      <w:r w:rsidR="00B76447">
        <w:rPr>
          <w:rFonts w:cs="Times New Roman"/>
        </w:rPr>
        <w:t xml:space="preserve"> </w:t>
      </w:r>
      <w:r w:rsidR="00820D26">
        <w:rPr>
          <w:rFonts w:cs="Times New Roman"/>
        </w:rPr>
        <w:fldChar w:fldCharType="begin"/>
      </w:r>
      <w:r w:rsidR="00045B38">
        <w:rPr>
          <w:rFonts w:cs="Times New Roman"/>
        </w:rPr>
        <w:instrText xml:space="preserve"> ADDIN ZOTERO_ITEM CSL_CITATION {"citationID":"Cbpca93K","properties":{"formattedCitation":"(Benson et al., 2017; Brandl and Lehr, 2016; Gooberman et al., 2017; Ibsen and Navrbjerg, 2019; Paster, 2018; Sheldon et al., 2016)","plainCitation":"(Benson et al., 2017; Brandl and Lehr, 2016; Gooberman et al., 2017; Ibsen and Navrbjerg, 2019; Paster, 2018; Sheldon et al., 2016)","noteIndex":0},"citationItems":[{"id":1263,"uris":["http://zotero.org/users/2360415/items/4SH8LAPS"],"uri":["http://zotero.org/users/2360415/items/4SH8LAPS"],"itemData":{"id":1263,"type":"book","event-place":"London","publisher":"Routledge","publisher-place":"London","title":"Employers' Associations in Asia:  Employer Collective Action","editor":[{"family":"Benson","given":"John"},{"family":"Zhu","given":"Ying"},{"family":"Gospel","given":"Howard"}],"issued":{"date-parts":[["2017"]]}}},{"id":1085,"uris":["http://zotero.org/users/2360415/items/2NK8GWYY"],"uri":["http://zotero.org/users/2360415/items/2NK8GWYY"],"itemData":{"id":1085,"type":"article-journal","abstract":"Against the background that corporatism is on the decline in recent decades, one could expect that the representativeness of employer and business associations is also declining. In this article it is argued and shown that, contrary to this expectation, this decline is not observable for employer and business associations. So the question arises as to whether employer and business associations are simply relics of a different era with no longer any purpose. Using a cross-national approach it is shown that by adapting their organizational structure as well as their activities to the changing needs of business, employer and business organizations are as ‘strong’ and active nowadays as ever.","container-title":"Economic and Industrial Democracy","DOI":"10.1177/0143831X16669842","ISSN":"0143-831X","journalAbbreviation":"Economic and Industrial Democracy","language":"en","source":"SAGE Journals","title":"The strange non-death of employer and business associations: An analysis of their representativeness and activities in Western European countries","title-short":"The strange non-death of employer and business associations","author":[{"family":"Brandl","given":"Bernd"},{"family":"Lehr","given":"Alex"}],"issued":{"date-parts":[["2016"]]}}},{"id":1121,"uris":["http://zotero.org/users/2360415/items/MLFBXM5G"],"uri":["http://zotero.org/users/2360415/items/MLFBXM5G"],"itemData":{"id":1121,"type":"article-journal","abstract":"This article examines employers’ organisations in the United Kingdom, drawing upon 70 interviews\nand a new dataset encompassing 447 employers’ organisations. The article’s contribution is to\ndevelop a new typology of employers’ organisations capturing their organisational change in the\nwake of the decline of collective bargaining. It does this by drawing on a conceptualisation of\nemployers’ organisations as intermediary organisations before identifying four organisational\ntypes: lobbying, service, negotiating and standard-setting employers’ organisations. The article\nalso identifies and discusses factors that underlie this pattern of differentiation","container-title":"Economic and Industrial Democracy","DOI":"10.1177/0143831X17704499","issue":"0","language":"en","title":"A typology of employers’ organisations in the United Kingdom","volume":"0","author":[{"family":"Gooberman","given":"Leon"},{"family":"Hauptmeier","given":"Marco"},{"family":"Heery","given":"Edmund"}],"issued":{"date-parts":[["2017"]]}}},{"id":1297,"uris":["http://zotero.org/users/2360415/items/6ULHUH7Y"],"uri":["http://zotero.org/users/2360415/items/6ULHUH7Y"],"itemData":{"id":1297,"type":"article-journal","container-title":"Human Resource Management Journal","issue":"1","page":"36-50","title":"Adapting to survive: The case of Danish employers' organisations - Ibsen - 2019 - Human Resource Management Journal - Wiley Online Library","volume":"29","author":[{"family":"Ibsen","given":"Christian Lyhne"},{"family":"Navrbjerg","given":"Steen E."}],"issued":{"date-parts":[["2019"]]}}},{"id":1250,"uris":["http://zotero.org/users/2360415/items/U7RZQ4GP"],"uri":["http://zotero.org/users/2360415/items/U7RZQ4GP"],"itemData":{"id":1250,"type":"article-journal","container-title":"New Political Economy","issue":"6","language":"English","page":"674-689","title":"How Do Business Interest Groups Respond to Political Challenges? A Study of the Politics of German Employers","title-short":"How Do Business Interest Groups Respond to Political Challenges?","volume":"23","author":[{"family":"Paster","given":"Thomas"}],"issued":{"date-parts":[["2018"]]}}},{"id":1099,"uris":["http://zotero.org/users/2360415/items/FGPHWZEF"],"uri":["http://zotero.org/users/2360415/items/FGPHWZEF"],"itemData":{"id":1099,"type":"article-journal","abstract":"The literature has neglected to analyse employer associations as organizations facing potential environmental threats to their ﬁnancial sustainability. We examine associations’ responses to collective bargaining decentralization, a major, contemporary threat. Using a qualitative, comparative case approach, we examine eight associations — four each in Australia and Italy — to develop a model of response types. Stronger decentralization effects increase associations’ exposure to new and heightened competition, which in turn produces stronger association responses. These include prioritizing commercial over associational objectives. We analyse responses using strategic choice and resource dependence theories, ﬁnding that associations use both. However, the decision how to combine them reﬂects environmental conditions as well as choices linking organizational purpose and ﬁnancial sustainability.","container-title":"British Journal of Industrial Relations","DOI":"10.1111/bjir.12061","ISSN":"00071080","issue":"1","language":"en","page":"160-191","source":"Crossref","title":"Employer Association Responses to the Effects of Bargaining Decentralization in Australia and Italy: Seeking Explanations from Organizational Theory: Employer Associations in Australia and Italy","title-short":"Employer Association Responses to the Effects of Bargaining Decentralization in Australia and Italy","volume":"54","author":[{"family":"Sheldon","given":"Peter"},{"family":"Nacamulli","given":"Raoul"},{"family":"Paoletti","given":"Francesco"},{"family":"Morgan","given":"David E."}],"issued":{"date-parts":[["2016",3]]}}}],"schema":"https://github.com/citation-style-language/schema/raw/master/csl-citation.json"} </w:instrText>
      </w:r>
      <w:r w:rsidR="00820D26">
        <w:rPr>
          <w:rFonts w:cs="Times New Roman"/>
        </w:rPr>
        <w:fldChar w:fldCharType="separate"/>
      </w:r>
      <w:r w:rsidR="00045B38" w:rsidRPr="00045B38">
        <w:rPr>
          <w:rFonts w:cs="Times New Roman"/>
        </w:rPr>
        <w:t>(Benson et al., 2017; Brandl and Lehr, 2016; Gooberman et al., 2017; Ibsen and Navrbjerg, 2019; Paster, 2018; Sheldon et al., 2016)</w:t>
      </w:r>
      <w:r w:rsidR="00820D26">
        <w:rPr>
          <w:rFonts w:cs="Times New Roman"/>
        </w:rPr>
        <w:fldChar w:fldCharType="end"/>
      </w:r>
      <w:r w:rsidR="00E35895">
        <w:rPr>
          <w:rFonts w:cs="Times New Roman"/>
        </w:rPr>
        <w:t xml:space="preserve">. </w:t>
      </w:r>
      <w:r w:rsidR="000C5045">
        <w:rPr>
          <w:rFonts w:cs="Times New Roman"/>
        </w:rPr>
        <w:t>Notably</w:t>
      </w:r>
      <w:r w:rsidR="00E35895">
        <w:rPr>
          <w:rFonts w:cs="Times New Roman"/>
        </w:rPr>
        <w:t xml:space="preserve">, </w:t>
      </w:r>
      <w:r w:rsidR="005C2864">
        <w:rPr>
          <w:rFonts w:cs="Times New Roman"/>
        </w:rPr>
        <w:t xml:space="preserve">the </w:t>
      </w:r>
      <w:r w:rsidR="00C036BA">
        <w:rPr>
          <w:rFonts w:cs="Times New Roman"/>
        </w:rPr>
        <w:t xml:space="preserve">pro-business </w:t>
      </w:r>
      <w:r w:rsidR="005C2864">
        <w:rPr>
          <w:rFonts w:cs="Times New Roman"/>
        </w:rPr>
        <w:t>reforms that are clearly geared towards marketization are likely to be supported by the representatives of business interests, without a necessity to bring trade unions on board or carve out compromises.</w:t>
      </w:r>
    </w:p>
    <w:p w14:paraId="5FEFA156" w14:textId="21B37583" w:rsidR="00CC4B82" w:rsidRDefault="005C2864" w:rsidP="00F57683">
      <w:pPr>
        <w:rPr>
          <w:rFonts w:cs="Times New Roman"/>
        </w:rPr>
      </w:pPr>
      <w:r>
        <w:rPr>
          <w:rFonts w:cs="Times New Roman"/>
        </w:rPr>
        <w:t xml:space="preserve">Against </w:t>
      </w:r>
      <w:r w:rsidR="00C036BA">
        <w:rPr>
          <w:rFonts w:cs="Times New Roman"/>
        </w:rPr>
        <w:t xml:space="preserve">this </w:t>
      </w:r>
      <w:r>
        <w:rPr>
          <w:rFonts w:cs="Times New Roman"/>
        </w:rPr>
        <w:t>backdrop, the Greek crisis</w:t>
      </w:r>
      <w:r w:rsidR="00797E22">
        <w:rPr>
          <w:rFonts w:cs="Times New Roman"/>
        </w:rPr>
        <w:t xml:space="preserve"> is a case</w:t>
      </w:r>
      <w:r w:rsidR="00E9752F">
        <w:rPr>
          <w:rFonts w:cs="Times New Roman"/>
        </w:rPr>
        <w:t xml:space="preserve"> in point</w:t>
      </w:r>
      <w:r w:rsidR="00797E22">
        <w:rPr>
          <w:rFonts w:cs="Times New Roman"/>
        </w:rPr>
        <w:t xml:space="preserve">. </w:t>
      </w:r>
      <w:r w:rsidR="00413355">
        <w:rPr>
          <w:rFonts w:cs="Times New Roman"/>
        </w:rPr>
        <w:t>T</w:t>
      </w:r>
      <w:r w:rsidR="00797E22">
        <w:rPr>
          <w:rFonts w:cs="Times New Roman"/>
        </w:rPr>
        <w:t xml:space="preserve">he bailout agreements that the country signed incorporated a strict conditionality of </w:t>
      </w:r>
      <w:r w:rsidR="00E9752F">
        <w:rPr>
          <w:rFonts w:cs="Times New Roman"/>
        </w:rPr>
        <w:t xml:space="preserve">institutional changes </w:t>
      </w:r>
      <w:r w:rsidR="00C95E51">
        <w:rPr>
          <w:rFonts w:cs="Times New Roman"/>
        </w:rPr>
        <w:t xml:space="preserve">and </w:t>
      </w:r>
      <w:r>
        <w:rPr>
          <w:rFonts w:cs="Times New Roman"/>
        </w:rPr>
        <w:t>reforms that were clearly geared towards marketization</w:t>
      </w:r>
      <w:r w:rsidR="00C036BA">
        <w:rPr>
          <w:rFonts w:cs="Times New Roman"/>
        </w:rPr>
        <w:t xml:space="preserve">, by </w:t>
      </w:r>
      <w:r>
        <w:rPr>
          <w:rFonts w:cs="Times New Roman"/>
        </w:rPr>
        <w:t>liberaliz</w:t>
      </w:r>
      <w:r w:rsidR="00E35895">
        <w:rPr>
          <w:rFonts w:cs="Times New Roman"/>
        </w:rPr>
        <w:t>ing</w:t>
      </w:r>
      <w:r>
        <w:rPr>
          <w:rFonts w:cs="Times New Roman"/>
        </w:rPr>
        <w:t xml:space="preserve"> labour </w:t>
      </w:r>
      <w:r w:rsidR="00413355">
        <w:rPr>
          <w:rFonts w:cs="Times New Roman"/>
        </w:rPr>
        <w:t xml:space="preserve">and product </w:t>
      </w:r>
      <w:r>
        <w:rPr>
          <w:rFonts w:cs="Times New Roman"/>
        </w:rPr>
        <w:t>markets</w:t>
      </w:r>
      <w:r w:rsidR="00C036BA">
        <w:rPr>
          <w:rFonts w:cs="Times New Roman"/>
        </w:rPr>
        <w:t xml:space="preserve"> and</w:t>
      </w:r>
      <w:r>
        <w:rPr>
          <w:rFonts w:cs="Times New Roman"/>
        </w:rPr>
        <w:t xml:space="preserve"> </w:t>
      </w:r>
      <w:r w:rsidR="00F946CE">
        <w:rPr>
          <w:rFonts w:cs="Times New Roman"/>
        </w:rPr>
        <w:t xml:space="preserve">attempting to restore </w:t>
      </w:r>
      <w:r>
        <w:rPr>
          <w:rFonts w:cs="Times New Roman"/>
        </w:rPr>
        <w:t>the price-competitiveness of the economy</w:t>
      </w:r>
      <w:r w:rsidR="00E9752F">
        <w:rPr>
          <w:rFonts w:cs="Times New Roman"/>
        </w:rPr>
        <w:t>.</w:t>
      </w:r>
      <w:r>
        <w:rPr>
          <w:rFonts w:cs="Times New Roman"/>
        </w:rPr>
        <w:t xml:space="preserve"> On</w:t>
      </w:r>
      <w:r w:rsidR="00413355">
        <w:rPr>
          <w:rFonts w:cs="Times New Roman"/>
        </w:rPr>
        <w:t>e would therefore</w:t>
      </w:r>
      <w:r w:rsidR="00797E22">
        <w:rPr>
          <w:rFonts w:cs="Times New Roman"/>
        </w:rPr>
        <w:t xml:space="preserve"> expect </w:t>
      </w:r>
      <w:r w:rsidR="00E10A14">
        <w:rPr>
          <w:rFonts w:cs="Times New Roman"/>
        </w:rPr>
        <w:t>employer</w:t>
      </w:r>
      <w:r w:rsidR="00413355">
        <w:rPr>
          <w:rFonts w:cs="Times New Roman"/>
        </w:rPr>
        <w:t>s’</w:t>
      </w:r>
      <w:r w:rsidR="00797E22">
        <w:rPr>
          <w:rFonts w:cs="Times New Roman"/>
        </w:rPr>
        <w:t xml:space="preserve"> </w:t>
      </w:r>
      <w:r w:rsidR="007A52AB">
        <w:rPr>
          <w:rFonts w:cs="Times New Roman"/>
        </w:rPr>
        <w:t>associations</w:t>
      </w:r>
      <w:r w:rsidR="00797E22">
        <w:rPr>
          <w:rFonts w:cs="Times New Roman"/>
        </w:rPr>
        <w:t xml:space="preserve"> </w:t>
      </w:r>
      <w:r w:rsidR="009F12A3">
        <w:rPr>
          <w:rFonts w:cs="Times New Roman"/>
        </w:rPr>
        <w:t>to</w:t>
      </w:r>
      <w:r w:rsidR="00797E22">
        <w:rPr>
          <w:rFonts w:cs="Times New Roman"/>
        </w:rPr>
        <w:t xml:space="preserve"> support this pro-</w:t>
      </w:r>
      <w:r w:rsidR="00C036BA">
        <w:rPr>
          <w:rFonts w:cs="Times New Roman"/>
        </w:rPr>
        <w:t xml:space="preserve">market </w:t>
      </w:r>
      <w:r w:rsidR="00797E22">
        <w:rPr>
          <w:rFonts w:cs="Times New Roman"/>
        </w:rPr>
        <w:t>direction of institutional changes, which offer</w:t>
      </w:r>
      <w:r w:rsidR="00413355">
        <w:rPr>
          <w:rFonts w:cs="Times New Roman"/>
        </w:rPr>
        <w:t>ed ample</w:t>
      </w:r>
      <w:r w:rsidR="00797E22">
        <w:rPr>
          <w:rFonts w:cs="Times New Roman"/>
        </w:rPr>
        <w:t xml:space="preserve"> opportunities</w:t>
      </w:r>
      <w:r>
        <w:rPr>
          <w:rFonts w:cs="Times New Roman"/>
        </w:rPr>
        <w:t xml:space="preserve"> to </w:t>
      </w:r>
      <w:r w:rsidR="00413355">
        <w:rPr>
          <w:rFonts w:cs="Times New Roman"/>
        </w:rPr>
        <w:t xml:space="preserve">lift various </w:t>
      </w:r>
      <w:r w:rsidR="00183008">
        <w:rPr>
          <w:rFonts w:cs="Times New Roman"/>
        </w:rPr>
        <w:t xml:space="preserve">regulatory </w:t>
      </w:r>
      <w:r w:rsidR="00413355">
        <w:rPr>
          <w:rFonts w:cs="Times New Roman"/>
        </w:rPr>
        <w:t xml:space="preserve">restrictions </w:t>
      </w:r>
      <w:r w:rsidR="00C036BA">
        <w:rPr>
          <w:rFonts w:cs="Times New Roman"/>
        </w:rPr>
        <w:t>and reinforce the operation of</w:t>
      </w:r>
      <w:r w:rsidR="00413355">
        <w:rPr>
          <w:rFonts w:cs="Times New Roman"/>
        </w:rPr>
        <w:t xml:space="preserve"> </w:t>
      </w:r>
      <w:r w:rsidR="00C036BA">
        <w:rPr>
          <w:rFonts w:cs="Times New Roman"/>
        </w:rPr>
        <w:t>free market mechanisms</w:t>
      </w:r>
      <w:r>
        <w:rPr>
          <w:rFonts w:cs="Times New Roman"/>
        </w:rPr>
        <w:t>. Yet</w:t>
      </w:r>
      <w:r w:rsidR="00C036BA">
        <w:rPr>
          <w:rFonts w:cs="Times New Roman"/>
        </w:rPr>
        <w:t xml:space="preserve"> </w:t>
      </w:r>
      <w:r w:rsidR="00F946CE">
        <w:rPr>
          <w:rFonts w:cs="Times New Roman"/>
        </w:rPr>
        <w:t>the</w:t>
      </w:r>
      <w:r w:rsidR="00C036BA">
        <w:rPr>
          <w:rFonts w:cs="Times New Roman"/>
        </w:rPr>
        <w:t xml:space="preserve"> empirical reality defies this expectation and provides us with an intriguing puzzle</w:t>
      </w:r>
      <w:r w:rsidR="00F946CE">
        <w:rPr>
          <w:rFonts w:cs="Times New Roman"/>
        </w:rPr>
        <w:t xml:space="preserve">, as </w:t>
      </w:r>
      <w:r w:rsidR="00C036BA">
        <w:rPr>
          <w:rFonts w:cs="Times New Roman"/>
        </w:rPr>
        <w:t xml:space="preserve">the </w:t>
      </w:r>
      <w:r w:rsidR="00E10A14">
        <w:rPr>
          <w:rFonts w:cs="Times New Roman"/>
        </w:rPr>
        <w:t>employer</w:t>
      </w:r>
      <w:r w:rsidR="00413355">
        <w:rPr>
          <w:rFonts w:cs="Times New Roman"/>
        </w:rPr>
        <w:t>s’</w:t>
      </w:r>
      <w:r w:rsidR="00CC4B82">
        <w:rPr>
          <w:rFonts w:cs="Times New Roman"/>
        </w:rPr>
        <w:t xml:space="preserve"> </w:t>
      </w:r>
      <w:r w:rsidR="007A52AB">
        <w:rPr>
          <w:rFonts w:cs="Times New Roman"/>
        </w:rPr>
        <w:t>associations</w:t>
      </w:r>
      <w:r w:rsidR="00CC4B82">
        <w:rPr>
          <w:rFonts w:cs="Times New Roman"/>
        </w:rPr>
        <w:t xml:space="preserve"> </w:t>
      </w:r>
      <w:r>
        <w:rPr>
          <w:rFonts w:cs="Times New Roman"/>
        </w:rPr>
        <w:t xml:space="preserve">were rather </w:t>
      </w:r>
      <w:r w:rsidR="00E9752F">
        <w:rPr>
          <w:rFonts w:cs="Times New Roman"/>
        </w:rPr>
        <w:t>divided</w:t>
      </w:r>
      <w:r w:rsidR="00CC4B82">
        <w:rPr>
          <w:rFonts w:cs="Times New Roman"/>
        </w:rPr>
        <w:t xml:space="preserve"> </w:t>
      </w:r>
      <w:r w:rsidR="00E35895">
        <w:rPr>
          <w:rFonts w:cs="Times New Roman"/>
        </w:rPr>
        <w:t xml:space="preserve">in their outlook </w:t>
      </w:r>
      <w:r>
        <w:rPr>
          <w:rFonts w:cs="Times New Roman"/>
        </w:rPr>
        <w:t xml:space="preserve">and </w:t>
      </w:r>
      <w:r w:rsidR="00183008">
        <w:rPr>
          <w:rFonts w:cs="Times New Roman"/>
        </w:rPr>
        <w:t xml:space="preserve">offered </w:t>
      </w:r>
      <w:r>
        <w:rPr>
          <w:rFonts w:cs="Times New Roman"/>
        </w:rPr>
        <w:t>diverse responses</w:t>
      </w:r>
      <w:r w:rsidR="00CC4B82">
        <w:rPr>
          <w:rFonts w:cs="Times New Roman"/>
        </w:rPr>
        <w:t xml:space="preserve"> </w:t>
      </w:r>
      <w:r>
        <w:rPr>
          <w:rFonts w:cs="Times New Roman"/>
        </w:rPr>
        <w:t>to the institutional changes</w:t>
      </w:r>
      <w:r w:rsidR="00CC4B82">
        <w:rPr>
          <w:rFonts w:cs="Times New Roman"/>
        </w:rPr>
        <w:t>.</w:t>
      </w:r>
      <w:r>
        <w:rPr>
          <w:rFonts w:cs="Times New Roman"/>
        </w:rPr>
        <w:t xml:space="preserve"> </w:t>
      </w:r>
      <w:r w:rsidR="00CC4B82">
        <w:rPr>
          <w:rFonts w:cs="Times New Roman"/>
        </w:rPr>
        <w:t xml:space="preserve">The purpose of this </w:t>
      </w:r>
      <w:r w:rsidR="000C5045">
        <w:rPr>
          <w:rFonts w:cs="Times New Roman"/>
        </w:rPr>
        <w:t xml:space="preserve">article </w:t>
      </w:r>
      <w:r w:rsidR="00CC4B82">
        <w:rPr>
          <w:rFonts w:cs="Times New Roman"/>
        </w:rPr>
        <w:t xml:space="preserve">is to explain </w:t>
      </w:r>
      <w:r w:rsidR="00F9777A">
        <w:rPr>
          <w:rFonts w:cs="Times New Roman"/>
        </w:rPr>
        <w:t>the</w:t>
      </w:r>
      <w:r w:rsidR="00413355">
        <w:rPr>
          <w:rFonts w:cs="Times New Roman"/>
        </w:rPr>
        <w:t xml:space="preserve"> above </w:t>
      </w:r>
      <w:r w:rsidR="00CC4B82">
        <w:rPr>
          <w:rFonts w:cs="Times New Roman"/>
        </w:rPr>
        <w:t xml:space="preserve">puzzle </w:t>
      </w:r>
      <w:r w:rsidR="00967C4D">
        <w:rPr>
          <w:rFonts w:cs="Times New Roman"/>
        </w:rPr>
        <w:t xml:space="preserve">by </w:t>
      </w:r>
      <w:r w:rsidR="00F035AB">
        <w:rPr>
          <w:rFonts w:cs="Times New Roman"/>
        </w:rPr>
        <w:t xml:space="preserve">highlighting </w:t>
      </w:r>
      <w:r w:rsidR="00CC4B82" w:rsidRPr="00B6379A">
        <w:t xml:space="preserve">the nuances, fault lines and hidden fractures between and </w:t>
      </w:r>
      <w:r w:rsidR="00E10A14">
        <w:t>within the employer</w:t>
      </w:r>
      <w:r w:rsidR="00FF6C4D">
        <w:t>s’</w:t>
      </w:r>
      <w:r w:rsidR="00CC4B82" w:rsidRPr="00B6379A">
        <w:t xml:space="preserve"> </w:t>
      </w:r>
      <w:r w:rsidR="007A52AB">
        <w:t>associations</w:t>
      </w:r>
      <w:r w:rsidR="00CC4B82" w:rsidRPr="00B6379A">
        <w:t>.</w:t>
      </w:r>
      <w:r w:rsidR="00CC4B82">
        <w:t xml:space="preserve"> </w:t>
      </w:r>
      <w:r w:rsidR="00D630FB">
        <w:t xml:space="preserve">More specifically, </w:t>
      </w:r>
      <w:r w:rsidR="00C036BA">
        <w:t xml:space="preserve">we seek to answer two </w:t>
      </w:r>
      <w:r w:rsidR="00D630FB">
        <w:t xml:space="preserve">pertinent </w:t>
      </w:r>
      <w:r w:rsidR="00C036BA">
        <w:t xml:space="preserve">research </w:t>
      </w:r>
      <w:r w:rsidR="00D630FB">
        <w:t xml:space="preserve">questions: first, what was the </w:t>
      </w:r>
      <w:r w:rsidR="00C036BA">
        <w:t xml:space="preserve">response </w:t>
      </w:r>
      <w:r w:rsidR="00D630FB">
        <w:t xml:space="preserve">of the peak-level employers’ associations to the institutional changes in the labour market; and second, </w:t>
      </w:r>
      <w:r w:rsidR="006A19D0">
        <w:t xml:space="preserve">how </w:t>
      </w:r>
      <w:r w:rsidR="00FF6C4D">
        <w:t>can</w:t>
      </w:r>
      <w:r w:rsidR="00D630FB">
        <w:t xml:space="preserve"> </w:t>
      </w:r>
      <w:r w:rsidR="00221DC5">
        <w:t>the variation in the</w:t>
      </w:r>
      <w:r w:rsidR="00D630FB">
        <w:t xml:space="preserve"> responses to the changes</w:t>
      </w:r>
      <w:r w:rsidR="00FF6C4D">
        <w:t xml:space="preserve"> be explained</w:t>
      </w:r>
      <w:r w:rsidR="00D630FB">
        <w:t xml:space="preserve">. </w:t>
      </w:r>
      <w:r w:rsidR="00F57683">
        <w:rPr>
          <w:rFonts w:cs="Times New Roman"/>
        </w:rPr>
        <w:t>To this end</w:t>
      </w:r>
      <w:r w:rsidR="00CC4B82">
        <w:rPr>
          <w:rFonts w:cs="Times New Roman"/>
        </w:rPr>
        <w:t>,</w:t>
      </w:r>
      <w:r w:rsidR="00F57683">
        <w:rPr>
          <w:rFonts w:cs="Times New Roman"/>
        </w:rPr>
        <w:t xml:space="preserve"> </w:t>
      </w:r>
      <w:r w:rsidR="000C5045">
        <w:rPr>
          <w:rFonts w:cs="Times New Roman"/>
        </w:rPr>
        <w:t xml:space="preserve">we </w:t>
      </w:r>
      <w:r w:rsidR="00797E22">
        <w:rPr>
          <w:rFonts w:cs="Times New Roman"/>
        </w:rPr>
        <w:t>advance</w:t>
      </w:r>
      <w:r w:rsidR="00F57683">
        <w:rPr>
          <w:rFonts w:cs="Times New Roman"/>
        </w:rPr>
        <w:t xml:space="preserve"> a power-</w:t>
      </w:r>
      <w:r w:rsidR="00797E22">
        <w:rPr>
          <w:rFonts w:cs="Times New Roman"/>
        </w:rPr>
        <w:t>based explanation</w:t>
      </w:r>
      <w:r w:rsidR="00967C4D">
        <w:rPr>
          <w:rFonts w:cs="Times New Roman"/>
        </w:rPr>
        <w:t xml:space="preserve"> </w:t>
      </w:r>
      <w:r w:rsidR="00F57683" w:rsidRPr="007066D4">
        <w:rPr>
          <w:rFonts w:cs="Times New Roman"/>
        </w:rPr>
        <w:fldChar w:fldCharType="begin"/>
      </w:r>
      <w:r w:rsidR="00943757">
        <w:rPr>
          <w:rFonts w:cs="Times New Roman"/>
        </w:rPr>
        <w:instrText xml:space="preserve"> ADDIN ZOTERO_ITEM CSL_CITATION {"citationID":"wjMedrOr","properties":{"formattedCitation":"(Korpi, 2006)","plainCitation":"(Korpi, 2006)","noteIndex":0},"citationItems":[{"id":95,"uris":["http://zotero.org/users/2360415/items/6NZ8A9TM"],"uri":["http://zotero.org/users/2360415/items/6NZ8A9TM"],"itemData":{"id":95,"type":"article-journal","abstract":"The power resources approach, underlining the relevance of socioeconomic class and partisan politics in distributive conflict within capitalist economies, is challenged by employer-centered approaches claiming employers and cross-class alliances to have been crucial in advancing the development of welfare states and varieties of capitalism. Theoretically and empirically these claims are problematic. In welfare state expansion, employers have often been antagonists, under specific conditions consenters, but very rarely protagonists. Well-developed welfare states and coordinated market economies have emerged in countries with strong left parties in long-term cabinet participation or in countries with state corporatist institutional traditions and confessional parties in intensive competition with left parties.","container-title":"World Politics","ISSN":"0043-8871","issue":"2","journalAbbreviation":"World Politics","page":"167-206","source":"JSTOR","title":"Power Resources and Employer-Centered Approaches in Explanations of Welfare States and Varieties of Capitalism: Protagonists, Consenters, and Antagonists","title-short":"Power Resources and Employer-Centered Approaches in Explanations of Welfare States and Varieties of Capitalism","volume":"58","author":[{"family":"Korpi","given":"Walter"}],"issued":{"date-parts":[["2006"]]}}}],"schema":"https://github.com/citation-style-language/schema/raw/master/csl-citation.json"} </w:instrText>
      </w:r>
      <w:r w:rsidR="00F57683" w:rsidRPr="007066D4">
        <w:rPr>
          <w:rFonts w:cs="Times New Roman"/>
        </w:rPr>
        <w:fldChar w:fldCharType="separate"/>
      </w:r>
      <w:r w:rsidR="006C2C79" w:rsidRPr="006C2C79">
        <w:rPr>
          <w:rFonts w:cs="Times New Roman"/>
        </w:rPr>
        <w:t>(Korpi, 2006)</w:t>
      </w:r>
      <w:r w:rsidR="00F57683" w:rsidRPr="007066D4">
        <w:rPr>
          <w:rFonts w:cs="Times New Roman"/>
        </w:rPr>
        <w:fldChar w:fldCharType="end"/>
      </w:r>
      <w:r w:rsidR="00F57683" w:rsidRPr="007066D4">
        <w:rPr>
          <w:rFonts w:cs="Times New Roman"/>
        </w:rPr>
        <w:t xml:space="preserve"> </w:t>
      </w:r>
      <w:r w:rsidR="00C036BA">
        <w:rPr>
          <w:rFonts w:cs="Times New Roman"/>
        </w:rPr>
        <w:t>to shed light on this fragmented landscape. We</w:t>
      </w:r>
      <w:r w:rsidR="00F57683" w:rsidRPr="007066D4">
        <w:rPr>
          <w:rFonts w:cs="Times New Roman"/>
        </w:rPr>
        <w:t xml:space="preserve"> argue that the institutional changes </w:t>
      </w:r>
      <w:r w:rsidR="005C1840">
        <w:rPr>
          <w:rFonts w:cs="Times New Roman"/>
        </w:rPr>
        <w:t>weakened the</w:t>
      </w:r>
      <w:r w:rsidR="00C036BA">
        <w:rPr>
          <w:rFonts w:cs="Times New Roman"/>
        </w:rPr>
        <w:t xml:space="preserve"> </w:t>
      </w:r>
      <w:r w:rsidR="001E160F">
        <w:rPr>
          <w:rFonts w:cs="Times New Roman"/>
        </w:rPr>
        <w:t>p</w:t>
      </w:r>
      <w:r w:rsidR="00CC4B82">
        <w:rPr>
          <w:rFonts w:cs="Times New Roman"/>
        </w:rPr>
        <w:t>ower</w:t>
      </w:r>
      <w:r w:rsidR="00CC4B82">
        <w:rPr>
          <w:rFonts w:cs="Times New Roman"/>
          <w:lang w:val="en-US"/>
        </w:rPr>
        <w:t xml:space="preserve"> resource</w:t>
      </w:r>
      <w:r>
        <w:rPr>
          <w:rFonts w:cs="Times New Roman"/>
          <w:lang w:val="en-US"/>
        </w:rPr>
        <w:t>s</w:t>
      </w:r>
      <w:r w:rsidR="0071119A">
        <w:rPr>
          <w:rFonts w:cs="Times New Roman"/>
          <w:lang w:val="en-US"/>
        </w:rPr>
        <w:t xml:space="preserve"> </w:t>
      </w:r>
      <w:r w:rsidR="00C036BA">
        <w:rPr>
          <w:rFonts w:cs="Times New Roman"/>
          <w:lang w:val="en-US"/>
        </w:rPr>
        <w:t xml:space="preserve">of </w:t>
      </w:r>
      <w:r w:rsidR="00C036BA">
        <w:rPr>
          <w:rFonts w:cs="Times New Roman"/>
        </w:rPr>
        <w:t>employers’ associations</w:t>
      </w:r>
      <w:r w:rsidR="00C036BA" w:rsidRPr="007066D4">
        <w:rPr>
          <w:rFonts w:cs="Times New Roman"/>
        </w:rPr>
        <w:t xml:space="preserve"> </w:t>
      </w:r>
      <w:r w:rsidR="00C036BA">
        <w:rPr>
          <w:rFonts w:cs="Times New Roman"/>
          <w:lang w:val="en-US"/>
        </w:rPr>
        <w:t xml:space="preserve">and </w:t>
      </w:r>
      <w:r w:rsidR="005C1840">
        <w:rPr>
          <w:rFonts w:cs="Times New Roman"/>
          <w:lang w:val="en-US"/>
        </w:rPr>
        <w:t xml:space="preserve">compromised </w:t>
      </w:r>
      <w:r w:rsidR="00C036BA">
        <w:rPr>
          <w:rFonts w:cs="Times New Roman"/>
          <w:lang w:val="en-US"/>
        </w:rPr>
        <w:t xml:space="preserve">their ability to </w:t>
      </w:r>
      <w:r w:rsidR="0071119A">
        <w:rPr>
          <w:rFonts w:cs="Times New Roman"/>
          <w:lang w:val="en-US"/>
        </w:rPr>
        <w:t>advance their interest</w:t>
      </w:r>
      <w:r w:rsidR="004E1985">
        <w:rPr>
          <w:rFonts w:cs="Times New Roman"/>
          <w:lang w:val="en-US"/>
        </w:rPr>
        <w:t>s</w:t>
      </w:r>
      <w:r w:rsidR="005C1840">
        <w:rPr>
          <w:rFonts w:cs="Times New Roman"/>
          <w:lang w:val="en-US"/>
        </w:rPr>
        <w:t xml:space="preserve">, </w:t>
      </w:r>
      <w:r>
        <w:rPr>
          <w:rFonts w:cs="Times New Roman"/>
          <w:lang w:val="en-US"/>
        </w:rPr>
        <w:t>which</w:t>
      </w:r>
      <w:r w:rsidR="00FF6C4D">
        <w:rPr>
          <w:rFonts w:cs="Times New Roman"/>
          <w:lang w:val="en-US"/>
        </w:rPr>
        <w:t>,</w:t>
      </w:r>
      <w:r>
        <w:rPr>
          <w:rFonts w:cs="Times New Roman"/>
          <w:lang w:val="en-US"/>
        </w:rPr>
        <w:t xml:space="preserve"> in turn, </w:t>
      </w:r>
      <w:r w:rsidR="00FF6C4D">
        <w:rPr>
          <w:rFonts w:cs="Times New Roman"/>
          <w:lang w:val="en-US"/>
        </w:rPr>
        <w:t>was crucial in</w:t>
      </w:r>
      <w:r w:rsidR="00CC4B82">
        <w:rPr>
          <w:rFonts w:cs="Times New Roman"/>
          <w:lang w:val="en-US"/>
        </w:rPr>
        <w:t xml:space="preserve"> redefin</w:t>
      </w:r>
      <w:r w:rsidR="00FF6C4D">
        <w:rPr>
          <w:rFonts w:cs="Times New Roman"/>
          <w:lang w:val="en-US"/>
        </w:rPr>
        <w:t>ing</w:t>
      </w:r>
      <w:r w:rsidR="00CC4B82">
        <w:rPr>
          <w:rFonts w:cs="Times New Roman"/>
          <w:lang w:val="en-US"/>
        </w:rPr>
        <w:t xml:space="preserve"> their role and identity</w:t>
      </w:r>
      <w:r w:rsidR="005C1840">
        <w:rPr>
          <w:rFonts w:cs="Times New Roman"/>
          <w:lang w:val="en-US"/>
        </w:rPr>
        <w:t>, and therefore, led to a strategic repositioning that explains the variation in their responses.</w:t>
      </w:r>
    </w:p>
    <w:p w14:paraId="200AA441" w14:textId="04327006" w:rsidR="00EC6D55" w:rsidRPr="001E248A" w:rsidRDefault="00F57683" w:rsidP="000417A0">
      <w:pPr>
        <w:rPr>
          <w:rFonts w:cs="Times New Roman"/>
        </w:rPr>
      </w:pPr>
      <w:r w:rsidRPr="007066D4">
        <w:rPr>
          <w:rFonts w:cs="Times New Roman"/>
        </w:rPr>
        <w:t xml:space="preserve">The rest of the </w:t>
      </w:r>
      <w:r w:rsidR="000C5045">
        <w:rPr>
          <w:rFonts w:cs="Times New Roman"/>
        </w:rPr>
        <w:t>article</w:t>
      </w:r>
      <w:r w:rsidR="000C5045" w:rsidRPr="007066D4">
        <w:rPr>
          <w:rFonts w:cs="Times New Roman"/>
        </w:rPr>
        <w:t xml:space="preserve"> </w:t>
      </w:r>
      <w:r w:rsidRPr="007066D4">
        <w:rPr>
          <w:rFonts w:cs="Times New Roman"/>
        </w:rPr>
        <w:t xml:space="preserve">is structured as follows. </w:t>
      </w:r>
      <w:r w:rsidRPr="007066D4">
        <w:t xml:space="preserve">The next section </w:t>
      </w:r>
      <w:r w:rsidR="00CC4B82">
        <w:t>reviews the literature on institutional change</w:t>
      </w:r>
      <w:r w:rsidR="002E6F28">
        <w:t xml:space="preserve"> and</w:t>
      </w:r>
      <w:r w:rsidR="00CC4B82">
        <w:t xml:space="preserve"> </w:t>
      </w:r>
      <w:r w:rsidR="00180C0F">
        <w:t>marketization and</w:t>
      </w:r>
      <w:r w:rsidR="00CC4B82">
        <w:t xml:space="preserve"> sketches our explanatory</w:t>
      </w:r>
      <w:r w:rsidRPr="007066D4">
        <w:t xml:space="preserve"> framework </w:t>
      </w:r>
      <w:r w:rsidR="00FF6C4D">
        <w:t>for the</w:t>
      </w:r>
      <w:r w:rsidR="00FF6C4D" w:rsidRPr="007066D4">
        <w:t xml:space="preserve"> </w:t>
      </w:r>
      <w:r w:rsidRPr="007066D4">
        <w:t>representation and power</w:t>
      </w:r>
      <w:r w:rsidR="00CC4B82">
        <w:t xml:space="preserve"> dynamics</w:t>
      </w:r>
      <w:r w:rsidR="00FF6C4D">
        <w:t xml:space="preserve"> of employers’ associations</w:t>
      </w:r>
      <w:r w:rsidRPr="007066D4">
        <w:t xml:space="preserve">. The third section presents the research design of our study. The fourth section </w:t>
      </w:r>
      <w:r w:rsidR="00CC4B82">
        <w:t xml:space="preserve">focuses on two key areas of </w:t>
      </w:r>
      <w:r w:rsidR="005C1840">
        <w:t>marketization in employment relations. The first area concerns the institutional</w:t>
      </w:r>
      <w:r w:rsidR="00CC4B82">
        <w:t xml:space="preserve"> changes </w:t>
      </w:r>
      <w:r w:rsidR="005C1840">
        <w:t xml:space="preserve">that engineered the abrupt </w:t>
      </w:r>
      <w:r w:rsidR="006E323C">
        <w:t>collapse</w:t>
      </w:r>
      <w:r w:rsidR="005C1840">
        <w:t xml:space="preserve"> of the collective </w:t>
      </w:r>
      <w:r w:rsidR="00CC4B82">
        <w:t xml:space="preserve">bargaining </w:t>
      </w:r>
      <w:r w:rsidR="005C1840">
        <w:t>system</w:t>
      </w:r>
      <w:r w:rsidR="006E323C">
        <w:t xml:space="preserve">, which </w:t>
      </w:r>
      <w:r w:rsidR="005C1840">
        <w:t xml:space="preserve">brought </w:t>
      </w:r>
      <w:r w:rsidR="00FF6C4D">
        <w:t xml:space="preserve">about </w:t>
      </w:r>
      <w:r w:rsidR="005C1840">
        <w:t xml:space="preserve">a rapid </w:t>
      </w:r>
      <w:r w:rsidR="00CC4B82">
        <w:t>decentralization</w:t>
      </w:r>
      <w:r w:rsidR="005C1840">
        <w:t xml:space="preserve"> of bargaining. The second area</w:t>
      </w:r>
      <w:r w:rsidR="00CC4B82">
        <w:t xml:space="preserve"> </w:t>
      </w:r>
      <w:r w:rsidR="005C1840">
        <w:t>concerns the dismantling of the coordinated minimum wage-setting system, and the steep wage cuts to restore price competitiveness.</w:t>
      </w:r>
      <w:r w:rsidR="006E323C">
        <w:t xml:space="preserve"> </w:t>
      </w:r>
      <w:r w:rsidR="00CC4B82">
        <w:t xml:space="preserve">The narrative shows how these institutional changes were pivotal in altering the balance of power between and within </w:t>
      </w:r>
      <w:r w:rsidR="00AD23B6">
        <w:t>employers’</w:t>
      </w:r>
      <w:r w:rsidR="00CC4B82">
        <w:t xml:space="preserve"> </w:t>
      </w:r>
      <w:r w:rsidR="007A52AB">
        <w:t>associations</w:t>
      </w:r>
      <w:r w:rsidR="005A397E">
        <w:t>, and consequently their strategies of interest representation</w:t>
      </w:r>
      <w:r w:rsidR="00CC4B82">
        <w:t>. The final section concludes.</w:t>
      </w:r>
    </w:p>
    <w:p w14:paraId="7E5C9184" w14:textId="0516AC72" w:rsidR="00B62A93" w:rsidRDefault="001316EC" w:rsidP="00832A7D">
      <w:pPr>
        <w:pStyle w:val="Heading2"/>
      </w:pPr>
      <w:r>
        <w:t>Theoretical Framework</w:t>
      </w:r>
    </w:p>
    <w:p w14:paraId="5D7DF4EB" w14:textId="51C33549" w:rsidR="00B62A93" w:rsidRPr="00B6379A" w:rsidRDefault="00B62A93" w:rsidP="00EB0885">
      <w:pPr>
        <w:pStyle w:val="Heading3"/>
      </w:pPr>
      <w:r w:rsidRPr="00B6379A">
        <w:t xml:space="preserve">2.1. </w:t>
      </w:r>
      <w:r w:rsidR="001D1903" w:rsidRPr="00EB0885">
        <w:t>European</w:t>
      </w:r>
      <w:r w:rsidR="001D1903">
        <w:t xml:space="preserve"> </w:t>
      </w:r>
      <w:r w:rsidRPr="00B6379A">
        <w:t>Crisis</w:t>
      </w:r>
      <w:r w:rsidR="00F84FC7">
        <w:t>,</w:t>
      </w:r>
      <w:r w:rsidRPr="00B6379A">
        <w:t xml:space="preserve"> Institutional Change and Marketization</w:t>
      </w:r>
    </w:p>
    <w:p w14:paraId="0CD08B93" w14:textId="55E6A93C" w:rsidR="00B62A93" w:rsidRPr="00B6379A" w:rsidRDefault="0051278B" w:rsidP="00B62A93">
      <w:pPr>
        <w:rPr>
          <w:rFonts w:cs="Times New Roman"/>
        </w:rPr>
      </w:pPr>
      <w:r w:rsidRPr="002D61D3">
        <w:rPr>
          <w:rFonts w:cs="Times New Roman"/>
        </w:rPr>
        <w:t>Recent</w:t>
      </w:r>
      <w:r w:rsidR="001E248A" w:rsidRPr="002D61D3">
        <w:rPr>
          <w:rFonts w:cs="Times New Roman"/>
        </w:rPr>
        <w:t xml:space="preserve"> literature has </w:t>
      </w:r>
      <w:r w:rsidR="002D61D3" w:rsidRPr="002D61D3">
        <w:rPr>
          <w:rFonts w:cs="Times New Roman"/>
        </w:rPr>
        <w:t>identified</w:t>
      </w:r>
      <w:r w:rsidR="001E248A" w:rsidRPr="002D61D3">
        <w:rPr>
          <w:rFonts w:cs="Times New Roman"/>
        </w:rPr>
        <w:t xml:space="preserve"> a variety</w:t>
      </w:r>
      <w:r w:rsidR="00B62A93" w:rsidRPr="002D61D3">
        <w:rPr>
          <w:rFonts w:cs="Times New Roman"/>
        </w:rPr>
        <w:t xml:space="preserve"> of mechanisms of institutional change</w:t>
      </w:r>
      <w:r w:rsidR="009E58E2" w:rsidRPr="002D61D3">
        <w:rPr>
          <w:rFonts w:cs="Times New Roman"/>
        </w:rPr>
        <w:t xml:space="preserve"> </w:t>
      </w:r>
      <w:r w:rsidR="002D374C">
        <w:rPr>
          <w:rFonts w:cs="Times New Roman"/>
          <w:color w:val="FF0000"/>
        </w:rPr>
        <w:fldChar w:fldCharType="begin"/>
      </w:r>
      <w:r w:rsidR="00943757">
        <w:rPr>
          <w:rFonts w:cs="Times New Roman"/>
          <w:color w:val="FF0000"/>
        </w:rPr>
        <w:instrText xml:space="preserve"> ADDIN ZOTERO_ITEM CSL_CITATION {"citationID":"uzeZ6RK1","properties":{"formattedCitation":"(e.g. Streeck and Thelen, 2005)","plainCitation":"(e.g. Streeck and Thelen, 2005)","noteIndex":0},"citationItems":[{"id":1053,"uris":["http://zotero.org/users/2360415/items/MPYT3Z9B"],"uri":["http://zotero.org/users/2360415/items/MPYT3Z9B"],"itemData":{"id":1053,"type":"chapter","container-title":"Beyond Continuity: Institutional Change in Advanced Political Economies","event-place":"Oxford","page":"1-39","publisher":"Oxford University Press","publisher-place":"Oxford","title":"Introduction: Institutional Change in Advanced Political Economies","author":[{"family":"Streeck","given":"Wolfgang"},{"family":"Thelen","given":"Kathleen"}],"editor":[{"family":"Streeck","given":"Wolfgang"},{"family":"Thelen","given":"Kathleen"}],"issued":{"date-parts":[["2005"]]}},"prefix":"e.g. "}],"schema":"https://github.com/citation-style-language/schema/raw/master/csl-citation.json"} </w:instrText>
      </w:r>
      <w:r w:rsidR="002D374C">
        <w:rPr>
          <w:rFonts w:cs="Times New Roman"/>
          <w:color w:val="FF0000"/>
        </w:rPr>
        <w:fldChar w:fldCharType="separate"/>
      </w:r>
      <w:r w:rsidR="006C2C79" w:rsidRPr="006C2C79">
        <w:rPr>
          <w:rFonts w:cs="Times New Roman"/>
        </w:rPr>
        <w:t>(e.g. Streeck and Thelen, 2005)</w:t>
      </w:r>
      <w:r w:rsidR="002D374C">
        <w:rPr>
          <w:rFonts w:cs="Times New Roman"/>
          <w:color w:val="FF0000"/>
        </w:rPr>
        <w:fldChar w:fldCharType="end"/>
      </w:r>
      <w:r w:rsidR="00B62A93" w:rsidRPr="002D61D3">
        <w:rPr>
          <w:rFonts w:cs="Times New Roman"/>
        </w:rPr>
        <w:t xml:space="preserve"> </w:t>
      </w:r>
      <w:r w:rsidR="00CD6EC9" w:rsidRPr="002D61D3">
        <w:rPr>
          <w:rFonts w:cs="Times New Roman"/>
        </w:rPr>
        <w:t>that</w:t>
      </w:r>
      <w:r w:rsidR="00B62A93" w:rsidRPr="002D61D3">
        <w:rPr>
          <w:rFonts w:cs="Times New Roman"/>
        </w:rPr>
        <w:t xml:space="preserve"> </w:t>
      </w:r>
      <w:r w:rsidR="002D61D3" w:rsidRPr="002D61D3">
        <w:rPr>
          <w:rFonts w:cs="Times New Roman"/>
        </w:rPr>
        <w:t>go</w:t>
      </w:r>
      <w:r w:rsidR="00B62A93" w:rsidRPr="002D61D3">
        <w:rPr>
          <w:rFonts w:cs="Times New Roman"/>
        </w:rPr>
        <w:t xml:space="preserve"> beyond </w:t>
      </w:r>
      <w:r w:rsidR="00B62A93" w:rsidRPr="00B6379A">
        <w:rPr>
          <w:rFonts w:cs="Times New Roman"/>
        </w:rPr>
        <w:t>the</w:t>
      </w:r>
      <w:r w:rsidR="005C47CC">
        <w:rPr>
          <w:rFonts w:cs="Times New Roman"/>
        </w:rPr>
        <w:t xml:space="preserve"> idea </w:t>
      </w:r>
      <w:r w:rsidR="00B62A93" w:rsidRPr="00B6379A">
        <w:rPr>
          <w:rFonts w:cs="Times New Roman"/>
        </w:rPr>
        <w:t>that all change is path-dependent in contemporary capitalism</w:t>
      </w:r>
      <w:r w:rsidR="00542DD3">
        <w:rPr>
          <w:rFonts w:cs="Times New Roman"/>
        </w:rPr>
        <w:t>.</w:t>
      </w:r>
      <w:r w:rsidR="00EA26A1" w:rsidRPr="00B6379A">
        <w:rPr>
          <w:rFonts w:cs="Times New Roman"/>
        </w:rPr>
        <w:t xml:space="preserve"> Greer and Doellgast</w:t>
      </w:r>
      <w:r w:rsidR="002D61D3">
        <w:rPr>
          <w:rFonts w:cs="Times New Roman"/>
        </w:rPr>
        <w:t xml:space="preserve"> </w:t>
      </w:r>
      <w:r w:rsidR="00807C55">
        <w:rPr>
          <w:rFonts w:cs="Times New Roman"/>
        </w:rPr>
        <w:fldChar w:fldCharType="begin"/>
      </w:r>
      <w:r w:rsidR="00943757">
        <w:rPr>
          <w:rFonts w:cs="Times New Roman"/>
        </w:rPr>
        <w:instrText xml:space="preserve"> ADDIN ZOTERO_ITEM CSL_CITATION {"citationID":"Tt8y4FkL","properties":{"formattedCitation":"(2017)","plainCitation":"(2017)","noteIndex":0},"citationItems":[{"id":1140,"uris":["http://zotero.org/users/2360415/items/7I23XR4A"],"uri":["http://zotero.org/users/2360415/items/7I23XR4A"],"itemData":{"id":1140,"type":"article-journal","container-title":"Journal of Industrial Relations","issue":"2","page":"192-208","title":"Marketization, inequality, and institutional change: Toward a new framework for comparative employment relations","volume":"59","author":[{"family":"Greer","given":"Ian"},{"family":"Doellgast","given":"Virginia"}],"issued":{"date-parts":[["2017"]]}},"suppress-author":true}],"schema":"https://github.com/citation-style-language/schema/raw/master/csl-citation.json"} </w:instrText>
      </w:r>
      <w:r w:rsidR="00807C55">
        <w:rPr>
          <w:rFonts w:cs="Times New Roman"/>
        </w:rPr>
        <w:fldChar w:fldCharType="separate"/>
      </w:r>
      <w:r w:rsidR="006C2C79" w:rsidRPr="006C2C79">
        <w:rPr>
          <w:rFonts w:cs="Times New Roman"/>
        </w:rPr>
        <w:t>(2017)</w:t>
      </w:r>
      <w:r w:rsidR="00807C55">
        <w:rPr>
          <w:rFonts w:cs="Times New Roman"/>
        </w:rPr>
        <w:fldChar w:fldCharType="end"/>
      </w:r>
      <w:r w:rsidR="00EA26A1" w:rsidRPr="00B6379A">
        <w:rPr>
          <w:rFonts w:cs="Times New Roman"/>
        </w:rPr>
        <w:t xml:space="preserve"> proposed a framework that </w:t>
      </w:r>
      <w:r w:rsidR="00826DD9">
        <w:rPr>
          <w:rFonts w:cs="Times New Roman"/>
        </w:rPr>
        <w:t xml:space="preserve">maps the mechanisms </w:t>
      </w:r>
      <w:r w:rsidR="005C47CC">
        <w:rPr>
          <w:rFonts w:cs="Times New Roman"/>
        </w:rPr>
        <w:t xml:space="preserve">towards, </w:t>
      </w:r>
      <w:r w:rsidR="00826DD9">
        <w:rPr>
          <w:rFonts w:cs="Times New Roman"/>
        </w:rPr>
        <w:t xml:space="preserve">and </w:t>
      </w:r>
      <w:r w:rsidR="005C47CC">
        <w:rPr>
          <w:rFonts w:cs="Times New Roman"/>
        </w:rPr>
        <w:t xml:space="preserve">the </w:t>
      </w:r>
      <w:r w:rsidR="00826DD9">
        <w:rPr>
          <w:rFonts w:cs="Times New Roman"/>
        </w:rPr>
        <w:t>different manifestations</w:t>
      </w:r>
      <w:r w:rsidR="005C47CC">
        <w:rPr>
          <w:rFonts w:cs="Times New Roman"/>
        </w:rPr>
        <w:t xml:space="preserve"> of,</w:t>
      </w:r>
      <w:r w:rsidR="0049346C" w:rsidRPr="00B6379A">
        <w:rPr>
          <w:rFonts w:cs="Times New Roman"/>
        </w:rPr>
        <w:t xml:space="preserve"> ‘marketization’ as a direction of institutional cha</w:t>
      </w:r>
      <w:r w:rsidR="00542DD3">
        <w:rPr>
          <w:rFonts w:cs="Times New Roman"/>
        </w:rPr>
        <w:t>nge</w:t>
      </w:r>
      <w:r w:rsidR="002D61D3">
        <w:rPr>
          <w:rFonts w:cs="Times New Roman"/>
        </w:rPr>
        <w:t>,</w:t>
      </w:r>
      <w:r w:rsidR="00542DD3">
        <w:rPr>
          <w:rFonts w:cs="Times New Roman"/>
        </w:rPr>
        <w:t xml:space="preserve"> and emphasises that any change reflects the power resources of the constellation of actors. </w:t>
      </w:r>
      <w:r w:rsidR="00542DD3" w:rsidRPr="00B6379A">
        <w:rPr>
          <w:rFonts w:cs="Times New Roman"/>
        </w:rPr>
        <w:t xml:space="preserve">Hauptmeier </w:t>
      </w:r>
      <w:r w:rsidR="00542DD3" w:rsidRPr="00B6379A">
        <w:rPr>
          <w:rFonts w:cs="Times New Roman"/>
        </w:rPr>
        <w:fldChar w:fldCharType="begin" w:fldLock="1"/>
      </w:r>
      <w:r w:rsidR="00C909E2">
        <w:rPr>
          <w:rFonts w:cs="Times New Roman"/>
        </w:rPr>
        <w:instrText xml:space="preserve"> ADDIN ZOTERO_ITEM CSL_CITATION {"citationID":"FSkkA2Tf","properties":{"formattedCitation":"(2012)","plainCitation":"(2012)","noteIndex":0},"citationItems":[{"id":"df9hae7d/ebi1aKFn","uris":["http://www.mendeley.com/documents/?uuid=62454f37-092e-4a06-98a8-8ae3b08a9f09"],"uri":["http://www.mendeley.com/documents/?uuid=62454f37-092e-4a06-98a8-8ae3b08a9f09"],"itemData":{"DOI":"10.1111/j.1467-8543.2012.00891.x","ISBN":"0007-1080","ISSN":"00071080","abstract":"This article analyses the variation and change in firm-level employment relations in Spain between the transition to democracy and the global financial crisis. Using three auto companies as case studies, I address a crucial puzzle in the institutional literature on comparative employment relations: How do employment relations change and vary, even when national employment relations institutions do not? This article argues that differences in actor ideologies shape the construction of national institutions at the firm level, which explains change and variation of employment relations over time and across cases. The study identifies four drivers of ideological change — generational change, leadership change, identity work and diffusion — that impact the variation and change in employment relations at the firm level.","author":[{"dropping-particle":"","family":"Hauptmeier","given":"Marco","non-dropping-particle":"","parse-names":false,"suffix":""}],"container-title":"British Journal of Industrial Relations","id":"ITEM-1","issue":"4","issued":{"date-parts":[["2012"]]},"page":"737-759","title":"Institutions Are What Actors Make of Them - The Changing Construction of Firm-Level Employment Relations in Spain","type":"article-journal","volume":"50"},"suppress-author":1}],"schema":"https://github.com/citation-style-language/schema/raw/master/csl-citation.json"} </w:instrText>
      </w:r>
      <w:r w:rsidR="00542DD3" w:rsidRPr="00B6379A">
        <w:rPr>
          <w:rFonts w:cs="Times New Roman"/>
        </w:rPr>
        <w:fldChar w:fldCharType="separate"/>
      </w:r>
      <w:r w:rsidR="006C2C79" w:rsidRPr="006C2C79">
        <w:rPr>
          <w:rFonts w:cs="Times New Roman"/>
        </w:rPr>
        <w:t>(2012)</w:t>
      </w:r>
      <w:r w:rsidR="00542DD3" w:rsidRPr="00B6379A">
        <w:rPr>
          <w:rFonts w:cs="Times New Roman"/>
        </w:rPr>
        <w:fldChar w:fldCharType="end"/>
      </w:r>
      <w:r w:rsidR="00542DD3" w:rsidRPr="00B6379A">
        <w:rPr>
          <w:rFonts w:cs="Times New Roman"/>
        </w:rPr>
        <w:t xml:space="preserve"> argued that differences in actor ideologies shape the construction of national institutions, which then explains change and variation of micro-level employment relations. Similarly, the ‘shared understandings’ </w:t>
      </w:r>
      <w:r w:rsidR="00542DD3" w:rsidRPr="00B6379A">
        <w:rPr>
          <w:rFonts w:cs="Times New Roman"/>
        </w:rPr>
        <w:fldChar w:fldCharType="begin" w:fldLock="1"/>
      </w:r>
      <w:r w:rsidR="00C909E2">
        <w:rPr>
          <w:rFonts w:cs="Times New Roman"/>
        </w:rPr>
        <w:instrText xml:space="preserve"> ADDIN ZOTERO_ITEM CSL_CITATION {"citationID":"e3iKsDdq","properties":{"formattedCitation":"(Culpepper, 2008)","plainCitation":"(Culpepper, 2008)","noteIndex":0},"citationItems":[{"id":"df9hae7d/03h1hTZV","uris":["http://www.mendeley.com/documents/?uuid=b4436314-545a-4813-b0f6-62225fd60cca"],"uri":["http://www.mendeley.com/documents/?uuid=b4436314-545a-4813-b0f6-62225fd60cca"],"itemData":{"DOI":"10.1017/S0020818308080016","ISBN":"00208183","ISSN":"0020-8183","abstract":"Domestic economic institutions change through processes of conflict and bargaining. Why do the strongest groups in such conflicts ever change their minds about the acceptability of institutional arrangements they once opposed? Drawing on the cases of Ireland in 1986-87 and Italy in 1989-93, this article demonstrates how the process of common knowledge creation between employers and unions changed the course of negotiations over national wage bargaining institutions. Common knowledge creation happens when existing institutions are in crisis. The institutional experimentation that follows such crises, characterized by deep uncertainty, places a premium on persuasive argument. The ideas most likely to serve as the basis for newly common knowledge will have analytical and distributive appeal to both unions and employers, and they must be ratified in public agreements, which I call common knowledge events. Common knowledge events establish new social facts, which can change the payoffs associated with different institutional outcomes. This can lead even powerful actors to accept institutions they had previously opposed.","author":[{"dropping-particle":"","family":"Culpepper","given":"Pepper D.","non-dropping-particle":"","parse-names":false,"suffix":""}],"container-title":"International Organization","id":"ITEM-1","issue":"01","issued":{"date-parts":[["2008"]]},"page":"1-33","title":"The Politics of Common Knowledge: Ideas and Institutional Change in Wage Bargaining","type":"article-journal","volume":"62"}}],"schema":"https://github.com/citation-style-language/schema/raw/master/csl-citation.json"} </w:instrText>
      </w:r>
      <w:r w:rsidR="00542DD3" w:rsidRPr="00B6379A">
        <w:rPr>
          <w:rFonts w:cs="Times New Roman"/>
        </w:rPr>
        <w:fldChar w:fldCharType="separate"/>
      </w:r>
      <w:r w:rsidR="006C2C79" w:rsidRPr="006C2C79">
        <w:rPr>
          <w:rFonts w:cs="Times New Roman"/>
        </w:rPr>
        <w:t>(Culpepper, 2008)</w:t>
      </w:r>
      <w:r w:rsidR="00542DD3" w:rsidRPr="00B6379A">
        <w:rPr>
          <w:rFonts w:cs="Times New Roman"/>
        </w:rPr>
        <w:fldChar w:fldCharType="end"/>
      </w:r>
      <w:r w:rsidR="00542DD3" w:rsidRPr="00B6379A">
        <w:rPr>
          <w:rFonts w:cs="Times New Roman"/>
        </w:rPr>
        <w:t xml:space="preserve"> between</w:t>
      </w:r>
      <w:r w:rsidR="006A33C5">
        <w:rPr>
          <w:rFonts w:cs="Times New Roman"/>
        </w:rPr>
        <w:t xml:space="preserve"> or among</w:t>
      </w:r>
      <w:r w:rsidR="00542DD3" w:rsidRPr="00B6379A">
        <w:rPr>
          <w:rFonts w:cs="Times New Roman"/>
        </w:rPr>
        <w:t xml:space="preserve"> actors were crucial in enabling the coalitions between government, trade unions and employers through social pacts. Indeed, social pacts were perceived as a fundamental legitimizing device that ensured some degree of institutional continuity and enabled a concerted approach to contentious marketization reforms of the labour market </w:t>
      </w:r>
      <w:r w:rsidR="00542DD3" w:rsidRPr="00B6379A">
        <w:rPr>
          <w:rFonts w:cs="Times New Roman"/>
        </w:rPr>
        <w:fldChar w:fldCharType="begin" w:fldLock="1"/>
      </w:r>
      <w:r w:rsidR="00C909E2">
        <w:rPr>
          <w:rFonts w:cs="Times New Roman"/>
        </w:rPr>
        <w:instrText xml:space="preserve"> ADDIN ZOTERO_ITEM CSL_CITATION {"citationID":"476jj7fQ","properties":{"formattedCitation":"(Avdagic and Crouch, 2015)","plainCitation":"(Avdagic and Crouch, 2015)","noteIndex":0},"citationItems":[{"id":"df9hae7d/9UGV7XmU","uris":["http://www.mendeley.com/documents/?uuid=e88799a7-0b12-405e-8b0a-2fb89e324caa"],"uri":["http://www.mendeley.com/documents/?uuid=e88799a7-0b12-405e-8b0a-2fb89e324caa"],"itemData":{"DOI":"10.1111/bjir.12116","ISBN":"1467-8543","ISSN":"14678543","author":[{"dropping-particle":"","family":"Avdagic","given":"Sabina","non-dropping-particle":"","parse-names":false,"suffix":""},{"dropping-particle":"","family":"Crouch","given":"Colin","non-dropping-particle":"","parse-names":false,"suffix":""}],"container-title":"British Journal of Industrial Relations","id":"ITEM-1","issue":"1","issued":{"date-parts":[["2015"]]},"page":"1-5","title":"Symposium Introduction: Labour Market Reforms, Employment Performance, Employment Quality, and Changing Social Risks","type":"article-journal","volume":"53"}}],"schema":"https://github.com/citation-style-language/schema/raw/master/csl-citation.json"} </w:instrText>
      </w:r>
      <w:r w:rsidR="00542DD3" w:rsidRPr="00B6379A">
        <w:rPr>
          <w:rFonts w:cs="Times New Roman"/>
        </w:rPr>
        <w:fldChar w:fldCharType="separate"/>
      </w:r>
      <w:r w:rsidR="006C2C79" w:rsidRPr="006C2C79">
        <w:rPr>
          <w:rFonts w:cs="Times New Roman"/>
        </w:rPr>
        <w:t>(Avdagic and Crouch, 2015)</w:t>
      </w:r>
      <w:r w:rsidR="00542DD3" w:rsidRPr="00B6379A">
        <w:rPr>
          <w:rFonts w:cs="Times New Roman"/>
        </w:rPr>
        <w:fldChar w:fldCharType="end"/>
      </w:r>
      <w:r w:rsidR="00542DD3" w:rsidRPr="00B6379A">
        <w:rPr>
          <w:rFonts w:cs="Times New Roman"/>
        </w:rPr>
        <w:t xml:space="preserve">. These theoretical conjectures were ultimately put to the test with the advent of the </w:t>
      </w:r>
      <w:r w:rsidR="00542DD3">
        <w:rPr>
          <w:rFonts w:cs="Times New Roman"/>
        </w:rPr>
        <w:t xml:space="preserve">global financial </w:t>
      </w:r>
      <w:r w:rsidR="006A33C5">
        <w:rPr>
          <w:rFonts w:cs="Times New Roman"/>
        </w:rPr>
        <w:t xml:space="preserve">crisis </w:t>
      </w:r>
      <w:r w:rsidR="00542DD3">
        <w:rPr>
          <w:rFonts w:cs="Times New Roman"/>
        </w:rPr>
        <w:t xml:space="preserve">and the European </w:t>
      </w:r>
      <w:r w:rsidR="006E323C">
        <w:rPr>
          <w:rFonts w:cs="Times New Roman"/>
        </w:rPr>
        <w:t xml:space="preserve">sovereign </w:t>
      </w:r>
      <w:r w:rsidR="00542DD3">
        <w:rPr>
          <w:rFonts w:cs="Times New Roman"/>
        </w:rPr>
        <w:t>debt cris</w:t>
      </w:r>
      <w:r w:rsidR="006A33C5">
        <w:rPr>
          <w:rFonts w:cs="Times New Roman"/>
        </w:rPr>
        <w:t>i</w:t>
      </w:r>
      <w:r w:rsidR="00542DD3">
        <w:rPr>
          <w:rFonts w:cs="Times New Roman"/>
        </w:rPr>
        <w:t>s.</w:t>
      </w:r>
    </w:p>
    <w:p w14:paraId="5C761F5F" w14:textId="52DDD6B8" w:rsidR="00B62A93" w:rsidRDefault="00B62A93" w:rsidP="00B62A93">
      <w:pPr>
        <w:rPr>
          <w:rFonts w:cs="Times New Roman"/>
        </w:rPr>
      </w:pPr>
      <w:r w:rsidRPr="00B6379A">
        <w:rPr>
          <w:rFonts w:cs="Times New Roman"/>
        </w:rPr>
        <w:t xml:space="preserve">In principle, the global </w:t>
      </w:r>
      <w:r w:rsidR="00542DD3">
        <w:rPr>
          <w:rFonts w:cs="Times New Roman"/>
        </w:rPr>
        <w:t>financial</w:t>
      </w:r>
      <w:r w:rsidRPr="00B6379A">
        <w:rPr>
          <w:rFonts w:cs="Times New Roman"/>
        </w:rPr>
        <w:t xml:space="preserve"> crisis presented an opportunity to weaken the clout of </w:t>
      </w:r>
      <w:r w:rsidR="00542DD3">
        <w:rPr>
          <w:rFonts w:cs="Times New Roman"/>
        </w:rPr>
        <w:t>marketization</w:t>
      </w:r>
      <w:r w:rsidRPr="00B6379A">
        <w:rPr>
          <w:rFonts w:cs="Times New Roman"/>
        </w:rPr>
        <w:t xml:space="preserve"> ideas, by </w:t>
      </w:r>
      <w:r w:rsidRPr="00B6379A">
        <w:rPr>
          <w:rFonts w:cs="Times New Roman"/>
          <w:lang w:val="en-US"/>
        </w:rPr>
        <w:t>highlighting blatant</w:t>
      </w:r>
      <w:r w:rsidRPr="00B6379A">
        <w:rPr>
          <w:rFonts w:cs="Times New Roman"/>
        </w:rPr>
        <w:t xml:space="preserve"> ‘market failure</w:t>
      </w:r>
      <w:r w:rsidR="006E323C">
        <w:rPr>
          <w:rFonts w:cs="Times New Roman"/>
        </w:rPr>
        <w:t>s</w:t>
      </w:r>
      <w:r w:rsidRPr="00B6379A">
        <w:rPr>
          <w:rFonts w:cs="Times New Roman"/>
        </w:rPr>
        <w:t>’</w:t>
      </w:r>
      <w:r w:rsidR="00542DD3">
        <w:rPr>
          <w:rFonts w:cs="Times New Roman"/>
        </w:rPr>
        <w:t xml:space="preserve"> in the financial </w:t>
      </w:r>
      <w:r w:rsidR="006E323C">
        <w:rPr>
          <w:rFonts w:cs="Times New Roman"/>
        </w:rPr>
        <w:t>services</w:t>
      </w:r>
      <w:r w:rsidR="006E323C" w:rsidRPr="00B6379A">
        <w:rPr>
          <w:rFonts w:cs="Times New Roman"/>
        </w:rPr>
        <w:t xml:space="preserve"> </w:t>
      </w:r>
      <w:r w:rsidRPr="00B6379A">
        <w:rPr>
          <w:rFonts w:cs="Times New Roman"/>
        </w:rPr>
        <w:t>and</w:t>
      </w:r>
      <w:r w:rsidR="006A33C5">
        <w:rPr>
          <w:rFonts w:cs="Times New Roman"/>
        </w:rPr>
        <w:t xml:space="preserve"> an</w:t>
      </w:r>
      <w:r w:rsidRPr="00B6379A">
        <w:rPr>
          <w:rFonts w:cs="Times New Roman"/>
        </w:rPr>
        <w:t xml:space="preserve"> overall failure of the ‘deregulation paradigm’. But neoliberalism proved more adjustable and resilient than expected </w:t>
      </w:r>
      <w:r w:rsidR="00810A44">
        <w:rPr>
          <w:rFonts w:cs="Times New Roman"/>
        </w:rPr>
        <w:fldChar w:fldCharType="begin"/>
      </w:r>
      <w:r w:rsidR="00943757">
        <w:rPr>
          <w:rFonts w:cs="Times New Roman"/>
        </w:rPr>
        <w:instrText xml:space="preserve"> ADDIN ZOTERO_ITEM CSL_CITATION {"citationID":"mNciaife","properties":{"formattedCitation":"(Crouch, 2011)","plainCitation":"(Crouch, 2011)","noteIndex":0},"citationItems":[{"id":1067,"uris":["http://zotero.org/users/2360415/items/XI4SHA54"],"uri":["http://zotero.org/users/2360415/items/XI4SHA54"],"itemData":{"id":1067,"type":"book","event-place":"London","ISBN":"978-0-7456-5221-4","publisher":"Polity Press","publisher-place":"London","title":"The strange non-death of neoliberalism","author":[{"family":"Crouch","given":"Colin"}],"issued":{"date-parts":[["2011"]]}}}],"schema":"https://github.com/citation-style-language/schema/raw/master/csl-citation.json"} </w:instrText>
      </w:r>
      <w:r w:rsidR="00810A44">
        <w:rPr>
          <w:rFonts w:cs="Times New Roman"/>
        </w:rPr>
        <w:fldChar w:fldCharType="separate"/>
      </w:r>
      <w:r w:rsidR="006C2C79" w:rsidRPr="006C2C79">
        <w:rPr>
          <w:rFonts w:cs="Times New Roman"/>
        </w:rPr>
        <w:t>(Crouch, 2011)</w:t>
      </w:r>
      <w:r w:rsidR="00810A44">
        <w:rPr>
          <w:rFonts w:cs="Times New Roman"/>
        </w:rPr>
        <w:fldChar w:fldCharType="end"/>
      </w:r>
      <w:r w:rsidRPr="00B6379A">
        <w:rPr>
          <w:rFonts w:cs="Times New Roman"/>
        </w:rPr>
        <w:t xml:space="preserve">. </w:t>
      </w:r>
      <w:r w:rsidR="00EB1C84">
        <w:rPr>
          <w:rFonts w:cs="Times New Roman"/>
        </w:rPr>
        <w:t>Once t</w:t>
      </w:r>
      <w:r w:rsidRPr="00B6379A">
        <w:rPr>
          <w:rFonts w:cs="Times New Roman"/>
        </w:rPr>
        <w:t xml:space="preserve">he </w:t>
      </w:r>
      <w:r w:rsidR="00542DD3">
        <w:rPr>
          <w:rFonts w:cs="Times New Roman"/>
        </w:rPr>
        <w:t xml:space="preserve">global </w:t>
      </w:r>
      <w:r w:rsidRPr="00B6379A">
        <w:rPr>
          <w:rFonts w:cs="Times New Roman"/>
        </w:rPr>
        <w:t>financial crisis mutated into a European sovereign debt crisis</w:t>
      </w:r>
      <w:r w:rsidR="007E1A2F">
        <w:rPr>
          <w:rFonts w:cs="Times New Roman"/>
        </w:rPr>
        <w:t>,</w:t>
      </w:r>
      <w:r w:rsidRPr="00B6379A">
        <w:rPr>
          <w:rFonts w:cs="Times New Roman"/>
        </w:rPr>
        <w:t xml:space="preserve"> the prevailing discourse in Europe pointed out the ‘state failure’ and ‘weak national competitiveness’ of peripheral countries. In turn, this intensified the need to reform labour market frameworks and adjust national institutions so that the </w:t>
      </w:r>
      <w:r w:rsidR="00826DD9">
        <w:rPr>
          <w:rFonts w:cs="Times New Roman"/>
        </w:rPr>
        <w:t xml:space="preserve">market mechanisms </w:t>
      </w:r>
      <w:r w:rsidR="006E323C">
        <w:rPr>
          <w:rFonts w:cs="Times New Roman"/>
        </w:rPr>
        <w:t xml:space="preserve">are </w:t>
      </w:r>
      <w:r w:rsidR="006A33C5">
        <w:rPr>
          <w:rFonts w:cs="Times New Roman"/>
        </w:rPr>
        <w:t>restored and reinforced</w:t>
      </w:r>
      <w:r w:rsidR="00D97EB3">
        <w:rPr>
          <w:rFonts w:cs="Times New Roman"/>
        </w:rPr>
        <w:t xml:space="preserve"> </w:t>
      </w:r>
      <w:r w:rsidR="00E2424C" w:rsidRPr="001443CC">
        <w:rPr>
          <w:rFonts w:cs="Times New Roman"/>
        </w:rPr>
        <w:fldChar w:fldCharType="begin"/>
      </w:r>
      <w:r w:rsidR="008A75C0" w:rsidRPr="001443CC">
        <w:rPr>
          <w:rFonts w:cs="Times New Roman"/>
        </w:rPr>
        <w:instrText xml:space="preserve"> ADDIN ZOTERO_ITEM CSL_CITATION {"citationID":"W4fwCzQJ","properties":{"formattedCitation":"(Hermann, 2017)","plainCitation":"(Hermann, 2017)","noteIndex":0},"citationItems":[{"id":1426,"uris":["http://zotero.org/users/2360415/items/IWXCKF2I"],"uri":["http://zotero.org/users/2360415/items/IWXCKF2I"],"itemData":{"id":1426,"type":"article-journal","abstract":"The president of the European Central Bank, Mario Draghi, stated in an interview that the European Social Model (ESM) is ‘gone’. In the same interview he also underlined the need for structural reform as a precondition for renewed growth in Europe. The main hypothesis of this article is that the simultaneous mentioning of the end of the ESM and the need for structural reform was not a coincidence. Structural reforms as adopted during the crisis are threatening the European Social Model(s). This can also be seen in the growth of poverty and inequality in the crisis countries. The article, furthermore, argues that the shift from the Open Method of Coordination to Economic Governance could increase pressure on other countries to introduce similar reforms, further weakening the ESM.","container-title":"Economic and Industrial Democracy","DOI":"10.1177/0143831X14555708","ISSN":"0143-831X","issue":"1","journalAbbreviation":"Economic and Industrial Democracy","language":"en","page":"51-68","source":"SAGE Journals","title":"Crisis, structural reform and the dismantling of the European Social Model(s)","volume":"38","author":[{"family":"Hermann","given":"Christoph"}],"issued":{"date-parts":[["2017",2,1]]}}}],"schema":"https://github.com/citation-style-language/schema/raw/master/csl-citation.json"} </w:instrText>
      </w:r>
      <w:r w:rsidR="00E2424C" w:rsidRPr="001443CC">
        <w:rPr>
          <w:rFonts w:cs="Times New Roman"/>
        </w:rPr>
        <w:fldChar w:fldCharType="separate"/>
      </w:r>
      <w:r w:rsidR="00E2424C" w:rsidRPr="001443CC">
        <w:rPr>
          <w:rFonts w:cs="Times New Roman"/>
        </w:rPr>
        <w:t>(Hermann, 2017)</w:t>
      </w:r>
      <w:r w:rsidR="00E2424C" w:rsidRPr="001443CC">
        <w:rPr>
          <w:rFonts w:cs="Times New Roman"/>
        </w:rPr>
        <w:fldChar w:fldCharType="end"/>
      </w:r>
      <w:r w:rsidRPr="001443CC">
        <w:rPr>
          <w:rFonts w:cs="Times New Roman"/>
        </w:rPr>
        <w:t xml:space="preserve">. These policy ideas took the form of particular adjustment recipes, </w:t>
      </w:r>
      <w:r w:rsidRPr="00B6379A">
        <w:rPr>
          <w:rFonts w:cs="Times New Roman"/>
        </w:rPr>
        <w:t xml:space="preserve">dubbed in the Eurozone as a process of ‘internal devaluation’ </w:t>
      </w:r>
      <w:r w:rsidRPr="00B6379A">
        <w:rPr>
          <w:rFonts w:cs="Times New Roman"/>
        </w:rPr>
        <w:fldChar w:fldCharType="begin" w:fldLock="1"/>
      </w:r>
      <w:r w:rsidR="00C909E2">
        <w:rPr>
          <w:rFonts w:cs="Times New Roman"/>
        </w:rPr>
        <w:instrText xml:space="preserve"> ADDIN ZOTERO_ITEM CSL_CITATION {"citationID":"5hbBeYo2","properties":{"formattedCitation":"(Armingeon and Baccaro, 2012)","plainCitation":"(Armingeon and Baccaro, 2012)","noteIndex":0},"citationItems":[{"id":"df9hae7d/AuPGMWvB","uris":["http://www.mendeley.com/documents/?uuid=d131847d-7c93-4006-9222-09a25bd86367"],"uri":["http://www.mendeley.com/documents/?uuid=d131847d-7c93-4006-9222-09a25bd86367"],"itemData":{"DOI":"10.1093/indlaw/dws029","ISBN":"0305-9332","ISSN":"03059332","abstract":"This article makes three interrelated arguments: first, the sovereign debt crisis is more complex than a simple story about fiscally irresponsible governments which now are being forced by international financial markets to tighten their belts. Ultimately, it is the result of a political decision to create a currency union among economically non-homogenous countries without making any provision for the use of democratically legitimated fiscal transfers to correct asymmetric shocks. Second, the internal devaluation policy which is being imposed on Greece, Ireland, Italy, Portugal and Spain is ineffective and counterproductive. Internal devaluation depresses growth, and the absence of growth requires further austerity for government to regain their fiscal credibility, thus generating a vicious cycle. Third, while national governments continue to be held electorally accountable by citizens, they have lost any meaningful ability to choose among alternative policy options and, as a result, implement everywhere pretty much the same, deeply unpopular austerity package. This situation threatens not just the future viability of the Euro but of the European project as a whole.","author":[{"dropping-particle":"","family":"Armingeon","given":"Klaus","non-dropping-particle":"","parse-names":false,"suffix":""},{"dropping-particle":"","family":"Baccaro","given":"Lucio","non-dropping-particle":"","parse-names":false,"suffix":""}],"container-title":"Industrial Law Journal","id":"ITEM-1","issue":"3","issued":{"date-parts":[["2012"]]},"page":"254-275","title":"Political economy of the sovereign debt crisis: The limits of internal devaluation","type":"article-journal","volume":"41"}}],"schema":"https://github.com/citation-style-language/schema/raw/master/csl-citation.json"} </w:instrText>
      </w:r>
      <w:r w:rsidRPr="00B6379A">
        <w:rPr>
          <w:rFonts w:cs="Times New Roman"/>
        </w:rPr>
        <w:fldChar w:fldCharType="separate"/>
      </w:r>
      <w:r w:rsidR="006C2C79" w:rsidRPr="006C2C79">
        <w:rPr>
          <w:rFonts w:cs="Times New Roman"/>
        </w:rPr>
        <w:t>(Armingeon and Baccaro, 2012)</w:t>
      </w:r>
      <w:r w:rsidRPr="00B6379A">
        <w:rPr>
          <w:rFonts w:cs="Times New Roman"/>
        </w:rPr>
        <w:fldChar w:fldCharType="end"/>
      </w:r>
      <w:r w:rsidRPr="00B6379A">
        <w:rPr>
          <w:rFonts w:cs="Times New Roman"/>
        </w:rPr>
        <w:t xml:space="preserve">, which </w:t>
      </w:r>
      <w:r w:rsidR="00315EDD">
        <w:rPr>
          <w:rFonts w:cs="Times New Roman"/>
        </w:rPr>
        <w:t>targeted</w:t>
      </w:r>
      <w:r w:rsidRPr="00B6379A">
        <w:rPr>
          <w:rFonts w:cs="Times New Roman"/>
        </w:rPr>
        <w:t xml:space="preserve"> the core of national employment relations systems.</w:t>
      </w:r>
    </w:p>
    <w:p w14:paraId="6BDA7FD9" w14:textId="002F1574" w:rsidR="00B62A93" w:rsidRPr="00B6379A" w:rsidRDefault="00B62A93" w:rsidP="00B62A93">
      <w:pPr>
        <w:rPr>
          <w:rFonts w:cs="Times New Roman"/>
        </w:rPr>
      </w:pPr>
      <w:r w:rsidRPr="008A75C0">
        <w:rPr>
          <w:rFonts w:cs="Times New Roman"/>
        </w:rPr>
        <w:t xml:space="preserve">The </w:t>
      </w:r>
      <w:r w:rsidR="001D1903" w:rsidRPr="008A75C0">
        <w:rPr>
          <w:rFonts w:cs="Times New Roman"/>
        </w:rPr>
        <w:t xml:space="preserve">European </w:t>
      </w:r>
      <w:r w:rsidRPr="008A75C0">
        <w:rPr>
          <w:rFonts w:cs="Times New Roman"/>
        </w:rPr>
        <w:t>crisis had a series of unintended consequences in the mechanisms and processes of institutional change.</w:t>
      </w:r>
      <w:r w:rsidR="00BF3B77" w:rsidRPr="008A75C0">
        <w:rPr>
          <w:rFonts w:cs="Times New Roman"/>
        </w:rPr>
        <w:t xml:space="preserve"> P</w:t>
      </w:r>
      <w:r w:rsidRPr="008A75C0">
        <w:rPr>
          <w:rFonts w:cs="Times New Roman"/>
        </w:rPr>
        <w:t xml:space="preserve">reviously exemplary cases of concertation and social partnership, such as Italy and Ireland, </w:t>
      </w:r>
      <w:r w:rsidR="006E323C" w:rsidRPr="008A75C0">
        <w:rPr>
          <w:rFonts w:cs="Times New Roman"/>
        </w:rPr>
        <w:t>collapsed into basket cases of</w:t>
      </w:r>
      <w:r w:rsidRPr="008A75C0">
        <w:rPr>
          <w:rFonts w:cs="Times New Roman"/>
        </w:rPr>
        <w:t xml:space="preserve"> unilateral government imposition of reforms </w:t>
      </w:r>
      <w:r w:rsidRPr="008A75C0">
        <w:rPr>
          <w:rFonts w:cs="Times New Roman"/>
        </w:rPr>
        <w:fldChar w:fldCharType="begin" w:fldLock="1"/>
      </w:r>
      <w:r w:rsidR="00C909E2" w:rsidRPr="008A75C0">
        <w:rPr>
          <w:rFonts w:cs="Times New Roman"/>
        </w:rPr>
        <w:instrText xml:space="preserve"> ADDIN ZOTERO_ITEM CSL_CITATION {"citationID":"RG0pFDpI","properties":{"formattedCitation":"(Culpepper and Regan, 2014)","plainCitation":"(Culpepper and Regan, 2014)","noteIndex":0},"citationItems":[{"id":"df9hae7d/0bCoF1mt","uris":["http://www.mendeley.com/documents/?uuid=9ac738f6-6844-4046-bd29-292e585e044b"],"uri":["http://www.mendeley.com/documents/?uuid=9ac738f6-6844-4046-bd29-292e585e044b"],"itemData":{"DOI":"10.1093/ser/mwt028","ISBN":"1475-1461","ISSN":"1475147X","abstract":"During the 1990s, a prominent strategy of economic adjustment to the challenges of competitiveness and budgetary retrenchment among the non-corporatist countries of Europe was the negotiation of social pacts. Since the onset of the great recession and the Eurozone crisis, social pacts have been conspicuous by their absence. Why have unions not been invited into government buildings to negotiate paths of eco-nomic adjustment in the countries hardest hit by the crisis? Drawing on empirical experiences from Ireland and Italy—two cases on which much of the social pact litera-ture concentrated—this article attributes the exclusion of unions to their declining legitimacy. Unions in the new European periphery have lost the capacity either to threaten governments with the stick of protest or to seduce policymakers with the carrot of problem-solving. They are now seen as a narrow interest group like any other.","author":[{"dropping-particle":"","family":"Culpepper","given":"Pepper D.","non-dropping-particle":"","parse-names":false,"suffix":""},{"dropping-particle":"","family":"Regan","given":"Aidan","non-dropping-particle":"","parse-names":false,"suffix":""}],"container-title":"Socio-Economic Review","id":"ITEM-1","issue":"4","issued":{"date-parts":[["2014"]]},"page":"723-745","title":"Why don't governments need trade unions anymore? The death of social pacts in Ireland and Italy","type":"article-journal","volume":"12"}}],"schema":"https://github.com/citation-style-language/schema/raw/master/csl-citation.json"} </w:instrText>
      </w:r>
      <w:r w:rsidRPr="008A75C0">
        <w:rPr>
          <w:rFonts w:cs="Times New Roman"/>
        </w:rPr>
        <w:fldChar w:fldCharType="separate"/>
      </w:r>
      <w:r w:rsidR="006C2C79" w:rsidRPr="008A75C0">
        <w:rPr>
          <w:rFonts w:cs="Times New Roman"/>
        </w:rPr>
        <w:t>(Culpepper and Regan, 2014)</w:t>
      </w:r>
      <w:r w:rsidRPr="008A75C0">
        <w:rPr>
          <w:rFonts w:cs="Times New Roman"/>
        </w:rPr>
        <w:fldChar w:fldCharType="end"/>
      </w:r>
      <w:r w:rsidRPr="008A75C0">
        <w:rPr>
          <w:rFonts w:cs="Times New Roman"/>
        </w:rPr>
        <w:t xml:space="preserve">. As Molina </w:t>
      </w:r>
      <w:r w:rsidRPr="008A75C0">
        <w:rPr>
          <w:rFonts w:cs="Times New Roman"/>
        </w:rPr>
        <w:fldChar w:fldCharType="begin" w:fldLock="1"/>
      </w:r>
      <w:r w:rsidR="00C909E2" w:rsidRPr="008A75C0">
        <w:rPr>
          <w:rFonts w:cs="Times New Roman"/>
        </w:rPr>
        <w:instrText xml:space="preserve"> ADDIN ZOTERO_ITEM CSL_CITATION {"citationID":"ReUtcopv","properties":{"formattedCitation":"(2014)","plainCitation":"(2014)","noteIndex":0},"citationItems":[{"id":"df9hae7d/ThlwwklW","uris":["http://www.mendeley.com/documents/?uuid=ee1a7fe5-bdb8-4eb9-879c-394fc68abdb8"],"uri":["http://www.mendeley.com/documents/?uuid=ee1a7fe5-bdb8-4eb9-879c-394fc68abdb8"],"itemData":{"DOI":"10.1177/0959680113516404","ISSN":"0959-6801","abstract":"This article analyses the role of the state in industrial relations and the development of collective bargaining autonomy in three Southern European countries. The starting point is the impact of contradictory forces on the direction of change. While there are strong pressures towards less state regulation of working conditions and collective bargaining, the macroeconomic framework of monetary union imposed new coordination requirements upon these economies. Social pacts in the 1990s and 2000s provided a mechanism of state-coordinated governance while at the same time helping to enhance negotiated self-regulation. Nonetheless, significant cross-national differences remained in the extent and form of autonomous collective bargaining and in its outcomes. The structural challenges facing social partners in these countries, together with an emphasis on institutional strategies of revitalization, left them in a weak position at both company and national levels to face the challenges brought on by the crisis. Thus recent developments show a clear pattern of increased unilateral state interference, which raises important questions regarding the future of bargaining autonomy and the role of trade unions.","author":[{"dropping-particle":"","family":"Molina","given":"Oscar","non-dropping-particle":"","parse-names":false,"suffix":""}],"container-title":"European Journal of Industrial Relations","id":"ITEM-1","issue":"1","issued":{"date-parts":[["2014"]]},"page":"21-36","title":"Self-regulation and the state in industrial relations in Southern Europe: Back to the future?","type":"article-journal","volume":"20"},"suppress-author":1}],"schema":"https://github.com/citation-style-language/schema/raw/master/csl-citation.json"} </w:instrText>
      </w:r>
      <w:r w:rsidRPr="008A75C0">
        <w:rPr>
          <w:rFonts w:cs="Times New Roman"/>
        </w:rPr>
        <w:fldChar w:fldCharType="separate"/>
      </w:r>
      <w:r w:rsidR="006C2C79" w:rsidRPr="008A75C0">
        <w:rPr>
          <w:rFonts w:cs="Times New Roman"/>
        </w:rPr>
        <w:t>(2014)</w:t>
      </w:r>
      <w:r w:rsidRPr="008A75C0">
        <w:rPr>
          <w:rFonts w:cs="Times New Roman"/>
        </w:rPr>
        <w:fldChar w:fldCharType="end"/>
      </w:r>
      <w:r w:rsidR="007C6FB8" w:rsidRPr="008A75C0">
        <w:rPr>
          <w:rFonts w:cs="Times New Roman"/>
        </w:rPr>
        <w:t xml:space="preserve"> </w:t>
      </w:r>
      <w:r w:rsidRPr="008A75C0">
        <w:rPr>
          <w:rFonts w:cs="Times New Roman"/>
        </w:rPr>
        <w:t>argued</w:t>
      </w:r>
      <w:r w:rsidR="00105EA2" w:rsidRPr="008A75C0">
        <w:rPr>
          <w:rFonts w:cs="Times New Roman"/>
        </w:rPr>
        <w:t>,</w:t>
      </w:r>
      <w:r w:rsidRPr="008A75C0">
        <w:rPr>
          <w:rFonts w:cs="Times New Roman"/>
        </w:rPr>
        <w:t xml:space="preserve"> the state resumed its role as the actor dictating the ‘rules of the game’ and the autonomy of social partners was severely compromised. Despite differences in the content and intensity of reforms in crisis-hit countries </w:t>
      </w:r>
      <w:r w:rsidRPr="008A75C0">
        <w:rPr>
          <w:rFonts w:cs="Times New Roman"/>
        </w:rPr>
        <w:fldChar w:fldCharType="begin" w:fldLock="1"/>
      </w:r>
      <w:r w:rsidR="001443CC">
        <w:rPr>
          <w:rFonts w:cs="Times New Roman"/>
        </w:rPr>
        <w:instrText xml:space="preserve"> ADDIN ZOTERO_ITEM CSL_CITATION {"citationID":"3cjKNSk1","properties":{"formattedCitation":"(Geary, 2016; Molina, 2014; Picot and Tassinari, 2017)","plainCitation":"(Geary, 2016; Molina, 2014; Picot and Tassinari, 2017)","noteIndex":0},"citationItems":[{"id":"df9hae7d/9wxo4avs","uris":["http://www.mendeley.com/documents/?uuid=af4eb451-7323-43e5-ae6a-1a0caa722371"],"uri":["http://www.mendeley.com/documents/?uuid=af4eb451-7323-43e5-ae6a-1a0caa722371"],"itemData":{"DOI":"10.1093/ser/mww042","ISSN":"1475-1461","abstract":"Most scholars have highlighted the commonalities of labour market reforms under austerity in Europe, mostly in terms of liberalization. We argue that a more differen- tiated analysis is in order, as empirical developments point to distinct reform trajec- tories. We analyse in detail the two Southern European cases where pressure for austerity was intense, but governments maintained a degree of discretion as they were not subjected to direct bailout conditions: Italy and Spain. We examine the period since 2010, which includes a major labour market reform in each of the two states in 2012. Using a theoretical framework that allows distinguishing forms of lib- eralization, we find that reforms in the two states indeed differed markedly. In Spain, flexibilization and declining coverage of protection prevailed, whereas in Italy flexi- bilization was combined with improved protection of workers at the margin of the la- bour market. The differing influence of the centre-left helps to explain this divergence.","author":[{"dropping-particle":"","family":"Picot","given":"Georg","non-dropping-particle":"","parse-names":false,"suffix":""},{"dropping-particle":"","family":"Tassinari","given":"Arianna","non-dropping-particle":"","parse-names":false,"suffix":""}],"container-title":"Socio-Economic Review","id":"ITEM-1","issue":"2","issued":{"date-parts":[["2017"]]},"page":"461-482","title":"All of one kind? Labour market reforms under austerity in Italy and Spain","type":"article-journal","volume":"15"}},{"id":"df9hae7d/ThlwwklW","uris":["http://www.mendeley.com/documents/?uuid=ee1a7fe5-bdb8-4eb9-879c-394fc68abdb8"],"uri":["http://www.mendeley.com/documents/?uuid=ee1a7fe5-bdb8-4eb9-879c-394fc68abdb8"],"itemData":{"DOI":"10.1177/0959680113516404","ISSN":"0959-6801","abstract":"This article analyses the role of the state in industrial relations and the development of collective bargaining autonomy in three Southern European countries. The starting point is the impact of contradictory forces on the direction of change. While there are strong pressures towards less state regulation of working conditions and collective bargaining, the macroeconomic framework of monetary union imposed new coordination requirements upon these economies. Social pacts in the 1990s and 2000s provided a mechanism of state-coordinated governance while at the same time helping to enhance negotiated self-regulation. Nonetheless, significant cross-national differences remained in the extent and form of autonomous collective bargaining and in its outcomes. The structural challenges facing social partners in these countries, together with an emphasis on institutional strategies of revitalization, left them in a weak position at both company and national levels to face the challenges brought on by the crisis. Thus recent developments show a clear pattern of increased unilateral state interference, which raises important questions regarding the future of bargaining autonomy and the role of trade unions.","author":[{"dropping-particle":"","family":"Molina","given":"Oscar","non-dropping-particle":"","parse-names":false,"suffix":""}],"container-title":"European Journal of Industrial Relations","id":"ITEM-2","issue":"1","issued":{"date-parts":[["2014"]]},"page":"21-36","title":"Self-regulation and the state in industrial relations in Southern Europe: Back to the future?","type":"article-journal","volume":"20"}},{"id":"df9hae7d/tPULTNXP","uris":["http://www.mendeley.com/documents/?uuid=cfda01b0-efe9-4028-a745-f8435116b4f0"],"uri":["http://www.mendeley.com/documents/?uuid=cfda01b0-efe9-4028-a745-f8435116b4f0"],"itemData":{"DOI":"10.1177/0959680115616526","ISSN":"14617129","abstract":"This article examines trade union responses to the economic crisis in Ireland. The 'Irish story' is primarily one of union accommodation and cooperation. Conflict was present, but was sporadic and generally sectional in nature, and did not reach the scale of mass mobilization witnessed in the other European countries that received financial aid from the Troika. Why was Ireland different? This is explained by the nature of the contextual challenge, unions' ideological inheritance, their organizational capacity and the opportunity structures available.","author":[{"dropping-particle":"","family":"Geary","given":"John","non-dropping-particle":"","parse-names":false,"suffix":""}],"container-title":"European Journal of Industrial Relations","id":"ITEM-3","issue":"2","issued":{"date-parts":[["2016"]]},"page":"131-147","title":"Economic crisis, austerity and trade union responses: The Irish case in comparative perspective","type":"article-journal","volume":"22"}}],"schema":"https://github.com/citation-style-language/schema/raw/master/csl-citation.json"} </w:instrText>
      </w:r>
      <w:r w:rsidRPr="008A75C0">
        <w:rPr>
          <w:rFonts w:cs="Times New Roman"/>
        </w:rPr>
        <w:fldChar w:fldCharType="separate"/>
      </w:r>
      <w:r w:rsidR="001443CC" w:rsidRPr="001443CC">
        <w:rPr>
          <w:rFonts w:cs="Times New Roman"/>
        </w:rPr>
        <w:t>(Geary, 2016; Molina, 2014; Picot and Tassinari, 2017)</w:t>
      </w:r>
      <w:r w:rsidRPr="008A75C0">
        <w:rPr>
          <w:rFonts w:cs="Times New Roman"/>
        </w:rPr>
        <w:fldChar w:fldCharType="end"/>
      </w:r>
      <w:r w:rsidR="00F32279" w:rsidRPr="008A75C0">
        <w:rPr>
          <w:rFonts w:cs="Times New Roman"/>
        </w:rPr>
        <w:t xml:space="preserve">, </w:t>
      </w:r>
      <w:r w:rsidR="00F32279" w:rsidRPr="001443CC">
        <w:rPr>
          <w:rFonts w:cs="Times New Roman"/>
        </w:rPr>
        <w:t>and the moderating effect</w:t>
      </w:r>
      <w:r w:rsidR="00CD2765" w:rsidRPr="001443CC">
        <w:rPr>
          <w:rFonts w:cs="Times New Roman"/>
        </w:rPr>
        <w:t>s</w:t>
      </w:r>
      <w:r w:rsidR="00F32279" w:rsidRPr="001443CC">
        <w:rPr>
          <w:rFonts w:cs="Times New Roman"/>
        </w:rPr>
        <w:t xml:space="preserve"> of the social partners’ autonomy in determ</w:t>
      </w:r>
      <w:r w:rsidR="00CD2765" w:rsidRPr="001443CC">
        <w:rPr>
          <w:rFonts w:cs="Times New Roman"/>
        </w:rPr>
        <w:t>in</w:t>
      </w:r>
      <w:r w:rsidR="00F32279" w:rsidRPr="001443CC">
        <w:rPr>
          <w:rFonts w:cs="Times New Roman"/>
        </w:rPr>
        <w:t xml:space="preserve">ing the reach of state intervention in employment relations </w:t>
      </w:r>
      <w:r w:rsidR="008A75C0" w:rsidRPr="001443CC">
        <w:rPr>
          <w:rFonts w:cs="Times New Roman"/>
        </w:rPr>
        <w:fldChar w:fldCharType="begin"/>
      </w:r>
      <w:r w:rsidR="008A75C0" w:rsidRPr="001443CC">
        <w:rPr>
          <w:rFonts w:cs="Times New Roman"/>
        </w:rPr>
        <w:instrText xml:space="preserve"> ADDIN ZOTERO_ITEM CSL_CITATION {"citationID":"XteYdeOj","properties":{"formattedCitation":"(Alfonso, 2019)","plainCitation":"(Alfonso, 2019)","noteIndex":0},"citationItems":[{"id":1430,"uris":["http://zotero.org/users/2360415/items/MHKTVEJG"],"uri":["http://zotero.org/users/2360415/items/MHKTVEJG"],"itemData":{"id":1430,"type":"article-journal","container-title":"European Journal of Political Research","issue":"3","page":"938-959","title":"State-led wage devaluation in Southern Europe in the wake of the Eurozone crisis","volume":"58","author":[{"family":"Alfonso","given":"Alexander"}],"issued":{"date-parts":[["2019"]]}}}],"schema":"https://github.com/citation-style-language/schema/raw/master/csl-citation.json"} </w:instrText>
      </w:r>
      <w:r w:rsidR="008A75C0" w:rsidRPr="001443CC">
        <w:rPr>
          <w:rFonts w:cs="Times New Roman"/>
        </w:rPr>
        <w:fldChar w:fldCharType="separate"/>
      </w:r>
      <w:r w:rsidR="008A75C0" w:rsidRPr="001443CC">
        <w:rPr>
          <w:rFonts w:cs="Times New Roman"/>
        </w:rPr>
        <w:t>(Alfonso, 2019)</w:t>
      </w:r>
      <w:r w:rsidR="008A75C0" w:rsidRPr="001443CC">
        <w:rPr>
          <w:rFonts w:cs="Times New Roman"/>
        </w:rPr>
        <w:fldChar w:fldCharType="end"/>
      </w:r>
      <w:r w:rsidR="00F32279" w:rsidRPr="001443CC">
        <w:rPr>
          <w:rFonts w:cs="Times New Roman"/>
        </w:rPr>
        <w:t>,</w:t>
      </w:r>
      <w:r w:rsidR="00EA26A1" w:rsidRPr="001443CC">
        <w:rPr>
          <w:rFonts w:cs="Times New Roman"/>
        </w:rPr>
        <w:t xml:space="preserve"> </w:t>
      </w:r>
      <w:r w:rsidR="00EA26A1" w:rsidRPr="008A75C0">
        <w:rPr>
          <w:rFonts w:cs="Times New Roman"/>
        </w:rPr>
        <w:t xml:space="preserve">the </w:t>
      </w:r>
      <w:r w:rsidRPr="008A75C0">
        <w:rPr>
          <w:rFonts w:cs="Times New Roman"/>
        </w:rPr>
        <w:t xml:space="preserve">common trajectory of change </w:t>
      </w:r>
      <w:r w:rsidR="00EA26A1" w:rsidRPr="008A75C0">
        <w:rPr>
          <w:rFonts w:cs="Times New Roman"/>
        </w:rPr>
        <w:t xml:space="preserve">towards marketization and pro-market reforms </w:t>
      </w:r>
      <w:r w:rsidRPr="008A75C0">
        <w:rPr>
          <w:rFonts w:cs="Times New Roman"/>
        </w:rPr>
        <w:t xml:space="preserve">resumed and intensified. In </w:t>
      </w:r>
      <w:r w:rsidR="00EE2233" w:rsidRPr="008A75C0">
        <w:rPr>
          <w:rFonts w:cs="Times New Roman"/>
        </w:rPr>
        <w:t>sum</w:t>
      </w:r>
      <w:r w:rsidRPr="008A75C0">
        <w:rPr>
          <w:rFonts w:cs="Times New Roman"/>
        </w:rPr>
        <w:t>, institutional change in Europe’s peripher</w:t>
      </w:r>
      <w:r w:rsidR="00105EA2" w:rsidRPr="008A75C0">
        <w:rPr>
          <w:rFonts w:cs="Times New Roman"/>
        </w:rPr>
        <w:t>y</w:t>
      </w:r>
      <w:r w:rsidR="00EE6473" w:rsidRPr="008A75C0">
        <w:rPr>
          <w:rFonts w:cs="Times New Roman"/>
        </w:rPr>
        <w:t xml:space="preserve"> (e.g. in Ireland, Spain, Portugal and Italy)</w:t>
      </w:r>
      <w:r w:rsidRPr="008A75C0">
        <w:rPr>
          <w:rFonts w:cs="Times New Roman"/>
        </w:rPr>
        <w:t xml:space="preserve"> was driven</w:t>
      </w:r>
      <w:r w:rsidR="00EA26A1" w:rsidRPr="008A75C0">
        <w:rPr>
          <w:rFonts w:cs="Times New Roman"/>
        </w:rPr>
        <w:t xml:space="preserve"> either</w:t>
      </w:r>
      <w:r w:rsidRPr="008A75C0">
        <w:rPr>
          <w:rFonts w:cs="Times New Roman"/>
        </w:rPr>
        <w:t xml:space="preserve"> by </w:t>
      </w:r>
      <w:r w:rsidR="006E323C" w:rsidRPr="008A75C0">
        <w:rPr>
          <w:rFonts w:cs="Times New Roman"/>
        </w:rPr>
        <w:t xml:space="preserve">the </w:t>
      </w:r>
      <w:r w:rsidRPr="008A75C0">
        <w:rPr>
          <w:rFonts w:cs="Times New Roman"/>
        </w:rPr>
        <w:t xml:space="preserve">explicit conditionality of bailout agreements </w:t>
      </w:r>
      <w:r w:rsidR="00EE6473" w:rsidRPr="008A75C0">
        <w:rPr>
          <w:rFonts w:cs="Times New Roman"/>
        </w:rPr>
        <w:t xml:space="preserve">or </w:t>
      </w:r>
      <w:r w:rsidR="00525B86" w:rsidRPr="008A75C0">
        <w:rPr>
          <w:rFonts w:cs="Times New Roman"/>
        </w:rPr>
        <w:t xml:space="preserve">by </w:t>
      </w:r>
      <w:r w:rsidRPr="008A75C0">
        <w:t xml:space="preserve">implicit coercion </w:t>
      </w:r>
      <w:r w:rsidRPr="008A75C0">
        <w:fldChar w:fldCharType="begin" w:fldLock="1"/>
      </w:r>
      <w:r w:rsidR="00C909E2" w:rsidRPr="008A75C0">
        <w:instrText xml:space="preserve"> ADDIN ZOTERO_ITEM CSL_CITATION {"citationID":"3Tm4tdPv","properties":{"formattedCitation":"(Culpepper and Regan, 2014; Geary, 2016; Molina, 2014; Pedersini and Regini, 2013)","plainCitation":"(Culpepper and Regan, 2014; Geary, 2016; Molina, 2014; Pedersini and Regini, 2013)","noteIndex":0},"citationItems":[{"id":"df9hae7d/tPULTNXP","uris":["http://www.mendeley.com/documents/?uuid=cfda01b0-efe9-4028-a745-f8435116b4f0"],"uri":["http://www.mendeley.com/documents/?uuid=cfda01b0-efe9-4028-a745-f8435116b4f0"],"itemData":{"DOI":"10.1177/0959680115616526","ISSN":"14617129","abstract":"This article examines trade union responses to the economic crisis in Ireland. The 'Irish story' is primarily one of union accommodation and cooperation. Conflict was present, but was sporadic and generally sectional in nature, and did not reach the scale of mass mobilization witnessed in the other European countries that received financial aid from the Troika. Why was Ireland different? This is explained by the nature of the contextual challenge, unions' ideological inheritance, their organizational capacity and the opportunity structures available.","author":[{"dropping-particle":"","family":"Geary","given":"John","non-dropping-particle":"","parse-names":false,"suffix":""}],"container-title":"European Journal of Industrial Relations","id":"ITEM-1","issue":"2","issued":{"date-parts":[["2016"]]},"page":"131-147","title":"Economic crisis, austerity and trade union responses: The Irish case in comparative perspective","type":"article-journal","volume":"22"}},{"id":"df9hae7d/ThlwwklW","uris":["http://www.mendeley.com/documents/?uuid=ee1a7fe5-bdb8-4eb9-879c-394fc68abdb8"],"uri":["http://www.mendeley.com/documents/?uuid=ee1a7fe5-bdb8-4eb9-879c-394fc68abdb8"],"itemData":{"DOI":"10.1177/0959680113516404","ISSN":"0959-6801","abstract":"This article analyses the role of the state in industrial relations and the development of collective bargaining autonomy in three Southern European countries. The starting point is the impact of contradictory forces on the direction of change. While there are strong pressures towards less state regulation of working conditions and collective bargaining, the macroeconomic framework of monetary union imposed new coordination requirements upon these economies. Social pacts in the 1990s and 2000s provided a mechanism of state-coordinated governance while at the same time helping to enhance negotiated self-regulation. Nonetheless, significant cross-national differences remained in the extent and form of autonomous collective bargaining and in its outcomes. The structural challenges facing social partners in these countries, together with an emphasis on institutional strategies of revitalization, left them in a weak position at both company and national levels to face the challenges brought on by the crisis. Thus recent developments show a clear pattern of increased unilateral state interference, which raises important questions regarding the future of bargaining autonomy and the role of trade unions.","author":[{"dropping-particle":"","family":"Molina","given":"Oscar","non-dropping-particle":"","parse-names":false,"suffix":""}],"container-title":"European Journal of Industrial Relations","id":"ITEM-2","issue":"1","issued":{"date-parts":[["2014"]]},"page":"21-36","title":"Self-regulation and the state in industrial relations in Southern Europe: Back to the future?","type":"article-journal","volume":"20"}},{"id":"df9hae7d/uLaQ41Lv","uris":["http://www.mendeley.com/documents/?uuid=e7584f85-f6a4-438f-949c-57352f97b5a5"],"uri":["http://www.mendeley.com/documents/?uuid=e7584f85-f6a4-438f-949c-57352f97b5a5"],"itemData":{"author":[{"dropping-particle":"","family":"Pedersini","given":"Roberto","non-dropping-particle":"","parse-names":false,"suffix":""},{"dropping-particle":"","family":"Regini","given":"Marino","non-dropping-particle":"","parse-names":false,"suffix":""}],"container-title":"ILO Working Paper No. 50","id":"ITEM-3","issue":"5","issued":{"date-parts":[["2013"]]},"page":"109-126","title":"Coping with the crisis in Italy: Employment relations and social dialogue amidst the recession","type":"article-journal"}},{"id":"df9hae7d/0bCoF1mt","uris":["http://www.mendeley.com/documents/?uuid=9ac738f6-6844-4046-bd29-292e585e044b"],"uri":["http://www.mendeley.com/documents/?uuid=9ac738f6-6844-4046-bd29-292e585e044b"],"itemData":{"DOI":"10.1093/ser/mwt028","ISBN":"1475-1461","ISSN":"1475147X","abstract":"During the 1990s, a prominent strategy of economic adjustment to the challenges of competitiveness and budgetary retrenchment among the non-corporatist countries of Europe was the negotiation of social pacts. Since the onset of the great recession and the Eurozone crisis, social pacts have been conspicuous by their absence. Why have unions not been invited into government buildings to negotiate paths of eco-nomic adjustment in the countries hardest hit by the crisis? Drawing on empirical experiences from Ireland and Italy—two cases on which much of the social pact litera-ture concentrated—this article attributes the exclusion of unions to their declining legitimacy. Unions in the new European periphery have lost the capacity either to threaten governments with the stick of protest or to seduce policymakers with the carrot of problem-solving. They are now seen as a narrow interest group like any other.","author":[{"dropping-particle":"","family":"Culpepper","given":"Pepper D.","non-dropping-particle":"","parse-names":false,"suffix":""},{"dropping-particle":"","family":"Regan","given":"Aidan","non-dropping-particle":"","parse-names":false,"suffix":""}],"container-title":"Socio-Economic Review","id":"ITEM-4","issue":"4","issued":{"date-parts":[["2014"]]},"page":"723-745","title":"Why don't governments need trade unions anymore? The death of social pacts in Ireland and Italy","type":"article-journal","volume":"12"}}],"schema":"https://github.com/citation-style-language/schema/raw/master/csl-citation.json"} </w:instrText>
      </w:r>
      <w:r w:rsidRPr="008A75C0">
        <w:fldChar w:fldCharType="separate"/>
      </w:r>
      <w:r w:rsidR="006C2C79" w:rsidRPr="008A75C0">
        <w:rPr>
          <w:rFonts w:cs="Times New Roman"/>
        </w:rPr>
        <w:t>(Culpepper and Regan, 2014; Geary, 2016; Molina, 2014; Pedersini and Regini, 2013)</w:t>
      </w:r>
      <w:r w:rsidRPr="008A75C0">
        <w:fldChar w:fldCharType="end"/>
      </w:r>
      <w:r w:rsidRPr="008A75C0">
        <w:rPr>
          <w:rFonts w:cs="Times New Roman"/>
        </w:rPr>
        <w:t>.</w:t>
      </w:r>
      <w:r w:rsidR="004F645A" w:rsidRPr="008A75C0">
        <w:rPr>
          <w:rFonts w:cs="Times New Roman"/>
        </w:rPr>
        <w:t xml:space="preserve"> </w:t>
      </w:r>
      <w:r w:rsidR="004F645A" w:rsidRPr="001443CC">
        <w:rPr>
          <w:rFonts w:cs="Times New Roman"/>
        </w:rPr>
        <w:t xml:space="preserve">These changes did not necessarily lead to a radical break with past traditions but, through a process of path dependency led to the hybridisation of collective bargaining structures </w:t>
      </w:r>
      <w:r w:rsidR="00E2424C" w:rsidRPr="008A75C0">
        <w:rPr>
          <w:rFonts w:cs="Times New Roman"/>
          <w:color w:val="FF0000"/>
        </w:rPr>
        <w:fldChar w:fldCharType="begin"/>
      </w:r>
      <w:r w:rsidR="008A75C0" w:rsidRPr="008A75C0">
        <w:rPr>
          <w:rFonts w:cs="Times New Roman"/>
          <w:color w:val="FF0000"/>
        </w:rPr>
        <w:instrText xml:space="preserve"> ADDIN ZOTERO_ITEM CSL_CITATION {"citationID":"BgD9l7Nr","properties":{"formattedCitation":"(Brandl and Bechter, 2019)","plainCitation":"(Brandl and Bechter, 2019)","noteIndex":0},"citationItems":[{"id":1428,"uris":["http://zotero.org/users/2360415/items/AXHRAN77"],"uri":["http://zotero.org/users/2360415/items/AXHRAN77"],"itemData":{"id":1428,"type":"article-journal","abstract":"In this article it is argued that the economic crisis has made national collective bargaining systems increasingly multi-layered, perforated and dynamically unstable, i.e. hybrid. The authors explain these transformations in terms of the concomitance of two different sources of change which do not necessarily follow the same logics. The first source stems from national systems’ endogenous logic of path dependency and the second from pressure to reform in accordance with exogenously applied strategies and logics. It is argued that these sources act like a whipsaw, pushing and pulling national collective bargaining systems between the two logics, leading to hybrid collective bargaining systems.","archive_location":"he","container-title":"Economic and Industrial Democracy","DOI":"10.1177/0143831X17748199","ISSN":"0143-831X","issue":"3","journalAbbreviation":"Economic and Industrial Democracy","language":"en","page":"469-489","source":"SAGE Journals","title":"The hybridization of national collective bargaining systems: The impact of the economic crisis on the transformation of collective bargaining in the European Union","title-short":"The hybridization of national collective bargaining systems","volume":"40","author":[{"family":"Brandl","given":"Bernd"},{"family":"Bechter","given":"Barbara"}],"issued":{"date-parts":[["2019",8,1]]}}}],"schema":"https://github.com/citation-style-language/schema/raw/master/csl-citation.json"} </w:instrText>
      </w:r>
      <w:r w:rsidR="00E2424C" w:rsidRPr="008A75C0">
        <w:rPr>
          <w:rFonts w:cs="Times New Roman"/>
          <w:color w:val="FF0000"/>
        </w:rPr>
        <w:fldChar w:fldCharType="separate"/>
      </w:r>
      <w:r w:rsidR="00E2424C" w:rsidRPr="008A75C0">
        <w:rPr>
          <w:rFonts w:cs="Times New Roman"/>
        </w:rPr>
        <w:t>(Brandl and Bechter, 2019)</w:t>
      </w:r>
      <w:r w:rsidR="00E2424C" w:rsidRPr="008A75C0">
        <w:rPr>
          <w:rFonts w:cs="Times New Roman"/>
          <w:color w:val="FF0000"/>
        </w:rPr>
        <w:fldChar w:fldCharType="end"/>
      </w:r>
      <w:r w:rsidR="004F645A" w:rsidRPr="008A75C0">
        <w:rPr>
          <w:rFonts w:cs="Times New Roman"/>
          <w:color w:val="FF0000"/>
        </w:rPr>
        <w:t xml:space="preserve">. </w:t>
      </w:r>
      <w:r w:rsidRPr="008A75C0">
        <w:rPr>
          <w:rFonts w:cs="Times New Roman"/>
        </w:rPr>
        <w:t>Under these</w:t>
      </w:r>
      <w:r w:rsidR="006E323C" w:rsidRPr="008A75C0">
        <w:rPr>
          <w:rFonts w:cs="Times New Roman"/>
        </w:rPr>
        <w:t xml:space="preserve"> extreme</w:t>
      </w:r>
      <w:r w:rsidRPr="008A75C0">
        <w:rPr>
          <w:rFonts w:cs="Times New Roman"/>
        </w:rPr>
        <w:t xml:space="preserve"> circumstances, the collective actors’ role in insti</w:t>
      </w:r>
      <w:r w:rsidR="00826DD9" w:rsidRPr="008A75C0">
        <w:rPr>
          <w:rFonts w:cs="Times New Roman"/>
        </w:rPr>
        <w:t>tutional change was questioned; t</w:t>
      </w:r>
      <w:r w:rsidRPr="008A75C0">
        <w:rPr>
          <w:rFonts w:cs="Times New Roman"/>
        </w:rPr>
        <w:t>hey came across as powerless</w:t>
      </w:r>
      <w:r w:rsidR="00EA26A1" w:rsidRPr="008A75C0">
        <w:rPr>
          <w:rFonts w:cs="Times New Roman"/>
        </w:rPr>
        <w:t xml:space="preserve"> and</w:t>
      </w:r>
      <w:r w:rsidR="00826DD9" w:rsidRPr="008A75C0">
        <w:rPr>
          <w:rFonts w:cs="Times New Roman"/>
        </w:rPr>
        <w:t xml:space="preserve"> their ‘</w:t>
      </w:r>
      <w:r w:rsidRPr="008A75C0">
        <w:rPr>
          <w:rFonts w:cs="Times New Roman"/>
        </w:rPr>
        <w:t>legitimizing power</w:t>
      </w:r>
      <w:r w:rsidR="00826DD9" w:rsidRPr="008A75C0">
        <w:rPr>
          <w:rFonts w:cs="Times New Roman"/>
        </w:rPr>
        <w:t>’</w:t>
      </w:r>
      <w:r w:rsidRPr="008A75C0">
        <w:rPr>
          <w:rFonts w:cs="Times New Roman"/>
        </w:rPr>
        <w:t xml:space="preserve"> appeared irrelevant </w:t>
      </w:r>
      <w:r w:rsidRPr="008A75C0">
        <w:rPr>
          <w:rFonts w:cs="Times New Roman"/>
        </w:rPr>
        <w:fldChar w:fldCharType="begin" w:fldLock="1"/>
      </w:r>
      <w:r w:rsidR="00C909E2" w:rsidRPr="008A75C0">
        <w:rPr>
          <w:rFonts w:cs="Times New Roman"/>
        </w:rPr>
        <w:instrText xml:space="preserve"> ADDIN ZOTERO_ITEM CSL_CITATION {"citationID":"p1czNHeH","properties":{"formattedCitation":"(Culpepper and Regan, 2014)","plainCitation":"(Culpepper and Regan, 2014)","noteIndex":0},"citationItems":[{"id":"df9hae7d/0bCoF1mt","uris":["http://www.mendeley.com/documents/?uuid=9ac738f6-6844-4046-bd29-292e585e044b"],"uri":["http://www.mendeley.com/documents/?uuid=9ac738f6-6844-4046-bd29-292e585e044b"],"itemData":{"DOI":"10.1093/ser/mwt028","ISBN":"1475-1461","ISSN":"1475147X","abstract":"During the 1990s, a prominent strategy of economic adjustment to the challenges of competitiveness and budgetary retrenchment among the non-corporatist countries of Europe was the negotiation of social pacts. Since the onset of the great recession and the Eurozone crisis, social pacts have been conspicuous by their absence. Why have unions not been invited into government buildings to negotiate paths of eco-nomic adjustment in the countries hardest hit by the crisis? Drawing on empirical experiences from Ireland and Italy—two cases on which much of the social pact litera-ture concentrated—this article attributes the exclusion of unions to their declining legitimacy. Unions in the new European periphery have lost the capacity either to threaten governments with the stick of protest or to seduce policymakers with the carrot of problem-solving. They are now seen as a narrow interest group like any other.","author":[{"dropping-particle":"","family":"Culpepper","given":"Pepper D.","non-dropping-particle":"","parse-names":false,"suffix":""},{"dropping-particle":"","family":"Regan","given":"Aidan","non-dropping-particle":"","parse-names":false,"suffix":""}],"container-title":"Socio-Economic Review","id":"ITEM-1","issue":"4","issued":{"date-parts":[["2014"]]},"page":"723-745","title":"Why don't governments need trade unions anymore? The death of social pacts in Ireland and Italy","type":"article-journal","volume":"12"}}],"schema":"https://github.com/citation-style-language/schema/raw/master/csl-citation.json"} </w:instrText>
      </w:r>
      <w:r w:rsidRPr="008A75C0">
        <w:rPr>
          <w:rFonts w:cs="Times New Roman"/>
        </w:rPr>
        <w:fldChar w:fldCharType="separate"/>
      </w:r>
      <w:r w:rsidR="006C2C79" w:rsidRPr="008A75C0">
        <w:rPr>
          <w:rFonts w:cs="Times New Roman"/>
        </w:rPr>
        <w:t>(Culpepper and Regan, 2014)</w:t>
      </w:r>
      <w:r w:rsidRPr="008A75C0">
        <w:rPr>
          <w:rFonts w:cs="Times New Roman"/>
        </w:rPr>
        <w:fldChar w:fldCharType="end"/>
      </w:r>
      <w:r w:rsidR="00826DD9" w:rsidRPr="008A75C0">
        <w:rPr>
          <w:rFonts w:cs="Times New Roman"/>
        </w:rPr>
        <w:t xml:space="preserve">. </w:t>
      </w:r>
      <w:r w:rsidR="006A33C5" w:rsidRPr="008A75C0">
        <w:rPr>
          <w:rFonts w:cs="Times New Roman"/>
        </w:rPr>
        <w:t xml:space="preserve">Against </w:t>
      </w:r>
      <w:r w:rsidR="00EA26A1" w:rsidRPr="008A75C0">
        <w:rPr>
          <w:rFonts w:cs="Times New Roman"/>
        </w:rPr>
        <w:t xml:space="preserve">the backdrop of these </w:t>
      </w:r>
      <w:r w:rsidR="006E323C" w:rsidRPr="008A75C0">
        <w:rPr>
          <w:rFonts w:cs="Times New Roman"/>
        </w:rPr>
        <w:t>rapid shifts in the process and paths of</w:t>
      </w:r>
      <w:r w:rsidR="00EA26A1" w:rsidRPr="008A75C0">
        <w:rPr>
          <w:rFonts w:cs="Times New Roman"/>
        </w:rPr>
        <w:t xml:space="preserve"> institutional change</w:t>
      </w:r>
      <w:r w:rsidR="00826DD9" w:rsidRPr="008A75C0">
        <w:rPr>
          <w:rFonts w:cs="Times New Roman"/>
        </w:rPr>
        <w:t xml:space="preserve"> in Europe</w:t>
      </w:r>
      <w:r w:rsidR="00EA26A1" w:rsidRPr="008A75C0">
        <w:rPr>
          <w:rFonts w:cs="Times New Roman"/>
        </w:rPr>
        <w:t xml:space="preserve">, </w:t>
      </w:r>
      <w:r w:rsidR="00B848A2" w:rsidRPr="008A75C0">
        <w:rPr>
          <w:rFonts w:cs="Times New Roman"/>
        </w:rPr>
        <w:t>it is important to understand how institutional changes generally affect</w:t>
      </w:r>
      <w:r w:rsidR="006A33C5" w:rsidRPr="008A75C0">
        <w:rPr>
          <w:rFonts w:cs="Times New Roman"/>
        </w:rPr>
        <w:t xml:space="preserve"> </w:t>
      </w:r>
      <w:r w:rsidR="0049346C" w:rsidRPr="008A75C0">
        <w:rPr>
          <w:rFonts w:cs="Times New Roman"/>
        </w:rPr>
        <w:t xml:space="preserve">the </w:t>
      </w:r>
      <w:r w:rsidR="00826DD9" w:rsidRPr="008A75C0">
        <w:rPr>
          <w:rFonts w:cs="Times New Roman"/>
        </w:rPr>
        <w:t xml:space="preserve">roles, interests and </w:t>
      </w:r>
      <w:r w:rsidR="0049346C" w:rsidRPr="008A75C0">
        <w:rPr>
          <w:rFonts w:cs="Times New Roman"/>
        </w:rPr>
        <w:t>power</w:t>
      </w:r>
      <w:r w:rsidR="00B848A2" w:rsidRPr="008A75C0">
        <w:rPr>
          <w:rFonts w:cs="Times New Roman"/>
        </w:rPr>
        <w:t xml:space="preserve"> resources</w:t>
      </w:r>
      <w:r w:rsidR="0049346C" w:rsidRPr="008A75C0">
        <w:rPr>
          <w:rFonts w:cs="Times New Roman"/>
        </w:rPr>
        <w:t xml:space="preserve"> of </w:t>
      </w:r>
      <w:r w:rsidR="00B848A2" w:rsidRPr="008A75C0">
        <w:rPr>
          <w:rFonts w:cs="Times New Roman"/>
        </w:rPr>
        <w:t>employers’ associations</w:t>
      </w:r>
      <w:r w:rsidR="007C6FB8" w:rsidRPr="008A75C0">
        <w:rPr>
          <w:rFonts w:cs="Times New Roman"/>
        </w:rPr>
        <w:t>.</w:t>
      </w:r>
    </w:p>
    <w:p w14:paraId="61361FA3" w14:textId="4E8FD660" w:rsidR="00F458A5" w:rsidRDefault="00B62A93" w:rsidP="00EB0885">
      <w:pPr>
        <w:pStyle w:val="Heading3"/>
      </w:pPr>
      <w:r w:rsidRPr="00B6379A">
        <w:t>2.2.</w:t>
      </w:r>
      <w:r w:rsidR="00EB0885">
        <w:t xml:space="preserve"> </w:t>
      </w:r>
      <w:r w:rsidR="00826DD9">
        <w:t>Employers</w:t>
      </w:r>
      <w:r w:rsidR="00EB0885">
        <w:t>’</w:t>
      </w:r>
      <w:r w:rsidR="00826DD9">
        <w:t xml:space="preserve"> </w:t>
      </w:r>
      <w:r w:rsidR="007A52AB">
        <w:t>Associations</w:t>
      </w:r>
      <w:r w:rsidR="00943757">
        <w:t xml:space="preserve"> Strategies</w:t>
      </w:r>
      <w:r w:rsidR="00F84FC7">
        <w:t xml:space="preserve">: </w:t>
      </w:r>
      <w:r w:rsidR="00251625">
        <w:t xml:space="preserve">Interests, </w:t>
      </w:r>
      <w:r w:rsidR="00251625" w:rsidRPr="00B6379A">
        <w:t xml:space="preserve">Power </w:t>
      </w:r>
      <w:r w:rsidR="00251625">
        <w:t xml:space="preserve">Dynamics, </w:t>
      </w:r>
      <w:r w:rsidR="00251625" w:rsidRPr="00B6379A">
        <w:t>and</w:t>
      </w:r>
      <w:r w:rsidR="00251625">
        <w:t xml:space="preserve"> the </w:t>
      </w:r>
      <w:r w:rsidR="00753C65">
        <w:t>Institutional Context</w:t>
      </w:r>
      <w:r w:rsidR="00F84FC7">
        <w:t xml:space="preserve"> </w:t>
      </w:r>
    </w:p>
    <w:p w14:paraId="575FB0C7" w14:textId="339277C7" w:rsidR="004D7B1E" w:rsidRDefault="00812E5D" w:rsidP="004D7B1E">
      <w:r>
        <w:t>Our basic premise is that</w:t>
      </w:r>
      <w:r w:rsidR="004D7B1E">
        <w:t xml:space="preserve"> identifying the type of interests that employers’ associations seek to serve constitutes the cornerstone for understanding their actions and behaviour. One of their major functions is to represent their members’ and sectors’ interests vis-à-vis the trade unions and the state. Contrary to standard class analysis </w:t>
      </w:r>
      <w:r w:rsidR="004D7B1E">
        <w:fldChar w:fldCharType="begin"/>
      </w:r>
      <w:r w:rsidR="004D7B1E">
        <w:instrText xml:space="preserve"> ADDIN ZOTERO_ITEM CSL_CITATION {"citationID":"w6m5HuSs","properties":{"formattedCitation":"(e.g. Korpi, 2006; Perrone et al., 1984)","plainCitation":"(e.g. Korpi, 2006; Perrone et al., 1984)","noteIndex":0},"citationItems":[{"id":95,"uris":["http://zotero.org/users/2360415/items/6NZ8A9TM"],"uri":["http://zotero.org/users/2360415/items/6NZ8A9TM"],"itemData":{"id":95,"type":"article-journal","abstract":"The power resources approach, underlining the relevance of socioeconomic class and partisan politics in distributive conflict within capitalist economies, is challenged by employer-centered approaches claiming employers and cross-class alliances to have been crucial in advancing the development of welfare states and varieties of capitalism. Theoretically and empirically these claims are problematic. In welfare state expansion, employers have often been antagonists, under specific conditions consenters, but very rarely protagonists. Well-developed welfare states and coordinated market economies have emerged in countries with strong left parties in long-term cabinet participation or in countries with state corporatist institutional traditions and confessional parties in intensive competition with left parties.","container-title":"World Politics","ISSN":"0043-8871","issue":"2","journalAbbreviation":"World Politics","page":"167-206","source":"JSTOR","title":"Power Resources and Employer-Centered Approaches in Explanations of Welfare States and Varieties of Capitalism: Protagonists, Consenters, and Antagonists","title-short":"Power Resources and Employer-Centered Approaches in Explanations of Welfare States and Varieties of Capitalism","volume":"58","author":[{"family":"Korpi","given":"Walter"}],"issued":{"date-parts":[["2006"]]}},"label":"page","prefix":"e.g. "},{"id":101,"uris":["http://zotero.org/users/2360415/items/4QH67DD3"],"uri":["http://zotero.org/users/2360415/items/4QH67DD3"],"itemData":{"id":101,"type":"article-journal","abstract":"Research on strikes has suffered from the lack of convincing measures of power which are operationally independent of the behaviors and outcomes such power is meant to explain. In particular, many discussions of strike behavior discuss the disruptive potential of strikes for the economy as a whole as an important structural basis of power, but such disruptive potential remains unmeasured. This paper proposes a strategy for measuring such disruptive potential using Leontief input-output matrices of intersectoral flows of commodities. The measure essentially taps the extent to which the cessation of production in one sector remains a purely local event or has ramifications throughout the economic structure. The empirical analysis of the paper then uses this measure to predict two outcomes: intersectoral wage differentials, and intersectoral strike behavior. The core results indicate that the measure of structural power predicts intersectoral wage differences extremely well but does not account for differences in strike propensities. The implications of these findings are then discussed in terms of the general problem of understanding the interconnections between power, strike behavior and wages.","container-title":"American Sociological Review","DOI":"10.2307/2095284","ISSN":"0003-1224","issue":"3","journalAbbreviation":"American Sociological Review","page":"412-426","source":"JSTOR","title":"Positional Power, Strikes and Wages","volume":"49","author":[{"family":"Perrone","given":"Luca"},{"family":"Wright","given":"Erik Olin"},{"family":"Griffin","given":"Larry J."}],"issued":{"date-parts":[["1984"]]}},"label":"page"}],"schema":"https://github.com/citation-style-language/schema/raw/master/csl-citation.json"} </w:instrText>
      </w:r>
      <w:r w:rsidR="004D7B1E">
        <w:fldChar w:fldCharType="separate"/>
      </w:r>
      <w:r w:rsidR="004D7B1E" w:rsidRPr="004D7B1E">
        <w:rPr>
          <w:rFonts w:cs="Times New Roman"/>
        </w:rPr>
        <w:t>(e.g. Korpi, 2006; Perrone et al., 1984)</w:t>
      </w:r>
      <w:r w:rsidR="004D7B1E">
        <w:fldChar w:fldCharType="end"/>
      </w:r>
      <w:r w:rsidR="004D7B1E">
        <w:t xml:space="preserve">, which assumes uniformity of interests of the different class actors, peak-level employers’ associations may find themselves trying to balance the representation of encompassing interests on one hand, and more narrow interests on the other </w:t>
      </w:r>
      <w:r w:rsidR="004D7B1E">
        <w:fldChar w:fldCharType="begin"/>
      </w:r>
      <w:r w:rsidR="004D7B1E">
        <w:instrText xml:space="preserve"> ADDIN ZOTERO_ITEM CSL_CITATION {"citationID":"u0g2nUhQ","properties":{"formattedCitation":"(Traxler, 2007: 4)","plainCitation":"(Traxler, 2007: 4)","noteIndex":0},"citationItems":[{"id":1252,"uris":["http://zotero.org/users/2360415/items/E2KREL7V"],"uri":["http://zotero.org/users/2360415/items/E2KREL7V"],"itemData":{"id":1252,"type":"chapter","call-number":"HD2421 H23","container-title":"Handbook of business interest associations, firm size and governance: a comparative analytical approach","event-place":"London ; New York","ISBN":"978-0-415-42466-0","language":"eng","page":"10-36","publisher":"Routledge","publisher-place":"London ; New York","source":"librarysearch.lse.ac.uk","title":"The Theoretical and Methodological Framework of the Analysis","author":[{"family":"Traxler","given":"Franz"}],"editor":[{"literal":"Gerhard Huemer"},{"family":"Traxler","given":"Franz"}],"issued":{"date-parts":[["2007"]]}},"suffix":": 4"}],"schema":"https://github.com/citation-style-language/schema/raw/master/csl-citation.json"} </w:instrText>
      </w:r>
      <w:r w:rsidR="004D7B1E">
        <w:fldChar w:fldCharType="separate"/>
      </w:r>
      <w:r w:rsidR="004D7B1E" w:rsidRPr="004D7B1E">
        <w:rPr>
          <w:rFonts w:cs="Times New Roman"/>
        </w:rPr>
        <w:t>(Traxler, 2007: 4)</w:t>
      </w:r>
      <w:r w:rsidR="004D7B1E">
        <w:fldChar w:fldCharType="end"/>
      </w:r>
      <w:r w:rsidR="004D7B1E">
        <w:t>. For example, although, as capitalists, employers may adhere to a more liberal view of society and the economy (thus having common encompassing interests), their interpretation of the limits of liberalism may differ depending on the sectors they operate in</w:t>
      </w:r>
      <w:r>
        <w:t>. T</w:t>
      </w:r>
      <w:r w:rsidR="004D7B1E">
        <w:t>herefore, there may be a clash between long-term collective</w:t>
      </w:r>
      <w:r w:rsidR="00D469F1" w:rsidRPr="00D469F1">
        <w:t xml:space="preserve"> </w:t>
      </w:r>
      <w:r w:rsidR="004D7B1E">
        <w:t xml:space="preserve">interests and short-term individual member interests </w:t>
      </w:r>
      <w:r w:rsidR="004D7B1E">
        <w:fldChar w:fldCharType="begin"/>
      </w:r>
      <w:r w:rsidR="00F7747C">
        <w:instrText xml:space="preserve"> ADDIN ZOTERO_ITEM CSL_CITATION {"citationID":"US2S1bBD","properties":{"formattedCitation":"(Schmitter and Streeck, 1999)","plainCitation":"(Schmitter and Streeck, 1999)","noteIndex":0},"citationItems":[{"id":1267,"uris":["http://zotero.org/users/2360415/items/HYSM6EIF"],"uri":["http://zotero.org/users/2360415/items/HYSM6EIF"],"itemData":{"id":1267,"type":"report","event-place":"Koln","genre":"Discussion Paper","number":"1999/1","page":"95","publisher":"Max Planck Institut fur Gesellschaftsforschung","publisher-place":"Koln","title":"The Organization of Business Interests: Studying the Associative Action of Business in Advanced Industrial Societies.","URL":"http://www.mpifg.de/pu/mpifg_dp/dp99-1.pdf","author":[{"family":"Schmitter","given":"Phillipe C."},{"family":"Streeck","given":"Wolfgang"}],"issued":{"date-parts":[["1999"]]}},"label":"page"}],"schema":"https://github.com/citation-style-language/schema/raw/master/csl-citation.json"} </w:instrText>
      </w:r>
      <w:r w:rsidR="004D7B1E">
        <w:fldChar w:fldCharType="separate"/>
      </w:r>
      <w:r w:rsidR="00F7747C" w:rsidRPr="00F7747C">
        <w:rPr>
          <w:rFonts w:cs="Times New Roman"/>
        </w:rPr>
        <w:t>(Schmitter and Streeck, 1999)</w:t>
      </w:r>
      <w:r w:rsidR="004D7B1E">
        <w:fldChar w:fldCharType="end"/>
      </w:r>
      <w:r w:rsidR="004D7B1E">
        <w:t>. Balancing these diverse interests and promoting a uniform agenda vis-à-vis the other social partners, is a fundamental operation of an employers’ association.</w:t>
      </w:r>
    </w:p>
    <w:p w14:paraId="0D0DA8E0" w14:textId="6F9AA5E1" w:rsidR="004D7B1E" w:rsidRDefault="004D7B1E" w:rsidP="004D7B1E">
      <w:r>
        <w:t>Whilst serving their members’ interests, employers’ associations also aim to satisfy their own organisational interests, namely their survival, continuation and reproduction within the wider political and economic system. Contrary to other organisations, however, employers’ associations, as collective non-profit entities that represent for-profit organisations, have to deal with the classic collective action problem (free riding, commitment to the organisation)</w:t>
      </w:r>
      <w:r w:rsidR="009B620D">
        <w:t>, while</w:t>
      </w:r>
      <w:r>
        <w:t xml:space="preserve"> reconcil</w:t>
      </w:r>
      <w:r w:rsidR="009B620D">
        <w:t>ing</w:t>
      </w:r>
      <w:r>
        <w:t xml:space="preserve"> the potentially conflicting interests of their members </w:t>
      </w:r>
      <w:r>
        <w:fldChar w:fldCharType="begin"/>
      </w:r>
      <w:r>
        <w:instrText xml:space="preserve"> ADDIN ZOTERO_ITEM CSL_CITATION {"citationID":"Sf2qvglr","properties":{"formattedCitation":"(Behrens, 2018)","plainCitation":"(Behrens, 2018)","noteIndex":0},"citationItems":[{"id":1247,"uris":["http://zotero.org/users/2360415/items/3F42AWEH"],"uri":["http://zotero.org/users/2360415/items/3F42AWEH"],"itemData":{"id":1247,"type":"article-journal","abstract":"Abstract.  Analysing a unique data set of the organizational characteristics of 358 German employers’ associations, the article investigates how employers manag","container-title":"Socio-Economic Review","DOI":"10.1093/ser/mwx037","ISSN":"1475-1461","issue":"4","journalAbbreviation":"Socioecon Rev","language":"en","page":"769-789","source":"academic-oup-com.ezproxy.lib.bbk.ac.uk","title":"Structure and competing logics: the art of shaping interests within German employers’ associations","title-short":"Structure and competing logics","volume":"16","author":[{"family":"Behrens","given":"Martin"}],"issued":{"date-parts":[["2018",10,1]]}}}],"schema":"https://github.com/citation-style-language/schema/raw/master/csl-citation.json"} </w:instrText>
      </w:r>
      <w:r>
        <w:fldChar w:fldCharType="separate"/>
      </w:r>
      <w:r w:rsidRPr="004D7B1E">
        <w:rPr>
          <w:rFonts w:cs="Times New Roman"/>
        </w:rPr>
        <w:t>(Behrens, 2018)</w:t>
      </w:r>
      <w:r>
        <w:fldChar w:fldCharType="end"/>
      </w:r>
      <w:r>
        <w:t xml:space="preserve">. Most of the time, the associations’ organisational interests and their members’ interests will be aligned; for example, the participation in tripartite social dialogue or in collective bargaining may yield positive results for the member firms they represent; it may reaffirm and strengthen an association’s position in the system, but also provide a ‘public good’ in the form of industrial piece that </w:t>
      </w:r>
      <w:r w:rsidR="009B620D">
        <w:t xml:space="preserve">benefits </w:t>
      </w:r>
      <w:r>
        <w:t xml:space="preserve">whole sectors of the economy and the society in general. There may be occasions, however, where an association’s objectives may not necessarily coincide with, or completely reflect, the interests of its membership. </w:t>
      </w:r>
    </w:p>
    <w:p w14:paraId="60144009" w14:textId="624FCEDA" w:rsidR="004D7B1E" w:rsidRDefault="004D7B1E" w:rsidP="004D7B1E">
      <w:r>
        <w:t xml:space="preserve">Whether employers’ associations will be able to satisfy their </w:t>
      </w:r>
      <w:r w:rsidR="00AA4113">
        <w:t>members’,</w:t>
      </w:r>
      <w:r>
        <w:t xml:space="preserve"> or their own</w:t>
      </w:r>
      <w:r w:rsidR="009B620D">
        <w:t>,</w:t>
      </w:r>
      <w:r>
        <w:t xml:space="preserve"> organisational interests </w:t>
      </w:r>
      <w:r w:rsidR="00AA4113">
        <w:t>depend</w:t>
      </w:r>
      <w:r w:rsidR="009B620D">
        <w:t>s</w:t>
      </w:r>
      <w:r>
        <w:t xml:space="preserve"> on their relative power in the spheres within which they exercise it. Wright </w:t>
      </w:r>
      <w:r>
        <w:fldChar w:fldCharType="begin"/>
      </w:r>
      <w:r>
        <w:instrText xml:space="preserve"> ADDIN ZOTERO_ITEM CSL_CITATION {"citationID":"GuLP2gwU","properties":{"formattedCitation":"(2015)","plainCitation":"(2015)","noteIndex":0},"citationItems":[{"id":1050,"uris":["http://zotero.org/users/2360415/items/P29CDN2Q"],"uri":["http://zotero.org/users/2360415/items/P29CDN2Q"],"itemData":{"id":1050,"type":"chapter","container-title":"Understanding Class","event-place":"London","page":"185-230","publisher":"Verso","publisher-place":"London","title":"Working-Class Power, Capitalist-Class Interests, and Class Compromise","author":[{"family":"Wright","given":"Erik Olin"}],"issued":{"date-parts":[["2015"]]}},"suppress-author":true}],"schema":"https://github.com/citation-style-language/schema/raw/master/csl-citation.json"} </w:instrText>
      </w:r>
      <w:r>
        <w:fldChar w:fldCharType="separate"/>
      </w:r>
      <w:r w:rsidRPr="004D7B1E">
        <w:rPr>
          <w:rFonts w:cs="Times New Roman"/>
        </w:rPr>
        <w:t>(2015)</w:t>
      </w:r>
      <w:r>
        <w:fldChar w:fldCharType="end"/>
      </w:r>
      <w:r>
        <w:t xml:space="preserve"> identifies three spheres in which capital and labour meet to pursue their interests: the sphere of politics, the sphere of the market and the sphere of production. It is in the first two spheres that employers’ associations usually engage with trade unions and the state (as the production sphere refers to the level of the shop floor and it is par excellence the space where individual firms and local unions usually exercise power). The employers’ associations engage in the sphere of politics whenever they enter into bipartite dialogue with the state, or in tripartite activities with the rest of the social partners, or exercise lobbying. They also engage in the sphere of the market whenever they participate into collective bargaining, when they regulate the marke</w:t>
      </w:r>
      <w:r w:rsidR="001F7C40">
        <w:t>t</w:t>
      </w:r>
      <w:r>
        <w:t xml:space="preserve"> by setting standards, or when they provide services to their members. The access to both spheres is critical and usually inscribed in the institutional framework, which legitimizes the right of certain actors to determine outcomes in these spheres. Yet the effectiveness of each actor’s actions in these spheres depends on the actor’s power and the dynamics that characterise the interaction of the actors involved.</w:t>
      </w:r>
    </w:p>
    <w:p w14:paraId="03E98EFC" w14:textId="2ABF77F5" w:rsidR="004D7B1E" w:rsidRDefault="004D7B1E" w:rsidP="004D7B1E">
      <w:r>
        <w:t xml:space="preserve">Employers’ associations possess three types of power: (i) structural or institutional power, which is </w:t>
      </w:r>
      <w:r w:rsidR="001F7C40">
        <w:t>conferred on</w:t>
      </w:r>
      <w:r>
        <w:t xml:space="preserve"> them by their role in the institutional framework, (ii) organisational power, which refers to the size of their organisation, and (iii) mobilisation power, which refers to their ability to mobilise their resources to pursue their interests </w:t>
      </w:r>
      <w:r>
        <w:fldChar w:fldCharType="begin"/>
      </w:r>
      <w:r>
        <w:instrText xml:space="preserve"> ADDIN ZOTERO_ITEM CSL_CITATION {"citationID":"NeSX33wx","properties":{"formattedCitation":"(see also Gumbrell McCormick and Hyman, 2013)","plainCitation":"(see also Gumbrell McCormick and Hyman, 2013)","noteIndex":0},"citationItems":[{"id":253,"uris":["http://zotero.org/users/2360415/items/3WFBRKK5"],"uri":["http://zotero.org/users/2360415/items/3WFBRKK5"],"itemData":{"id":253,"type":"book","event-place":"Oxford","publisher":"Oxford University Press","publisher-place":"Oxford","title":"Trade Unions in Western Europe: Hard Times, Hard Choices","author":[{"family":"Gumbrell McCormick","given":"Rebecca"},{"family":"Hyman","given":"Richard"}],"issued":{"date-parts":[["2013"]]}},"prefix":"see also "}],"schema":"https://github.com/citation-style-language/schema/raw/master/csl-citation.json"} </w:instrText>
      </w:r>
      <w:r>
        <w:fldChar w:fldCharType="separate"/>
      </w:r>
      <w:r w:rsidRPr="004D7B1E">
        <w:rPr>
          <w:rFonts w:cs="Times New Roman"/>
        </w:rPr>
        <w:t>(see also Gumbrell McCormick and Hyman, 2013)</w:t>
      </w:r>
      <w:r>
        <w:fldChar w:fldCharType="end"/>
      </w:r>
      <w:r>
        <w:t xml:space="preserve">. Yet </w:t>
      </w:r>
      <w:r w:rsidR="00AA4113">
        <w:t xml:space="preserve">although </w:t>
      </w:r>
      <w:r>
        <w:t xml:space="preserve">the possession of power is </w:t>
      </w:r>
      <w:r w:rsidR="00AA4113">
        <w:t xml:space="preserve">a necessary condition </w:t>
      </w:r>
      <w:r>
        <w:t>for its deployment in a specific arena</w:t>
      </w:r>
      <w:r w:rsidR="00AA4113">
        <w:t>, it is not a sufficient one</w:t>
      </w:r>
      <w:r>
        <w:t>. The ability to exercise power, and the decision to deploy it, largely depends on the resistance that the exercise of power may yield by the actor against whom it is being directed. Power is, therefore, both a relational concept, as its success rests on its relative positioning vis-à-vis the other actors in the sphere (market, politics, production) in which power is being exercised, and a dynamic concept, since its characteristics may be altered as a result of changes in the external environment. Hence, in analysing the responses of the actors in the employment relations system, we employ the concept of power dynamics, which better captures the dynamic relationship of, and interaction between, the power of Capital, Labour and the State.</w:t>
      </w:r>
    </w:p>
    <w:p w14:paraId="321F1ABC" w14:textId="4B291076" w:rsidR="004D7B1E" w:rsidRDefault="004D7B1E" w:rsidP="004D7B1E">
      <w:r>
        <w:t xml:space="preserve">Apart from the power dynamics that characterise their environment, the employer associations’ policies and strategies depend on the opportunities and constraints provided by the institutional context in which they operate </w:t>
      </w:r>
      <w:r w:rsidR="007B0E5F">
        <w:fldChar w:fldCharType="begin"/>
      </w:r>
      <w:r w:rsidR="007B0E5F">
        <w:instrText xml:space="preserve"> ADDIN ZOTERO_ITEM CSL_CITATION {"citationID":"Y6mDY7uF","properties":{"formattedCitation":"(Brandl and Lehr, 2016; Wright, 2015)","plainCitation":"(Brandl and Lehr, 2016; Wright, 2015)","noteIndex":0},"citationItems":[{"id":1085,"uris":["http://zotero.org/users/2360415/items/2NK8GWYY"],"uri":["http://zotero.org/users/2360415/items/2NK8GWYY"],"itemData":{"id":1085,"type":"article-journal","abstract":"Against the background that corporatism is on the decline in recent decades, one could expect that the representativeness of employer and business associations is also declining. In this article it is argued and shown that, contrary to this expectation, this decline is not observable for employer and business associations. So the question arises as to whether employer and business associations are simply relics of a different era with no longer any purpose. Using a cross-national approach it is shown that by adapting their organizational structure as well as their activities to the changing needs of business, employer and business organizations are as ‘strong’ and active nowadays as ever.","container-title":"Economic and Industrial Democracy","DOI":"10.1177/0143831X16669842","ISSN":"0143-831X","journalAbbreviation":"Economic and Industrial Democracy","language":"en","source":"SAGE Journals","title":"The strange non-death of employer and business associations: An analysis of their representativeness and activities in Western European countries","title-short":"The strange non-death of employer and business associations","author":[{"family":"Brandl","given":"Bernd"},{"family":"Lehr","given":"Alex"}],"issued":{"date-parts":[["2016"]]}}},{"id":1050,"uris":["http://zotero.org/users/2360415/items/P29CDN2Q"],"uri":["http://zotero.org/users/2360415/items/P29CDN2Q"],"itemData":{"id":1050,"type":"chapter","container-title":"Understanding Class","event-place":"London","page":"185-230","publisher":"Verso","publisher-place":"London","title":"Working-Class Power, Capitalist-Class Interests, and Class Compromise","author":[{"family":"Wright","given":"Erik Olin"}],"issued":{"date-parts":[["2015"]]}}}],"schema":"https://github.com/citation-style-language/schema/raw/master/csl-citation.json"} </w:instrText>
      </w:r>
      <w:r w:rsidR="007B0E5F">
        <w:fldChar w:fldCharType="separate"/>
      </w:r>
      <w:r w:rsidR="007B0E5F" w:rsidRPr="007B0E5F">
        <w:rPr>
          <w:rFonts w:cs="Times New Roman"/>
        </w:rPr>
        <w:t>(Brandl and Lehr, 2016; Wright, 2015)</w:t>
      </w:r>
      <w:r w:rsidR="007B0E5F">
        <w:fldChar w:fldCharType="end"/>
      </w:r>
      <w:r>
        <w:t>. Some employers’ associations operate in an institutional context which may provide opportunities to engage in collective bargaining with the respective trade unions; to set minimum standards and to regulate the labour market; and to represent their members in tripartite bodies. Others may only engage in bipartite dialogue with the government and may employ lobbying and consultation to advance their agendas; they may set or influence standards for product markets, either unilaterally or in coordination with regulatory bodies. For instance, employers’ associations in Continental and Southern European countries (such as in Germany, Greece or</w:t>
      </w:r>
      <w:r w:rsidR="00162A87">
        <w:t xml:space="preserve"> </w:t>
      </w:r>
      <w:r>
        <w:t xml:space="preserve">Italy) actively engage across the above spectrum </w:t>
      </w:r>
      <w:r w:rsidR="00162A87">
        <w:fldChar w:fldCharType="begin"/>
      </w:r>
      <w:r w:rsidR="00162A87">
        <w:instrText xml:space="preserve"> ADDIN ZOTERO_ITEM CSL_CITATION {"citationID":"xzWo8XG3","properties":{"formattedCitation":"(Mouriki and Traxler, 2007; Sheldon et al., 2016; Vatta, 2007)","plainCitation":"(Mouriki and Traxler, 2007; Sheldon et al., 2016; Vatta, 2007)","noteIndex":0},"citationItems":[{"id":1254,"uris":["http://zotero.org/users/2360415/items/75SVC6JV"],"uri":["http://zotero.org/users/2360415/items/75SVC6JV"],"itemData":{"id":1254,"type":"chapter","call-number":"HD2421 H23","container-title":"Handbook of business interest associations, firm size and governance: a comparative analytical approach","event-place":"London ; New York","ISBN":"978-0-415-42466-0","language":"eng","page":"177-191","publisher":"Routledge","publisher-place":"London ; New York","source":"librarysearch.lse.ac.uk","title":"Greece","editor":[{"literal":"Gerhard Huemer"},{"family":"Traxler","given":"Franz"}],"author":[{"family":"Mouriki","given":"Aliki"},{"family":"Traxler","given":"Franz"}],"issued":{"date-parts":[["2007"]]}}},{"id":1099,"uris":["http://zotero.org/users/2360415/items/FGPHWZEF"],"uri":["http://zotero.org/users/2360415/items/FGPHWZEF"],"itemData":{"id":1099,"type":"article-journal","abstract":"The literature has neglected to analyse employer associations as organizations facing potential environmental threats to their ﬁnancial sustainability. We examine associations’ responses to collective bargaining decentralization, a major, contemporary threat. Using a qualitative, comparative case approach, we examine eight associations — four each in Australia and Italy — to develop a model of response types. Stronger decentralization effects increase associations’ exposure to new and heightened competition, which in turn produces stronger association responses. These include prioritizing commercial over associational objectives. We analyse responses using strategic choice and resource dependence theories, ﬁnding that associations use both. However, the decision how to combine them reﬂects environmental conditions as well as choices linking organizational purpose and ﬁnancial sustainability.","container-title":"British Journal of Industrial Relations","DOI":"10.1111/bjir.12061","ISSN":"00071080","issue":"1","language":"en","page":"160-191","source":"Crossref","title":"Employer Association Responses to the Effects of Bargaining Decentralization in Australia and Italy: Seeking Explanations from Organizational Theory: Employer Associations in Australia and Italy","title-short":"Employer Association Responses to the Effects of Bargaining Decentralization in Australia and Italy","volume":"54","author":[{"family":"Sheldon","given":"Peter"},{"family":"Nacamulli","given":"Raoul"},{"family":"Paoletti","given":"Francesco"},{"family":"Morgan","given":"David E."}],"issued":{"date-parts":[["2016",3]]}}},{"id":1255,"uris":["http://zotero.org/users/2360415/items/9K5ENKZ2"],"uri":["http://zotero.org/users/2360415/items/9K5ENKZ2"],"itemData":{"id":1255,"type":"chapter","call-number":"HD2421 H23","container-title":"Handbook of business interest associations, firm size and governance: a comparative analytical approach","event-place":"London ; New York","ISBN":"978-0-415-42466-0","language":"eng","page":"204-229","publisher":"Routledge","publisher-place":"London ; New York","source":"librarysearch.lse.ac.uk","title":"Italy","editor":[{"literal":"Gerhard Huemer"},{"family":"Traxler","given":"Franz"}],"author":[{"family":"Vatta","given":"Alessia"}],"issued":{"date-parts":[["2007"]]}}}],"schema":"https://github.com/citation-style-language/schema/raw/master/csl-citation.json"} </w:instrText>
      </w:r>
      <w:r w:rsidR="00162A87">
        <w:fldChar w:fldCharType="separate"/>
      </w:r>
      <w:r w:rsidR="00162A87" w:rsidRPr="00162A87">
        <w:rPr>
          <w:rFonts w:cs="Times New Roman"/>
        </w:rPr>
        <w:t>(Mouriki and Traxler, 2007; Sheldon et al., 2016; Vatta, 2007)</w:t>
      </w:r>
      <w:r w:rsidR="00162A87">
        <w:fldChar w:fldCharType="end"/>
      </w:r>
      <w:r>
        <w:t xml:space="preserve">. </w:t>
      </w:r>
      <w:r w:rsidRPr="0058562A">
        <w:t>By contrast, associations in Anglo-Saxon countries have a more restrictive strategic orientation as they operate in an institutional context where lobbying is the primary mode of influence.</w:t>
      </w:r>
    </w:p>
    <w:p w14:paraId="6E51792F" w14:textId="3B0D2367" w:rsidR="004D7B1E" w:rsidRDefault="004D7B1E" w:rsidP="004D7B1E">
      <w:r>
        <w:t xml:space="preserve">Changes in the institutional framework, or in the general economic environment, impact on the actors’ interest representation, on the allocation of power, and on the decision to deploy power. When confronted with institutional context changes, employers’ associations may decide to either adapt to, or challenge, the new environment </w:t>
      </w:r>
      <w:r w:rsidR="00162A87">
        <w:fldChar w:fldCharType="begin"/>
      </w:r>
      <w:r w:rsidR="00162A87">
        <w:instrText xml:space="preserve"> ADDIN ZOTERO_ITEM CSL_CITATION {"citationID":"VpsX2rDz","properties":{"formattedCitation":"(Paster, 2018)","plainCitation":"(Paster, 2018)","noteIndex":0},"citationItems":[{"id":1250,"uris":["http://zotero.org/users/2360415/items/U7RZQ4GP"],"uri":["http://zotero.org/users/2360415/items/U7RZQ4GP"],"itemData":{"id":1250,"type":"article-journal","container-title":"New Political Economy","issue":"6","language":"English","page":"674-689","title":"How Do Business Interest Groups Respond to Political Challenges? A Study of the Politics of German Employers","title-short":"How Do Business Interest Groups Respond to Political Challenges?","volume":"23","author":[{"family":"Paster","given":"Thomas"}],"issued":{"date-parts":[["2018"]]}}}],"schema":"https://github.com/citation-style-language/schema/raw/master/csl-citation.json"} </w:instrText>
      </w:r>
      <w:r w:rsidR="00162A87">
        <w:fldChar w:fldCharType="separate"/>
      </w:r>
      <w:r w:rsidR="00162A87" w:rsidRPr="00162A87">
        <w:rPr>
          <w:rFonts w:cs="Times New Roman"/>
        </w:rPr>
        <w:t>(Paster, 2018)</w:t>
      </w:r>
      <w:r w:rsidR="00162A87">
        <w:fldChar w:fldCharType="end"/>
      </w:r>
      <w:r>
        <w:t xml:space="preserve">. Which broad strategy will be pursued will depend on the power dynamics that characterise the employment relations systems at a specific historical juncture. This concurs with Paster </w:t>
      </w:r>
      <w:r w:rsidR="00162A87">
        <w:fldChar w:fldCharType="begin"/>
      </w:r>
      <w:r w:rsidR="00162A87">
        <w:instrText xml:space="preserve"> ADDIN ZOTERO_ITEM CSL_CITATION {"citationID":"IKTB5F47","properties":{"formattedCitation":"(2018: 678)","plainCitation":"(2018: 678)","noteIndex":0},"citationItems":[{"id":1250,"uris":["http://zotero.org/users/2360415/items/U7RZQ4GP"],"uri":["http://zotero.org/users/2360415/items/U7RZQ4GP"],"itemData":{"id":1250,"type":"article-journal","container-title":"New Political Economy","issue":"6","language":"English","page":"674-689","title":"How Do Business Interest Groups Respond to Political Challenges? A Study of the Politics of German Employers","title-short":"How Do Business Interest Groups Respond to Political Challenges?","volume":"23","author":[{"family":"Paster","given":"Thomas"}],"issued":{"date-parts":[["2018"]]}},"suppress-author":true,"suffix":": 678"}],"schema":"https://github.com/citation-style-language/schema/raw/master/csl-citation.json"} </w:instrText>
      </w:r>
      <w:r w:rsidR="00162A87">
        <w:fldChar w:fldCharType="separate"/>
      </w:r>
      <w:r w:rsidR="00162A87" w:rsidRPr="00162A87">
        <w:rPr>
          <w:rFonts w:cs="Times New Roman"/>
        </w:rPr>
        <w:t>(2018: 678)</w:t>
      </w:r>
      <w:r w:rsidR="00162A87">
        <w:fldChar w:fldCharType="end"/>
      </w:r>
      <w:r>
        <w:t xml:space="preserve"> who suggests that the response depends on whether the state sides or does not side with the ‘challenger’ to the associations’ interests. For </w:t>
      </w:r>
      <w:r w:rsidR="006C0EC7">
        <w:t>instance</w:t>
      </w:r>
      <w:r>
        <w:t xml:space="preserve">, German employers’ associations have adjusted their strategies when confronted with the labour market reforms in the 2000s or the introduction of board level representation (Paster, 2018). </w:t>
      </w:r>
      <w:r w:rsidRPr="00C909E2">
        <w:t xml:space="preserve">Even more vividly, the marginalisation of the British associations in collective bargaining led them to develop the service model as a way </w:t>
      </w:r>
      <w:r w:rsidR="006C0EC7" w:rsidRPr="00C909E2">
        <w:t xml:space="preserve">of </w:t>
      </w:r>
      <w:r w:rsidRPr="00C909E2">
        <w:t>satisfying an organisational interest in survival and continuity</w:t>
      </w:r>
      <w:r>
        <w:t xml:space="preserve"> </w:t>
      </w:r>
      <w:r w:rsidR="00162A87">
        <w:fldChar w:fldCharType="begin"/>
      </w:r>
      <w:r w:rsidR="00C909E2">
        <w:instrText xml:space="preserve"> ADDIN ZOTERO_ITEM CSL_CITATION {"citationID":"3TBjhFDl","properties":{"formattedCitation":"(Gooberman et al., 2017)","plainCitation":"(Gooberman et al., 2017)","noteIndex":0},"citationItems":[{"id":1121,"uris":["http://zotero.org/users/2360415/items/MLFBXM5G"],"uri":["http://zotero.org/users/2360415/items/MLFBXM5G"],"itemData":{"id":1121,"type":"article-journal","abstract":"This article examines employers’ organisations in the United Kingdom, drawing upon 70 interviews\nand a new dataset encompassing 447 employers’ organisations. The article’s contribution is to\ndevelop a new typology of employers’ organisations capturing their organisational change in the\nwake of the decline of collective bargaining. It does this by drawing on a conceptualisation of\nemployers’ organisations as intermediary organisations before identifying four organisational\ntypes: lobbying, service, negotiating and standard-setting employers’ organisations. The article\nalso identifies and discusses factors that underlie this pattern of differentiation","container-title":"Economic and Industrial Democracy","DOI":"10.1177/0143831X17704499","issue":"0","language":"en","title":"A typology of employers’ organisations in the United Kingdom","volume":"0","author":[{"family":"Gooberman","given":"Leon"},{"family":"Hauptmeier","given":"Marco"},{"family":"Heery","given":"Edmund"}],"issued":{"date-parts":[["2017"]]}}}],"schema":"https://github.com/citation-style-language/schema/raw/master/csl-citation.json"} </w:instrText>
      </w:r>
      <w:r w:rsidR="00162A87">
        <w:fldChar w:fldCharType="separate"/>
      </w:r>
      <w:r w:rsidR="00C909E2" w:rsidRPr="00C909E2">
        <w:rPr>
          <w:rFonts w:cs="Times New Roman"/>
        </w:rPr>
        <w:t>(Gooberman et al., 2017)</w:t>
      </w:r>
      <w:r w:rsidR="00162A87">
        <w:fldChar w:fldCharType="end"/>
      </w:r>
      <w:r>
        <w:t>. Certain strategies may have a dual purpose and effect, as they may at once serve members’ interests and organisational interests. For example, participating in tripartite social dialogue or in collective bargaining may yield positive results for the member-firms they represent (and the relevant sector of the economy) and, at the same time, reaffirm and strengthen the employers’ associations position in the employment relations system.</w:t>
      </w:r>
    </w:p>
    <w:p w14:paraId="46A2E693" w14:textId="4AACBA39" w:rsidR="004D7B1E" w:rsidRDefault="004D7B1E" w:rsidP="004D7B1E">
      <w:r>
        <w:t xml:space="preserve">In sum, </w:t>
      </w:r>
      <w:r w:rsidR="006C0EC7">
        <w:t xml:space="preserve">in order </w:t>
      </w:r>
      <w:r>
        <w:t xml:space="preserve">to examine the strategic responses of employers’ associations to marketization reforms in periods of severe economic crisis, we put forward an interest representation and a power dynamics perspective. Our conceptual framework suggests that identifying the type of interests that employers’ associations seek to serve and </w:t>
      </w:r>
      <w:r w:rsidR="006C0EC7">
        <w:t xml:space="preserve">the impact of changes in the institutional context on </w:t>
      </w:r>
      <w:r>
        <w:t>power dynamics and interest representation</w:t>
      </w:r>
      <w:r w:rsidR="002F547D">
        <w:t>,</w:t>
      </w:r>
      <w:r>
        <w:t xml:space="preserve"> constitutes the cornerstone for understanding their actions and behaviour. On face value, marketization reforms appear to serve the interests of the employers’ associations</w:t>
      </w:r>
      <w:r w:rsidR="006C0EC7">
        <w:t>’</w:t>
      </w:r>
      <w:r>
        <w:t xml:space="preserve"> constituencies by lifting restrictions on the free functioning of the market. One would therefore expect the employers’ associations to endorse and support these reforms. The Greek experience, however, suggests that the overall picture is more nuanced and complex, as peak-level employers’ associations did not respond to the new institutional realities in a uniform manner. Our core argument is that the institutional changes impacted the role of the actors and recalibrated their power in the employment relations system, hence modifying their ability to adequately satisfy theirs and their members’ interests. In an attempt, therefore, to reaffirm their role as legitimate employment relations actors and to promote the interests of structurally diverse sectors of the economy, they reacted in ways that reflected this diversity thus explaining the puzzle of the variation of responses to the institutional changes. The next section outlines the research design of the article.</w:t>
      </w:r>
    </w:p>
    <w:p w14:paraId="00E28012" w14:textId="7641B6C8" w:rsidR="0070064C" w:rsidRPr="00437873" w:rsidRDefault="00EB72A6" w:rsidP="00437873">
      <w:pPr>
        <w:pStyle w:val="Heading2"/>
        <w:numPr>
          <w:ilvl w:val="0"/>
          <w:numId w:val="24"/>
        </w:numPr>
        <w:rPr>
          <w:lang w:val="en-GB"/>
        </w:rPr>
      </w:pPr>
      <w:r w:rsidRPr="00437873">
        <w:rPr>
          <w:lang w:val="en-GB"/>
        </w:rPr>
        <w:t>Research Design</w:t>
      </w:r>
      <w:r w:rsidR="00CE7654">
        <w:rPr>
          <w:lang w:val="en-GB"/>
        </w:rPr>
        <w:t xml:space="preserve">, Data </w:t>
      </w:r>
      <w:r w:rsidR="0093267F">
        <w:rPr>
          <w:lang w:val="en-GB"/>
        </w:rPr>
        <w:t xml:space="preserve">Collection </w:t>
      </w:r>
      <w:r w:rsidR="00CE7654">
        <w:rPr>
          <w:lang w:val="en-GB"/>
        </w:rPr>
        <w:t>and Methods</w:t>
      </w:r>
    </w:p>
    <w:p w14:paraId="75E0C346" w14:textId="41A0A5D4" w:rsidR="00762CE4" w:rsidRDefault="00B62A93" w:rsidP="00B62A93">
      <w:pPr>
        <w:rPr>
          <w:rFonts w:cs="Times New Roman"/>
        </w:rPr>
      </w:pPr>
      <w:r w:rsidRPr="00B6379A">
        <w:rPr>
          <w:rFonts w:cs="Times New Roman"/>
        </w:rPr>
        <w:t xml:space="preserve">The research setting examines the case of Greece as </w:t>
      </w:r>
      <w:r w:rsidR="00BD3962">
        <w:rPr>
          <w:rFonts w:cs="Times New Roman"/>
        </w:rPr>
        <w:t xml:space="preserve">a </w:t>
      </w:r>
      <w:r w:rsidRPr="003B6DC8">
        <w:rPr>
          <w:rFonts w:cs="Times New Roman"/>
        </w:rPr>
        <w:t>‘critical’</w:t>
      </w:r>
      <w:r w:rsidR="00BD3962">
        <w:rPr>
          <w:rFonts w:cs="Times New Roman"/>
        </w:rPr>
        <w:t xml:space="preserve"> case</w:t>
      </w:r>
      <w:r w:rsidRPr="000C021F">
        <w:rPr>
          <w:rFonts w:cs="Times New Roman"/>
          <w:color w:val="FF0000"/>
        </w:rPr>
        <w:t xml:space="preserve"> </w:t>
      </w:r>
      <w:r w:rsidRPr="00B6379A">
        <w:rPr>
          <w:rFonts w:cs="Times New Roman"/>
        </w:rPr>
        <w:fldChar w:fldCharType="begin" w:fldLock="1"/>
      </w:r>
      <w:r w:rsidR="00C909E2">
        <w:rPr>
          <w:rFonts w:cs="Times New Roman"/>
        </w:rPr>
        <w:instrText xml:space="preserve"> ADDIN ZOTERO_ITEM CSL_CITATION {"citationID":"HhpXiXKk","properties":{"formattedCitation":"(George and Bennett, 2005)","plainCitation":"(George and Bennett, 2005)","noteIndex":0},"citationItems":[{"id":"df9hae7d/gAA8eITw","uris":["http://www.mendeley.com/documents/?uuid=275b8c41-ed9f-4c16-b39c-c57611c2f1cc"],"uri":["http://www.mendeley.com/documents/?uuid=275b8c41-ed9f-4c16-b39c-c57611c2f1cc"],"itemData":{"DOI":"10.1017/S0022381607080231","ISBN":"0262572222","ISSN":"00256196","PMID":"17803871","abstract":"Winner of the 2006 Giovanni Sartori Book Award, given by the American Political Science Association's Qualitative Methods Section.The use of case studies to build and test theories in political science and the other social sciences has increased in recent years. Many scholars have argued that the social sciences rely too heavily on quantitative research and formal models and thus have attempted to develop and refine rigorous methods for using case studies. This text presents a comprehensive analysis of research methods using case studies and examines the place of case studies in social science methodology. It argues that case studies, statistical methods, and formal models are complementary rather than competitive.The book explains how to design case study research that will produce results useful to policymakers and it emphasizes the importance of developing policy-relevant theories. It offers three major contributions to case study methodology: an emphasis on the importance of within-case analysis, a detailed discussion of process tracing, and development of the concept of typological theories. Case Studies and Theory Development in the Social Sciences will be particularly useful to graduate students and scholars in social science methodology and the philosophy of science, as well as to those designing new research projects, and will contribute greatly to the broader debate about scientific methods.","author":[{"dropping-particle":"","family":"George","given":"Alexander L","non-dropping-particle":"","parse-names":false,"suffix":""},{"dropping-particle":"","family":"Bennett","given":"Andrew","non-dropping-particle":"","parse-names":false,"suffix":""}],"id":"ITEM-1","issued":{"date-parts":[["2005"]]},"number-of-pages":"331","publisher":"MIT Press","publisher-place":"Cambridge, Mass.","title":"Case Studies and Theory Development in the Social Sciences","type":"book"}}],"schema":"https://github.com/citation-style-language/schema/raw/master/csl-citation.json"} </w:instrText>
      </w:r>
      <w:r w:rsidRPr="00B6379A">
        <w:rPr>
          <w:rFonts w:cs="Times New Roman"/>
        </w:rPr>
        <w:fldChar w:fldCharType="separate"/>
      </w:r>
      <w:r w:rsidR="006C2C79" w:rsidRPr="006C2C79">
        <w:rPr>
          <w:rFonts w:cs="Times New Roman"/>
        </w:rPr>
        <w:t>(George and Bennett, 2005)</w:t>
      </w:r>
      <w:r w:rsidRPr="00B6379A">
        <w:rPr>
          <w:rFonts w:cs="Times New Roman"/>
        </w:rPr>
        <w:fldChar w:fldCharType="end"/>
      </w:r>
      <w:r w:rsidR="00A86224">
        <w:rPr>
          <w:rFonts w:cs="Times New Roman"/>
        </w:rPr>
        <w:t xml:space="preserve"> </w:t>
      </w:r>
      <w:r w:rsidR="00BD3962">
        <w:rPr>
          <w:rFonts w:cs="Times New Roman"/>
        </w:rPr>
        <w:t xml:space="preserve">and </w:t>
      </w:r>
      <w:r w:rsidR="00A86224">
        <w:rPr>
          <w:rFonts w:cs="Times New Roman"/>
        </w:rPr>
        <w:t>as a ‘deviant</w:t>
      </w:r>
      <w:r w:rsidR="005F3664">
        <w:rPr>
          <w:rFonts w:cs="Times New Roman"/>
        </w:rPr>
        <w:t>’</w:t>
      </w:r>
      <w:r w:rsidR="00A86224">
        <w:rPr>
          <w:rFonts w:cs="Times New Roman"/>
        </w:rPr>
        <w:t xml:space="preserve"> case</w:t>
      </w:r>
      <w:r w:rsidR="005F3664">
        <w:rPr>
          <w:rFonts w:cs="Times New Roman"/>
        </w:rPr>
        <w:t xml:space="preserve"> </w:t>
      </w:r>
      <w:r w:rsidR="00F86894">
        <w:rPr>
          <w:rFonts w:cs="Times New Roman"/>
        </w:rPr>
        <w:fldChar w:fldCharType="begin"/>
      </w:r>
      <w:r w:rsidR="00F86894">
        <w:rPr>
          <w:rFonts w:cs="Times New Roman"/>
        </w:rPr>
        <w:instrText xml:space="preserve"> ADDIN ZOTERO_ITEM CSL_CITATION {"citationID":"50JSI2TT","properties":{"formattedCitation":"(Emigh, 1997)","plainCitation":"(Emigh, 1997)","noteIndex":0},"citationItems":[{"id":1264,"uris":["http://zotero.org/users/2360415/items/A7L56YYW"],"uri":["http://zotero.org/users/2360415/items/A7L56YYW"],"itemData":{"id":1264,"type":"article-journal","container-title":"Theory and Society","issue":"5","language":"English","page":"649-684","title":"The Power of Negative Thinking: The Use of Negative Case Methodology in the Development of Sociological Theory","title-short":"The Power of Negative Thinking","volume":"26","author":[{"family":"Emigh","given":"Rebecca Jean"}],"issued":{"date-parts":[["1997"]]}}}],"schema":"https://github.com/citation-style-language/schema/raw/master/csl-citation.json"} </w:instrText>
      </w:r>
      <w:r w:rsidR="00F86894">
        <w:rPr>
          <w:rFonts w:cs="Times New Roman"/>
        </w:rPr>
        <w:fldChar w:fldCharType="separate"/>
      </w:r>
      <w:r w:rsidR="00F86894" w:rsidRPr="00F86894">
        <w:rPr>
          <w:rFonts w:cs="Times New Roman"/>
        </w:rPr>
        <w:t>(Emigh, 1997)</w:t>
      </w:r>
      <w:r w:rsidR="00F86894">
        <w:rPr>
          <w:rFonts w:cs="Times New Roman"/>
        </w:rPr>
        <w:fldChar w:fldCharType="end"/>
      </w:r>
      <w:r w:rsidR="00F86894">
        <w:rPr>
          <w:rFonts w:cs="Times New Roman"/>
        </w:rPr>
        <w:t>.</w:t>
      </w:r>
      <w:r w:rsidR="00A86224">
        <w:rPr>
          <w:rFonts w:cs="Times New Roman"/>
        </w:rPr>
        <w:t xml:space="preserve"> The case of Greece is critical because the changes that the country underwent were very abrupt and far-reaching making it an extreme case of institutional change. Greece</w:t>
      </w:r>
      <w:r w:rsidR="00A86224" w:rsidRPr="00B6379A">
        <w:rPr>
          <w:rFonts w:cs="Times New Roman"/>
        </w:rPr>
        <w:t xml:space="preserve"> is chosen as the country that has endured the longest-running and more austere bailout programme in the Eurozone crisis. The institutional changes</w:t>
      </w:r>
      <w:r w:rsidR="00A86224">
        <w:rPr>
          <w:rFonts w:cs="Times New Roman"/>
        </w:rPr>
        <w:t xml:space="preserve"> </w:t>
      </w:r>
      <w:r w:rsidR="00A86224" w:rsidRPr="00B6379A">
        <w:rPr>
          <w:rFonts w:cs="Times New Roman"/>
        </w:rPr>
        <w:t xml:space="preserve">were clearly prescribed in the bailout agreements and reflected strict conditionality requirements for the </w:t>
      </w:r>
      <w:r w:rsidR="00AC13A7">
        <w:rPr>
          <w:rFonts w:cs="Times New Roman"/>
        </w:rPr>
        <w:t>liberalization</w:t>
      </w:r>
      <w:r w:rsidR="00A86224" w:rsidRPr="00B6379A">
        <w:rPr>
          <w:rFonts w:cs="Times New Roman"/>
        </w:rPr>
        <w:t xml:space="preserve"> of the labour market and </w:t>
      </w:r>
      <w:r w:rsidR="00FD4977">
        <w:rPr>
          <w:rFonts w:cs="Times New Roman"/>
        </w:rPr>
        <w:t xml:space="preserve">the </w:t>
      </w:r>
      <w:r w:rsidR="00AC13A7">
        <w:rPr>
          <w:rFonts w:cs="Times New Roman"/>
        </w:rPr>
        <w:t>marketization of</w:t>
      </w:r>
      <w:r w:rsidR="00A86224">
        <w:rPr>
          <w:rFonts w:cs="Times New Roman"/>
        </w:rPr>
        <w:t xml:space="preserve"> the </w:t>
      </w:r>
      <w:r w:rsidR="00A86224" w:rsidRPr="00B6379A">
        <w:rPr>
          <w:rFonts w:cs="Times New Roman"/>
        </w:rPr>
        <w:t>employment relati</w:t>
      </w:r>
      <w:r w:rsidR="00A86224">
        <w:rPr>
          <w:rFonts w:cs="Times New Roman"/>
        </w:rPr>
        <w:t>ons system. Hence, it has extreme variation on the independent variable</w:t>
      </w:r>
      <w:r w:rsidR="00DE259E">
        <w:rPr>
          <w:rFonts w:cs="Times New Roman"/>
        </w:rPr>
        <w:t xml:space="preserve"> of interest</w:t>
      </w:r>
      <w:r w:rsidR="00A86224">
        <w:rPr>
          <w:rFonts w:cs="Times New Roman"/>
        </w:rPr>
        <w:t>. At the same</w:t>
      </w:r>
      <w:r w:rsidR="006C0EC7">
        <w:rPr>
          <w:rFonts w:cs="Times New Roman"/>
        </w:rPr>
        <w:t xml:space="preserve"> time</w:t>
      </w:r>
      <w:r w:rsidR="00A86224">
        <w:rPr>
          <w:rFonts w:cs="Times New Roman"/>
        </w:rPr>
        <w:t>, it is a deviant case, as it defies the standard expectations</w:t>
      </w:r>
      <w:r w:rsidR="005F3664">
        <w:rPr>
          <w:rFonts w:cs="Times New Roman"/>
        </w:rPr>
        <w:t xml:space="preserve"> on the dependent variable</w:t>
      </w:r>
      <w:r w:rsidR="00A86224">
        <w:rPr>
          <w:rFonts w:cs="Times New Roman"/>
        </w:rPr>
        <w:t xml:space="preserve">. </w:t>
      </w:r>
      <w:r w:rsidR="00762CE4">
        <w:rPr>
          <w:rFonts w:cs="Times New Roman"/>
        </w:rPr>
        <w:t>The observable implications of standard class theory (</w:t>
      </w:r>
      <w:r w:rsidR="00762CE4" w:rsidRPr="006C2C79">
        <w:rPr>
          <w:rFonts w:cs="Times New Roman"/>
        </w:rPr>
        <w:t>Korpi, 2006; Perrone et al., 1984</w:t>
      </w:r>
      <w:r w:rsidR="00762CE4">
        <w:rPr>
          <w:rFonts w:cs="Times New Roman"/>
        </w:rPr>
        <w:t>) that assumes a uniformity of class interests, would expect that representatives of business interests would be unequivocally united and favourabl</w:t>
      </w:r>
      <w:r w:rsidR="00D36BEA">
        <w:rPr>
          <w:rFonts w:cs="Times New Roman"/>
        </w:rPr>
        <w:t>y disposed</w:t>
      </w:r>
      <w:r w:rsidR="00762CE4">
        <w:rPr>
          <w:rFonts w:cs="Times New Roman"/>
        </w:rPr>
        <w:t xml:space="preserve"> to</w:t>
      </w:r>
      <w:r w:rsidR="00D36BEA">
        <w:rPr>
          <w:rFonts w:cs="Times New Roman"/>
        </w:rPr>
        <w:t>wards</w:t>
      </w:r>
      <w:r w:rsidR="00762CE4">
        <w:rPr>
          <w:rFonts w:cs="Times New Roman"/>
        </w:rPr>
        <w:t xml:space="preserve"> the pro-business direction of marketization reforms. Yet, the case </w:t>
      </w:r>
      <w:r w:rsidR="00BD3962">
        <w:rPr>
          <w:rFonts w:cs="Times New Roman"/>
        </w:rPr>
        <w:t xml:space="preserve">defies </w:t>
      </w:r>
      <w:r w:rsidR="00762CE4">
        <w:rPr>
          <w:rFonts w:cs="Times New Roman"/>
        </w:rPr>
        <w:t>this expectation and shows how the reforms divided the employers into two camps.</w:t>
      </w:r>
    </w:p>
    <w:p w14:paraId="4935D6DA" w14:textId="31F4DDC9" w:rsidR="00835291" w:rsidRPr="00437873" w:rsidRDefault="00B62A93" w:rsidP="00B62A93">
      <w:pPr>
        <w:rPr>
          <w:rFonts w:cs="Times New Roman"/>
        </w:rPr>
      </w:pPr>
      <w:r w:rsidRPr="00B6379A">
        <w:rPr>
          <w:rFonts w:cs="Times New Roman"/>
        </w:rPr>
        <w:t xml:space="preserve">The </w:t>
      </w:r>
      <w:r w:rsidR="00762CE4">
        <w:rPr>
          <w:rFonts w:cs="Times New Roman"/>
        </w:rPr>
        <w:t xml:space="preserve">data collection draws </w:t>
      </w:r>
      <w:r w:rsidRPr="00B6379A">
        <w:rPr>
          <w:rFonts w:cs="Times New Roman"/>
        </w:rPr>
        <w:t>on in-depth face-to</w:t>
      </w:r>
      <w:r w:rsidR="00437873">
        <w:rPr>
          <w:rFonts w:cs="Times New Roman"/>
        </w:rPr>
        <w:t xml:space="preserve">-face interviews with </w:t>
      </w:r>
      <w:r w:rsidR="00EE6473">
        <w:rPr>
          <w:rFonts w:cs="Times New Roman"/>
        </w:rPr>
        <w:t xml:space="preserve">expert informants from </w:t>
      </w:r>
      <w:r w:rsidR="00437873">
        <w:rPr>
          <w:rFonts w:cs="Times New Roman"/>
        </w:rPr>
        <w:t>key actors</w:t>
      </w:r>
      <w:r w:rsidRPr="00B6379A">
        <w:rPr>
          <w:rFonts w:cs="Times New Roman"/>
        </w:rPr>
        <w:t>.</w:t>
      </w:r>
      <w:r w:rsidR="00762CE4">
        <w:rPr>
          <w:rFonts w:cs="Times New Roman"/>
        </w:rPr>
        <w:t xml:space="preserve"> </w:t>
      </w:r>
      <w:r w:rsidR="00437873">
        <w:rPr>
          <w:rFonts w:cs="Times New Roman"/>
        </w:rPr>
        <w:t xml:space="preserve">The </w:t>
      </w:r>
      <w:r w:rsidR="00EE6473">
        <w:rPr>
          <w:rFonts w:cs="Times New Roman"/>
        </w:rPr>
        <w:t xml:space="preserve">expert </w:t>
      </w:r>
      <w:r w:rsidR="00437873">
        <w:rPr>
          <w:rFonts w:cs="Times New Roman"/>
        </w:rPr>
        <w:t xml:space="preserve">informants were recruited from </w:t>
      </w:r>
      <w:r w:rsidR="00437873">
        <w:t>the</w:t>
      </w:r>
      <w:r w:rsidR="00835291" w:rsidRPr="00B6379A">
        <w:t xml:space="preserve"> four peak-level </w:t>
      </w:r>
      <w:r w:rsidR="00525B86" w:rsidRPr="00B6379A">
        <w:t>employers’</w:t>
      </w:r>
      <w:r w:rsidR="00BE288D" w:rsidRPr="00B6379A">
        <w:t xml:space="preserve"> </w:t>
      </w:r>
      <w:r w:rsidR="007A52AB">
        <w:t>associations</w:t>
      </w:r>
      <w:r w:rsidR="00835291" w:rsidRPr="00B6379A">
        <w:t xml:space="preserve">, representing different sectors of the economy and different </w:t>
      </w:r>
      <w:r w:rsidR="00437873">
        <w:t>business</w:t>
      </w:r>
      <w:r w:rsidR="00835291" w:rsidRPr="00B6379A">
        <w:t xml:space="preserve"> interests. SE</w:t>
      </w:r>
      <w:r w:rsidR="00835291" w:rsidRPr="00B6379A">
        <w:rPr>
          <w:bCs/>
        </w:rPr>
        <w:t>V</w:t>
      </w:r>
      <w:r w:rsidR="00835291" w:rsidRPr="00B6379A">
        <w:t xml:space="preserve"> (</w:t>
      </w:r>
      <w:r w:rsidR="00F46759">
        <w:t>Hellenic F</w:t>
      </w:r>
      <w:r w:rsidR="00835291" w:rsidRPr="00B6379A">
        <w:t xml:space="preserve">ederation of </w:t>
      </w:r>
      <w:r w:rsidR="00F46759">
        <w:t>Enterprises</w:t>
      </w:r>
      <w:r w:rsidR="00835291" w:rsidRPr="00B6379A">
        <w:t xml:space="preserve">) represents big firms from various sectors of the economy. </w:t>
      </w:r>
      <w:r w:rsidR="00835291" w:rsidRPr="00B6379A">
        <w:rPr>
          <w:bCs/>
        </w:rPr>
        <w:t>GSEVEE</w:t>
      </w:r>
      <w:r w:rsidR="00835291" w:rsidRPr="00B6379A">
        <w:t xml:space="preserve"> (</w:t>
      </w:r>
      <w:r w:rsidR="00F46759">
        <w:t xml:space="preserve">Hellenic </w:t>
      </w:r>
      <w:r w:rsidR="00835291" w:rsidRPr="00B6379A">
        <w:t xml:space="preserve">Confederation of Professionals, Craftsmen and Merchants) represents SMEs and its members are federations from various sectors of the economy. Similarly, </w:t>
      </w:r>
      <w:r w:rsidR="00835291" w:rsidRPr="00B6379A">
        <w:rPr>
          <w:bCs/>
        </w:rPr>
        <w:t>ESEE</w:t>
      </w:r>
      <w:r w:rsidR="00835291" w:rsidRPr="00B6379A">
        <w:t xml:space="preserve"> (</w:t>
      </w:r>
      <w:r w:rsidR="00F46759" w:rsidRPr="00F46759">
        <w:t>Hellenic Confederation of Commerce and Entrepreneurship</w:t>
      </w:r>
      <w:r w:rsidR="00835291" w:rsidRPr="00B6379A">
        <w:t xml:space="preserve">) represents SMEs in the retail sector, whereas </w:t>
      </w:r>
      <w:r w:rsidR="00835291" w:rsidRPr="00B6379A">
        <w:rPr>
          <w:bCs/>
        </w:rPr>
        <w:t>SETE</w:t>
      </w:r>
      <w:r w:rsidR="00835291" w:rsidRPr="00B6379A">
        <w:t xml:space="preserve"> (</w:t>
      </w:r>
      <w:r w:rsidR="00F46759" w:rsidRPr="00F46759">
        <w:t>Association of Greek Tourism Enterprises</w:t>
      </w:r>
      <w:r w:rsidR="00835291" w:rsidRPr="00B6379A">
        <w:t xml:space="preserve">) represents the Hotel and Tourism industry. </w:t>
      </w:r>
    </w:p>
    <w:p w14:paraId="5239D2B7" w14:textId="40186877" w:rsidR="00100C16" w:rsidRDefault="00A948A0" w:rsidP="00B6379A">
      <w:pPr>
        <w:rPr>
          <w:rFonts w:cs="Times New Roman"/>
        </w:rPr>
      </w:pPr>
      <w:r w:rsidRPr="00B6379A">
        <w:rPr>
          <w:rFonts w:cs="Times New Roman"/>
        </w:rPr>
        <w:t>T</w:t>
      </w:r>
      <w:r w:rsidR="00DB6F80" w:rsidRPr="00B6379A">
        <w:rPr>
          <w:rFonts w:cs="Times New Roman"/>
        </w:rPr>
        <w:t xml:space="preserve">o </w:t>
      </w:r>
      <w:r w:rsidR="00146B5C">
        <w:rPr>
          <w:rFonts w:cs="Times New Roman"/>
        </w:rPr>
        <w:t>explore</w:t>
      </w:r>
      <w:r w:rsidR="00146B5C" w:rsidRPr="00B6379A">
        <w:rPr>
          <w:rFonts w:cs="Times New Roman"/>
        </w:rPr>
        <w:t xml:space="preserve"> </w:t>
      </w:r>
      <w:r w:rsidR="00F22B34" w:rsidRPr="00B6379A">
        <w:rPr>
          <w:rFonts w:cs="Times New Roman"/>
        </w:rPr>
        <w:t>the views and reactions of</w:t>
      </w:r>
      <w:r w:rsidR="00DB6F80" w:rsidRPr="00B6379A">
        <w:rPr>
          <w:rFonts w:cs="Times New Roman"/>
        </w:rPr>
        <w:t xml:space="preserve"> </w:t>
      </w:r>
      <w:r w:rsidR="00B5087F" w:rsidRPr="00B6379A">
        <w:rPr>
          <w:rFonts w:cs="Times New Roman"/>
        </w:rPr>
        <w:t xml:space="preserve">the </w:t>
      </w:r>
      <w:r w:rsidR="00437873">
        <w:rPr>
          <w:rFonts w:cs="Times New Roman"/>
        </w:rPr>
        <w:t>employer</w:t>
      </w:r>
      <w:r w:rsidR="00A6050C">
        <w:rPr>
          <w:rFonts w:cs="Times New Roman"/>
        </w:rPr>
        <w:t>s’</w:t>
      </w:r>
      <w:r w:rsidR="00BE288D" w:rsidRPr="00B6379A">
        <w:rPr>
          <w:rFonts w:cs="Times New Roman"/>
        </w:rPr>
        <w:t xml:space="preserve"> </w:t>
      </w:r>
      <w:r w:rsidR="007A52AB">
        <w:rPr>
          <w:rFonts w:cs="Times New Roman"/>
        </w:rPr>
        <w:t>associations</w:t>
      </w:r>
      <w:r w:rsidR="00DB6F80" w:rsidRPr="00B6379A">
        <w:rPr>
          <w:rFonts w:cs="Times New Roman"/>
        </w:rPr>
        <w:t xml:space="preserve"> </w:t>
      </w:r>
      <w:r w:rsidR="00F22B34" w:rsidRPr="00B6379A">
        <w:rPr>
          <w:rFonts w:cs="Times New Roman"/>
        </w:rPr>
        <w:t>to the</w:t>
      </w:r>
      <w:r w:rsidR="00DB6F80" w:rsidRPr="00B6379A">
        <w:rPr>
          <w:rFonts w:cs="Times New Roman"/>
        </w:rPr>
        <w:t xml:space="preserve"> labour market reforms, </w:t>
      </w:r>
      <w:r w:rsidR="00F22B34" w:rsidRPr="00B6379A">
        <w:rPr>
          <w:rFonts w:cs="Times New Roman"/>
        </w:rPr>
        <w:t xml:space="preserve">we conducted </w:t>
      </w:r>
      <w:r w:rsidR="00A059C9">
        <w:rPr>
          <w:rFonts w:cs="Times New Roman"/>
        </w:rPr>
        <w:t>ten</w:t>
      </w:r>
      <w:r w:rsidR="00F22B34" w:rsidRPr="00B6379A">
        <w:rPr>
          <w:rFonts w:cs="Times New Roman"/>
        </w:rPr>
        <w:t xml:space="preserve"> </w:t>
      </w:r>
      <w:r w:rsidR="00835291" w:rsidRPr="00B6379A">
        <w:rPr>
          <w:rFonts w:cs="Times New Roman"/>
        </w:rPr>
        <w:t xml:space="preserve">face-to-face interviews </w:t>
      </w:r>
      <w:r w:rsidR="00F22B34" w:rsidRPr="00B6379A">
        <w:rPr>
          <w:rFonts w:cs="Times New Roman"/>
        </w:rPr>
        <w:t>with their top executives</w:t>
      </w:r>
      <w:r w:rsidR="00100C16">
        <w:rPr>
          <w:rFonts w:cs="Times New Roman"/>
        </w:rPr>
        <w:t xml:space="preserve">. Interviews </w:t>
      </w:r>
      <w:r w:rsidR="005A4E99">
        <w:rPr>
          <w:rFonts w:cs="Times New Roman"/>
        </w:rPr>
        <w:t xml:space="preserve">were audio-recorded and </w:t>
      </w:r>
      <w:r w:rsidR="00100C16">
        <w:rPr>
          <w:rFonts w:cs="Times New Roman"/>
        </w:rPr>
        <w:t>lasted between 45 minutes and two-and-a-half hours, with an average interview length of one hour and 40 minutes</w:t>
      </w:r>
      <w:r w:rsidR="0011490F">
        <w:rPr>
          <w:rFonts w:cs="Times New Roman"/>
        </w:rPr>
        <w:t xml:space="preserve">. They </w:t>
      </w:r>
      <w:r w:rsidR="00100C16">
        <w:rPr>
          <w:rFonts w:cs="Times New Roman"/>
        </w:rPr>
        <w:t>took place during July and August 2016 in the head offices of the associations in Athens, Greece.</w:t>
      </w:r>
    </w:p>
    <w:p w14:paraId="114BA1A5" w14:textId="0BDD2877" w:rsidR="0011490F" w:rsidRDefault="0011490F" w:rsidP="00B6379A">
      <w:pPr>
        <w:rPr>
          <w:rFonts w:cs="Times New Roman"/>
        </w:rPr>
      </w:pPr>
      <w:r>
        <w:rPr>
          <w:rFonts w:cs="Times New Roman"/>
        </w:rPr>
        <w:t xml:space="preserve">Informants were selected based on their overall expertise as executives of the employers’ associations and on their role during the period of institutional changes. </w:t>
      </w:r>
      <w:r w:rsidR="00A059C9">
        <w:rPr>
          <w:rFonts w:cs="Times New Roman"/>
        </w:rPr>
        <w:t xml:space="preserve">All informants were actively and personally involved in the discussions with the Troika and the Greek government when the bulk of the changes in the institutional framework of employment relations took place (i.e. 2010-2012). At the time of the interviews they were also </w:t>
      </w:r>
      <w:r w:rsidR="00D36BEA">
        <w:rPr>
          <w:rFonts w:cs="Times New Roman"/>
        </w:rPr>
        <w:t xml:space="preserve">at </w:t>
      </w:r>
      <w:r w:rsidR="00A059C9">
        <w:rPr>
          <w:rFonts w:cs="Times New Roman"/>
        </w:rPr>
        <w:t>the forefront of discussions regarding the new round of negotiations between the Greek government and the Troika.</w:t>
      </w:r>
      <w:r w:rsidR="00100C16">
        <w:rPr>
          <w:rFonts w:cs="Times New Roman"/>
        </w:rPr>
        <w:t xml:space="preserve"> Moreover, all the informants have been active in their respective employers’ associations for more than a decade, hence </w:t>
      </w:r>
      <w:r>
        <w:rPr>
          <w:rFonts w:cs="Times New Roman"/>
        </w:rPr>
        <w:t xml:space="preserve">having a very good grasp and understanding of the workings of their respective sectors. </w:t>
      </w:r>
    </w:p>
    <w:p w14:paraId="3BD6BB0A" w14:textId="6E286F94" w:rsidR="00B62A93" w:rsidRDefault="00DB6F80" w:rsidP="004D0A74">
      <w:pPr>
        <w:rPr>
          <w:rFonts w:cs="Times New Roman"/>
        </w:rPr>
      </w:pPr>
      <w:r w:rsidRPr="00B6379A">
        <w:rPr>
          <w:rFonts w:cs="Times New Roman"/>
        </w:rPr>
        <w:t xml:space="preserve">The interviews </w:t>
      </w:r>
      <w:r w:rsidR="005A4E99">
        <w:rPr>
          <w:rFonts w:cs="Times New Roman"/>
        </w:rPr>
        <w:t>were transcribed</w:t>
      </w:r>
      <w:r w:rsidR="00762CE4">
        <w:rPr>
          <w:rFonts w:cs="Times New Roman"/>
        </w:rPr>
        <w:t xml:space="preserve"> verbatim</w:t>
      </w:r>
      <w:r w:rsidR="005A4E99">
        <w:rPr>
          <w:rFonts w:cs="Times New Roman"/>
        </w:rPr>
        <w:t xml:space="preserve"> and then</w:t>
      </w:r>
      <w:r w:rsidRPr="00B6379A">
        <w:rPr>
          <w:rFonts w:cs="Times New Roman"/>
        </w:rPr>
        <w:t xml:space="preserve"> </w:t>
      </w:r>
      <w:r w:rsidR="00A00129">
        <w:rPr>
          <w:rFonts w:cs="Times New Roman"/>
        </w:rPr>
        <w:t xml:space="preserve">coded </w:t>
      </w:r>
      <w:r w:rsidRPr="00B6379A">
        <w:rPr>
          <w:rFonts w:cs="Times New Roman"/>
        </w:rPr>
        <w:t xml:space="preserve">following a ‘thematic’ </w:t>
      </w:r>
      <w:r w:rsidR="00A00129">
        <w:rPr>
          <w:rFonts w:cs="Times New Roman"/>
        </w:rPr>
        <w:t xml:space="preserve">and ‘attitudinal’ </w:t>
      </w:r>
      <w:r w:rsidRPr="00B6379A">
        <w:rPr>
          <w:rFonts w:cs="Times New Roman"/>
        </w:rPr>
        <w:t>approach</w:t>
      </w:r>
      <w:r w:rsidR="00A00129">
        <w:rPr>
          <w:rFonts w:cs="Times New Roman"/>
        </w:rPr>
        <w:t>: three major themes were identified, reflecting the</w:t>
      </w:r>
      <w:r w:rsidRPr="00B6379A">
        <w:rPr>
          <w:rFonts w:cs="Times New Roman"/>
        </w:rPr>
        <w:t xml:space="preserve"> main</w:t>
      </w:r>
      <w:r w:rsidR="003A1036" w:rsidRPr="00B6379A">
        <w:rPr>
          <w:rFonts w:cs="Times New Roman"/>
        </w:rPr>
        <w:t xml:space="preserve"> institutional changes in the labour market</w:t>
      </w:r>
      <w:r w:rsidR="00A00129">
        <w:rPr>
          <w:rFonts w:cs="Times New Roman"/>
        </w:rPr>
        <w:t>, namely</w:t>
      </w:r>
      <w:r w:rsidRPr="00B6379A">
        <w:rPr>
          <w:rFonts w:cs="Times New Roman"/>
        </w:rPr>
        <w:t xml:space="preserve"> collective bargaining </w:t>
      </w:r>
      <w:r w:rsidR="00404101" w:rsidRPr="00B6379A">
        <w:rPr>
          <w:rFonts w:cs="Times New Roman"/>
        </w:rPr>
        <w:t>decentralization</w:t>
      </w:r>
      <w:r w:rsidR="00A00129">
        <w:rPr>
          <w:rFonts w:cs="Times New Roman"/>
        </w:rPr>
        <w:t>,</w:t>
      </w:r>
      <w:r w:rsidR="00A9126C" w:rsidRPr="00B6379A">
        <w:rPr>
          <w:rFonts w:cs="Times New Roman"/>
        </w:rPr>
        <w:t xml:space="preserve"> </w:t>
      </w:r>
      <w:r w:rsidRPr="00B6379A">
        <w:rPr>
          <w:rFonts w:cs="Times New Roman"/>
        </w:rPr>
        <w:t xml:space="preserve">minimum </w:t>
      </w:r>
      <w:r w:rsidR="00055C8A">
        <w:rPr>
          <w:rFonts w:cs="Times New Roman"/>
        </w:rPr>
        <w:t>wage setting</w:t>
      </w:r>
      <w:r w:rsidR="00404101" w:rsidRPr="00B6379A">
        <w:rPr>
          <w:rFonts w:cs="Times New Roman"/>
        </w:rPr>
        <w:t xml:space="preserve"> and </w:t>
      </w:r>
      <w:r w:rsidR="00A00129">
        <w:rPr>
          <w:rFonts w:cs="Times New Roman"/>
        </w:rPr>
        <w:t xml:space="preserve">the </w:t>
      </w:r>
      <w:r w:rsidR="00404101" w:rsidRPr="00B6379A">
        <w:rPr>
          <w:rFonts w:cs="Times New Roman"/>
        </w:rPr>
        <w:t>level</w:t>
      </w:r>
      <w:r w:rsidR="003A1036" w:rsidRPr="00B6379A">
        <w:rPr>
          <w:rFonts w:cs="Times New Roman"/>
        </w:rPr>
        <w:t xml:space="preserve"> of wages</w:t>
      </w:r>
      <w:r w:rsidR="00581676">
        <w:rPr>
          <w:rFonts w:cs="Times New Roman"/>
        </w:rPr>
        <w:t>.</w:t>
      </w:r>
      <w:r w:rsidR="008A073E" w:rsidRPr="008A073E">
        <w:rPr>
          <w:rFonts w:cs="Times New Roman"/>
        </w:rPr>
        <w:t xml:space="preserve"> </w:t>
      </w:r>
      <w:r w:rsidR="00A00129">
        <w:rPr>
          <w:rFonts w:cs="Times New Roman"/>
        </w:rPr>
        <w:t xml:space="preserve">Moreover, the employers’ views about the changes, their opinions about the process of </w:t>
      </w:r>
      <w:r w:rsidR="004D0A74">
        <w:rPr>
          <w:rFonts w:cs="Times New Roman"/>
        </w:rPr>
        <w:t xml:space="preserve">the </w:t>
      </w:r>
      <w:r w:rsidR="00A00129">
        <w:rPr>
          <w:rFonts w:cs="Times New Roman"/>
        </w:rPr>
        <w:t xml:space="preserve">changes, and their perspectives on </w:t>
      </w:r>
      <w:r w:rsidR="004D0A74">
        <w:rPr>
          <w:rFonts w:cs="Times New Roman"/>
        </w:rPr>
        <w:t xml:space="preserve">what direction changes should take were identified and linked to each of the three themes. The resulting analysis </w:t>
      </w:r>
      <w:r w:rsidR="008A073E" w:rsidRPr="00B6379A">
        <w:rPr>
          <w:rFonts w:cs="Times New Roman"/>
        </w:rPr>
        <w:t xml:space="preserve">helped us gain a better understanding of the key issues </w:t>
      </w:r>
      <w:r w:rsidR="008A073E">
        <w:rPr>
          <w:rFonts w:cs="Times New Roman"/>
        </w:rPr>
        <w:t>and institutional changes that influenced their roles and interests</w:t>
      </w:r>
      <w:r w:rsidR="004D0A74">
        <w:rPr>
          <w:rFonts w:cs="Times New Roman"/>
        </w:rPr>
        <w:t>.</w:t>
      </w:r>
    </w:p>
    <w:p w14:paraId="21E48B4F" w14:textId="65297105" w:rsidR="00AC5268" w:rsidRPr="00B6379A" w:rsidRDefault="00C80CD6" w:rsidP="00832A7D">
      <w:pPr>
        <w:pStyle w:val="Heading2"/>
      </w:pPr>
      <w:r>
        <w:t xml:space="preserve">Marketization, </w:t>
      </w:r>
      <w:r w:rsidR="0019214E">
        <w:t xml:space="preserve">Labour Markets </w:t>
      </w:r>
      <w:r w:rsidR="00C52D85" w:rsidRPr="00B6379A">
        <w:t xml:space="preserve">and </w:t>
      </w:r>
      <w:r w:rsidR="005D3BFB">
        <w:t>Employer</w:t>
      </w:r>
      <w:r w:rsidR="00C734A0">
        <w:t>s’</w:t>
      </w:r>
      <w:r w:rsidR="0090007D" w:rsidRPr="00B6379A">
        <w:t xml:space="preserve"> </w:t>
      </w:r>
      <w:r w:rsidR="00716DBD">
        <w:t>Association</w:t>
      </w:r>
      <w:r w:rsidR="0090007D" w:rsidRPr="00B6379A">
        <w:t>s in</w:t>
      </w:r>
      <w:r w:rsidR="00C52D85" w:rsidRPr="00B6379A">
        <w:t xml:space="preserve"> </w:t>
      </w:r>
      <w:r w:rsidR="00B62A93" w:rsidRPr="00B6379A">
        <w:t xml:space="preserve">Crisis: </w:t>
      </w:r>
      <w:r w:rsidR="00525B86">
        <w:t>The</w:t>
      </w:r>
      <w:r w:rsidR="00B62A93" w:rsidRPr="00B6379A">
        <w:t xml:space="preserve"> </w:t>
      </w:r>
      <w:r w:rsidR="009A64D0">
        <w:t>C</w:t>
      </w:r>
      <w:r w:rsidR="00B62A93" w:rsidRPr="00B6379A">
        <w:t>ase of Greece</w:t>
      </w:r>
    </w:p>
    <w:p w14:paraId="10EB458E" w14:textId="60CE0B66" w:rsidR="00EE124F" w:rsidRDefault="00D7373B" w:rsidP="008F4DCD">
      <w:pPr>
        <w:rPr>
          <w:rFonts w:cs="Times New Roman"/>
        </w:rPr>
      </w:pPr>
      <w:r w:rsidRPr="00B6379A">
        <w:t xml:space="preserve">The transformation of </w:t>
      </w:r>
      <w:r w:rsidR="00D820F1">
        <w:t xml:space="preserve">the </w:t>
      </w:r>
      <w:r w:rsidRPr="00B6379A">
        <w:t xml:space="preserve">Greek </w:t>
      </w:r>
      <w:r w:rsidR="00D820F1">
        <w:t>e</w:t>
      </w:r>
      <w:r w:rsidRPr="00B6379A">
        <w:t xml:space="preserve">mployment </w:t>
      </w:r>
      <w:r w:rsidR="00D820F1">
        <w:t>r</w:t>
      </w:r>
      <w:r w:rsidRPr="00B6379A">
        <w:t>elations</w:t>
      </w:r>
      <w:r w:rsidR="00D820F1">
        <w:t xml:space="preserve"> system </w:t>
      </w:r>
      <w:r w:rsidRPr="00B6379A">
        <w:t xml:space="preserve">has been well documented in the literature </w:t>
      </w:r>
      <w:r w:rsidR="00654CBF" w:rsidRPr="00B6379A">
        <w:fldChar w:fldCharType="begin"/>
      </w:r>
      <w:r w:rsidR="00746922">
        <w:instrText xml:space="preserve"> ADDIN ZOTERO_ITEM CSL_CITATION {"citationID":"NoWO2DSK","properties":{"formattedCitation":"(for example, Kornelakis and Voskeritsian, 2014; Koukiadaki and Kokkinou, 2016; Koukiadaki and Kretsos, 2012)","plainCitation":"(for example, Kornelakis and Voskeritsian, 2014; Koukiadaki and Kokkinou, 2016; Koukiadaki and Kretsos, 2012)","noteIndex":0},"citationItems":[{"id":232,"uris":["http://zotero.org/users/2360415/items/2W4I4TKM"],"uri":["http://zotero.org/users/2360415/items/2W4I4TKM"],"itemData":{"id":232,"type":"article-journal","abstract":"Since the eruption of the European sovereign debt crisis, the bailout conditions imposed on Greece have gradually shifted their emphasis from ‘‘tidying up\" public finances towards ‘‘improving the competitiveness\" of the economy. In the process, collective bargaining has been targeted as one of the priority areas for reform, which resulted in a gradual dismantling of the system. The main aim of this article is to analyse the changes in the institutional framework of employment regulation, using insights from the varieties of capitalism literature. It is argued that the on-going injection of liberal market elements into the Greek employment system is likely to transform Greece into a dysfunctional Liberal Market Economy. The changes in the collective regulation of employment ignore the specificities and idiosyncrasies of the Mediterranean model of capitalism and, thus, are likely to leave the country with the ‘‘worst of both worlds\": suboptimal economic performance and diluted social cohesion. The article is structured as follows. First, the debate on varieties of capitalism is considered in light of the Global Crisis. Second, the basic features of the Greek employment relations' model are discussed. Third, the transformation of employment regulation after the bailout is examined. Fourth, the evolution towards a dysfunctional Liberal Market Economy is analysed. The final section concludes. (English)","container-title":"Relations Industrielles / Industrial Relations","ISSN":"0034379X","issue":"2","page":"344-365","source":"EBSCOhost","title":"The Transformation of Employment Regulation in Greece: Towards a Dysfunctional Liberal Market Economy?","title-short":"The Transformation of Employment Regulation in Greece","volume":"69","author":[{"family":"Kornelakis","given":"Andreas"},{"family":"Voskeritsian","given":"Horen"}],"issued":{"date-parts":[["2014"]],"season":"Spring"}},"prefix":"for example, "},{"id":397,"uris":["http://zotero.org/users/2360415/items/E424RG7H"],"uri":["http://zotero.org/users/2360415/items/E424RG7H"],"itemData":{"id":397,"type":"chapter","container-title":"Joint regulation and labour market policy in Europe during the crisis","event-place":"Brussels","page":"135-203","publisher":"ETUI","publisher-place":"Brussels","title":"The Greek System of Collective Bargaining in (the) Crisis","author":[{"family":"Koukiadaki","given":"Aristea"},{"family":"Kokkinou","given":"Chara"}],"editor":[{"family":"Koukiadaki","given":"Aristea"},{"family":"Tavora","given":"Isabel"},{"family":"Lucio","given":"Miguel Martinez"}],"issued":{"date-parts":[["2016"]]}}},{"id":224,"uris":["http://zotero.org/users/2360415/items/SVN6Z7GV"],"uri":["http://zotero.org/users/2360415/items/SVN6Z7GV"],"itemData":{"id":224,"type":"article-journal","abstract":"As a result of the loan agreements that the Greek government has concluded in the past two years with the International Monetary Fund, the European Central Bank and the European Commission, a policy of internal devaluation has been adopted in an effort to avoid a default of the economy and to allow Greece to remain within the Eurozone. The structural reforms undertaken in line with the loan agreements have been based on the premise that labour market regulation in Greece constituted a significant barrier to growth. To that end, essential features of the Greek labour law system have been amended, with significant implications for the role of the state and for the industrial relations actors. The reforms are not distributionally neutral, but aim to liberalise further and to deregulate key parts of the labour market and industrial relations system, and reduce the size and influence of the welfare state. There is growing evidence that the reforms have led to the deterioration of working and living conditions, while failing to deliver growth.","container-title":"Industrial Law Journal","ISSN":"0305-9332, 1464-3669","issue":"3","journalAbbreviation":"Ind Law J","language":"en","page":"276-304","source":"ilj.oxfordjournals.org","title":"Opening Pandora’s Box: The Sovereign Debt Crisis and Labour Market Regulation in Greece","title-short":"Opening Pandora’s Box","volume":"41","author":[{"family":"Koukiadaki","given":"Aristea"},{"family":"Kretsos","given":"Lefteris"}],"issued":{"date-parts":[["2012",9,1]]}},"label":"page"}],"schema":"https://github.com/citation-style-language/schema/raw/master/csl-citation.json"} </w:instrText>
      </w:r>
      <w:r w:rsidR="00654CBF" w:rsidRPr="00B6379A">
        <w:fldChar w:fldCharType="separate"/>
      </w:r>
      <w:r w:rsidR="00746922" w:rsidRPr="00746922">
        <w:rPr>
          <w:rFonts w:cs="Times New Roman"/>
        </w:rPr>
        <w:t>(for example, Kornelakis and Voskeritsian, 2014; Koukiadaki and Kokkinou, 2016; Koukiadaki and Kretsos, 2012)</w:t>
      </w:r>
      <w:r w:rsidR="00654CBF" w:rsidRPr="00B6379A">
        <w:fldChar w:fldCharType="end"/>
      </w:r>
      <w:r w:rsidR="008F4DCD" w:rsidRPr="00B6379A">
        <w:t xml:space="preserve">. The signing of the </w:t>
      </w:r>
      <w:r w:rsidR="00AB1E93" w:rsidRPr="00B6379A">
        <w:t xml:space="preserve">first </w:t>
      </w:r>
      <w:r w:rsidR="00F26CA3" w:rsidRPr="00B6379A">
        <w:t>and second</w:t>
      </w:r>
      <w:r w:rsidR="00D820F1">
        <w:t xml:space="preserve"> bailout agreements (Memoranda of Understanding</w:t>
      </w:r>
      <w:r w:rsidR="00832A7D" w:rsidRPr="00832A7D">
        <w:t xml:space="preserve"> </w:t>
      </w:r>
      <w:r w:rsidR="00832A7D">
        <w:t>–</w:t>
      </w:r>
      <w:r w:rsidR="00832A7D" w:rsidRPr="00832A7D">
        <w:t xml:space="preserve"> </w:t>
      </w:r>
      <w:r w:rsidR="00AB1E93" w:rsidRPr="00B6379A">
        <w:t>MoU</w:t>
      </w:r>
      <w:r w:rsidR="00D820F1">
        <w:t>)</w:t>
      </w:r>
      <w:r w:rsidR="00AB1E93" w:rsidRPr="00B6379A">
        <w:t xml:space="preserve"> </w:t>
      </w:r>
      <w:r w:rsidR="003F4A90" w:rsidRPr="00B6379A">
        <w:t xml:space="preserve">between Greece and </w:t>
      </w:r>
      <w:r w:rsidR="003F4A90">
        <w:t>the Troika</w:t>
      </w:r>
      <w:r w:rsidR="003F4A90" w:rsidRPr="00B6379A">
        <w:t xml:space="preserve"> </w:t>
      </w:r>
      <w:r w:rsidR="00A14F3C">
        <w:t xml:space="preserve">(IMF/European Commission/ECB) </w:t>
      </w:r>
      <w:r w:rsidR="00AB1E93" w:rsidRPr="00B6379A">
        <w:t xml:space="preserve">in 2010 </w:t>
      </w:r>
      <w:r w:rsidR="00F26CA3" w:rsidRPr="00B6379A">
        <w:t>and 2012</w:t>
      </w:r>
      <w:r w:rsidR="0057652A" w:rsidRPr="00B6379A">
        <w:t xml:space="preserve"> respectively</w:t>
      </w:r>
      <w:r w:rsidR="00F26CA3" w:rsidRPr="00B6379A">
        <w:t xml:space="preserve"> </w:t>
      </w:r>
      <w:r w:rsidR="00D820F1">
        <w:t xml:space="preserve">was a tipping point </w:t>
      </w:r>
      <w:r w:rsidR="003F4A90">
        <w:t>for the reallocation of</w:t>
      </w:r>
      <w:r w:rsidR="00D820F1">
        <w:t xml:space="preserve"> powers </w:t>
      </w:r>
      <w:r w:rsidR="009A55B3">
        <w:t xml:space="preserve">among </w:t>
      </w:r>
      <w:r w:rsidR="00411F8C">
        <w:t xml:space="preserve">social </w:t>
      </w:r>
      <w:r w:rsidR="00D820F1">
        <w:t xml:space="preserve">actors. </w:t>
      </w:r>
      <w:r w:rsidR="002A454E" w:rsidRPr="00B6379A">
        <w:t>T</w:t>
      </w:r>
      <w:r w:rsidR="008F4DCD" w:rsidRPr="00B6379A">
        <w:rPr>
          <w:rFonts w:cs="Times New Roman"/>
        </w:rPr>
        <w:t xml:space="preserve">he MoU followed </w:t>
      </w:r>
      <w:r w:rsidR="00D820F1">
        <w:rPr>
          <w:rFonts w:cs="Times New Roman"/>
        </w:rPr>
        <w:t>the</w:t>
      </w:r>
      <w:r w:rsidR="008F4DCD" w:rsidRPr="00B6379A">
        <w:rPr>
          <w:rFonts w:cs="Times New Roman"/>
        </w:rPr>
        <w:t xml:space="preserve"> logic of internal devaluation and </w:t>
      </w:r>
      <w:r w:rsidR="00411F8C">
        <w:rPr>
          <w:rFonts w:cs="Times New Roman"/>
        </w:rPr>
        <w:t>tight fiscal consolidation</w:t>
      </w:r>
      <w:r w:rsidR="008F4DCD" w:rsidRPr="00B6379A">
        <w:rPr>
          <w:rFonts w:cs="Times New Roman"/>
        </w:rPr>
        <w:t xml:space="preserve">, introducing a series of transformations in the way public administration and public finances were managed. In the case of employment relations more specifically, the </w:t>
      </w:r>
      <w:r w:rsidR="002A454E" w:rsidRPr="00B6379A">
        <w:rPr>
          <w:rFonts w:cs="Times New Roman"/>
        </w:rPr>
        <w:t xml:space="preserve">focus was on </w:t>
      </w:r>
      <w:r w:rsidR="008F4DCD" w:rsidRPr="00B6379A">
        <w:rPr>
          <w:rFonts w:cs="Times New Roman"/>
        </w:rPr>
        <w:t xml:space="preserve">three major </w:t>
      </w:r>
      <w:r w:rsidR="00411F8C">
        <w:rPr>
          <w:rFonts w:cs="Times New Roman"/>
        </w:rPr>
        <w:t>pillars</w:t>
      </w:r>
      <w:r w:rsidR="008F4DCD" w:rsidRPr="00B6379A">
        <w:rPr>
          <w:rFonts w:cs="Times New Roman"/>
        </w:rPr>
        <w:t>: the liberalisation of E</w:t>
      </w:r>
      <w:r w:rsidR="002A454E" w:rsidRPr="00B6379A">
        <w:rPr>
          <w:rFonts w:cs="Times New Roman"/>
        </w:rPr>
        <w:t xml:space="preserve">mployment </w:t>
      </w:r>
      <w:r w:rsidR="008F4DCD" w:rsidRPr="00B6379A">
        <w:rPr>
          <w:rFonts w:cs="Times New Roman"/>
        </w:rPr>
        <w:t>P</w:t>
      </w:r>
      <w:r w:rsidR="002A454E" w:rsidRPr="00B6379A">
        <w:rPr>
          <w:rFonts w:cs="Times New Roman"/>
        </w:rPr>
        <w:t xml:space="preserve">rotection </w:t>
      </w:r>
      <w:r w:rsidR="008F4DCD" w:rsidRPr="00B6379A">
        <w:rPr>
          <w:rFonts w:cs="Times New Roman"/>
        </w:rPr>
        <w:t>L</w:t>
      </w:r>
      <w:r w:rsidR="002A454E" w:rsidRPr="00B6379A">
        <w:rPr>
          <w:rFonts w:cs="Times New Roman"/>
        </w:rPr>
        <w:t>egislation (EPL)</w:t>
      </w:r>
      <w:r w:rsidR="008F4DCD" w:rsidRPr="00B6379A">
        <w:rPr>
          <w:rFonts w:cs="Times New Roman"/>
        </w:rPr>
        <w:t xml:space="preserve"> and the flexibilization of the labour market; the decentralisation of collective bargaining; and the </w:t>
      </w:r>
      <w:r w:rsidR="00D820F1">
        <w:rPr>
          <w:rFonts w:cs="Times New Roman"/>
        </w:rPr>
        <w:t>reduction of</w:t>
      </w:r>
      <w:r w:rsidR="008F4DCD" w:rsidRPr="00B6379A">
        <w:rPr>
          <w:rFonts w:cs="Times New Roman"/>
        </w:rPr>
        <w:t xml:space="preserve"> the National Minimum Wage (NMW)</w:t>
      </w:r>
      <w:r w:rsidR="00D820F1">
        <w:rPr>
          <w:rFonts w:cs="Times New Roman"/>
        </w:rPr>
        <w:t xml:space="preserve"> to restore price competitiveness</w:t>
      </w:r>
      <w:r w:rsidR="008F4DCD" w:rsidRPr="00B6379A">
        <w:rPr>
          <w:rFonts w:cs="Times New Roman"/>
        </w:rPr>
        <w:t xml:space="preserve"> </w:t>
      </w:r>
      <w:r w:rsidR="00F26CA3" w:rsidRPr="00B6379A">
        <w:rPr>
          <w:rFonts w:cs="Times New Roman"/>
        </w:rPr>
        <w:fldChar w:fldCharType="begin"/>
      </w:r>
      <w:r w:rsidR="00943757">
        <w:rPr>
          <w:rFonts w:cs="Times New Roman"/>
        </w:rPr>
        <w:instrText xml:space="preserve"> ADDIN ZOTERO_ITEM CSL_CITATION {"citationID":"1Og6Lohm","properties":{"formattedCitation":"(European Commission, 2010, 2012)","plainCitation":"(European Commission, 2010, 2012)","noteIndex":0},"citationItems":[{"id":1066,"uris":["http://zotero.org/users/2360415/items/HY695U5C"],"uri":["http://zotero.org/users/2360415/items/HY695U5C"],"itemData":{"id":1066,"type":"report","collection-title":"Occassional Papers","event-place":"Brussels","language":"en","number":"61","page":"93","publisher":"European Commission, Directorate-General for Economic and Financial Affairs","publisher-place":"Brussels","source":"Zotero","title":"The Economic Adjustment Programme for Greece","author":[{"family":"European Commission","given":""}],"issued":{"date-parts":[["2010",5]]}}},{"id":1069,"uris":["http://zotero.org/users/2360415/items/YFX5AUNA"],"uri":["http://zotero.org/users/2360415/items/YFX5AUNA"],"itemData":{"id":1069,"type":"report","collection-title":"Occassional Papers","event-place":"Brussels","language":"en","note":"OCLC: 785785660","number":"94","publisher":"European Commission, Directorate-General for Economic and Financial Affairs","publisher-place":"Brussels","source":"Open WorldCat","title":"The second economic adjustment programme for Greece","author":[{"literal":"European Commission"}],"issued":{"date-parts":[["2012",3]]}}}],"schema":"https://github.com/citation-style-language/schema/raw/master/csl-citation.json"} </w:instrText>
      </w:r>
      <w:r w:rsidR="00F26CA3" w:rsidRPr="00B6379A">
        <w:rPr>
          <w:rFonts w:cs="Times New Roman"/>
        </w:rPr>
        <w:fldChar w:fldCharType="separate"/>
      </w:r>
      <w:r w:rsidR="006C2C79" w:rsidRPr="006C2C79">
        <w:rPr>
          <w:rFonts w:cs="Times New Roman"/>
        </w:rPr>
        <w:t>(European Commission, 2010, 2012)</w:t>
      </w:r>
      <w:r w:rsidR="00F26CA3" w:rsidRPr="00B6379A">
        <w:rPr>
          <w:rFonts w:cs="Times New Roman"/>
        </w:rPr>
        <w:fldChar w:fldCharType="end"/>
      </w:r>
      <w:r w:rsidR="008F4DCD" w:rsidRPr="00B6379A">
        <w:rPr>
          <w:rFonts w:cs="Times New Roman"/>
        </w:rPr>
        <w:t xml:space="preserve">. </w:t>
      </w:r>
      <w:r w:rsidR="00A14F3C">
        <w:rPr>
          <w:rFonts w:cs="Times New Roman"/>
        </w:rPr>
        <w:t xml:space="preserve">In what follows, we focus on the last two </w:t>
      </w:r>
      <w:r w:rsidR="00411F8C">
        <w:rPr>
          <w:rFonts w:cs="Times New Roman"/>
        </w:rPr>
        <w:t>pillars</w:t>
      </w:r>
      <w:r w:rsidR="00A14F3C">
        <w:rPr>
          <w:rFonts w:cs="Times New Roman"/>
        </w:rPr>
        <w:t>.</w:t>
      </w:r>
    </w:p>
    <w:p w14:paraId="48AD3906" w14:textId="3936D66A" w:rsidR="008009C5" w:rsidRPr="008009C5" w:rsidRDefault="00EB0885" w:rsidP="00EB0885">
      <w:pPr>
        <w:pStyle w:val="Heading3"/>
      </w:pPr>
      <w:r>
        <w:t>4</w:t>
      </w:r>
      <w:r w:rsidR="008009C5" w:rsidRPr="008009C5">
        <w:t xml:space="preserve">.1. </w:t>
      </w:r>
      <w:r w:rsidR="00411F8C">
        <w:t>Dismantling the</w:t>
      </w:r>
      <w:r w:rsidR="00411F8C" w:rsidRPr="008009C5">
        <w:t xml:space="preserve"> </w:t>
      </w:r>
      <w:r w:rsidR="008009C5" w:rsidRPr="008009C5">
        <w:t xml:space="preserve">Collective Bargaining </w:t>
      </w:r>
      <w:r w:rsidR="00411F8C">
        <w:t>System and Decentralization</w:t>
      </w:r>
    </w:p>
    <w:p w14:paraId="1EDFDC0A" w14:textId="67091B8F" w:rsidR="00546563" w:rsidRPr="00B6379A" w:rsidRDefault="0012094C" w:rsidP="008F4DCD">
      <w:pPr>
        <w:rPr>
          <w:rFonts w:cs="Times New Roman"/>
        </w:rPr>
      </w:pPr>
      <w:r w:rsidRPr="00B6379A">
        <w:rPr>
          <w:rFonts w:cs="Times New Roman"/>
        </w:rPr>
        <w:t xml:space="preserve">A common feature of all the policies introduced </w:t>
      </w:r>
      <w:r w:rsidR="00D820F1">
        <w:rPr>
          <w:rFonts w:cs="Times New Roman"/>
        </w:rPr>
        <w:t>between 2010-2012</w:t>
      </w:r>
      <w:r w:rsidR="00B76104" w:rsidRPr="00B6379A">
        <w:rPr>
          <w:rFonts w:cs="Times New Roman"/>
        </w:rPr>
        <w:t xml:space="preserve"> was the </w:t>
      </w:r>
      <w:r w:rsidR="00D820F1">
        <w:rPr>
          <w:rFonts w:cs="Times New Roman"/>
        </w:rPr>
        <w:t>objective</w:t>
      </w:r>
      <w:r w:rsidR="00B76104" w:rsidRPr="00B6379A">
        <w:rPr>
          <w:rFonts w:cs="Times New Roman"/>
        </w:rPr>
        <w:t xml:space="preserve"> to relegate the role of sectoral and national collective </w:t>
      </w:r>
      <w:r w:rsidR="00D820F1">
        <w:rPr>
          <w:rFonts w:cs="Times New Roman"/>
        </w:rPr>
        <w:t>agreements</w:t>
      </w:r>
      <w:r w:rsidR="00B76104" w:rsidRPr="00B6379A">
        <w:rPr>
          <w:rFonts w:cs="Times New Roman"/>
        </w:rPr>
        <w:t xml:space="preserve"> and </w:t>
      </w:r>
      <w:r w:rsidR="009A0168">
        <w:rPr>
          <w:rFonts w:cs="Times New Roman"/>
        </w:rPr>
        <w:t>transfer</w:t>
      </w:r>
      <w:r w:rsidR="009A0168" w:rsidRPr="00B6379A">
        <w:rPr>
          <w:rFonts w:cs="Times New Roman"/>
        </w:rPr>
        <w:t xml:space="preserve"> </w:t>
      </w:r>
      <w:r w:rsidR="00B76104" w:rsidRPr="00B6379A">
        <w:rPr>
          <w:rFonts w:cs="Times New Roman"/>
        </w:rPr>
        <w:t xml:space="preserve">more decision-making power </w:t>
      </w:r>
      <w:r w:rsidR="009A0168">
        <w:rPr>
          <w:rFonts w:cs="Times New Roman"/>
        </w:rPr>
        <w:t>to</w:t>
      </w:r>
      <w:r w:rsidR="00B76104" w:rsidRPr="00B6379A">
        <w:rPr>
          <w:rFonts w:cs="Times New Roman"/>
        </w:rPr>
        <w:t xml:space="preserve"> the firm level</w:t>
      </w:r>
      <w:r w:rsidR="002B3AE6">
        <w:rPr>
          <w:rFonts w:cs="Times New Roman"/>
        </w:rPr>
        <w:t xml:space="preserve"> </w:t>
      </w:r>
      <w:r w:rsidR="00746922">
        <w:rPr>
          <w:rFonts w:cs="Times New Roman"/>
        </w:rPr>
        <w:fldChar w:fldCharType="begin"/>
      </w:r>
      <w:r w:rsidR="00746922">
        <w:rPr>
          <w:rFonts w:cs="Times New Roman"/>
        </w:rPr>
        <w:instrText xml:space="preserve"> ADDIN ZOTERO_ITEM CSL_CITATION {"citationID":"IjAFTK1B","properties":{"formattedCitation":"(Voskeritsian and Kornelakis, 2019)","plainCitation":"(Voskeritsian and Kornelakis, 2019)","noteIndex":0},"citationItems":[{"id":1112,"uris":["http://zotero.org/users/2360415/items/4NBPQPTR"],"uri":["http://zotero.org/users/2360415/items/4NBPQPTR"],"itemData":{"id":1112,"type":"chapter","abstract":"Greece’s economy and society have undergone important structural changes in recent years as a result of the financial crisis and consequent austerity policies that have been implemented. The Greek labour market and employment relations system have…","container-title":"Greek Employment Relations in Crisis: Problems, Challenges and Prospects","edition":"1st","event-place":"London","language":"en","page":"14-30","publisher":"Routledge","publisher-place":"London","title":"Power, Institutional Change, and the Transformation of Greek Employment Relations","editor":[{"family":"Voskeritsian","given":"Horen"},{"family":"Kapotas","given":"Panos"},{"family":"Niforou","given":"Christina"}],"author":[{"family":"Voskeritsian","given":"Horen"},{"family":"Kornelakis","given":"Andreas"}],"issued":{"date-parts":[["2019"]]}}}],"schema":"https://github.com/citation-style-language/schema/raw/master/csl-citation.json"} </w:instrText>
      </w:r>
      <w:r w:rsidR="00746922">
        <w:rPr>
          <w:rFonts w:cs="Times New Roman"/>
        </w:rPr>
        <w:fldChar w:fldCharType="separate"/>
      </w:r>
      <w:r w:rsidR="00746922" w:rsidRPr="00746922">
        <w:rPr>
          <w:rFonts w:cs="Times New Roman"/>
        </w:rPr>
        <w:t>(Voskeritsian and Kornelakis, 2019)</w:t>
      </w:r>
      <w:r w:rsidR="00746922">
        <w:rPr>
          <w:rFonts w:cs="Times New Roman"/>
        </w:rPr>
        <w:fldChar w:fldCharType="end"/>
      </w:r>
      <w:r w:rsidR="00B76104" w:rsidRPr="00B6379A">
        <w:rPr>
          <w:rFonts w:cs="Times New Roman"/>
        </w:rPr>
        <w:t xml:space="preserve">. By doing so, the new framework did not only provide the opportunity to individual </w:t>
      </w:r>
      <w:r w:rsidR="00D820F1">
        <w:rPr>
          <w:rFonts w:cs="Times New Roman"/>
        </w:rPr>
        <w:t>firms</w:t>
      </w:r>
      <w:r w:rsidR="00B76104" w:rsidRPr="00B6379A">
        <w:rPr>
          <w:rFonts w:cs="Times New Roman"/>
        </w:rPr>
        <w:t xml:space="preserve"> to determine the terms and conditions of employment and the organisation of the labour process (either unilaterally or through </w:t>
      </w:r>
      <w:r w:rsidR="00310B4E">
        <w:rPr>
          <w:rFonts w:cs="Times New Roman"/>
        </w:rPr>
        <w:t>firm</w:t>
      </w:r>
      <w:r w:rsidR="00B76104" w:rsidRPr="00B6379A">
        <w:rPr>
          <w:rFonts w:cs="Times New Roman"/>
        </w:rPr>
        <w:t xml:space="preserve"> bargaining), but</w:t>
      </w:r>
      <w:r w:rsidR="001F75A5" w:rsidRPr="00B6379A">
        <w:rPr>
          <w:rFonts w:cs="Times New Roman"/>
        </w:rPr>
        <w:t xml:space="preserve"> it also </w:t>
      </w:r>
      <w:r w:rsidR="00546563" w:rsidRPr="00B6379A">
        <w:rPr>
          <w:rFonts w:cs="Times New Roman"/>
        </w:rPr>
        <w:t xml:space="preserve">stroke a decisive blow </w:t>
      </w:r>
      <w:r w:rsidR="009A0168">
        <w:rPr>
          <w:rFonts w:cs="Times New Roman"/>
        </w:rPr>
        <w:t>against</w:t>
      </w:r>
      <w:r w:rsidR="009A0168" w:rsidRPr="00B6379A">
        <w:rPr>
          <w:rFonts w:cs="Times New Roman"/>
        </w:rPr>
        <w:t xml:space="preserve"> </w:t>
      </w:r>
      <w:r w:rsidR="00546563" w:rsidRPr="00B6379A">
        <w:rPr>
          <w:rFonts w:cs="Times New Roman"/>
        </w:rPr>
        <w:t xml:space="preserve">the ability of sectoral and peak-level </w:t>
      </w:r>
      <w:r w:rsidR="007A52AB">
        <w:rPr>
          <w:rFonts w:cs="Times New Roman"/>
        </w:rPr>
        <w:t>associations</w:t>
      </w:r>
      <w:r w:rsidR="00546563" w:rsidRPr="00B6379A">
        <w:rPr>
          <w:rFonts w:cs="Times New Roman"/>
        </w:rPr>
        <w:t xml:space="preserve"> to navigate the hitherto unknown waters of the crisis.</w:t>
      </w:r>
      <w:r w:rsidR="00310B4E">
        <w:rPr>
          <w:rFonts w:cs="Times New Roman"/>
        </w:rPr>
        <w:t xml:space="preserve"> </w:t>
      </w:r>
      <w:r w:rsidR="008B5E42">
        <w:rPr>
          <w:rFonts w:cs="Times New Roman"/>
        </w:rPr>
        <w:t>Table 1</w:t>
      </w:r>
      <w:r w:rsidR="00310B4E">
        <w:rPr>
          <w:rFonts w:cs="Times New Roman"/>
        </w:rPr>
        <w:t xml:space="preserve"> below documents this trend towards collective bargaining decentralization</w:t>
      </w:r>
      <w:r w:rsidR="008F6369" w:rsidRPr="00AF77A2">
        <w:rPr>
          <w:rFonts w:cs="Times New Roman"/>
        </w:rPr>
        <w:t xml:space="preserve"> </w:t>
      </w:r>
      <w:r w:rsidR="008F6369">
        <w:rPr>
          <w:rFonts w:cs="Times New Roman"/>
        </w:rPr>
        <w:t xml:space="preserve">and the consequent collapse in </w:t>
      </w:r>
      <w:r w:rsidR="00411F8C">
        <w:rPr>
          <w:rFonts w:cs="Times New Roman"/>
        </w:rPr>
        <w:t xml:space="preserve">sectoral agreements and </w:t>
      </w:r>
      <w:r w:rsidR="008F6369">
        <w:rPr>
          <w:rFonts w:cs="Times New Roman"/>
        </w:rPr>
        <w:t>collective bargaining coverage</w:t>
      </w:r>
      <w:r w:rsidR="00310B4E">
        <w:rPr>
          <w:rFonts w:cs="Times New Roman"/>
        </w:rPr>
        <w:t>.</w:t>
      </w:r>
    </w:p>
    <w:p w14:paraId="0D6E956D" w14:textId="159F4754" w:rsidR="00EE124F" w:rsidRPr="00B6379A" w:rsidRDefault="00EE124F" w:rsidP="00EE124F">
      <w:pPr>
        <w:rPr>
          <w:rFonts w:cs="Times New Roman"/>
        </w:rPr>
      </w:pPr>
      <w:r w:rsidRPr="00B6379A">
        <w:rPr>
          <w:rFonts w:cs="Times New Roman"/>
          <w:b/>
          <w:lang w:val="en-US"/>
        </w:rPr>
        <w:t>Table 1: The Decentralization of Collective Bargaining</w:t>
      </w:r>
      <w:r w:rsidR="00141802">
        <w:rPr>
          <w:rFonts w:cs="Times New Roman"/>
          <w:b/>
          <w:lang w:val="en-US"/>
        </w:rPr>
        <w:t xml:space="preserve"> in Greece</w:t>
      </w:r>
      <w:r w:rsidRPr="00B6379A">
        <w:rPr>
          <w:rFonts w:cs="Times New Roman"/>
          <w:b/>
          <w:lang w:val="en-US"/>
        </w:rPr>
        <w:t>, 2010–</w:t>
      </w:r>
      <w:r w:rsidR="00EE6473" w:rsidRPr="00B6379A">
        <w:rPr>
          <w:rFonts w:cs="Times New Roman"/>
          <w:b/>
          <w:lang w:val="en-US"/>
        </w:rPr>
        <w:t>201</w:t>
      </w:r>
      <w:r w:rsidR="00EE6473">
        <w:rPr>
          <w:rFonts w:cs="Times New Roman"/>
          <w:b/>
          <w:lang w:val="en-US"/>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546"/>
        <w:gridCol w:w="2529"/>
        <w:gridCol w:w="2200"/>
      </w:tblGrid>
      <w:tr w:rsidR="00F127FA" w:rsidRPr="00B6379A" w14:paraId="0C7E7E4F" w14:textId="40F7E5EE" w:rsidTr="0072269E">
        <w:trPr>
          <w:jc w:val="center"/>
        </w:trPr>
        <w:tc>
          <w:tcPr>
            <w:tcW w:w="1015" w:type="dxa"/>
          </w:tcPr>
          <w:p w14:paraId="66673310" w14:textId="77777777" w:rsidR="00F127FA" w:rsidRPr="00B6379A" w:rsidRDefault="00F127FA" w:rsidP="00DD6F57">
            <w:pPr>
              <w:spacing w:before="0" w:after="0" w:line="240" w:lineRule="auto"/>
              <w:jc w:val="center"/>
              <w:rPr>
                <w:rFonts w:cs="Times New Roman"/>
                <w:b/>
              </w:rPr>
            </w:pPr>
            <w:r w:rsidRPr="00B6379A">
              <w:rPr>
                <w:rFonts w:cs="Times New Roman"/>
                <w:b/>
              </w:rPr>
              <w:t>Year</w:t>
            </w:r>
          </w:p>
        </w:tc>
        <w:tc>
          <w:tcPr>
            <w:tcW w:w="2546" w:type="dxa"/>
            <w:vAlign w:val="center"/>
          </w:tcPr>
          <w:p w14:paraId="201EDD0F" w14:textId="77777777" w:rsidR="00F127FA" w:rsidRPr="00B6379A" w:rsidRDefault="00F127FA" w:rsidP="00DD6F57">
            <w:pPr>
              <w:spacing w:before="0" w:after="0" w:line="240" w:lineRule="auto"/>
              <w:jc w:val="center"/>
              <w:rPr>
                <w:rFonts w:cs="Times New Roman"/>
                <w:b/>
              </w:rPr>
            </w:pPr>
            <w:r w:rsidRPr="00B6379A">
              <w:rPr>
                <w:rFonts w:cs="Times New Roman"/>
                <w:b/>
              </w:rPr>
              <w:t>Sectoral and occupational collective agreements</w:t>
            </w:r>
          </w:p>
        </w:tc>
        <w:tc>
          <w:tcPr>
            <w:tcW w:w="2529" w:type="dxa"/>
            <w:vAlign w:val="center"/>
          </w:tcPr>
          <w:p w14:paraId="5B133FAC" w14:textId="77777777" w:rsidR="00F127FA" w:rsidRPr="00B6379A" w:rsidRDefault="00F127FA" w:rsidP="00DD6F57">
            <w:pPr>
              <w:spacing w:before="0" w:after="0" w:line="240" w:lineRule="auto"/>
              <w:jc w:val="center"/>
              <w:rPr>
                <w:rFonts w:cs="Times New Roman"/>
                <w:b/>
              </w:rPr>
            </w:pPr>
            <w:r w:rsidRPr="00B6379A">
              <w:rPr>
                <w:rFonts w:cs="Times New Roman"/>
                <w:b/>
              </w:rPr>
              <w:t>Company level collective agreements</w:t>
            </w:r>
          </w:p>
        </w:tc>
        <w:tc>
          <w:tcPr>
            <w:tcW w:w="2200" w:type="dxa"/>
          </w:tcPr>
          <w:p w14:paraId="013CC03E" w14:textId="68E8B0E0" w:rsidR="00F127FA" w:rsidRPr="00B6379A" w:rsidRDefault="00F127FA" w:rsidP="00DD6F57">
            <w:pPr>
              <w:spacing w:before="0" w:after="0" w:line="240" w:lineRule="auto"/>
              <w:jc w:val="center"/>
              <w:rPr>
                <w:rFonts w:cs="Times New Roman"/>
                <w:b/>
              </w:rPr>
            </w:pPr>
            <w:r>
              <w:rPr>
                <w:rFonts w:cs="Times New Roman"/>
                <w:b/>
              </w:rPr>
              <w:t>Collective bargaining coverage</w:t>
            </w:r>
          </w:p>
        </w:tc>
      </w:tr>
      <w:tr w:rsidR="00F127FA" w:rsidRPr="00B6379A" w14:paraId="49AD526E" w14:textId="12A7C9C4" w:rsidTr="0072269E">
        <w:trPr>
          <w:jc w:val="center"/>
        </w:trPr>
        <w:tc>
          <w:tcPr>
            <w:tcW w:w="1015" w:type="dxa"/>
          </w:tcPr>
          <w:p w14:paraId="292E4C82" w14:textId="19402619" w:rsidR="00F127FA" w:rsidRPr="00B6379A" w:rsidRDefault="00F127FA" w:rsidP="00DD6F57">
            <w:pPr>
              <w:spacing w:before="0" w:after="0" w:line="240" w:lineRule="auto"/>
              <w:jc w:val="center"/>
              <w:rPr>
                <w:rFonts w:cs="Times New Roman"/>
              </w:rPr>
            </w:pPr>
            <w:r>
              <w:rPr>
                <w:rFonts w:cs="Times New Roman"/>
              </w:rPr>
              <w:t>2009</w:t>
            </w:r>
          </w:p>
        </w:tc>
        <w:tc>
          <w:tcPr>
            <w:tcW w:w="2546" w:type="dxa"/>
            <w:vAlign w:val="center"/>
          </w:tcPr>
          <w:p w14:paraId="7039EA2B" w14:textId="41D66BA0" w:rsidR="00F127FA" w:rsidRPr="0072269E" w:rsidRDefault="00F127FA" w:rsidP="00DD6F57">
            <w:pPr>
              <w:spacing w:before="0" w:after="0" w:line="240" w:lineRule="auto"/>
              <w:jc w:val="center"/>
              <w:rPr>
                <w:rFonts w:cs="Times New Roman"/>
              </w:rPr>
            </w:pPr>
            <w:r>
              <w:rPr>
                <w:rFonts w:cs="Times New Roman"/>
              </w:rPr>
              <w:t>74</w:t>
            </w:r>
          </w:p>
        </w:tc>
        <w:tc>
          <w:tcPr>
            <w:tcW w:w="2529" w:type="dxa"/>
            <w:vAlign w:val="center"/>
          </w:tcPr>
          <w:p w14:paraId="78D976BE" w14:textId="59EBA254" w:rsidR="00F127FA" w:rsidRPr="00B6379A" w:rsidRDefault="00F127FA" w:rsidP="00DD6F57">
            <w:pPr>
              <w:spacing w:before="0" w:after="0" w:line="240" w:lineRule="auto"/>
              <w:jc w:val="center"/>
              <w:rPr>
                <w:rFonts w:cs="Times New Roman"/>
              </w:rPr>
            </w:pPr>
            <w:r>
              <w:rPr>
                <w:rFonts w:cs="Times New Roman"/>
              </w:rPr>
              <w:t>215</w:t>
            </w:r>
          </w:p>
        </w:tc>
        <w:tc>
          <w:tcPr>
            <w:tcW w:w="2200" w:type="dxa"/>
          </w:tcPr>
          <w:p w14:paraId="49F4235E" w14:textId="32D89C9A" w:rsidR="00F127FA" w:rsidRPr="00B6379A" w:rsidRDefault="00BA049F" w:rsidP="00DD6F57">
            <w:pPr>
              <w:spacing w:before="0" w:after="0" w:line="240" w:lineRule="auto"/>
              <w:jc w:val="center"/>
              <w:rPr>
                <w:rFonts w:cs="Times New Roman"/>
              </w:rPr>
            </w:pPr>
            <w:r>
              <w:rPr>
                <w:rFonts w:cs="Times New Roman"/>
              </w:rPr>
              <w:t>100%</w:t>
            </w:r>
          </w:p>
        </w:tc>
      </w:tr>
      <w:tr w:rsidR="00F127FA" w:rsidRPr="00B6379A" w14:paraId="5A414C7A" w14:textId="35FDB736" w:rsidTr="0072269E">
        <w:trPr>
          <w:jc w:val="center"/>
        </w:trPr>
        <w:tc>
          <w:tcPr>
            <w:tcW w:w="1015" w:type="dxa"/>
          </w:tcPr>
          <w:p w14:paraId="6BC0417D" w14:textId="77777777" w:rsidR="00F127FA" w:rsidRPr="00B6379A" w:rsidRDefault="00F127FA" w:rsidP="00DD6F57">
            <w:pPr>
              <w:spacing w:before="0" w:after="0" w:line="240" w:lineRule="auto"/>
              <w:jc w:val="center"/>
              <w:rPr>
                <w:rFonts w:cs="Times New Roman"/>
              </w:rPr>
            </w:pPr>
            <w:r w:rsidRPr="00B6379A">
              <w:rPr>
                <w:rFonts w:cs="Times New Roman"/>
              </w:rPr>
              <w:t>2010</w:t>
            </w:r>
          </w:p>
        </w:tc>
        <w:tc>
          <w:tcPr>
            <w:tcW w:w="2546" w:type="dxa"/>
            <w:vAlign w:val="center"/>
          </w:tcPr>
          <w:p w14:paraId="499D395E" w14:textId="194B2A59" w:rsidR="00F127FA" w:rsidRPr="002814E4" w:rsidRDefault="00F127FA" w:rsidP="00DD6F57">
            <w:pPr>
              <w:spacing w:before="0" w:after="0" w:line="240" w:lineRule="auto"/>
              <w:jc w:val="center"/>
              <w:rPr>
                <w:rFonts w:cs="Times New Roman"/>
                <w:lang w:val="el-GR"/>
              </w:rPr>
            </w:pPr>
            <w:r>
              <w:rPr>
                <w:rFonts w:cs="Times New Roman"/>
                <w:lang w:val="el-GR"/>
              </w:rPr>
              <w:t>78</w:t>
            </w:r>
          </w:p>
        </w:tc>
        <w:tc>
          <w:tcPr>
            <w:tcW w:w="2529" w:type="dxa"/>
            <w:vAlign w:val="center"/>
          </w:tcPr>
          <w:p w14:paraId="2FAEA6C9" w14:textId="77777777" w:rsidR="00F127FA" w:rsidRPr="00B6379A" w:rsidRDefault="00F127FA" w:rsidP="00DD6F57">
            <w:pPr>
              <w:spacing w:before="0" w:after="0" w:line="240" w:lineRule="auto"/>
              <w:jc w:val="center"/>
              <w:rPr>
                <w:rFonts w:cs="Times New Roman"/>
              </w:rPr>
            </w:pPr>
            <w:r w:rsidRPr="00B6379A">
              <w:rPr>
                <w:rFonts w:cs="Times New Roman"/>
              </w:rPr>
              <w:t>227</w:t>
            </w:r>
          </w:p>
        </w:tc>
        <w:tc>
          <w:tcPr>
            <w:tcW w:w="2200" w:type="dxa"/>
          </w:tcPr>
          <w:p w14:paraId="616A5D8B" w14:textId="3AFC9C2F" w:rsidR="00F127FA" w:rsidRPr="00B6379A" w:rsidRDefault="00BA049F" w:rsidP="00DD6F57">
            <w:pPr>
              <w:spacing w:before="0" w:after="0" w:line="240" w:lineRule="auto"/>
              <w:jc w:val="center"/>
              <w:rPr>
                <w:rFonts w:cs="Times New Roman"/>
              </w:rPr>
            </w:pPr>
            <w:r>
              <w:rPr>
                <w:rFonts w:cs="Times New Roman"/>
              </w:rPr>
              <w:t>100%</w:t>
            </w:r>
          </w:p>
        </w:tc>
      </w:tr>
      <w:tr w:rsidR="00F127FA" w:rsidRPr="00B6379A" w14:paraId="6DC0C4FB" w14:textId="48938FE9" w:rsidTr="0072269E">
        <w:trPr>
          <w:jc w:val="center"/>
        </w:trPr>
        <w:tc>
          <w:tcPr>
            <w:tcW w:w="1015" w:type="dxa"/>
          </w:tcPr>
          <w:p w14:paraId="161FCDE6" w14:textId="77777777" w:rsidR="00F127FA" w:rsidRPr="00B6379A" w:rsidRDefault="00F127FA" w:rsidP="00DD6F57">
            <w:pPr>
              <w:spacing w:before="0" w:after="0" w:line="240" w:lineRule="auto"/>
              <w:jc w:val="center"/>
              <w:rPr>
                <w:rFonts w:cs="Times New Roman"/>
              </w:rPr>
            </w:pPr>
            <w:r w:rsidRPr="00B6379A">
              <w:rPr>
                <w:rFonts w:cs="Times New Roman"/>
              </w:rPr>
              <w:t>2011</w:t>
            </w:r>
          </w:p>
        </w:tc>
        <w:tc>
          <w:tcPr>
            <w:tcW w:w="2546" w:type="dxa"/>
            <w:vAlign w:val="center"/>
          </w:tcPr>
          <w:p w14:paraId="5D2AA168" w14:textId="6B0B37F3" w:rsidR="00F127FA" w:rsidRPr="00F32F4E" w:rsidRDefault="00F127FA" w:rsidP="00DD6F57">
            <w:pPr>
              <w:spacing w:before="0" w:after="0" w:line="240" w:lineRule="auto"/>
              <w:jc w:val="center"/>
              <w:rPr>
                <w:rFonts w:cs="Times New Roman"/>
                <w:lang w:val="el-GR"/>
              </w:rPr>
            </w:pPr>
            <w:r>
              <w:rPr>
                <w:rFonts w:cs="Times New Roman"/>
                <w:lang w:val="el-GR"/>
              </w:rPr>
              <w:t>45</w:t>
            </w:r>
          </w:p>
        </w:tc>
        <w:tc>
          <w:tcPr>
            <w:tcW w:w="2529" w:type="dxa"/>
            <w:vAlign w:val="center"/>
          </w:tcPr>
          <w:p w14:paraId="477EFD1B" w14:textId="77777777" w:rsidR="00F127FA" w:rsidRPr="00B6379A" w:rsidRDefault="00F127FA" w:rsidP="00DD6F57">
            <w:pPr>
              <w:spacing w:before="0" w:after="0" w:line="240" w:lineRule="auto"/>
              <w:jc w:val="center"/>
              <w:rPr>
                <w:rFonts w:cs="Times New Roman"/>
              </w:rPr>
            </w:pPr>
            <w:r w:rsidRPr="00B6379A">
              <w:rPr>
                <w:rFonts w:cs="Times New Roman"/>
              </w:rPr>
              <w:t>170</w:t>
            </w:r>
          </w:p>
        </w:tc>
        <w:tc>
          <w:tcPr>
            <w:tcW w:w="2200" w:type="dxa"/>
          </w:tcPr>
          <w:p w14:paraId="6004C57E" w14:textId="0800818F" w:rsidR="00F127FA" w:rsidRPr="00B6379A" w:rsidRDefault="00BA049F" w:rsidP="00DD6F57">
            <w:pPr>
              <w:spacing w:before="0" w:after="0" w:line="240" w:lineRule="auto"/>
              <w:jc w:val="center"/>
              <w:rPr>
                <w:rFonts w:cs="Times New Roman"/>
              </w:rPr>
            </w:pPr>
            <w:r>
              <w:rPr>
                <w:rFonts w:cs="Times New Roman"/>
              </w:rPr>
              <w:t>89.8%</w:t>
            </w:r>
          </w:p>
        </w:tc>
      </w:tr>
      <w:tr w:rsidR="00F127FA" w:rsidRPr="00B6379A" w14:paraId="1CDBB184" w14:textId="32196989" w:rsidTr="0072269E">
        <w:trPr>
          <w:jc w:val="center"/>
        </w:trPr>
        <w:tc>
          <w:tcPr>
            <w:tcW w:w="1015" w:type="dxa"/>
          </w:tcPr>
          <w:p w14:paraId="1751B8AA" w14:textId="77777777" w:rsidR="00F127FA" w:rsidRPr="00B6379A" w:rsidRDefault="00F127FA" w:rsidP="00DD6F57">
            <w:pPr>
              <w:spacing w:before="0" w:after="0" w:line="240" w:lineRule="auto"/>
              <w:jc w:val="center"/>
              <w:rPr>
                <w:rFonts w:cs="Times New Roman"/>
              </w:rPr>
            </w:pPr>
            <w:r w:rsidRPr="00B6379A">
              <w:rPr>
                <w:rFonts w:cs="Times New Roman"/>
              </w:rPr>
              <w:t>2012</w:t>
            </w:r>
          </w:p>
        </w:tc>
        <w:tc>
          <w:tcPr>
            <w:tcW w:w="2546" w:type="dxa"/>
            <w:vAlign w:val="center"/>
          </w:tcPr>
          <w:p w14:paraId="3525FF64" w14:textId="56C29CAE" w:rsidR="00F127FA" w:rsidRPr="00F32F4E" w:rsidRDefault="00F127FA" w:rsidP="00DD6F57">
            <w:pPr>
              <w:spacing w:before="0" w:after="0" w:line="240" w:lineRule="auto"/>
              <w:jc w:val="center"/>
              <w:rPr>
                <w:rFonts w:cs="Times New Roman"/>
                <w:lang w:val="el-GR"/>
              </w:rPr>
            </w:pPr>
            <w:r w:rsidRPr="00B6379A">
              <w:rPr>
                <w:rFonts w:cs="Times New Roman"/>
              </w:rPr>
              <w:t>2</w:t>
            </w:r>
            <w:r>
              <w:rPr>
                <w:rFonts w:cs="Times New Roman"/>
                <w:lang w:val="el-GR"/>
              </w:rPr>
              <w:t>8</w:t>
            </w:r>
          </w:p>
        </w:tc>
        <w:tc>
          <w:tcPr>
            <w:tcW w:w="2529" w:type="dxa"/>
            <w:vAlign w:val="center"/>
          </w:tcPr>
          <w:p w14:paraId="0DC36A8F" w14:textId="77777777" w:rsidR="00F127FA" w:rsidRPr="00B6379A" w:rsidRDefault="00F127FA" w:rsidP="00DD6F57">
            <w:pPr>
              <w:spacing w:before="0" w:after="0" w:line="240" w:lineRule="auto"/>
              <w:jc w:val="center"/>
              <w:rPr>
                <w:rFonts w:cs="Times New Roman"/>
              </w:rPr>
            </w:pPr>
            <w:r w:rsidRPr="00B6379A">
              <w:rPr>
                <w:rFonts w:cs="Times New Roman"/>
              </w:rPr>
              <w:t>976</w:t>
            </w:r>
          </w:p>
        </w:tc>
        <w:tc>
          <w:tcPr>
            <w:tcW w:w="2200" w:type="dxa"/>
          </w:tcPr>
          <w:p w14:paraId="13F282CA" w14:textId="1676ED32" w:rsidR="00F127FA" w:rsidRPr="00B6379A" w:rsidRDefault="00BA049F" w:rsidP="00DD6F57">
            <w:pPr>
              <w:spacing w:before="0" w:after="0" w:line="240" w:lineRule="auto"/>
              <w:jc w:val="center"/>
              <w:rPr>
                <w:rFonts w:cs="Times New Roman"/>
              </w:rPr>
            </w:pPr>
            <w:r>
              <w:rPr>
                <w:rFonts w:cs="Times New Roman"/>
              </w:rPr>
              <w:t>75.9%</w:t>
            </w:r>
          </w:p>
        </w:tc>
      </w:tr>
      <w:tr w:rsidR="00F127FA" w:rsidRPr="00B6379A" w14:paraId="48A3BF0F" w14:textId="599046F0" w:rsidTr="0072269E">
        <w:trPr>
          <w:jc w:val="center"/>
        </w:trPr>
        <w:tc>
          <w:tcPr>
            <w:tcW w:w="1015" w:type="dxa"/>
          </w:tcPr>
          <w:p w14:paraId="3335C5F5" w14:textId="77777777" w:rsidR="00F127FA" w:rsidRPr="00B6379A" w:rsidRDefault="00F127FA" w:rsidP="00DD6F57">
            <w:pPr>
              <w:spacing w:before="0" w:after="0" w:line="240" w:lineRule="auto"/>
              <w:jc w:val="center"/>
              <w:rPr>
                <w:rFonts w:cs="Times New Roman"/>
              </w:rPr>
            </w:pPr>
            <w:r w:rsidRPr="00B6379A">
              <w:rPr>
                <w:rFonts w:cs="Times New Roman"/>
              </w:rPr>
              <w:t>2013</w:t>
            </w:r>
          </w:p>
        </w:tc>
        <w:tc>
          <w:tcPr>
            <w:tcW w:w="2546" w:type="dxa"/>
            <w:vAlign w:val="center"/>
          </w:tcPr>
          <w:p w14:paraId="30F819E7" w14:textId="6F02AE70" w:rsidR="00F127FA" w:rsidRPr="00F32F4E" w:rsidRDefault="00F127FA" w:rsidP="00DD6F57">
            <w:pPr>
              <w:spacing w:before="0" w:after="0" w:line="240" w:lineRule="auto"/>
              <w:jc w:val="center"/>
              <w:rPr>
                <w:rFonts w:cs="Times New Roman"/>
                <w:lang w:val="el-GR"/>
              </w:rPr>
            </w:pPr>
            <w:r>
              <w:rPr>
                <w:rFonts w:cs="Times New Roman"/>
                <w:lang w:val="el-GR"/>
              </w:rPr>
              <w:t>23</w:t>
            </w:r>
          </w:p>
        </w:tc>
        <w:tc>
          <w:tcPr>
            <w:tcW w:w="2529" w:type="dxa"/>
            <w:vAlign w:val="center"/>
          </w:tcPr>
          <w:p w14:paraId="39067ADA" w14:textId="77777777" w:rsidR="00F127FA" w:rsidRPr="00B6379A" w:rsidRDefault="00F127FA" w:rsidP="00DD6F57">
            <w:pPr>
              <w:spacing w:before="0" w:after="0" w:line="240" w:lineRule="auto"/>
              <w:jc w:val="center"/>
              <w:rPr>
                <w:rFonts w:cs="Times New Roman"/>
              </w:rPr>
            </w:pPr>
            <w:r w:rsidRPr="00B6379A">
              <w:rPr>
                <w:rFonts w:cs="Times New Roman"/>
              </w:rPr>
              <w:t>409</w:t>
            </w:r>
          </w:p>
        </w:tc>
        <w:tc>
          <w:tcPr>
            <w:tcW w:w="2200" w:type="dxa"/>
          </w:tcPr>
          <w:p w14:paraId="0EFE50F0" w14:textId="6B764B03" w:rsidR="00F127FA" w:rsidRPr="00B6379A" w:rsidRDefault="00BA049F" w:rsidP="00DD6F57">
            <w:pPr>
              <w:spacing w:before="0" w:after="0" w:line="240" w:lineRule="auto"/>
              <w:jc w:val="center"/>
              <w:rPr>
                <w:rFonts w:cs="Times New Roman"/>
              </w:rPr>
            </w:pPr>
            <w:r>
              <w:rPr>
                <w:rFonts w:cs="Times New Roman"/>
              </w:rPr>
              <w:t>63.1%</w:t>
            </w:r>
          </w:p>
        </w:tc>
      </w:tr>
      <w:tr w:rsidR="00F127FA" w:rsidRPr="00B6379A" w14:paraId="4E2E45F7" w14:textId="4D73C24E" w:rsidTr="0072269E">
        <w:trPr>
          <w:jc w:val="center"/>
        </w:trPr>
        <w:tc>
          <w:tcPr>
            <w:tcW w:w="1015" w:type="dxa"/>
          </w:tcPr>
          <w:p w14:paraId="4CE56F53" w14:textId="77777777" w:rsidR="00F127FA" w:rsidRPr="00B6379A" w:rsidRDefault="00F127FA" w:rsidP="00DD6F57">
            <w:pPr>
              <w:spacing w:before="0" w:after="0" w:line="240" w:lineRule="auto"/>
              <w:jc w:val="center"/>
              <w:rPr>
                <w:rFonts w:cs="Times New Roman"/>
              </w:rPr>
            </w:pPr>
            <w:r w:rsidRPr="00B6379A">
              <w:rPr>
                <w:rFonts w:cs="Times New Roman"/>
              </w:rPr>
              <w:t>2014</w:t>
            </w:r>
          </w:p>
        </w:tc>
        <w:tc>
          <w:tcPr>
            <w:tcW w:w="2546" w:type="dxa"/>
            <w:vAlign w:val="center"/>
          </w:tcPr>
          <w:p w14:paraId="18ECAAEE" w14:textId="00DA632E" w:rsidR="00F127FA" w:rsidRPr="00F32F4E" w:rsidRDefault="00F127FA" w:rsidP="00DD6F57">
            <w:pPr>
              <w:spacing w:before="0" w:after="0" w:line="240" w:lineRule="auto"/>
              <w:jc w:val="center"/>
              <w:rPr>
                <w:rFonts w:cs="Times New Roman"/>
                <w:lang w:val="el-GR"/>
              </w:rPr>
            </w:pPr>
            <w:r w:rsidRPr="00B6379A">
              <w:rPr>
                <w:rFonts w:cs="Times New Roman"/>
              </w:rPr>
              <w:t>1</w:t>
            </w:r>
            <w:r>
              <w:rPr>
                <w:rFonts w:cs="Times New Roman"/>
                <w:lang w:val="el-GR"/>
              </w:rPr>
              <w:t>8</w:t>
            </w:r>
          </w:p>
        </w:tc>
        <w:tc>
          <w:tcPr>
            <w:tcW w:w="2529" w:type="dxa"/>
            <w:vAlign w:val="center"/>
          </w:tcPr>
          <w:p w14:paraId="4A6635E4" w14:textId="77777777" w:rsidR="00F127FA" w:rsidRPr="00B6379A" w:rsidRDefault="00F127FA" w:rsidP="00DD6F57">
            <w:pPr>
              <w:spacing w:before="0" w:after="0" w:line="240" w:lineRule="auto"/>
              <w:jc w:val="center"/>
              <w:rPr>
                <w:rFonts w:cs="Times New Roman"/>
              </w:rPr>
            </w:pPr>
            <w:r w:rsidRPr="00B6379A">
              <w:rPr>
                <w:rFonts w:cs="Times New Roman"/>
              </w:rPr>
              <w:t>286</w:t>
            </w:r>
          </w:p>
        </w:tc>
        <w:tc>
          <w:tcPr>
            <w:tcW w:w="2200" w:type="dxa"/>
          </w:tcPr>
          <w:p w14:paraId="6CF2103C" w14:textId="168C4D2C" w:rsidR="00F127FA" w:rsidRPr="00B6379A" w:rsidRDefault="00BA049F" w:rsidP="00DD6F57">
            <w:pPr>
              <w:spacing w:before="0" w:after="0" w:line="240" w:lineRule="auto"/>
              <w:jc w:val="center"/>
              <w:rPr>
                <w:rFonts w:cs="Times New Roman"/>
              </w:rPr>
            </w:pPr>
            <w:r>
              <w:rPr>
                <w:rFonts w:cs="Times New Roman"/>
              </w:rPr>
              <w:t>21.9%</w:t>
            </w:r>
          </w:p>
        </w:tc>
      </w:tr>
      <w:tr w:rsidR="00F127FA" w:rsidRPr="00B6379A" w14:paraId="3F8659C8" w14:textId="1D65CF33" w:rsidTr="0072269E">
        <w:trPr>
          <w:jc w:val="center"/>
        </w:trPr>
        <w:tc>
          <w:tcPr>
            <w:tcW w:w="1015" w:type="dxa"/>
          </w:tcPr>
          <w:p w14:paraId="603F0246" w14:textId="77777777" w:rsidR="00F127FA" w:rsidRPr="00B6379A" w:rsidRDefault="00F127FA" w:rsidP="00DD6F57">
            <w:pPr>
              <w:spacing w:before="0" w:after="0" w:line="240" w:lineRule="auto"/>
              <w:jc w:val="center"/>
              <w:rPr>
                <w:rFonts w:cs="Times New Roman"/>
              </w:rPr>
            </w:pPr>
            <w:r w:rsidRPr="00B6379A">
              <w:rPr>
                <w:rFonts w:cs="Times New Roman"/>
              </w:rPr>
              <w:t>2015</w:t>
            </w:r>
          </w:p>
        </w:tc>
        <w:tc>
          <w:tcPr>
            <w:tcW w:w="2546" w:type="dxa"/>
            <w:vAlign w:val="center"/>
          </w:tcPr>
          <w:p w14:paraId="6C4726B2" w14:textId="12DC4001" w:rsidR="00F127FA" w:rsidRPr="00F32F4E" w:rsidRDefault="00F127FA" w:rsidP="00DD6F57">
            <w:pPr>
              <w:spacing w:before="0" w:after="0" w:line="240" w:lineRule="auto"/>
              <w:jc w:val="center"/>
              <w:rPr>
                <w:rFonts w:cs="Times New Roman"/>
                <w:lang w:val="el-GR"/>
              </w:rPr>
            </w:pPr>
            <w:r w:rsidRPr="00B6379A">
              <w:rPr>
                <w:rFonts w:cs="Times New Roman"/>
              </w:rPr>
              <w:t>1</w:t>
            </w:r>
            <w:r>
              <w:rPr>
                <w:rFonts w:cs="Times New Roman"/>
                <w:lang w:val="el-GR"/>
              </w:rPr>
              <w:t>8</w:t>
            </w:r>
          </w:p>
        </w:tc>
        <w:tc>
          <w:tcPr>
            <w:tcW w:w="2529" w:type="dxa"/>
            <w:vAlign w:val="center"/>
          </w:tcPr>
          <w:p w14:paraId="00A470C1" w14:textId="77777777" w:rsidR="00F127FA" w:rsidRPr="00B6379A" w:rsidRDefault="00F127FA" w:rsidP="00DD6F57">
            <w:pPr>
              <w:spacing w:before="0" w:after="0" w:line="240" w:lineRule="auto"/>
              <w:jc w:val="center"/>
              <w:rPr>
                <w:rFonts w:cs="Times New Roman"/>
              </w:rPr>
            </w:pPr>
            <w:r w:rsidRPr="00B6379A">
              <w:rPr>
                <w:rFonts w:cs="Times New Roman"/>
              </w:rPr>
              <w:t>263</w:t>
            </w:r>
          </w:p>
        </w:tc>
        <w:tc>
          <w:tcPr>
            <w:tcW w:w="2200" w:type="dxa"/>
          </w:tcPr>
          <w:p w14:paraId="65CAA5AD" w14:textId="1F7941B1" w:rsidR="00F127FA" w:rsidRPr="00B6379A" w:rsidRDefault="00BA049F" w:rsidP="00DD6F57">
            <w:pPr>
              <w:spacing w:before="0" w:after="0" w:line="240" w:lineRule="auto"/>
              <w:jc w:val="center"/>
              <w:rPr>
                <w:rFonts w:cs="Times New Roman"/>
              </w:rPr>
            </w:pPr>
            <w:r>
              <w:rPr>
                <w:rFonts w:cs="Times New Roman"/>
              </w:rPr>
              <w:t>23.7%</w:t>
            </w:r>
          </w:p>
        </w:tc>
      </w:tr>
      <w:tr w:rsidR="00F127FA" w:rsidRPr="00B6379A" w14:paraId="2D6C20F9" w14:textId="2A42C8FF" w:rsidTr="0072269E">
        <w:trPr>
          <w:jc w:val="center"/>
        </w:trPr>
        <w:tc>
          <w:tcPr>
            <w:tcW w:w="1015" w:type="dxa"/>
          </w:tcPr>
          <w:p w14:paraId="6DC49343" w14:textId="41959A67" w:rsidR="00F127FA" w:rsidRPr="002814E4" w:rsidRDefault="00F127FA" w:rsidP="00DD6F57">
            <w:pPr>
              <w:spacing w:before="0" w:after="0" w:line="240" w:lineRule="auto"/>
              <w:jc w:val="center"/>
              <w:rPr>
                <w:rFonts w:cs="Times New Roman"/>
                <w:lang w:val="el-GR"/>
              </w:rPr>
            </w:pPr>
            <w:r w:rsidRPr="002814E4">
              <w:rPr>
                <w:rFonts w:cs="Times New Roman"/>
                <w:lang w:val="el-GR"/>
              </w:rPr>
              <w:t>2016</w:t>
            </w:r>
          </w:p>
        </w:tc>
        <w:tc>
          <w:tcPr>
            <w:tcW w:w="2546" w:type="dxa"/>
            <w:vAlign w:val="center"/>
          </w:tcPr>
          <w:p w14:paraId="2952554C" w14:textId="10120730" w:rsidR="00F127FA" w:rsidRPr="00F32F4E" w:rsidRDefault="00F127FA" w:rsidP="00DD6F57">
            <w:pPr>
              <w:spacing w:before="0" w:after="0" w:line="240" w:lineRule="auto"/>
              <w:jc w:val="center"/>
              <w:rPr>
                <w:rFonts w:cs="Times New Roman"/>
                <w:lang w:val="el-GR"/>
              </w:rPr>
            </w:pPr>
            <w:r>
              <w:rPr>
                <w:rFonts w:cs="Times New Roman"/>
                <w:lang w:val="el-GR"/>
              </w:rPr>
              <w:t>15</w:t>
            </w:r>
          </w:p>
        </w:tc>
        <w:tc>
          <w:tcPr>
            <w:tcW w:w="2529" w:type="dxa"/>
            <w:vAlign w:val="center"/>
          </w:tcPr>
          <w:p w14:paraId="569F0413" w14:textId="0430E310" w:rsidR="00F127FA" w:rsidRPr="002814E4" w:rsidRDefault="00F127FA" w:rsidP="00DD6F57">
            <w:pPr>
              <w:spacing w:before="0" w:after="0" w:line="240" w:lineRule="auto"/>
              <w:jc w:val="center"/>
              <w:rPr>
                <w:rFonts w:cs="Times New Roman"/>
                <w:lang w:val="el-GR"/>
              </w:rPr>
            </w:pPr>
            <w:r>
              <w:rPr>
                <w:rFonts w:cs="Times New Roman"/>
                <w:lang w:val="el-GR"/>
              </w:rPr>
              <w:t>318</w:t>
            </w:r>
          </w:p>
        </w:tc>
        <w:tc>
          <w:tcPr>
            <w:tcW w:w="2200" w:type="dxa"/>
          </w:tcPr>
          <w:p w14:paraId="5F25AEBC" w14:textId="09D9D954" w:rsidR="00F127FA" w:rsidRPr="00BA049F" w:rsidRDefault="00BA049F" w:rsidP="00DD6F57">
            <w:pPr>
              <w:spacing w:before="0" w:after="0" w:line="240" w:lineRule="auto"/>
              <w:jc w:val="center"/>
              <w:rPr>
                <w:rFonts w:cs="Times New Roman"/>
                <w:lang w:val="el-GR"/>
              </w:rPr>
            </w:pPr>
            <w:r>
              <w:rPr>
                <w:rFonts w:cs="Times New Roman"/>
              </w:rPr>
              <w:t>25.5%</w:t>
            </w:r>
          </w:p>
        </w:tc>
      </w:tr>
    </w:tbl>
    <w:p w14:paraId="77F1AC5E" w14:textId="4BD6CFE6" w:rsidR="00EE124F" w:rsidRPr="00310B4E" w:rsidRDefault="00EE124F" w:rsidP="0072269E">
      <w:pPr>
        <w:spacing w:line="240" w:lineRule="auto"/>
        <w:rPr>
          <w:rFonts w:cs="Times New Roman"/>
          <w:sz w:val="20"/>
          <w:szCs w:val="20"/>
        </w:rPr>
      </w:pPr>
      <w:r w:rsidRPr="00B6379A">
        <w:rPr>
          <w:rFonts w:cs="Times New Roman"/>
          <w:sz w:val="20"/>
          <w:szCs w:val="20"/>
        </w:rPr>
        <w:t xml:space="preserve">Source: </w:t>
      </w:r>
      <w:r w:rsidR="00BE2B3D">
        <w:rPr>
          <w:rFonts w:cs="Times New Roman"/>
          <w:sz w:val="20"/>
          <w:szCs w:val="20"/>
        </w:rPr>
        <w:t xml:space="preserve">Collective Agreements from the </w:t>
      </w:r>
      <w:r w:rsidRPr="00B6379A">
        <w:rPr>
          <w:rFonts w:cs="Times New Roman"/>
          <w:sz w:val="20"/>
          <w:szCs w:val="20"/>
        </w:rPr>
        <w:t xml:space="preserve">Greek Ministry of </w:t>
      </w:r>
      <w:r w:rsidR="002814E4">
        <w:rPr>
          <w:rFonts w:cs="Times New Roman"/>
          <w:sz w:val="20"/>
          <w:szCs w:val="20"/>
        </w:rPr>
        <w:t>Employment and Social Affairs</w:t>
      </w:r>
      <w:r w:rsidR="00BE2B3D">
        <w:rPr>
          <w:rFonts w:cs="Times New Roman"/>
          <w:sz w:val="20"/>
          <w:szCs w:val="20"/>
        </w:rPr>
        <w:t xml:space="preserve">; Collective bargaining coverage from </w:t>
      </w:r>
      <w:r w:rsidR="00BE2B3D" w:rsidRPr="00283970">
        <w:rPr>
          <w:rFonts w:cs="Times New Roman"/>
          <w:sz w:val="20"/>
          <w:szCs w:val="20"/>
        </w:rPr>
        <w:t xml:space="preserve">Visser </w:t>
      </w:r>
      <w:r w:rsidR="00283970">
        <w:rPr>
          <w:rFonts w:cs="Times New Roman"/>
          <w:color w:val="FF0000"/>
          <w:sz w:val="20"/>
          <w:szCs w:val="20"/>
        </w:rPr>
        <w:fldChar w:fldCharType="begin"/>
      </w:r>
      <w:r w:rsidR="00943757">
        <w:rPr>
          <w:rFonts w:cs="Times New Roman"/>
          <w:color w:val="FF0000"/>
          <w:sz w:val="20"/>
          <w:szCs w:val="20"/>
        </w:rPr>
        <w:instrText xml:space="preserve"> ADDIN ZOTERO_ITEM CSL_CITATION {"citationID":"MfOcxfM1","properties":{"formattedCitation":"(2019)","plainCitation":"(2019)","noteIndex":0},"citationItems":[{"id":1145,"uris":["http://zotero.org/users/2360415/items/CVQI4VU6"],"uri":["http://zotero.org/users/2360415/items/CVQI4VU6"],"itemData":{"id":1145,"type":"report","event-place":"Amsterdam","publisher":"Amsterdam Institute for Advanced Labour Studies (AIAS), University of Amsterdam","publisher-place":"Amsterdam","title":"ICTWSS Database. Version 6.0","author":[{"family":"Visser","given":"Jelle"}],"issued":{"date-parts":[["2019"]]}},"suppress-author":true}],"schema":"https://github.com/citation-style-language/schema/raw/master/csl-citation.json"} </w:instrText>
      </w:r>
      <w:r w:rsidR="00283970">
        <w:rPr>
          <w:rFonts w:cs="Times New Roman"/>
          <w:color w:val="FF0000"/>
          <w:sz w:val="20"/>
          <w:szCs w:val="20"/>
        </w:rPr>
        <w:fldChar w:fldCharType="separate"/>
      </w:r>
      <w:r w:rsidR="00283970" w:rsidRPr="00283970">
        <w:rPr>
          <w:rFonts w:cs="Times New Roman"/>
          <w:sz w:val="20"/>
        </w:rPr>
        <w:t>(2019)</w:t>
      </w:r>
      <w:r w:rsidR="00283970">
        <w:rPr>
          <w:rFonts w:cs="Times New Roman"/>
          <w:color w:val="FF0000"/>
          <w:sz w:val="20"/>
          <w:szCs w:val="20"/>
        </w:rPr>
        <w:fldChar w:fldCharType="end"/>
      </w:r>
      <w:r w:rsidR="00EE6473">
        <w:rPr>
          <w:rFonts w:cs="Times New Roman"/>
          <w:sz w:val="20"/>
          <w:szCs w:val="20"/>
        </w:rPr>
        <w:t>.</w:t>
      </w:r>
    </w:p>
    <w:p w14:paraId="73098053" w14:textId="5449E267" w:rsidR="0012094C" w:rsidRPr="00B6379A" w:rsidRDefault="00546563" w:rsidP="008F4DCD">
      <w:pPr>
        <w:rPr>
          <w:rFonts w:cs="Times New Roman"/>
        </w:rPr>
      </w:pPr>
      <w:r w:rsidRPr="00B6379A">
        <w:rPr>
          <w:rFonts w:cs="Times New Roman"/>
        </w:rPr>
        <w:t xml:space="preserve">For </w:t>
      </w:r>
      <w:r w:rsidR="00310B4E">
        <w:rPr>
          <w:rFonts w:cs="Times New Roman"/>
        </w:rPr>
        <w:t>employer</w:t>
      </w:r>
      <w:r w:rsidR="00BE288D" w:rsidRPr="00B6379A">
        <w:rPr>
          <w:rFonts w:cs="Times New Roman"/>
        </w:rPr>
        <w:t xml:space="preserve"> </w:t>
      </w:r>
      <w:r w:rsidR="007A52AB">
        <w:rPr>
          <w:rFonts w:cs="Times New Roman"/>
        </w:rPr>
        <w:t>associations</w:t>
      </w:r>
      <w:r w:rsidRPr="00B6379A">
        <w:rPr>
          <w:rFonts w:cs="Times New Roman"/>
        </w:rPr>
        <w:t xml:space="preserve"> the new institutional </w:t>
      </w:r>
      <w:r w:rsidR="00AF7C61">
        <w:rPr>
          <w:rFonts w:cs="Times New Roman"/>
        </w:rPr>
        <w:t>frame</w:t>
      </w:r>
      <w:r w:rsidR="00EB0885">
        <w:rPr>
          <w:rFonts w:cs="Times New Roman"/>
        </w:rPr>
        <w:t>work</w:t>
      </w:r>
      <w:r w:rsidRPr="00B6379A">
        <w:rPr>
          <w:rFonts w:cs="Times New Roman"/>
        </w:rPr>
        <w:t xml:space="preserve"> posited</w:t>
      </w:r>
      <w:r w:rsidR="00310B4E">
        <w:rPr>
          <w:rFonts w:cs="Times New Roman"/>
        </w:rPr>
        <w:t xml:space="preserve"> important existential dilemmas.</w:t>
      </w:r>
      <w:r w:rsidRPr="00B6379A">
        <w:rPr>
          <w:rFonts w:cs="Times New Roman"/>
        </w:rPr>
        <w:t xml:space="preserve"> </w:t>
      </w:r>
      <w:r w:rsidR="00310B4E">
        <w:rPr>
          <w:rFonts w:cs="Times New Roman"/>
        </w:rPr>
        <w:t>O</w:t>
      </w:r>
      <w:r w:rsidRPr="00B6379A">
        <w:rPr>
          <w:rFonts w:cs="Times New Roman"/>
        </w:rPr>
        <w:t>n the one hand</w:t>
      </w:r>
      <w:r w:rsidR="00310B4E">
        <w:rPr>
          <w:rFonts w:cs="Times New Roman"/>
        </w:rPr>
        <w:t>,</w:t>
      </w:r>
      <w:r w:rsidR="00D566E2" w:rsidRPr="00B6379A">
        <w:rPr>
          <w:rFonts w:cs="Times New Roman"/>
        </w:rPr>
        <w:t xml:space="preserve"> their members seemed to embrace the trajectory of change – as reflected </w:t>
      </w:r>
      <w:r w:rsidR="00141802">
        <w:rPr>
          <w:rFonts w:cs="Times New Roman"/>
        </w:rPr>
        <w:t>in</w:t>
      </w:r>
      <w:r w:rsidR="00D566E2" w:rsidRPr="00B6379A">
        <w:rPr>
          <w:rFonts w:cs="Times New Roman"/>
        </w:rPr>
        <w:t xml:space="preserve"> the declin</w:t>
      </w:r>
      <w:r w:rsidR="00250056" w:rsidRPr="00B6379A">
        <w:rPr>
          <w:rFonts w:cs="Times New Roman"/>
        </w:rPr>
        <w:t>e</w:t>
      </w:r>
      <w:r w:rsidR="00D566E2" w:rsidRPr="00B6379A">
        <w:rPr>
          <w:rFonts w:cs="Times New Roman"/>
        </w:rPr>
        <w:t xml:space="preserve"> of wages, the marginalisation of sectoral collective bargaining, and the increasing fl</w:t>
      </w:r>
      <w:r w:rsidR="00921A63">
        <w:rPr>
          <w:rFonts w:cs="Times New Roman"/>
        </w:rPr>
        <w:t>exibility in the labour market. O</w:t>
      </w:r>
      <w:r w:rsidR="00D566E2" w:rsidRPr="00B6379A">
        <w:rPr>
          <w:rFonts w:cs="Times New Roman"/>
        </w:rPr>
        <w:t xml:space="preserve">n the other hand, having the benefit of a more macroscopic view of the Greek economy and </w:t>
      </w:r>
      <w:r w:rsidR="00AA0F87" w:rsidRPr="00B6379A">
        <w:rPr>
          <w:rFonts w:cs="Times New Roman"/>
        </w:rPr>
        <w:t xml:space="preserve">the </w:t>
      </w:r>
      <w:r w:rsidR="00D566E2" w:rsidRPr="00B6379A">
        <w:rPr>
          <w:rFonts w:cs="Times New Roman"/>
        </w:rPr>
        <w:t xml:space="preserve">labour market, </w:t>
      </w:r>
      <w:r w:rsidR="00AF7C61">
        <w:rPr>
          <w:rFonts w:cs="Times New Roman"/>
        </w:rPr>
        <w:t>employer</w:t>
      </w:r>
      <w:r w:rsidR="009A0168">
        <w:rPr>
          <w:rFonts w:cs="Times New Roman"/>
        </w:rPr>
        <w:t>s’</w:t>
      </w:r>
      <w:r w:rsidR="00BE288D" w:rsidRPr="00B6379A">
        <w:rPr>
          <w:rFonts w:cs="Times New Roman"/>
        </w:rPr>
        <w:t xml:space="preserve"> </w:t>
      </w:r>
      <w:r w:rsidR="007A52AB">
        <w:rPr>
          <w:rFonts w:cs="Times New Roman"/>
        </w:rPr>
        <w:t>associations</w:t>
      </w:r>
      <w:r w:rsidR="00D566E2" w:rsidRPr="00B6379A">
        <w:rPr>
          <w:rFonts w:cs="Times New Roman"/>
        </w:rPr>
        <w:t xml:space="preserve"> seemed to be very concerned about the </w:t>
      </w:r>
      <w:r w:rsidR="00411F8C">
        <w:rPr>
          <w:rFonts w:cs="Times New Roman"/>
        </w:rPr>
        <w:t xml:space="preserve">long-term </w:t>
      </w:r>
      <w:r w:rsidR="00D566E2" w:rsidRPr="00B6379A">
        <w:rPr>
          <w:rFonts w:cs="Times New Roman"/>
        </w:rPr>
        <w:t xml:space="preserve">impact of these changes </w:t>
      </w:r>
      <w:r w:rsidR="009A0168">
        <w:rPr>
          <w:rFonts w:cs="Times New Roman"/>
        </w:rPr>
        <w:t>on</w:t>
      </w:r>
      <w:r w:rsidR="009A0168" w:rsidRPr="00B6379A">
        <w:rPr>
          <w:rFonts w:cs="Times New Roman"/>
        </w:rPr>
        <w:t xml:space="preserve"> </w:t>
      </w:r>
      <w:r w:rsidR="008F6369">
        <w:rPr>
          <w:rFonts w:cs="Times New Roman"/>
        </w:rPr>
        <w:t xml:space="preserve">private </w:t>
      </w:r>
      <w:r w:rsidR="00D566E2" w:rsidRPr="00B6379A">
        <w:rPr>
          <w:rFonts w:cs="Times New Roman"/>
        </w:rPr>
        <w:t xml:space="preserve">consumption and </w:t>
      </w:r>
      <w:r w:rsidR="00570E1A" w:rsidRPr="00B6379A">
        <w:rPr>
          <w:rFonts w:cs="Times New Roman"/>
        </w:rPr>
        <w:t xml:space="preserve">the overall </w:t>
      </w:r>
      <w:r w:rsidR="00D566E2" w:rsidRPr="00B6379A">
        <w:rPr>
          <w:rFonts w:cs="Times New Roman"/>
        </w:rPr>
        <w:t xml:space="preserve">survival of their sectors. </w:t>
      </w:r>
      <w:r w:rsidR="00411F8C">
        <w:rPr>
          <w:rFonts w:cs="Times New Roman"/>
        </w:rPr>
        <w:t xml:space="preserve">The </w:t>
      </w:r>
      <w:r w:rsidR="0031081B">
        <w:rPr>
          <w:rFonts w:cs="Times New Roman"/>
        </w:rPr>
        <w:t>interests</w:t>
      </w:r>
      <w:r w:rsidR="00411F8C">
        <w:rPr>
          <w:rFonts w:cs="Times New Roman"/>
        </w:rPr>
        <w:t xml:space="preserve"> they represent</w:t>
      </w:r>
      <w:r w:rsidR="0031081B">
        <w:rPr>
          <w:rFonts w:cs="Times New Roman"/>
        </w:rPr>
        <w:t xml:space="preserve"> and</w:t>
      </w:r>
      <w:r w:rsidR="00250056" w:rsidRPr="00B6379A">
        <w:rPr>
          <w:rFonts w:cs="Times New Roman"/>
        </w:rPr>
        <w:t xml:space="preserve"> their </w:t>
      </w:r>
      <w:r w:rsidR="00AA0150">
        <w:rPr>
          <w:rFonts w:cs="Times New Roman"/>
        </w:rPr>
        <w:t>structural role</w:t>
      </w:r>
      <w:r w:rsidR="00250056" w:rsidRPr="00B6379A">
        <w:rPr>
          <w:rFonts w:cs="Times New Roman"/>
        </w:rPr>
        <w:t xml:space="preserve"> and power in the </w:t>
      </w:r>
      <w:r w:rsidR="00921A63">
        <w:rPr>
          <w:rFonts w:cs="Times New Roman"/>
        </w:rPr>
        <w:t>employment relations</w:t>
      </w:r>
      <w:r w:rsidR="00250056" w:rsidRPr="00B6379A">
        <w:rPr>
          <w:rFonts w:cs="Times New Roman"/>
        </w:rPr>
        <w:t xml:space="preserve"> system</w:t>
      </w:r>
      <w:r w:rsidR="00411F8C">
        <w:rPr>
          <w:rFonts w:cs="Times New Roman"/>
        </w:rPr>
        <w:t xml:space="preserve"> eventually informed their strategic response to this dilemma.</w:t>
      </w:r>
    </w:p>
    <w:p w14:paraId="768E5EBD" w14:textId="6D381292" w:rsidR="00E22F90" w:rsidRPr="00B6379A" w:rsidRDefault="00E22F90" w:rsidP="00E22F90">
      <w:pPr>
        <w:rPr>
          <w:rFonts w:cs="Times New Roman"/>
        </w:rPr>
      </w:pPr>
      <w:r w:rsidRPr="00B6379A">
        <w:t>Prior to the crisis, collective barga</w:t>
      </w:r>
      <w:r w:rsidR="00AF7C61">
        <w:t xml:space="preserve">ining and wage determination </w:t>
      </w:r>
      <w:r w:rsidRPr="00B6379A">
        <w:t>was characterised by a high level of centralisation</w:t>
      </w:r>
      <w:r w:rsidR="001D138D" w:rsidRPr="00B6379A">
        <w:t xml:space="preserve"> and </w:t>
      </w:r>
      <w:r w:rsidR="001D138D" w:rsidRPr="00ED6B34">
        <w:t>coordination</w:t>
      </w:r>
      <w:r w:rsidRPr="00ED6B34">
        <w:t xml:space="preserve"> </w:t>
      </w:r>
      <w:r w:rsidR="00403898">
        <w:fldChar w:fldCharType="begin"/>
      </w:r>
      <w:r w:rsidR="00403898">
        <w:instrText xml:space="preserve"> ADDIN ZOTERO_ITEM CSL_CITATION {"citationID":"eruRAoaA","properties":{"formattedCitation":"(Kornelakis and Voskeritsian, 2014)","plainCitation":"(Kornelakis and Voskeritsian, 2014)","noteIndex":0},"citationItems":[{"id":232,"uris":["http://zotero.org/users/2360415/items/2W4I4TKM"],"uri":["http://zotero.org/users/2360415/items/2W4I4TKM"],"itemData":{"id":232,"type":"article-journal","abstract":"Since the eruption of the European sovereign debt crisis, the bailout conditions imposed on Greece have gradually shifted their emphasis from ‘‘tidying up\" public finances towards ‘‘improving the competitiveness\" of the economy. In the process, collective bargaining has been targeted as one of the priority areas for reform, which resulted in a gradual dismantling of the system. The main aim of this article is to analyse the changes in the institutional framework of employment regulation, using insights from the varieties of capitalism literature. It is argued that the on-going injection of liberal market elements into the Greek employment system is likely to transform Greece into a dysfunctional Liberal Market Economy. The changes in the collective regulation of employment ignore the specificities and idiosyncrasies of the Mediterranean model of capitalism and, thus, are likely to leave the country with the ‘‘worst of both worlds\": suboptimal economic performance and diluted social cohesion. The article is structured as follows. First, the debate on varieties of capitalism is considered in light of the Global Crisis. Second, the basic features of the Greek employment relations' model are discussed. Third, the transformation of employment regulation after the bailout is examined. Fourth, the evolution towards a dysfunctional Liberal Market Economy is analysed. The final section concludes. (English)","container-title":"Relations Industrielles / Industrial Relations","ISSN":"0034379X","issue":"2","page":"344-365","source":"EBSCOhost","title":"The Transformation of Employment Regulation in Greece: Towards a Dysfunctional Liberal Market Economy?","title-short":"The Transformation of Employment Regulation in Greece","volume":"69","author":[{"family":"Kornelakis","given":"Andreas"},{"family":"Voskeritsian","given":"Horen"}],"issued":{"date-parts":[["2014"]],"season":"Spring"}}}],"schema":"https://github.com/citation-style-language/schema/raw/master/csl-citation.json"} </w:instrText>
      </w:r>
      <w:r w:rsidR="00403898">
        <w:fldChar w:fldCharType="separate"/>
      </w:r>
      <w:r w:rsidR="00403898" w:rsidRPr="00403898">
        <w:rPr>
          <w:rFonts w:cs="Times New Roman"/>
        </w:rPr>
        <w:t>(Kornelakis and Voskeritsian, 2014)</w:t>
      </w:r>
      <w:r w:rsidR="00403898">
        <w:fldChar w:fldCharType="end"/>
      </w:r>
      <w:r w:rsidR="00E85188" w:rsidRPr="00ED6B34">
        <w:t xml:space="preserve">. </w:t>
      </w:r>
      <w:r w:rsidR="00E85188">
        <w:t xml:space="preserve">The key </w:t>
      </w:r>
      <w:r w:rsidR="00941E41" w:rsidRPr="00B6379A">
        <w:t xml:space="preserve">terms and conditions of employment were usually determined at the sectoral and occupational level and were later implemented across the market through the </w:t>
      </w:r>
      <w:r w:rsidR="00941E41" w:rsidRPr="00AF77A2">
        <w:rPr>
          <w:rFonts w:cs="Times New Roman"/>
          <w:i/>
          <w:iCs/>
        </w:rPr>
        <w:t>erga omnes</w:t>
      </w:r>
      <w:r w:rsidR="00941E41" w:rsidRPr="00B6379A">
        <w:rPr>
          <w:rFonts w:cs="Times New Roman"/>
        </w:rPr>
        <w:t xml:space="preserve"> and favourability principles</w:t>
      </w:r>
      <w:r w:rsidR="00941E41" w:rsidRPr="00B76447">
        <w:rPr>
          <w:rStyle w:val="FootnoteReference"/>
        </w:rPr>
        <w:footnoteReference w:id="1"/>
      </w:r>
      <w:r w:rsidR="00411F8C">
        <w:rPr>
          <w:rFonts w:cs="Times New Roman"/>
        </w:rPr>
        <w:t>.</w:t>
      </w:r>
      <w:r w:rsidR="00941E41" w:rsidRPr="00B6379A">
        <w:rPr>
          <w:rFonts w:cs="Times New Roman"/>
        </w:rPr>
        <w:t xml:space="preserve"> </w:t>
      </w:r>
      <w:r w:rsidR="00411F8C">
        <w:rPr>
          <w:rFonts w:cs="Times New Roman"/>
        </w:rPr>
        <w:t>T</w:t>
      </w:r>
      <w:r w:rsidR="00411F8C" w:rsidRPr="00B6379A">
        <w:rPr>
          <w:rFonts w:cs="Times New Roman"/>
        </w:rPr>
        <w:t xml:space="preserve">he </w:t>
      </w:r>
      <w:r w:rsidR="00941E41" w:rsidRPr="00B6379A">
        <w:rPr>
          <w:rFonts w:cs="Times New Roman"/>
        </w:rPr>
        <w:t xml:space="preserve">national collective agreement, signed by the peak-level </w:t>
      </w:r>
      <w:r w:rsidR="00EB6ED9">
        <w:rPr>
          <w:rFonts w:cs="Times New Roman"/>
        </w:rPr>
        <w:t>association</w:t>
      </w:r>
      <w:r w:rsidR="00941E41" w:rsidRPr="00B6379A">
        <w:rPr>
          <w:rFonts w:cs="Times New Roman"/>
        </w:rPr>
        <w:t xml:space="preserve"> and determining the National Minimum Wage (NMW), acted as the </w:t>
      </w:r>
      <w:r w:rsidR="00411F8C">
        <w:rPr>
          <w:rFonts w:cs="Times New Roman"/>
        </w:rPr>
        <w:t>‘pattern-setting’ mechanism</w:t>
      </w:r>
      <w:r w:rsidR="00411F8C" w:rsidRPr="00B6379A">
        <w:rPr>
          <w:rFonts w:cs="Times New Roman"/>
        </w:rPr>
        <w:t xml:space="preserve"> </w:t>
      </w:r>
      <w:r w:rsidR="00941E41" w:rsidRPr="00B6379A">
        <w:rPr>
          <w:rFonts w:cs="Times New Roman"/>
        </w:rPr>
        <w:t xml:space="preserve">to </w:t>
      </w:r>
      <w:r w:rsidR="00411F8C">
        <w:rPr>
          <w:rFonts w:cs="Times New Roman"/>
        </w:rPr>
        <w:t>guide</w:t>
      </w:r>
      <w:r w:rsidR="00411F8C" w:rsidRPr="00B6379A">
        <w:rPr>
          <w:rFonts w:cs="Times New Roman"/>
        </w:rPr>
        <w:t xml:space="preserve"> </w:t>
      </w:r>
      <w:r w:rsidR="00941E41" w:rsidRPr="00B6379A">
        <w:rPr>
          <w:rFonts w:cs="Times New Roman"/>
        </w:rPr>
        <w:t>sectoral and occupational level negotiations. In the few large establishments w</w:t>
      </w:r>
      <w:r w:rsidR="009E2D70">
        <w:rPr>
          <w:rFonts w:cs="Times New Roman"/>
        </w:rPr>
        <w:t>h</w:t>
      </w:r>
      <w:r w:rsidR="00941E41" w:rsidRPr="00B6379A">
        <w:rPr>
          <w:rFonts w:cs="Times New Roman"/>
        </w:rPr>
        <w:t>ere firm-level unions existed, firm-level collective agreements were also signed</w:t>
      </w:r>
      <w:r w:rsidR="00F9275B" w:rsidRPr="00B6379A">
        <w:rPr>
          <w:rFonts w:cs="Times New Roman"/>
        </w:rPr>
        <w:t>,</w:t>
      </w:r>
      <w:r w:rsidR="00941E41" w:rsidRPr="00B6379A">
        <w:rPr>
          <w:rFonts w:cs="Times New Roman"/>
        </w:rPr>
        <w:t xml:space="preserve"> </w:t>
      </w:r>
      <w:r w:rsidR="00F9275B" w:rsidRPr="00B6379A">
        <w:rPr>
          <w:rFonts w:cs="Times New Roman"/>
        </w:rPr>
        <w:t>which</w:t>
      </w:r>
      <w:r w:rsidR="00941E41" w:rsidRPr="00B6379A">
        <w:rPr>
          <w:rFonts w:cs="Times New Roman"/>
        </w:rPr>
        <w:t xml:space="preserve"> determined terms and conditions of employment for the firm’s employees. The whole system of collective bargaining was supported by an independent Organisation of Mediation and Arbitration (OMED), which </w:t>
      </w:r>
      <w:r w:rsidR="00A03B69" w:rsidRPr="00B6379A">
        <w:rPr>
          <w:rFonts w:cs="Times New Roman"/>
        </w:rPr>
        <w:t xml:space="preserve">helped alleviate conflict through a two-step process of mediation and arbitration: parties who were unable to </w:t>
      </w:r>
      <w:r w:rsidR="00AD5AAA" w:rsidRPr="00B6379A">
        <w:rPr>
          <w:rFonts w:cs="Times New Roman"/>
        </w:rPr>
        <w:t xml:space="preserve">independently </w:t>
      </w:r>
      <w:r w:rsidR="00A03B69" w:rsidRPr="00B6379A">
        <w:rPr>
          <w:rFonts w:cs="Times New Roman"/>
        </w:rPr>
        <w:t xml:space="preserve">conclude a collective agreement </w:t>
      </w:r>
      <w:r w:rsidR="00AD5AAA" w:rsidRPr="00B6379A">
        <w:rPr>
          <w:rFonts w:cs="Times New Roman"/>
        </w:rPr>
        <w:t>could</w:t>
      </w:r>
      <w:r w:rsidR="00A03B69" w:rsidRPr="00B6379A">
        <w:rPr>
          <w:rFonts w:cs="Times New Roman"/>
        </w:rPr>
        <w:t xml:space="preserve"> go through a mediation process and</w:t>
      </w:r>
      <w:r w:rsidR="009A0168">
        <w:rPr>
          <w:rFonts w:cs="Times New Roman"/>
        </w:rPr>
        <w:t>,</w:t>
      </w:r>
      <w:r w:rsidR="00A03B69" w:rsidRPr="00B6379A">
        <w:rPr>
          <w:rFonts w:cs="Times New Roman"/>
        </w:rPr>
        <w:t xml:space="preserve"> if an agreement could not be reached, they could proceed to the arbitration stage w</w:t>
      </w:r>
      <w:r w:rsidR="00AD5AAA" w:rsidRPr="00B6379A">
        <w:rPr>
          <w:rFonts w:cs="Times New Roman"/>
        </w:rPr>
        <w:t>h</w:t>
      </w:r>
      <w:r w:rsidR="00A03B69" w:rsidRPr="00B6379A">
        <w:rPr>
          <w:rFonts w:cs="Times New Roman"/>
        </w:rPr>
        <w:t xml:space="preserve">ere an independent arbitrator would </w:t>
      </w:r>
      <w:r w:rsidR="00AD5AAA" w:rsidRPr="00B6379A">
        <w:rPr>
          <w:rFonts w:cs="Times New Roman"/>
        </w:rPr>
        <w:t xml:space="preserve">eventually rule on the case. The system of mediation and arbitration was so designed as to encourage the resolution of conflict (and the signing of a collective agreement) at the mediation stage </w:t>
      </w:r>
      <w:r w:rsidR="00B87B8A" w:rsidRPr="00B6379A">
        <w:rPr>
          <w:rFonts w:cs="Times New Roman"/>
        </w:rPr>
        <w:fldChar w:fldCharType="begin"/>
      </w:r>
      <w:r w:rsidR="00943757">
        <w:rPr>
          <w:rFonts w:cs="Times New Roman"/>
        </w:rPr>
        <w:instrText xml:space="preserve"> ADDIN ZOTERO_ITEM CSL_CITATION {"citationID":"30i3ZCfm","properties":{"formattedCitation":"(Kazakos, 1998)","plainCitation":"(Kazakos, 1998)","noteIndex":0},"citationItems":[{"id":1118,"uris":["http://zotero.org/users/2360415/items/EARPT744"],"uri":["http://zotero.org/users/2360415/items/EARPT744"],"itemData":{"id":1118,"type":"book","event-place":"Thessaloniki","language":"Greek","publisher":"Sakkoulas","publisher-place":"Thessaloniki","title":"The Arbitration of Collective Interest Differences According to Law 1876/1990","author":[{"family":"Kazakos","given":"Aris"}],"issued":{"date-parts":[["1998"]]}}}],"schema":"https://github.com/citation-style-language/schema/raw/master/csl-citation.json"} </w:instrText>
      </w:r>
      <w:r w:rsidR="00B87B8A" w:rsidRPr="00B6379A">
        <w:rPr>
          <w:rFonts w:cs="Times New Roman"/>
        </w:rPr>
        <w:fldChar w:fldCharType="separate"/>
      </w:r>
      <w:r w:rsidR="006C2C79" w:rsidRPr="006C2C79">
        <w:rPr>
          <w:rFonts w:cs="Times New Roman"/>
        </w:rPr>
        <w:t>(Kazakos, 1998)</w:t>
      </w:r>
      <w:r w:rsidR="00B87B8A" w:rsidRPr="00B6379A">
        <w:rPr>
          <w:rFonts w:cs="Times New Roman"/>
        </w:rPr>
        <w:fldChar w:fldCharType="end"/>
      </w:r>
      <w:r w:rsidR="00AD5AAA" w:rsidRPr="00B6379A">
        <w:rPr>
          <w:rFonts w:cs="Times New Roman"/>
        </w:rPr>
        <w:t xml:space="preserve">, perceiving the system of compulsory arbitration as the </w:t>
      </w:r>
      <w:r w:rsidR="009B3C00">
        <w:rPr>
          <w:rFonts w:cs="Times New Roman"/>
        </w:rPr>
        <w:t>‘</w:t>
      </w:r>
      <w:r w:rsidR="00AD5AAA" w:rsidRPr="00B6379A">
        <w:rPr>
          <w:rFonts w:cs="Times New Roman"/>
        </w:rPr>
        <w:t>last resort</w:t>
      </w:r>
      <w:r w:rsidR="009B3C00">
        <w:rPr>
          <w:rFonts w:cs="Times New Roman"/>
        </w:rPr>
        <w:t>’</w:t>
      </w:r>
      <w:r w:rsidR="00AD5AAA" w:rsidRPr="00B6379A">
        <w:rPr>
          <w:rFonts w:cs="Times New Roman"/>
        </w:rPr>
        <w:t xml:space="preserve"> to ensure the smooth functioning of the system and the protection of employees. </w:t>
      </w:r>
      <w:r w:rsidR="00F0005D" w:rsidRPr="00B6379A">
        <w:rPr>
          <w:rFonts w:cs="Times New Roman"/>
        </w:rPr>
        <w:t xml:space="preserve">Indeed, the system seemed to be </w:t>
      </w:r>
      <w:r w:rsidR="009B3C00">
        <w:rPr>
          <w:rFonts w:cs="Times New Roman"/>
        </w:rPr>
        <w:t>achieving its objectives</w:t>
      </w:r>
      <w:r w:rsidR="00F0005D" w:rsidRPr="00B6379A">
        <w:rPr>
          <w:rFonts w:cs="Times New Roman"/>
        </w:rPr>
        <w:t>, as the majority of cases that ended up in OMED were resolved at the mediation stage and</w:t>
      </w:r>
      <w:r w:rsidR="00837BEF">
        <w:rPr>
          <w:rFonts w:cs="Times New Roman"/>
        </w:rPr>
        <w:t>,</w:t>
      </w:r>
      <w:r w:rsidR="00F0005D" w:rsidRPr="00B6379A">
        <w:rPr>
          <w:rFonts w:cs="Times New Roman"/>
        </w:rPr>
        <w:t xml:space="preserve"> although a minority went through the arbitration process, only a handful of those </w:t>
      </w:r>
      <w:r w:rsidR="009A0168">
        <w:rPr>
          <w:rFonts w:cs="Times New Roman"/>
        </w:rPr>
        <w:t>required a</w:t>
      </w:r>
      <w:r w:rsidR="00F0005D" w:rsidRPr="00B6379A">
        <w:rPr>
          <w:rFonts w:cs="Times New Roman"/>
        </w:rPr>
        <w:t xml:space="preserve"> compulsory ruling </w:t>
      </w:r>
      <w:r w:rsidR="009A0168">
        <w:rPr>
          <w:rFonts w:cs="Times New Roman"/>
        </w:rPr>
        <w:t xml:space="preserve">from </w:t>
      </w:r>
      <w:r w:rsidR="00F0005D" w:rsidRPr="00B6379A">
        <w:rPr>
          <w:rFonts w:cs="Times New Roman"/>
        </w:rPr>
        <w:t xml:space="preserve">the arbitrator </w:t>
      </w:r>
      <w:r w:rsidR="00F0005D" w:rsidRPr="00B6379A">
        <w:rPr>
          <w:rFonts w:cs="Times New Roman"/>
        </w:rPr>
        <w:fldChar w:fldCharType="begin"/>
      </w:r>
      <w:r w:rsidR="00943757">
        <w:rPr>
          <w:rFonts w:cs="Times New Roman"/>
        </w:rPr>
        <w:instrText xml:space="preserve"> ADDIN ZOTERO_ITEM CSL_CITATION {"citationID":"8lYfV5th","properties":{"formattedCitation":"(as the rest were amicably resolved at that stage \\uc0\\u8211{} see OMED, 2010 for a detailed discussion)","plainCitation":"(as the rest were amicably resolved at that stage – see OMED, 2010 for a detailed discussion)","noteIndex":0},"citationItems":[{"id":1117,"uris":["http://zotero.org/users/2360415/items/FSY5VQUM"],"uri":["http://zotero.org/users/2360415/items/FSY5VQUM"],"itemData":{"id":1117,"type":"report","event-place":"Athens","language":"Greek","publisher":"OMED","publisher-place":"Athens","title":"Review of the Organization for Mediation and Arbitration (OMED) Work 1992-2010","author":[{"family":"OMED","given":""}],"issued":{"date-parts":[["2010"]]}},"prefix":"as the rest were amicably resolved at that stage – see ","suffix":" for a detailed discussion"}],"schema":"https://github.com/citation-style-language/schema/raw/master/csl-citation.json"} </w:instrText>
      </w:r>
      <w:r w:rsidR="00F0005D" w:rsidRPr="00B6379A">
        <w:rPr>
          <w:rFonts w:cs="Times New Roman"/>
        </w:rPr>
        <w:fldChar w:fldCharType="separate"/>
      </w:r>
      <w:r w:rsidR="006C2C79" w:rsidRPr="006C2C79">
        <w:rPr>
          <w:rFonts w:cs="Times New Roman"/>
        </w:rPr>
        <w:t>(as the rest were amicably resolved at that stage – see OMED, 2010 for a detailed discussion)</w:t>
      </w:r>
      <w:r w:rsidR="00F0005D" w:rsidRPr="00B6379A">
        <w:rPr>
          <w:rFonts w:cs="Times New Roman"/>
        </w:rPr>
        <w:fldChar w:fldCharType="end"/>
      </w:r>
      <w:r w:rsidR="00F0005D" w:rsidRPr="00B6379A">
        <w:rPr>
          <w:rFonts w:cs="Times New Roman"/>
        </w:rPr>
        <w:t>.</w:t>
      </w:r>
    </w:p>
    <w:p w14:paraId="76C5E464" w14:textId="654E3705" w:rsidR="00574EE9" w:rsidRPr="007B27F9" w:rsidRDefault="00F602D0" w:rsidP="00C8404B">
      <w:pPr>
        <w:rPr>
          <w:rFonts w:cs="Times New Roman"/>
          <w:color w:val="FF0000"/>
        </w:rPr>
      </w:pPr>
      <w:r w:rsidRPr="00F602D0">
        <w:t xml:space="preserve">Although </w:t>
      </w:r>
      <w:r w:rsidR="006164A5" w:rsidRPr="00F602D0">
        <w:t xml:space="preserve">the high degree of centralisation </w:t>
      </w:r>
      <w:r w:rsidRPr="00F602D0">
        <w:t xml:space="preserve">ensured the existence of common standards across a sector and the avoidance of ‘wage dumping’, it also </w:t>
      </w:r>
      <w:r w:rsidR="009A0168">
        <w:t>resulted in</w:t>
      </w:r>
      <w:r w:rsidR="009A0168" w:rsidRPr="00F602D0">
        <w:t xml:space="preserve"> </w:t>
      </w:r>
      <w:r w:rsidR="00325A1C" w:rsidRPr="00F602D0">
        <w:t>a certain degree of inflexibility in the determination of wages, especially for th</w:t>
      </w:r>
      <w:r w:rsidR="00AF7C61" w:rsidRPr="00F602D0">
        <w:t xml:space="preserve">e </w:t>
      </w:r>
      <w:r w:rsidR="009B3C00">
        <w:t>S</w:t>
      </w:r>
      <w:r w:rsidR="009B3C00" w:rsidRPr="00F602D0">
        <w:t xml:space="preserve">mall </w:t>
      </w:r>
      <w:r w:rsidR="00AF7C61" w:rsidRPr="00F602D0">
        <w:t xml:space="preserve">and </w:t>
      </w:r>
      <w:r w:rsidR="009B3C00">
        <w:t>M</w:t>
      </w:r>
      <w:r w:rsidR="009B3C00" w:rsidRPr="00F602D0">
        <w:t>edium</w:t>
      </w:r>
      <w:r w:rsidR="009B3C00">
        <w:t>-sized</w:t>
      </w:r>
      <w:r w:rsidR="009B3C00" w:rsidRPr="00F602D0">
        <w:t xml:space="preserve"> </w:t>
      </w:r>
      <w:r w:rsidR="009B3C00">
        <w:t>E</w:t>
      </w:r>
      <w:r w:rsidR="009B3C00" w:rsidRPr="00F602D0">
        <w:t>nterprises</w:t>
      </w:r>
      <w:r w:rsidR="009B3C00">
        <w:t xml:space="preserve"> (SMEs)</w:t>
      </w:r>
      <w:r w:rsidR="00AF7C61" w:rsidRPr="00F602D0">
        <w:t>.</w:t>
      </w:r>
      <w:r>
        <w:rPr>
          <w:color w:val="FF0000"/>
        </w:rPr>
        <w:t xml:space="preserve"> </w:t>
      </w:r>
      <w:r w:rsidR="00AF7C61" w:rsidRPr="00B6379A">
        <w:rPr>
          <w:rFonts w:cs="Times New Roman"/>
        </w:rPr>
        <w:t xml:space="preserve">The MoU </w:t>
      </w:r>
      <w:r w:rsidR="00ED6B34">
        <w:rPr>
          <w:rFonts w:cs="Times New Roman"/>
        </w:rPr>
        <w:t>sought to rectify</w:t>
      </w:r>
      <w:r w:rsidR="00AF7C61">
        <w:rPr>
          <w:rFonts w:cs="Times New Roman"/>
        </w:rPr>
        <w:t xml:space="preserve"> </w:t>
      </w:r>
      <w:r w:rsidR="00AF7C61" w:rsidRPr="00B6379A">
        <w:rPr>
          <w:rFonts w:cs="Times New Roman"/>
        </w:rPr>
        <w:t>this inflexibility</w:t>
      </w:r>
      <w:r w:rsidR="009A0168" w:rsidRPr="009A0168">
        <w:rPr>
          <w:rFonts w:cs="Times New Roman"/>
        </w:rPr>
        <w:t xml:space="preserve"> </w:t>
      </w:r>
      <w:r w:rsidR="009A0168" w:rsidRPr="00B6379A">
        <w:rPr>
          <w:rFonts w:cs="Times New Roman"/>
        </w:rPr>
        <w:t>in two successive waves</w:t>
      </w:r>
      <w:r w:rsidR="00641EA8">
        <w:rPr>
          <w:rFonts w:cs="Times New Roman"/>
        </w:rPr>
        <w:t xml:space="preserve"> of reforms</w:t>
      </w:r>
      <w:r w:rsidR="00C8404B" w:rsidRPr="00B6379A">
        <w:rPr>
          <w:rFonts w:cs="Times New Roman"/>
        </w:rPr>
        <w:t xml:space="preserve">. In 2010 and 2011 two </w:t>
      </w:r>
      <w:r w:rsidR="009A0168">
        <w:rPr>
          <w:rFonts w:cs="Times New Roman"/>
        </w:rPr>
        <w:t>statutes</w:t>
      </w:r>
      <w:r w:rsidR="009A0168" w:rsidRPr="00B6379A">
        <w:rPr>
          <w:rFonts w:cs="Times New Roman"/>
        </w:rPr>
        <w:t xml:space="preserve"> </w:t>
      </w:r>
      <w:r w:rsidR="00574EE9" w:rsidRPr="00B6379A">
        <w:rPr>
          <w:rFonts w:cs="Times New Roman"/>
        </w:rPr>
        <w:t xml:space="preserve">(Law 3899/2010 and Law 4024/2011) </w:t>
      </w:r>
      <w:r w:rsidR="00C8404B" w:rsidRPr="00B6379A">
        <w:rPr>
          <w:rFonts w:cs="Times New Roman"/>
        </w:rPr>
        <w:t xml:space="preserve">allowed company-level collective agreements to </w:t>
      </w:r>
      <w:r w:rsidR="00574EE9" w:rsidRPr="00B6379A">
        <w:rPr>
          <w:rFonts w:cs="Times New Roman"/>
        </w:rPr>
        <w:t xml:space="preserve">derogate from sectoral ones by </w:t>
      </w:r>
      <w:r w:rsidR="00C8404B" w:rsidRPr="00B6379A">
        <w:rPr>
          <w:rFonts w:cs="Times New Roman"/>
        </w:rPr>
        <w:t>includ</w:t>
      </w:r>
      <w:r w:rsidR="00574EE9" w:rsidRPr="00B6379A">
        <w:rPr>
          <w:rFonts w:cs="Times New Roman"/>
        </w:rPr>
        <w:t>ing less favourable</w:t>
      </w:r>
      <w:r w:rsidR="00C8404B" w:rsidRPr="00B6379A">
        <w:rPr>
          <w:rFonts w:cs="Times New Roman"/>
        </w:rPr>
        <w:t xml:space="preserve"> terms and conditions of </w:t>
      </w:r>
      <w:r w:rsidR="00641EA8" w:rsidRPr="00B6379A">
        <w:rPr>
          <w:rFonts w:cs="Times New Roman"/>
        </w:rPr>
        <w:t>employment and</w:t>
      </w:r>
      <w:r w:rsidR="00BA6873" w:rsidRPr="00B6379A">
        <w:rPr>
          <w:rFonts w:cs="Times New Roman"/>
        </w:rPr>
        <w:t xml:space="preserve"> stipulated that only firms that were members of an employer’s association that ha</w:t>
      </w:r>
      <w:r w:rsidR="009A0168">
        <w:rPr>
          <w:rFonts w:cs="Times New Roman"/>
        </w:rPr>
        <w:t>d</w:t>
      </w:r>
      <w:r w:rsidR="00BA6873" w:rsidRPr="00B6379A">
        <w:rPr>
          <w:rFonts w:cs="Times New Roman"/>
        </w:rPr>
        <w:t xml:space="preserve"> signed a collective agreement were bound by said agreement.</w:t>
      </w:r>
      <w:r w:rsidR="00C8404B" w:rsidRPr="00B6379A">
        <w:rPr>
          <w:rFonts w:cs="Times New Roman"/>
        </w:rPr>
        <w:t xml:space="preserve"> </w:t>
      </w:r>
      <w:r w:rsidR="00574EE9" w:rsidRPr="00B6379A">
        <w:rPr>
          <w:rFonts w:cs="Times New Roman"/>
        </w:rPr>
        <w:t xml:space="preserve">To assist </w:t>
      </w:r>
      <w:r w:rsidR="00CA1B18">
        <w:rPr>
          <w:rFonts w:cs="Times New Roman"/>
        </w:rPr>
        <w:t xml:space="preserve">in </w:t>
      </w:r>
      <w:r w:rsidR="00574EE9" w:rsidRPr="00B6379A">
        <w:rPr>
          <w:rFonts w:cs="Times New Roman"/>
        </w:rPr>
        <w:t xml:space="preserve">the </w:t>
      </w:r>
      <w:r w:rsidR="00CA1B18">
        <w:rPr>
          <w:rFonts w:cs="Times New Roman"/>
        </w:rPr>
        <w:t>exercise</w:t>
      </w:r>
      <w:r w:rsidR="00CA1B18" w:rsidRPr="00B6379A">
        <w:rPr>
          <w:rFonts w:cs="Times New Roman"/>
        </w:rPr>
        <w:t xml:space="preserve"> </w:t>
      </w:r>
      <w:r w:rsidR="00574EE9" w:rsidRPr="00B6379A">
        <w:rPr>
          <w:rFonts w:cs="Times New Roman"/>
        </w:rPr>
        <w:t xml:space="preserve">of collective bargaining in firms that </w:t>
      </w:r>
      <w:r w:rsidR="00CA1B18">
        <w:rPr>
          <w:rFonts w:cs="Times New Roman"/>
        </w:rPr>
        <w:t>lacked</w:t>
      </w:r>
      <w:r w:rsidR="00574EE9" w:rsidRPr="00B6379A">
        <w:rPr>
          <w:rFonts w:cs="Times New Roman"/>
        </w:rPr>
        <w:t xml:space="preserve"> a firm-level trade union, the </w:t>
      </w:r>
      <w:r w:rsidR="00641EA8">
        <w:rPr>
          <w:rFonts w:cs="Times New Roman"/>
        </w:rPr>
        <w:t xml:space="preserve">new </w:t>
      </w:r>
      <w:r w:rsidR="00574EE9" w:rsidRPr="00B6379A">
        <w:rPr>
          <w:rFonts w:cs="Times New Roman"/>
        </w:rPr>
        <w:t>l</w:t>
      </w:r>
      <w:r w:rsidR="00641EA8">
        <w:rPr>
          <w:rFonts w:cs="Times New Roman"/>
        </w:rPr>
        <w:t>egal framework</w:t>
      </w:r>
      <w:r w:rsidR="00574EE9" w:rsidRPr="00B6379A">
        <w:rPr>
          <w:rFonts w:cs="Times New Roman"/>
        </w:rPr>
        <w:t xml:space="preserve"> </w:t>
      </w:r>
      <w:r w:rsidR="00CA1B18">
        <w:rPr>
          <w:rFonts w:cs="Times New Roman"/>
        </w:rPr>
        <w:t>conferred</w:t>
      </w:r>
      <w:r w:rsidR="00CA1B18" w:rsidRPr="00B6379A">
        <w:rPr>
          <w:rFonts w:cs="Times New Roman"/>
        </w:rPr>
        <w:t xml:space="preserve"> </w:t>
      </w:r>
      <w:r w:rsidR="00574EE9" w:rsidRPr="00B6379A">
        <w:rPr>
          <w:rFonts w:cs="Times New Roman"/>
        </w:rPr>
        <w:t xml:space="preserve">negotiation powers </w:t>
      </w:r>
      <w:r w:rsidR="00CA1B18">
        <w:rPr>
          <w:rFonts w:cs="Times New Roman"/>
        </w:rPr>
        <w:t xml:space="preserve">on </w:t>
      </w:r>
      <w:r w:rsidR="00574EE9" w:rsidRPr="00B6379A">
        <w:rPr>
          <w:rFonts w:cs="Times New Roman"/>
        </w:rPr>
        <w:t xml:space="preserve">a body that had remained dormant in the practice of employment relations since 1982 – the Association of Persons. </w:t>
      </w:r>
    </w:p>
    <w:p w14:paraId="6ED2BE2F" w14:textId="04A1975B" w:rsidR="00BA6873" w:rsidRPr="00B6379A" w:rsidRDefault="00BA6873" w:rsidP="00C8404B">
      <w:pPr>
        <w:rPr>
          <w:rFonts w:cs="Times New Roman"/>
        </w:rPr>
      </w:pPr>
      <w:r w:rsidRPr="00B6379A">
        <w:rPr>
          <w:rFonts w:cs="Times New Roman"/>
        </w:rPr>
        <w:t xml:space="preserve">Firms quickly responded to the </w:t>
      </w:r>
      <w:r w:rsidR="009B3C00">
        <w:rPr>
          <w:rFonts w:cs="Times New Roman"/>
        </w:rPr>
        <w:t xml:space="preserve">new </w:t>
      </w:r>
      <w:r w:rsidRPr="00B6379A">
        <w:rPr>
          <w:rFonts w:cs="Times New Roman"/>
        </w:rPr>
        <w:t xml:space="preserve">opportunities </w:t>
      </w:r>
      <w:r w:rsidR="009B3C00">
        <w:rPr>
          <w:rFonts w:cs="Times New Roman"/>
        </w:rPr>
        <w:t>that the institutional changes</w:t>
      </w:r>
      <w:r w:rsidRPr="00B6379A">
        <w:rPr>
          <w:rFonts w:cs="Times New Roman"/>
        </w:rPr>
        <w:t xml:space="preserve"> </w:t>
      </w:r>
      <w:r w:rsidR="00CA1B18">
        <w:rPr>
          <w:rFonts w:cs="Times New Roman"/>
        </w:rPr>
        <w:t>generated</w:t>
      </w:r>
      <w:r w:rsidRPr="00B6379A">
        <w:rPr>
          <w:rFonts w:cs="Times New Roman"/>
        </w:rPr>
        <w:t xml:space="preserve">. The old wage bargaining system quickly collapsed, with sectoral bargaining </w:t>
      </w:r>
      <w:r w:rsidR="00B259AE" w:rsidRPr="00B6379A">
        <w:rPr>
          <w:rFonts w:cs="Times New Roman"/>
        </w:rPr>
        <w:t>losing</w:t>
      </w:r>
      <w:r w:rsidRPr="00B6379A">
        <w:rPr>
          <w:rFonts w:cs="Times New Roman"/>
        </w:rPr>
        <w:t xml:space="preserve"> its appeal and firm-level collective and individual bargaining bec</w:t>
      </w:r>
      <w:r w:rsidR="008C71F3" w:rsidRPr="00B6379A">
        <w:rPr>
          <w:rFonts w:cs="Times New Roman"/>
        </w:rPr>
        <w:t>oming</w:t>
      </w:r>
      <w:r w:rsidRPr="00B6379A">
        <w:rPr>
          <w:rFonts w:cs="Times New Roman"/>
        </w:rPr>
        <w:t xml:space="preserve"> the new norm for the determination of wages</w:t>
      </w:r>
      <w:r w:rsidR="00AF7C61">
        <w:rPr>
          <w:rFonts w:cs="Times New Roman"/>
        </w:rPr>
        <w:t xml:space="preserve"> (</w:t>
      </w:r>
      <w:r w:rsidR="00003734">
        <w:rPr>
          <w:rFonts w:cs="Times New Roman"/>
        </w:rPr>
        <w:t>see</w:t>
      </w:r>
      <w:r w:rsidR="00AF7C61">
        <w:rPr>
          <w:rFonts w:cs="Times New Roman"/>
        </w:rPr>
        <w:t xml:space="preserve"> Table 1)</w:t>
      </w:r>
      <w:r w:rsidRPr="00B6379A">
        <w:rPr>
          <w:rFonts w:cs="Times New Roman"/>
        </w:rPr>
        <w:t xml:space="preserve">. </w:t>
      </w:r>
      <w:r w:rsidR="005920DB" w:rsidRPr="00B6379A">
        <w:rPr>
          <w:rFonts w:cs="Times New Roman"/>
        </w:rPr>
        <w:t xml:space="preserve">As a result of this decentralisation, </w:t>
      </w:r>
      <w:r w:rsidR="00CA1B18">
        <w:rPr>
          <w:rFonts w:cs="Times New Roman"/>
        </w:rPr>
        <w:t xml:space="preserve">both </w:t>
      </w:r>
      <w:r w:rsidR="00003734">
        <w:rPr>
          <w:rFonts w:cs="Times New Roman"/>
        </w:rPr>
        <w:t xml:space="preserve">collective bargaining coverage and </w:t>
      </w:r>
      <w:r w:rsidR="005920DB" w:rsidRPr="00B6379A">
        <w:rPr>
          <w:rFonts w:cs="Times New Roman"/>
        </w:rPr>
        <w:t xml:space="preserve">wages </w:t>
      </w:r>
      <w:r w:rsidR="00943E04" w:rsidRPr="00B6379A">
        <w:rPr>
          <w:rFonts w:cs="Times New Roman"/>
        </w:rPr>
        <w:t>declined</w:t>
      </w:r>
      <w:r w:rsidR="005920DB" w:rsidRPr="00B6379A">
        <w:rPr>
          <w:rFonts w:cs="Times New Roman"/>
        </w:rPr>
        <w:t xml:space="preserve"> significantly</w:t>
      </w:r>
      <w:r w:rsidR="00A001F0">
        <w:rPr>
          <w:rFonts w:cs="Times New Roman"/>
        </w:rPr>
        <w:t xml:space="preserve"> </w:t>
      </w:r>
      <w:r w:rsidR="00A001F0">
        <w:rPr>
          <w:rFonts w:cs="Times New Roman"/>
        </w:rPr>
        <w:fldChar w:fldCharType="begin"/>
      </w:r>
      <w:r w:rsidR="00943757">
        <w:rPr>
          <w:rFonts w:cs="Times New Roman"/>
        </w:rPr>
        <w:instrText xml:space="preserve"> ADDIN ZOTERO_ITEM CSL_CITATION {"citationID":"MPLCL0vq","properties":{"formattedCitation":"(Giannakopoulos and Laliotis, 2019)","plainCitation":"(Giannakopoulos and Laliotis, 2019)","noteIndex":0},"citationItems":[{"id":1113,"uris":["http://zotero.org/users/2360415/items/85ACSLDN"],"uri":["http://zotero.org/users/2360415/items/85ACSLDN"],"itemData":{"id":1113,"type":"chapter","container-title":"Greek Employment Relations in Crisis: Problems, Challenges and Prospects","edition":"1st","event-place":"London","language":"en","page":"83-103","publisher":"Routledge","publisher-place":"London","title":"Firm-level Bargaining and Wage Adjustments before and during the Crisis: Evidence from the 2011 Industrial Relations Reform","editor":[{"family":"Voskeritsian","given":"Horen"},{"family":"Kapotas","given":"Panos"},{"family":"Niforou","given":"Christina"}],"author":[{"family":"Giannakopoulos","given":"Nicholas"},{"family":"Laliotis","given":"Ioannis"}],"issued":{"date-parts":[["2019"]]}}}],"schema":"https://github.com/citation-style-language/schema/raw/master/csl-citation.json"} </w:instrText>
      </w:r>
      <w:r w:rsidR="00A001F0">
        <w:rPr>
          <w:rFonts w:cs="Times New Roman"/>
        </w:rPr>
        <w:fldChar w:fldCharType="separate"/>
      </w:r>
      <w:r w:rsidR="006C2C79" w:rsidRPr="006C2C79">
        <w:rPr>
          <w:rFonts w:cs="Times New Roman"/>
        </w:rPr>
        <w:t>(Giannakopoulos and Laliotis, 2019)</w:t>
      </w:r>
      <w:r w:rsidR="00A001F0">
        <w:rPr>
          <w:rFonts w:cs="Times New Roman"/>
        </w:rPr>
        <w:fldChar w:fldCharType="end"/>
      </w:r>
      <w:r w:rsidR="00AF7C61">
        <w:rPr>
          <w:rFonts w:cs="Times New Roman"/>
        </w:rPr>
        <w:t>.</w:t>
      </w:r>
    </w:p>
    <w:p w14:paraId="658E0513" w14:textId="11D19751" w:rsidR="006B7336" w:rsidRPr="00B6379A" w:rsidRDefault="00943E04" w:rsidP="00272A51">
      <w:pPr>
        <w:rPr>
          <w:rFonts w:cs="Times New Roman"/>
        </w:rPr>
      </w:pPr>
      <w:r w:rsidRPr="00B6379A">
        <w:rPr>
          <w:rFonts w:cs="Times New Roman"/>
        </w:rPr>
        <w:t xml:space="preserve">Despite the endorsement of the new institutional </w:t>
      </w:r>
      <w:r w:rsidR="009B3C00">
        <w:rPr>
          <w:rFonts w:cs="Times New Roman"/>
        </w:rPr>
        <w:t>changes</w:t>
      </w:r>
      <w:r w:rsidR="009B3C00" w:rsidRPr="00B6379A">
        <w:rPr>
          <w:rFonts w:cs="Times New Roman"/>
        </w:rPr>
        <w:t xml:space="preserve"> </w:t>
      </w:r>
      <w:r w:rsidRPr="00B6379A">
        <w:rPr>
          <w:rFonts w:cs="Times New Roman"/>
        </w:rPr>
        <w:t xml:space="preserve">by individual </w:t>
      </w:r>
      <w:r w:rsidR="00AF7C61">
        <w:rPr>
          <w:rFonts w:cs="Times New Roman"/>
        </w:rPr>
        <w:t>firms</w:t>
      </w:r>
      <w:r w:rsidRPr="00B6379A">
        <w:rPr>
          <w:rFonts w:cs="Times New Roman"/>
        </w:rPr>
        <w:t>, t</w:t>
      </w:r>
      <w:r w:rsidR="00272A51" w:rsidRPr="00B6379A">
        <w:rPr>
          <w:rFonts w:cs="Times New Roman"/>
        </w:rPr>
        <w:t xml:space="preserve">he responses of the </w:t>
      </w:r>
      <w:r w:rsidR="001C7632">
        <w:rPr>
          <w:rFonts w:cs="Times New Roman"/>
        </w:rPr>
        <w:t>employers’</w:t>
      </w:r>
      <w:r w:rsidR="00A001F0">
        <w:rPr>
          <w:rFonts w:cs="Times New Roman"/>
        </w:rPr>
        <w:t xml:space="preserve"> </w:t>
      </w:r>
      <w:r w:rsidR="00A455AC">
        <w:rPr>
          <w:rFonts w:cs="Times New Roman"/>
        </w:rPr>
        <w:t xml:space="preserve">associations </w:t>
      </w:r>
      <w:r w:rsidR="00272A51" w:rsidRPr="00B6379A">
        <w:rPr>
          <w:rFonts w:cs="Times New Roman"/>
        </w:rPr>
        <w:t xml:space="preserve">to the de facto decentralisation of collective bargaining were </w:t>
      </w:r>
      <w:r w:rsidRPr="00B6379A">
        <w:rPr>
          <w:rFonts w:cs="Times New Roman"/>
        </w:rPr>
        <w:t xml:space="preserve">quite </w:t>
      </w:r>
      <w:r w:rsidR="00221DC5">
        <w:rPr>
          <w:rFonts w:cs="Times New Roman"/>
        </w:rPr>
        <w:t>different</w:t>
      </w:r>
      <w:r w:rsidR="00272A51" w:rsidRPr="00B6379A">
        <w:rPr>
          <w:rFonts w:cs="Times New Roman"/>
        </w:rPr>
        <w:t xml:space="preserve">. </w:t>
      </w:r>
      <w:r w:rsidR="00530E20" w:rsidRPr="00B6379A">
        <w:rPr>
          <w:rFonts w:cs="Times New Roman"/>
        </w:rPr>
        <w:t xml:space="preserve">For instance, although SEV and SETE never argued against sectoral collective bargaining – and, indeed, the Hellenic Hoteliers Federation (a member of SETE) was one of the very few employers’ associations that signed a sectoral collective agreement with the respective sectoral trade union during that period – they supported the </w:t>
      </w:r>
      <w:r w:rsidR="009B3C00">
        <w:rPr>
          <w:rFonts w:cs="Times New Roman"/>
        </w:rPr>
        <w:t>primacy</w:t>
      </w:r>
      <w:r w:rsidR="009B3C00" w:rsidRPr="00B6379A">
        <w:rPr>
          <w:rFonts w:cs="Times New Roman"/>
        </w:rPr>
        <w:t xml:space="preserve"> </w:t>
      </w:r>
      <w:r w:rsidR="00530E20" w:rsidRPr="00B6379A">
        <w:rPr>
          <w:rFonts w:cs="Times New Roman"/>
        </w:rPr>
        <w:t>of the firm-level bargaining over sectoral bargaining</w:t>
      </w:r>
      <w:r w:rsidR="00FE23C4">
        <w:rPr>
          <w:rFonts w:cs="Times New Roman"/>
        </w:rPr>
        <w:t xml:space="preserve"> under certain conditions</w:t>
      </w:r>
      <w:r w:rsidR="00530E20" w:rsidRPr="00B6379A">
        <w:rPr>
          <w:rFonts w:cs="Times New Roman"/>
        </w:rPr>
        <w:t>.</w:t>
      </w:r>
      <w:r w:rsidR="00272A51" w:rsidRPr="00B6379A">
        <w:rPr>
          <w:rFonts w:cs="Times New Roman"/>
        </w:rPr>
        <w:t xml:space="preserve"> </w:t>
      </w:r>
      <w:r w:rsidR="00530E20" w:rsidRPr="00B6379A">
        <w:rPr>
          <w:rFonts w:cs="Times New Roman"/>
        </w:rPr>
        <w:t xml:space="preserve">As our </w:t>
      </w:r>
      <w:r w:rsidR="00AF7C61">
        <w:rPr>
          <w:rFonts w:cs="Times New Roman"/>
        </w:rPr>
        <w:t>informant</w:t>
      </w:r>
      <w:r w:rsidR="00530E20" w:rsidRPr="00B6379A">
        <w:rPr>
          <w:rFonts w:cs="Times New Roman"/>
        </w:rPr>
        <w:t xml:space="preserve"> from </w:t>
      </w:r>
      <w:r w:rsidR="00272A51" w:rsidRPr="00B6379A">
        <w:rPr>
          <w:rFonts w:cs="Times New Roman"/>
        </w:rPr>
        <w:t>SEV</w:t>
      </w:r>
      <w:r w:rsidR="00530E20" w:rsidRPr="00B6379A">
        <w:rPr>
          <w:rFonts w:cs="Times New Roman"/>
        </w:rPr>
        <w:t xml:space="preserve"> maintained:</w:t>
      </w:r>
    </w:p>
    <w:p w14:paraId="197B33A8" w14:textId="1452B9A7" w:rsidR="006B7336" w:rsidRPr="00B6379A" w:rsidRDefault="006B7336" w:rsidP="006B7336">
      <w:pPr>
        <w:pStyle w:val="Quote"/>
      </w:pPr>
      <w:r w:rsidRPr="00B6379A">
        <w:t xml:space="preserve">“the company level </w:t>
      </w:r>
      <w:r w:rsidR="00AF7C61">
        <w:t>agreements</w:t>
      </w:r>
      <w:r w:rsidRPr="00B6379A">
        <w:t xml:space="preserve"> should prevail [i.e. over the sectoral], as every business is aware of its own strengths, and knows the level of wages [it can afford]. If there is no company level [</w:t>
      </w:r>
      <w:r w:rsidR="00AF7C61">
        <w:t>agreement</w:t>
      </w:r>
      <w:r w:rsidRPr="00B6379A">
        <w:t xml:space="preserve">], then there could be coverage from a sectoral </w:t>
      </w:r>
      <w:r w:rsidR="00AF7C61">
        <w:t>agreement</w:t>
      </w:r>
      <w:r w:rsidRPr="00B6379A">
        <w:t xml:space="preserve">. In line with this rationale, we are of the view that a company level </w:t>
      </w:r>
      <w:r w:rsidR="00AF7C61">
        <w:t>agreement</w:t>
      </w:r>
      <w:r w:rsidRPr="00B6379A">
        <w:t xml:space="preserve"> should be allowed to deviate from a sectoral </w:t>
      </w:r>
      <w:r w:rsidR="00AF7C61">
        <w:t>agreement</w:t>
      </w:r>
      <w:r w:rsidRPr="00B6379A">
        <w:t xml:space="preserve"> when a company cannot survive or cannot </w:t>
      </w:r>
      <w:r w:rsidR="00AF7C61">
        <w:t>abide by it</w:t>
      </w:r>
      <w:r w:rsidRPr="00B6379A">
        <w:t>." (Int</w:t>
      </w:r>
      <w:r w:rsidR="00AF7C61">
        <w:t>erviewee SEV, 29/7/2016).</w:t>
      </w:r>
    </w:p>
    <w:p w14:paraId="11FE6D98" w14:textId="2D21F24F" w:rsidR="006B7336" w:rsidRPr="00B6379A" w:rsidRDefault="00AF7C61" w:rsidP="006B7336">
      <w:r>
        <w:t>This</w:t>
      </w:r>
      <w:r w:rsidR="006B7336" w:rsidRPr="00B6379A">
        <w:t xml:space="preserve"> position was also shared by SETE:</w:t>
      </w:r>
    </w:p>
    <w:p w14:paraId="601F12E2" w14:textId="4A28EC1A" w:rsidR="0079695B" w:rsidRPr="00B6379A" w:rsidRDefault="0079695B" w:rsidP="0079695B">
      <w:pPr>
        <w:pStyle w:val="Quote"/>
      </w:pPr>
      <w:r w:rsidRPr="00B6379A">
        <w:t>“…On the one hand I believe that the in</w:t>
      </w:r>
      <w:r w:rsidR="00AF7C61">
        <w:t>stitution of the company level [</w:t>
      </w:r>
      <w:r w:rsidR="00111AE2">
        <w:t>agreements</w:t>
      </w:r>
      <w:r w:rsidR="00AF7C61">
        <w:t>]</w:t>
      </w:r>
      <w:r w:rsidRPr="00B6379A">
        <w:t xml:space="preserve"> should continue to exist, but in parallel with the sectoral [</w:t>
      </w:r>
      <w:r w:rsidR="00AF7C61">
        <w:t>agreements</w:t>
      </w:r>
      <w:r w:rsidRPr="00B6379A">
        <w:t xml:space="preserve">] – we have proved that we are in favour of sectoral </w:t>
      </w:r>
      <w:r w:rsidR="00AF7C61">
        <w:t>agreements</w:t>
      </w:r>
      <w:r w:rsidRPr="00B6379A">
        <w:t xml:space="preserve"> – and [the company level </w:t>
      </w:r>
      <w:r w:rsidR="00AF7C61">
        <w:t>agreement</w:t>
      </w:r>
      <w:r w:rsidRPr="00B6379A">
        <w:t xml:space="preserve"> should] prevail over the sectoral </w:t>
      </w:r>
      <w:r w:rsidR="00AF7C61">
        <w:t>agreement</w:t>
      </w:r>
      <w:r w:rsidRPr="00B6379A">
        <w:t>, simply because in some companies the conditions could be such that allow for better wages – and this is the case in some sectors and in some companies – as it can also be the case that special conditions may not allow this, and reduced wages may be required for the company to survive.” (Interviewee SETE, 29/8/2016).</w:t>
      </w:r>
    </w:p>
    <w:p w14:paraId="1568D034" w14:textId="38EF2036" w:rsidR="006B7336" w:rsidRPr="00B6379A" w:rsidRDefault="009B3C00" w:rsidP="00272A51">
      <w:pPr>
        <w:rPr>
          <w:rFonts w:cs="Times New Roman"/>
        </w:rPr>
      </w:pPr>
      <w:r>
        <w:rPr>
          <w:rFonts w:cs="Times New Roman"/>
        </w:rPr>
        <w:t xml:space="preserve">By contrast, </w:t>
      </w:r>
      <w:r w:rsidR="00272A51" w:rsidRPr="00B6379A">
        <w:rPr>
          <w:rFonts w:cs="Times New Roman"/>
        </w:rPr>
        <w:t>ESEE and GSEV</w:t>
      </w:r>
      <w:r w:rsidR="00530E20" w:rsidRPr="00B6379A">
        <w:rPr>
          <w:rFonts w:cs="Times New Roman"/>
        </w:rPr>
        <w:t>E</w:t>
      </w:r>
      <w:r w:rsidR="00272A51" w:rsidRPr="00B6379A">
        <w:rPr>
          <w:rFonts w:cs="Times New Roman"/>
        </w:rPr>
        <w:t>E</w:t>
      </w:r>
      <w:r w:rsidR="006B7336" w:rsidRPr="00B6379A">
        <w:rPr>
          <w:rFonts w:cs="Times New Roman"/>
        </w:rPr>
        <w:t xml:space="preserve"> </w:t>
      </w:r>
      <w:r w:rsidR="00943E04" w:rsidRPr="00B6379A">
        <w:rPr>
          <w:rFonts w:cs="Times New Roman"/>
        </w:rPr>
        <w:t>appeared to be</w:t>
      </w:r>
      <w:r w:rsidR="00272A51" w:rsidRPr="00B6379A">
        <w:rPr>
          <w:rFonts w:cs="Times New Roman"/>
        </w:rPr>
        <w:t xml:space="preserve"> </w:t>
      </w:r>
      <w:r>
        <w:rPr>
          <w:rFonts w:cs="Times New Roman"/>
        </w:rPr>
        <w:t xml:space="preserve">clearly in favour </w:t>
      </w:r>
      <w:r w:rsidR="00272A51" w:rsidRPr="00B6379A">
        <w:rPr>
          <w:rFonts w:cs="Times New Roman"/>
        </w:rPr>
        <w:t>of sectoral collective bargaining</w:t>
      </w:r>
      <w:r w:rsidR="006B7336" w:rsidRPr="00B6379A">
        <w:rPr>
          <w:rFonts w:cs="Times New Roman"/>
        </w:rPr>
        <w:t>:</w:t>
      </w:r>
    </w:p>
    <w:p w14:paraId="04E7221F" w14:textId="2CC39A02" w:rsidR="006B7336" w:rsidRPr="00B6379A" w:rsidRDefault="006B7336" w:rsidP="006B7336">
      <w:pPr>
        <w:pStyle w:val="Quote"/>
      </w:pPr>
      <w:r w:rsidRPr="00B6379A">
        <w:t xml:space="preserve">“A sectoral </w:t>
      </w:r>
      <w:r w:rsidR="00AF7C61">
        <w:t>collective agreement</w:t>
      </w:r>
      <w:r w:rsidRPr="00B6379A">
        <w:t>, which is signed by an employers' association and a [sectoral] trade union, certainly represents the sector's interests much better than an Association of Persons or a single employer could do.” (Interviewee GSEVEE, 4/8/2016).</w:t>
      </w:r>
    </w:p>
    <w:p w14:paraId="429D7E3D" w14:textId="06ABAA2F" w:rsidR="00403A58" w:rsidRPr="00B6379A" w:rsidRDefault="00813F34" w:rsidP="00403A58">
      <w:pPr>
        <w:rPr>
          <w:rFonts w:cs="Times New Roman"/>
        </w:rPr>
      </w:pPr>
      <w:r w:rsidRPr="00B6379A">
        <w:rPr>
          <w:rFonts w:cs="Times New Roman"/>
        </w:rPr>
        <w:t xml:space="preserve">Our GSEVEE </w:t>
      </w:r>
      <w:r w:rsidR="00AA0150">
        <w:rPr>
          <w:rFonts w:cs="Times New Roman"/>
        </w:rPr>
        <w:t>interviewee</w:t>
      </w:r>
      <w:r w:rsidR="00AA0150" w:rsidRPr="00B6379A">
        <w:rPr>
          <w:rFonts w:cs="Times New Roman"/>
        </w:rPr>
        <w:t xml:space="preserve"> </w:t>
      </w:r>
      <w:r w:rsidR="0096674F">
        <w:rPr>
          <w:rFonts w:cs="Times New Roman"/>
        </w:rPr>
        <w:t>regarded</w:t>
      </w:r>
      <w:r w:rsidR="0096674F" w:rsidRPr="00B6379A">
        <w:rPr>
          <w:rFonts w:cs="Times New Roman"/>
        </w:rPr>
        <w:t xml:space="preserve"> </w:t>
      </w:r>
      <w:r w:rsidR="00403A58" w:rsidRPr="00B6379A">
        <w:rPr>
          <w:rFonts w:cs="Times New Roman"/>
        </w:rPr>
        <w:t>the view that firm-level agreement</w:t>
      </w:r>
      <w:r w:rsidR="0065202D" w:rsidRPr="00B6379A">
        <w:rPr>
          <w:rFonts w:cs="Times New Roman"/>
        </w:rPr>
        <w:t>s</w:t>
      </w:r>
      <w:r w:rsidR="00403A58" w:rsidRPr="00B6379A">
        <w:rPr>
          <w:rFonts w:cs="Times New Roman"/>
        </w:rPr>
        <w:t xml:space="preserve"> should be taking precedence over the sectoral ones </w:t>
      </w:r>
      <w:r w:rsidR="0096674F">
        <w:rPr>
          <w:rFonts w:cs="Times New Roman"/>
        </w:rPr>
        <w:t>as a deviation</w:t>
      </w:r>
      <w:r w:rsidR="00403A58" w:rsidRPr="00B6379A">
        <w:rPr>
          <w:rFonts w:cs="Times New Roman"/>
        </w:rPr>
        <w:t xml:space="preserve"> from European best practices:</w:t>
      </w:r>
    </w:p>
    <w:p w14:paraId="5AA0EC07" w14:textId="0FF1C0A5" w:rsidR="0079695B" w:rsidRPr="00B6379A" w:rsidRDefault="0065202D" w:rsidP="00403A58">
      <w:pPr>
        <w:pStyle w:val="Quote"/>
        <w:rPr>
          <w:rFonts w:cs="Times New Roman"/>
        </w:rPr>
      </w:pPr>
      <w:r w:rsidRPr="00B6379A">
        <w:t>“</w:t>
      </w:r>
      <w:r w:rsidR="00403A58" w:rsidRPr="00B6379A">
        <w:t xml:space="preserve">The one diverging from European practices is the one who, on the one hand, wants national </w:t>
      </w:r>
      <w:r w:rsidR="00AF7C61">
        <w:t>agreements,</w:t>
      </w:r>
      <w:r w:rsidR="00403A58" w:rsidRPr="00B6379A">
        <w:t xml:space="preserve"> but does not want sectoral </w:t>
      </w:r>
      <w:r w:rsidR="00AF7C61">
        <w:t>agreements</w:t>
      </w:r>
      <w:r w:rsidR="00403A58" w:rsidRPr="00B6379A">
        <w:t xml:space="preserve"> and wants company level </w:t>
      </w:r>
      <w:r w:rsidR="00116A1C">
        <w:t>agreements</w:t>
      </w:r>
      <w:r w:rsidR="00403A58" w:rsidRPr="00B6379A">
        <w:t xml:space="preserve">. Why is that so, though? Could it be because it [i.e. the </w:t>
      </w:r>
      <w:r w:rsidR="00BE288D" w:rsidRPr="00B6379A">
        <w:t>employers</w:t>
      </w:r>
      <w:r w:rsidR="000F5AD2">
        <w:t>’</w:t>
      </w:r>
      <w:r w:rsidR="00BE288D" w:rsidRPr="00B6379A">
        <w:t xml:space="preserve"> </w:t>
      </w:r>
      <w:r w:rsidR="00EA15F6">
        <w:t>association</w:t>
      </w:r>
      <w:r w:rsidR="00403A58" w:rsidRPr="00B6379A">
        <w:t>] represents companies and not sectors?</w:t>
      </w:r>
      <w:r w:rsidRPr="00B6379A">
        <w:t>”</w:t>
      </w:r>
      <w:r w:rsidR="00403A58" w:rsidRPr="00B6379A">
        <w:t xml:space="preserve"> (Interviewee</w:t>
      </w:r>
      <w:r w:rsidR="00116A1C">
        <w:t>,</w:t>
      </w:r>
      <w:r w:rsidR="00403A58" w:rsidRPr="00B6379A">
        <w:t xml:space="preserve"> GSEVEE, 4/8/2016).</w:t>
      </w:r>
    </w:p>
    <w:p w14:paraId="3A460FD1" w14:textId="5E6DFD55" w:rsidR="003821CF" w:rsidRPr="00A322D0" w:rsidRDefault="0065202D" w:rsidP="001D2E31">
      <w:r w:rsidRPr="00A322D0">
        <w:t xml:space="preserve">This last point exemplifies a fundamental difference </w:t>
      </w:r>
      <w:r w:rsidR="009B3C00">
        <w:t xml:space="preserve">of interest representation </w:t>
      </w:r>
      <w:r w:rsidRPr="00A322D0">
        <w:t xml:space="preserve">between the </w:t>
      </w:r>
      <w:r w:rsidR="00116A1C" w:rsidRPr="00A322D0">
        <w:t>employer</w:t>
      </w:r>
      <w:r w:rsidR="00A322D0" w:rsidRPr="00A322D0">
        <w:t>s</w:t>
      </w:r>
      <w:r w:rsidR="001D2E31">
        <w:t>’</w:t>
      </w:r>
      <w:r w:rsidR="00BE288D" w:rsidRPr="00A322D0">
        <w:t xml:space="preserve"> </w:t>
      </w:r>
      <w:r w:rsidR="007A52AB">
        <w:t>associations</w:t>
      </w:r>
      <w:r w:rsidR="0096674F">
        <w:t xml:space="preserve">, which </w:t>
      </w:r>
      <w:r w:rsidR="003821CF" w:rsidRPr="00A322D0">
        <w:t>is</w:t>
      </w:r>
      <w:r w:rsidRPr="00A322D0">
        <w:t xml:space="preserve"> </w:t>
      </w:r>
      <w:r w:rsidR="0096674F">
        <w:t xml:space="preserve">crucial </w:t>
      </w:r>
      <w:r w:rsidR="009B3C00">
        <w:t xml:space="preserve">to </w:t>
      </w:r>
      <w:r w:rsidR="0096674F">
        <w:t xml:space="preserve">our </w:t>
      </w:r>
      <w:r w:rsidR="009B3C00">
        <w:t>understand</w:t>
      </w:r>
      <w:r w:rsidR="0096674F">
        <w:t>ing</w:t>
      </w:r>
      <w:r w:rsidR="009B3C00">
        <w:t xml:space="preserve"> </w:t>
      </w:r>
      <w:r w:rsidR="0096674F">
        <w:t xml:space="preserve">of </w:t>
      </w:r>
      <w:r w:rsidR="009B3C00">
        <w:t xml:space="preserve">variations in their strategic </w:t>
      </w:r>
      <w:r w:rsidR="00AA0150">
        <w:t>responses</w:t>
      </w:r>
      <w:r w:rsidRPr="00A322D0">
        <w:t xml:space="preserve">. </w:t>
      </w:r>
      <w:r w:rsidR="009B3C00">
        <w:t>The associations</w:t>
      </w:r>
      <w:r w:rsidR="009B3C00" w:rsidRPr="00A84417">
        <w:t xml:space="preserve"> </w:t>
      </w:r>
      <w:r w:rsidR="00E608FC" w:rsidRPr="00A84417">
        <w:t xml:space="preserve">representing sectors of the economy where </w:t>
      </w:r>
      <w:r w:rsidR="0096674F">
        <w:t xml:space="preserve">firms are </w:t>
      </w:r>
      <w:r w:rsidR="00E608FC" w:rsidRPr="00A84417">
        <w:t xml:space="preserve">mostly </w:t>
      </w:r>
      <w:r w:rsidR="009B3C00">
        <w:t>export</w:t>
      </w:r>
      <w:r w:rsidR="00E608FC" w:rsidRPr="00A84417">
        <w:t>-oriented, exposed or outward looking (as is SEV and SETE) were in favour of further wage flexibility to better reflect</w:t>
      </w:r>
      <w:r w:rsidR="0096674F">
        <w:t xml:space="preserve"> the </w:t>
      </w:r>
      <w:r w:rsidR="00E608FC">
        <w:t>productivity and financial position</w:t>
      </w:r>
      <w:r w:rsidR="0096674F">
        <w:t xml:space="preserve"> of each individual firm</w:t>
      </w:r>
      <w:r w:rsidR="00116A1C" w:rsidRPr="00A322D0">
        <w:t xml:space="preserve">. By contrast, </w:t>
      </w:r>
      <w:r w:rsidRPr="00A322D0">
        <w:t xml:space="preserve">those representing </w:t>
      </w:r>
      <w:r w:rsidR="00116A1C" w:rsidRPr="00A322D0">
        <w:t xml:space="preserve">inward-oriented, sheltered sector SMEs or retail sector firms </w:t>
      </w:r>
      <w:r w:rsidRPr="00A322D0">
        <w:t>favour</w:t>
      </w:r>
      <w:r w:rsidR="009363B6" w:rsidRPr="00A322D0">
        <w:t>ed</w:t>
      </w:r>
      <w:r w:rsidRPr="00A322D0">
        <w:t xml:space="preserve"> s</w:t>
      </w:r>
      <w:r w:rsidR="00116A1C" w:rsidRPr="00A322D0">
        <w:t>ectoral bargaining.</w:t>
      </w:r>
    </w:p>
    <w:p w14:paraId="00EDC370" w14:textId="210EF16D" w:rsidR="00BF2857" w:rsidRPr="00542DD3" w:rsidRDefault="009363B6" w:rsidP="00542DD3">
      <w:r w:rsidRPr="00B6379A">
        <w:rPr>
          <w:rFonts w:cs="Times New Roman"/>
        </w:rPr>
        <w:t>ESEE and GSEVEE were very concerned about the effects of decentralized bargaining on</w:t>
      </w:r>
      <w:r w:rsidRPr="00B6379A">
        <w:t xml:space="preserve"> sectoral competition</w:t>
      </w:r>
      <w:r w:rsidR="000F5AD2">
        <w:t xml:space="preserve"> and </w:t>
      </w:r>
      <w:r w:rsidRPr="00B6379A">
        <w:t xml:space="preserve">overall </w:t>
      </w:r>
      <w:r w:rsidRPr="00B6379A">
        <w:rPr>
          <w:rFonts w:cs="Times New Roman"/>
        </w:rPr>
        <w:t>wage levels</w:t>
      </w:r>
      <w:r w:rsidR="000F5AD2">
        <w:rPr>
          <w:rFonts w:cs="Times New Roman"/>
        </w:rPr>
        <w:t>, as well as</w:t>
      </w:r>
      <w:r w:rsidRPr="00B6379A">
        <w:rPr>
          <w:rFonts w:cs="Times New Roman"/>
        </w:rPr>
        <w:t xml:space="preserve"> </w:t>
      </w:r>
      <w:r w:rsidR="0096674F">
        <w:rPr>
          <w:rFonts w:cs="Times New Roman"/>
        </w:rPr>
        <w:t xml:space="preserve">about </w:t>
      </w:r>
      <w:r w:rsidR="000F5AD2">
        <w:rPr>
          <w:rFonts w:cs="Times New Roman"/>
        </w:rPr>
        <w:t>its</w:t>
      </w:r>
      <w:r w:rsidRPr="00B6379A">
        <w:rPr>
          <w:rFonts w:cs="Times New Roman"/>
        </w:rPr>
        <w:t xml:space="preserve"> impact on </w:t>
      </w:r>
      <w:r w:rsidR="00003734">
        <w:rPr>
          <w:rFonts w:cs="Times New Roman"/>
        </w:rPr>
        <w:t xml:space="preserve">private </w:t>
      </w:r>
      <w:r w:rsidRPr="00B6379A">
        <w:rPr>
          <w:rFonts w:cs="Times New Roman"/>
        </w:rPr>
        <w:t xml:space="preserve">consumption. </w:t>
      </w:r>
      <w:r w:rsidR="000238A3">
        <w:rPr>
          <w:rFonts w:cs="Times New Roman"/>
        </w:rPr>
        <w:t>S</w:t>
      </w:r>
      <w:r w:rsidR="0065202D" w:rsidRPr="00B6379A">
        <w:rPr>
          <w:rFonts w:cs="Times New Roman"/>
        </w:rPr>
        <w:t>ectoral bargaining ensure</w:t>
      </w:r>
      <w:r w:rsidRPr="00B6379A">
        <w:rPr>
          <w:rFonts w:cs="Times New Roman"/>
        </w:rPr>
        <w:t>d</w:t>
      </w:r>
      <w:r w:rsidR="0065202D" w:rsidRPr="00B6379A">
        <w:rPr>
          <w:rFonts w:cs="Times New Roman"/>
        </w:rPr>
        <w:t xml:space="preserve"> the establishment of economies of scale, the minimization of transaction costs and </w:t>
      </w:r>
      <w:r w:rsidR="0065202D" w:rsidRPr="00B6379A">
        <w:t xml:space="preserve">the avoidance of a </w:t>
      </w:r>
      <w:r w:rsidR="000238A3">
        <w:t>race-to-</w:t>
      </w:r>
      <w:r w:rsidR="0099249D">
        <w:t>the-</w:t>
      </w:r>
      <w:r w:rsidR="000238A3">
        <w:t>bottom</w:t>
      </w:r>
      <w:r w:rsidR="0065202D" w:rsidRPr="00B6379A">
        <w:t xml:space="preserve"> in wages and working conditions. </w:t>
      </w:r>
      <w:r w:rsidRPr="00B6379A">
        <w:t xml:space="preserve">Their main concern was </w:t>
      </w:r>
      <w:r w:rsidR="003821CF" w:rsidRPr="00B6379A">
        <w:t xml:space="preserve">with </w:t>
      </w:r>
      <w:r w:rsidRPr="00B6379A">
        <w:t>the survival of the sectors they re</w:t>
      </w:r>
      <w:r w:rsidR="00C92885">
        <w:t>presented. L</w:t>
      </w:r>
      <w:r w:rsidRPr="00B6379A">
        <w:t xml:space="preserve">ow wages had an important adverse effect </w:t>
      </w:r>
      <w:r w:rsidR="000F5AD2">
        <w:t>on</w:t>
      </w:r>
      <w:r w:rsidR="000F5AD2" w:rsidRPr="00B6379A">
        <w:t xml:space="preserve"> </w:t>
      </w:r>
      <w:r w:rsidRPr="00B6379A">
        <w:t xml:space="preserve">the </w:t>
      </w:r>
      <w:r w:rsidR="00AB44F2">
        <w:t>viability</w:t>
      </w:r>
      <w:r w:rsidRPr="00B6379A">
        <w:t xml:space="preserve"> of business, as th</w:t>
      </w:r>
      <w:r w:rsidR="003821CF" w:rsidRPr="00B6379A">
        <w:t>ey</w:t>
      </w:r>
      <w:r w:rsidRPr="00B6379A">
        <w:t xml:space="preserve"> impacted directly </w:t>
      </w:r>
      <w:r w:rsidR="008C71F3" w:rsidRPr="00B6379A">
        <w:t xml:space="preserve">on </w:t>
      </w:r>
      <w:r w:rsidRPr="00B6379A">
        <w:t xml:space="preserve">the level of </w:t>
      </w:r>
      <w:r w:rsidR="00003734">
        <w:t xml:space="preserve">private </w:t>
      </w:r>
      <w:r w:rsidRPr="00B6379A">
        <w:t xml:space="preserve">consumption and, hence, </w:t>
      </w:r>
      <w:r w:rsidR="003821CF" w:rsidRPr="00B6379A">
        <w:t xml:space="preserve">on </w:t>
      </w:r>
      <w:r w:rsidRPr="00B6379A">
        <w:t xml:space="preserve">the medium-term survival of firms. Having a more </w:t>
      </w:r>
      <w:r w:rsidR="00162B68">
        <w:t xml:space="preserve">comprehensive </w:t>
      </w:r>
      <w:r w:rsidRPr="00B6379A">
        <w:t xml:space="preserve">view of </w:t>
      </w:r>
      <w:r w:rsidR="00AB44F2">
        <w:t>how the real economy works</w:t>
      </w:r>
      <w:r w:rsidRPr="00B6379A">
        <w:t xml:space="preserve">, they acted as </w:t>
      </w:r>
      <w:r w:rsidR="00B40FAE" w:rsidRPr="00B6379A">
        <w:t xml:space="preserve">the </w:t>
      </w:r>
      <w:r w:rsidRPr="00B6379A">
        <w:t xml:space="preserve">guardians of </w:t>
      </w:r>
      <w:r w:rsidR="003F7919">
        <w:t>the long-term</w:t>
      </w:r>
      <w:r w:rsidR="003F7919" w:rsidRPr="00B6379A">
        <w:t xml:space="preserve"> </w:t>
      </w:r>
      <w:r w:rsidR="003F7919">
        <w:t xml:space="preserve">interests of </w:t>
      </w:r>
      <w:r w:rsidR="003F7919" w:rsidRPr="00B6379A">
        <w:t>their respective sector</w:t>
      </w:r>
      <w:r w:rsidR="003F7919">
        <w:t xml:space="preserve"> and as guarantors of the sector’s survival</w:t>
      </w:r>
      <w:r w:rsidRPr="00B6379A">
        <w:t>.</w:t>
      </w:r>
    </w:p>
    <w:p w14:paraId="6006A3EF" w14:textId="238869B0" w:rsidR="00447F4B" w:rsidRPr="00B6379A" w:rsidRDefault="00C52D85" w:rsidP="00EB0885">
      <w:pPr>
        <w:pStyle w:val="Heading3"/>
      </w:pPr>
      <w:r w:rsidRPr="00B6379A">
        <w:t xml:space="preserve">4.2. Restoring Price Competitiveness and the National Minimum Wage </w:t>
      </w:r>
    </w:p>
    <w:p w14:paraId="24D9B184" w14:textId="5BBCF981" w:rsidR="007529E9" w:rsidRPr="00B6379A" w:rsidRDefault="00B40FAE" w:rsidP="00F85014">
      <w:r w:rsidRPr="00B6379A">
        <w:t>Like</w:t>
      </w:r>
      <w:r w:rsidR="00F85014" w:rsidRPr="00B6379A">
        <w:t xml:space="preserve"> many European countr</w:t>
      </w:r>
      <w:r w:rsidR="00BD6D9B">
        <w:t xml:space="preserve">ies, Greece has a </w:t>
      </w:r>
      <w:r w:rsidR="00667328">
        <w:t>national minimum wage (</w:t>
      </w:r>
      <w:r w:rsidR="00BD6D9B">
        <w:t>NMW</w:t>
      </w:r>
      <w:r w:rsidR="00667328">
        <w:t>)</w:t>
      </w:r>
      <w:r w:rsidR="00BD6D9B">
        <w:t xml:space="preserve">, </w:t>
      </w:r>
      <w:r w:rsidR="00F85014" w:rsidRPr="00B6379A">
        <w:t>which acts as the basis for the negotiation of sectoral and occupational wages. Contrary to most of its European counterparts</w:t>
      </w:r>
      <w:r w:rsidR="00301E2A">
        <w:t>,</w:t>
      </w:r>
      <w:r w:rsidR="00F85014" w:rsidRPr="00B6379A">
        <w:t xml:space="preserve"> however, the NMW in Greece was traditionally determined through national collective bargaining between the peak-level </w:t>
      </w:r>
      <w:r w:rsidR="00DC6C04">
        <w:t xml:space="preserve">employer </w:t>
      </w:r>
      <w:r w:rsidR="007A52AB">
        <w:t>associations</w:t>
      </w:r>
      <w:r w:rsidR="001540BE">
        <w:t xml:space="preserve"> and GSEE (the peak-level private sector trade union confederation)</w:t>
      </w:r>
      <w:r w:rsidR="00F85014" w:rsidRPr="00B6379A">
        <w:t xml:space="preserve">, </w:t>
      </w:r>
      <w:r w:rsidR="00BD6D9B" w:rsidRPr="00B6379A">
        <w:t>which</w:t>
      </w:r>
      <w:r w:rsidR="00F85014" w:rsidRPr="00B6379A">
        <w:t xml:space="preserve"> signed the National </w:t>
      </w:r>
      <w:r w:rsidR="00E34143">
        <w:t xml:space="preserve">General </w:t>
      </w:r>
      <w:r w:rsidR="00F85014" w:rsidRPr="00B6379A">
        <w:t>Collective Agreement (EGSSE)</w:t>
      </w:r>
      <w:r w:rsidR="003F1742" w:rsidRPr="00B6379A">
        <w:t xml:space="preserve"> with no government involvement</w:t>
      </w:r>
      <w:r w:rsidR="00F85014" w:rsidRPr="00B6379A">
        <w:t>.</w:t>
      </w:r>
      <w:r w:rsidR="00DC6C04">
        <w:t xml:space="preserve"> Figure 1 documents the long-term evolution of the ratio of the minimum wages </w:t>
      </w:r>
      <w:r w:rsidR="00DC6C04" w:rsidRPr="00DC6C04">
        <w:t>to median earnings</w:t>
      </w:r>
      <w:r w:rsidR="00DC6C04">
        <w:t>.</w:t>
      </w:r>
    </w:p>
    <w:p w14:paraId="4095B167" w14:textId="190FFE66" w:rsidR="007529E9" w:rsidRPr="00B6379A" w:rsidRDefault="007529E9" w:rsidP="007529E9">
      <w:pPr>
        <w:rPr>
          <w:rFonts w:cs="Times New Roman"/>
          <w:b/>
          <w:bCs/>
          <w:iCs/>
        </w:rPr>
      </w:pPr>
      <w:r w:rsidRPr="00B6379A">
        <w:rPr>
          <w:rFonts w:cs="Times New Roman"/>
          <w:b/>
          <w:bCs/>
          <w:iCs/>
        </w:rPr>
        <w:t xml:space="preserve">Figure </w:t>
      </w:r>
      <w:r w:rsidRPr="00B6379A">
        <w:rPr>
          <w:rFonts w:cs="Times New Roman"/>
        </w:rPr>
        <w:fldChar w:fldCharType="begin"/>
      </w:r>
      <w:r w:rsidRPr="00B6379A">
        <w:rPr>
          <w:rFonts w:cs="Times New Roman"/>
          <w:b/>
        </w:rPr>
        <w:instrText xml:space="preserve"> SEQ Figure \* ARABIC </w:instrText>
      </w:r>
      <w:r w:rsidRPr="00B6379A">
        <w:rPr>
          <w:rFonts w:cs="Times New Roman"/>
          <w:b/>
        </w:rPr>
        <w:fldChar w:fldCharType="separate"/>
      </w:r>
      <w:r w:rsidR="00A8173D">
        <w:rPr>
          <w:rFonts w:cs="Times New Roman"/>
          <w:b/>
          <w:noProof/>
        </w:rPr>
        <w:t>1</w:t>
      </w:r>
      <w:r w:rsidRPr="00B6379A">
        <w:rPr>
          <w:rFonts w:cs="Times New Roman"/>
        </w:rPr>
        <w:fldChar w:fldCharType="end"/>
      </w:r>
      <w:r w:rsidR="00AC5B6A">
        <w:rPr>
          <w:rFonts w:cs="Times New Roman"/>
        </w:rPr>
        <w:t>:</w:t>
      </w:r>
      <w:r w:rsidRPr="00B6379A">
        <w:rPr>
          <w:rFonts w:cs="Times New Roman"/>
          <w:b/>
          <w:bCs/>
          <w:iCs/>
        </w:rPr>
        <w:t xml:space="preserve"> The </w:t>
      </w:r>
      <w:r w:rsidR="00DC6C04">
        <w:rPr>
          <w:rFonts w:cs="Times New Roman"/>
          <w:b/>
          <w:bCs/>
          <w:iCs/>
        </w:rPr>
        <w:t>M</w:t>
      </w:r>
      <w:r w:rsidRPr="00B6379A">
        <w:rPr>
          <w:rFonts w:cs="Times New Roman"/>
          <w:b/>
          <w:bCs/>
          <w:iCs/>
        </w:rPr>
        <w:t xml:space="preserve">inimum </w:t>
      </w:r>
      <w:r w:rsidR="00DC6C04">
        <w:rPr>
          <w:rFonts w:cs="Times New Roman"/>
          <w:b/>
          <w:bCs/>
          <w:iCs/>
        </w:rPr>
        <w:t>W</w:t>
      </w:r>
      <w:r w:rsidRPr="00B6379A">
        <w:rPr>
          <w:rFonts w:cs="Times New Roman"/>
          <w:b/>
          <w:bCs/>
          <w:iCs/>
        </w:rPr>
        <w:t>age in Gree</w:t>
      </w:r>
      <w:r w:rsidR="00DC6C04">
        <w:rPr>
          <w:rFonts w:cs="Times New Roman"/>
          <w:b/>
          <w:bCs/>
          <w:iCs/>
        </w:rPr>
        <w:t>ce (Kaitz index), 1990-2015</w:t>
      </w:r>
    </w:p>
    <w:p w14:paraId="49C38C4B" w14:textId="77777777" w:rsidR="007529E9" w:rsidRPr="00B6379A" w:rsidRDefault="007529E9" w:rsidP="007529E9">
      <w:pPr>
        <w:rPr>
          <w:rFonts w:cs="Times New Roman"/>
        </w:rPr>
      </w:pPr>
      <w:r w:rsidRPr="00B6379A">
        <w:rPr>
          <w:rFonts w:cs="Times New Roman"/>
          <w:noProof/>
          <w:lang w:eastAsia="en-GB"/>
        </w:rPr>
        <w:drawing>
          <wp:inline distT="0" distB="0" distL="0" distR="0" wp14:anchorId="40FD3D3C" wp14:editId="4E230FEC">
            <wp:extent cx="5463540" cy="3093720"/>
            <wp:effectExtent l="0" t="0" r="381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E9E4D9" w14:textId="77777777" w:rsidR="007529E9" w:rsidRPr="00B6379A" w:rsidRDefault="007529E9" w:rsidP="007529E9">
      <w:pPr>
        <w:rPr>
          <w:rFonts w:cs="Times New Roman"/>
          <w:iCs/>
          <w:sz w:val="16"/>
          <w:szCs w:val="16"/>
        </w:rPr>
      </w:pPr>
      <w:r w:rsidRPr="00B6379A">
        <w:rPr>
          <w:rFonts w:cs="Times New Roman"/>
          <w:iCs/>
          <w:sz w:val="16"/>
          <w:szCs w:val="16"/>
        </w:rPr>
        <w:t xml:space="preserve">Source: OECD.Stat, available at </w:t>
      </w:r>
      <w:hyperlink r:id="rId11" w:history="1">
        <w:r w:rsidRPr="00B6379A">
          <w:rPr>
            <w:rStyle w:val="Hyperlink"/>
            <w:rFonts w:cs="Times New Roman"/>
            <w:iCs/>
            <w:color w:val="auto"/>
            <w:sz w:val="16"/>
            <w:szCs w:val="16"/>
          </w:rPr>
          <w:t>http://stats.oecd.org/Index.aspx</w:t>
        </w:r>
      </w:hyperlink>
      <w:r w:rsidRPr="00B6379A">
        <w:rPr>
          <w:rFonts w:cs="Times New Roman"/>
          <w:iCs/>
          <w:sz w:val="16"/>
          <w:szCs w:val="16"/>
        </w:rPr>
        <w:t xml:space="preserve"> (accessed on 18/01/2017). Notes: The Kaitz index here is the ratio of minimum wages to median earnings of full-time employees.</w:t>
      </w:r>
    </w:p>
    <w:p w14:paraId="7ECBE95A" w14:textId="04811F78" w:rsidR="00C35088" w:rsidRPr="00B6379A" w:rsidRDefault="00C276A9" w:rsidP="00BA7B36">
      <w:r w:rsidRPr="00B6379A">
        <w:t xml:space="preserve">In 2010, </w:t>
      </w:r>
      <w:r w:rsidR="008C1B88">
        <w:t>at the very</w:t>
      </w:r>
      <w:r w:rsidRPr="00B6379A">
        <w:t xml:space="preserve"> beginning of the crisis, the social partners </w:t>
      </w:r>
      <w:r w:rsidR="008C1B88">
        <w:t xml:space="preserve">made an unprecedented move and </w:t>
      </w:r>
      <w:r w:rsidRPr="00B6379A">
        <w:t>signed</w:t>
      </w:r>
      <w:r w:rsidR="008C1B88">
        <w:t xml:space="preserve"> </w:t>
      </w:r>
      <w:r w:rsidRPr="00B6379A">
        <w:t xml:space="preserve">a three-year national collective </w:t>
      </w:r>
      <w:r w:rsidR="00B40FAE" w:rsidRPr="00B6379A">
        <w:t xml:space="preserve">agreement, </w:t>
      </w:r>
      <w:r w:rsidRPr="00B6379A">
        <w:t xml:space="preserve">which set the NMW at </w:t>
      </w:r>
      <w:r w:rsidRPr="00B6379A">
        <w:rPr>
          <w:rFonts w:cs="Times New Roman"/>
        </w:rPr>
        <w:t>€</w:t>
      </w:r>
      <w:r w:rsidRPr="00B6379A">
        <w:t xml:space="preserve">751 and agreed 1% increases per annum, in line with the European Index of Consumer Prices. </w:t>
      </w:r>
      <w:r w:rsidR="00E34143">
        <w:t>T</w:t>
      </w:r>
      <w:r w:rsidRPr="00B6379A">
        <w:t xml:space="preserve">his </w:t>
      </w:r>
      <w:r w:rsidR="00E34143">
        <w:t>meant that they</w:t>
      </w:r>
      <w:r w:rsidR="00E34143" w:rsidRPr="00B6379A">
        <w:t xml:space="preserve"> </w:t>
      </w:r>
      <w:r w:rsidR="00E34143">
        <w:t>agreed on</w:t>
      </w:r>
      <w:r w:rsidR="008C1B88">
        <w:t xml:space="preserve"> wage restraint for three years, thus</w:t>
      </w:r>
      <w:r w:rsidR="00E34143">
        <w:t xml:space="preserve"> effectively</w:t>
      </w:r>
      <w:r w:rsidRPr="00B6379A">
        <w:t xml:space="preserve"> ‘freezing’ the NMW, as the Greek inflation was above the European average. The social partners </w:t>
      </w:r>
      <w:r w:rsidR="00C35088" w:rsidRPr="00B6379A">
        <w:t xml:space="preserve">believed that by signing this agreement </w:t>
      </w:r>
      <w:r w:rsidR="008C1B88">
        <w:t>they would project the image of responsible social partners showing solidarity in times of crisis</w:t>
      </w:r>
      <w:r w:rsidR="003F7919">
        <w:t>, which</w:t>
      </w:r>
      <w:r w:rsidR="008C1B88">
        <w:t xml:space="preserve"> would </w:t>
      </w:r>
      <w:r w:rsidR="00E34143">
        <w:t xml:space="preserve">send </w:t>
      </w:r>
      <w:r w:rsidR="00162B68">
        <w:t>reassur</w:t>
      </w:r>
      <w:r w:rsidR="00E34143">
        <w:t>ing signals to</w:t>
      </w:r>
      <w:r w:rsidR="008C1B88">
        <w:t xml:space="preserve"> the nervous financial markets.</w:t>
      </w:r>
    </w:p>
    <w:p w14:paraId="3977298D" w14:textId="1D737AC4" w:rsidR="00C35088" w:rsidRPr="00B6379A" w:rsidRDefault="00933AFB" w:rsidP="00104F07">
      <w:r w:rsidRPr="00B6379A">
        <w:t>Nevertheless, and despite the apparent</w:t>
      </w:r>
      <w:r w:rsidR="00EB458B" w:rsidRPr="00B6379A">
        <w:t xml:space="preserve"> consensus among the peak-level </w:t>
      </w:r>
      <w:r w:rsidR="007A52AB">
        <w:t>associations</w:t>
      </w:r>
      <w:r w:rsidR="00EB458B" w:rsidRPr="00B6379A">
        <w:t>, the Troika</w:t>
      </w:r>
      <w:r w:rsidR="008C1B88">
        <w:t xml:space="preserve"> of IMF/ECB/EC</w:t>
      </w:r>
      <w:r w:rsidR="00EB458B" w:rsidRPr="00B6379A">
        <w:t xml:space="preserve"> pushed </w:t>
      </w:r>
      <w:r w:rsidR="008C1B88">
        <w:t xml:space="preserve">hard and finally succeeded in </w:t>
      </w:r>
      <w:r w:rsidR="00DD58CA">
        <w:t xml:space="preserve">their demands for </w:t>
      </w:r>
      <w:r w:rsidR="008C1B88">
        <w:t xml:space="preserve">dramatic changes in the process </w:t>
      </w:r>
      <w:r w:rsidR="003F7919">
        <w:t xml:space="preserve">of </w:t>
      </w:r>
      <w:r w:rsidR="00E34143">
        <w:t xml:space="preserve">wage setting and the level </w:t>
      </w:r>
      <w:r w:rsidR="008C1B88">
        <w:t xml:space="preserve">of </w:t>
      </w:r>
      <w:r w:rsidR="00E34143">
        <w:t xml:space="preserve">the </w:t>
      </w:r>
      <w:r w:rsidR="008C1B88">
        <w:t xml:space="preserve">minimum </w:t>
      </w:r>
      <w:r w:rsidR="00AC13A7">
        <w:t>wage</w:t>
      </w:r>
      <w:r w:rsidR="008C1B88">
        <w:t>. Firstly, by requiring an absolute reduction to the level of the national minimum wage b</w:t>
      </w:r>
      <w:r w:rsidR="008C1B88" w:rsidRPr="00B6379A">
        <w:t>y 22% (€586</w:t>
      </w:r>
      <w:r w:rsidR="008C1B88">
        <w:t xml:space="preserve"> monthly</w:t>
      </w:r>
      <w:r w:rsidR="008C1B88" w:rsidRPr="00B6379A">
        <w:t xml:space="preserve">) for all workers above the age of 25, </w:t>
      </w:r>
      <w:r w:rsidR="00D13DB6">
        <w:t xml:space="preserve">and by 32% </w:t>
      </w:r>
      <w:r w:rsidR="00104F07">
        <w:t xml:space="preserve">for all workers below the age of 25, </w:t>
      </w:r>
      <w:r w:rsidR="00A322D0">
        <w:t>hence</w:t>
      </w:r>
      <w:r w:rsidR="00D13DB6">
        <w:t xml:space="preserve"> introducing</w:t>
      </w:r>
      <w:r w:rsidR="008C1B88" w:rsidRPr="00B6379A">
        <w:t xml:space="preserve"> a youth</w:t>
      </w:r>
      <w:r w:rsidR="00D13DB6">
        <w:t xml:space="preserve"> </w:t>
      </w:r>
      <w:r w:rsidR="001540BE">
        <w:t>subminimum</w:t>
      </w:r>
      <w:r w:rsidR="008C1B88" w:rsidRPr="00B6379A">
        <w:t xml:space="preserve"> </w:t>
      </w:r>
      <w:r w:rsidR="00D13DB6">
        <w:t>(</w:t>
      </w:r>
      <w:r w:rsidR="00D13DB6" w:rsidRPr="00B6379A">
        <w:t>€511</w:t>
      </w:r>
      <w:r w:rsidR="00E34143">
        <w:t xml:space="preserve"> </w:t>
      </w:r>
      <w:r w:rsidR="00D13DB6">
        <w:t>monthly</w:t>
      </w:r>
      <w:r w:rsidR="008C1B88" w:rsidRPr="00B6379A">
        <w:t>).</w:t>
      </w:r>
      <w:r w:rsidR="00104F07">
        <w:t xml:space="preserve"> Second</w:t>
      </w:r>
      <w:r w:rsidR="00DD58CA">
        <w:t>ly</w:t>
      </w:r>
      <w:r w:rsidR="00104F07">
        <w:t xml:space="preserve">, by stripping </w:t>
      </w:r>
      <w:r w:rsidR="00DD58CA">
        <w:t xml:space="preserve">away </w:t>
      </w:r>
      <w:r w:rsidR="00104F07">
        <w:t xml:space="preserve">the right of the social partners to determine the NMW </w:t>
      </w:r>
      <w:r w:rsidR="00DD58CA">
        <w:t xml:space="preserve">through </w:t>
      </w:r>
      <w:r w:rsidR="00104F07">
        <w:t>collective agreement and</w:t>
      </w:r>
      <w:r w:rsidR="00DD58CA">
        <w:t xml:space="preserve"> by</w:t>
      </w:r>
      <w:r w:rsidR="00104F07">
        <w:t xml:space="preserve"> </w:t>
      </w:r>
      <w:r w:rsidR="00E34143">
        <w:t xml:space="preserve">transferring </w:t>
      </w:r>
      <w:r w:rsidR="00DD58CA">
        <w:t xml:space="preserve">this power </w:t>
      </w:r>
      <w:r w:rsidR="00E34143">
        <w:t xml:space="preserve">to </w:t>
      </w:r>
      <w:r w:rsidR="00104F07">
        <w:t>the hands of the state. The overall rationale was that the change in the process</w:t>
      </w:r>
      <w:r w:rsidR="00E34143">
        <w:t xml:space="preserve"> of wage setting</w:t>
      </w:r>
      <w:r w:rsidR="00104F07">
        <w:t xml:space="preserve"> would facilitate the reduction of labour costs and would restore the price-competitiveness of the Greek econom</w:t>
      </w:r>
      <w:r w:rsidR="00E34143">
        <w:t>y. T</w:t>
      </w:r>
      <w:r w:rsidR="00DD58CA">
        <w:t xml:space="preserve">his rationale </w:t>
      </w:r>
      <w:r w:rsidR="00EB458B" w:rsidRPr="00B6379A">
        <w:t>was clearly set out in the Second MoU:</w:t>
      </w:r>
    </w:p>
    <w:p w14:paraId="7A6EC027" w14:textId="7A63030B" w:rsidR="00EB458B" w:rsidRPr="00B6379A" w:rsidRDefault="00EB458B" w:rsidP="00EB458B">
      <w:pPr>
        <w:pStyle w:val="Quote"/>
      </w:pPr>
      <w:r w:rsidRPr="00B6379A">
        <w:t>“These reforms should support the on-going adjustment of the labour market, with the aim of reducing nominal unit labour costs in the economy by 15 per cent over the period 2012-14, and thus help restore cost-competitiveness and boost employment in the medium to long term.” (EU Commission, 2012: 104).</w:t>
      </w:r>
    </w:p>
    <w:p w14:paraId="4D099198" w14:textId="3B8FB77A" w:rsidR="00104F07" w:rsidRPr="00184342" w:rsidRDefault="00104F07" w:rsidP="004E78D1">
      <w:r>
        <w:t xml:space="preserve">Undoubtedly, these marketization objectives underlie the ‘internal devaluation’ policy and have been politically laden and </w:t>
      </w:r>
      <w:r w:rsidR="00DD58CA">
        <w:t xml:space="preserve">highly </w:t>
      </w:r>
      <w:r>
        <w:t xml:space="preserve">controversial. </w:t>
      </w:r>
      <w:r w:rsidRPr="00184342">
        <w:t>Indeed,</w:t>
      </w:r>
      <w:r w:rsidR="00872CC8" w:rsidRPr="00184342">
        <w:t xml:space="preserve"> the empirical evidence </w:t>
      </w:r>
      <w:r w:rsidR="00444B26" w:rsidRPr="00184342">
        <w:t>is</w:t>
      </w:r>
      <w:r w:rsidRPr="00184342">
        <w:t xml:space="preserve"> at best inconclusive, as </w:t>
      </w:r>
      <w:r w:rsidR="00A52312" w:rsidRPr="00184342">
        <w:t>recent research</w:t>
      </w:r>
      <w:r w:rsidR="00872CC8" w:rsidRPr="00184342">
        <w:t xml:space="preserve"> has </w:t>
      </w:r>
      <w:r w:rsidRPr="00184342">
        <w:t>shown</w:t>
      </w:r>
      <w:r w:rsidR="00872CC8" w:rsidRPr="00184342">
        <w:t xml:space="preserve"> that </w:t>
      </w:r>
      <w:r w:rsidR="00184342" w:rsidRPr="00184342">
        <w:t xml:space="preserve">the trajectory of the real value of the NMW in Greece was, in general, aligned with productivity increases </w:t>
      </w:r>
      <w:r w:rsidR="00471D19">
        <w:fldChar w:fldCharType="begin"/>
      </w:r>
      <w:r w:rsidR="00471D19">
        <w:instrText xml:space="preserve"> ADDIN ZOTERO_ITEM CSL_CITATION {"citationID":"WQIOtP98","properties":{"formattedCitation":"(Voskeritsian et al., 2017)","plainCitation":"(Voskeritsian et al., 2017)","noteIndex":0},"citationItems":[{"id":388,"uris":["http://zotero.org/users/2360415/items/Z8I77BQJ"],"uri":["http://zotero.org/users/2360415/items/Z8I77BQJ"],"itemData":{"id":388,"type":"report","collection-title":"GreeSE Paper","event-place":"London","number":"114","publisher":"Hellenic Observatory, LSE","publisher-place":"London","title":"Between a Rock and a Hard Place: Social Partners and Reforms in the Wage Setting System in Greece under Austerity","author":[{"family":"Voskeritsian","given":"Horen"},{"family":"Veliziotis","given":"Michail"},{"family":"Kapotas","given":"Panos"},{"family":"Kornelakis","given":"Andreas"}],"issued":{"date-parts":[["2017"]]}}}],"schema":"https://github.com/citation-style-language/schema/raw/master/csl-citation.json"} </w:instrText>
      </w:r>
      <w:r w:rsidR="00471D19">
        <w:fldChar w:fldCharType="separate"/>
      </w:r>
      <w:r w:rsidR="00471D19" w:rsidRPr="00471D19">
        <w:rPr>
          <w:rFonts w:cs="Times New Roman"/>
        </w:rPr>
        <w:t>(Voskeritsian et al., 2017)</w:t>
      </w:r>
      <w:r w:rsidR="00471D19">
        <w:fldChar w:fldCharType="end"/>
      </w:r>
      <w:r w:rsidR="00184342" w:rsidRPr="00184342">
        <w:t xml:space="preserve">, and that </w:t>
      </w:r>
      <w:r w:rsidR="00872CC8" w:rsidRPr="00184342">
        <w:t xml:space="preserve">the </w:t>
      </w:r>
      <w:r w:rsidR="008B3C51" w:rsidRPr="00184342">
        <w:t>impact</w:t>
      </w:r>
      <w:r w:rsidR="00872CC8" w:rsidRPr="00184342">
        <w:t xml:space="preserve"> of the NMW on employment has had no systematic</w:t>
      </w:r>
      <w:r w:rsidRPr="00184342">
        <w:t xml:space="preserve"> (positive or negative)</w:t>
      </w:r>
      <w:r w:rsidR="00872CC8" w:rsidRPr="00184342">
        <w:t xml:space="preserve"> effects </w:t>
      </w:r>
      <w:r w:rsidR="00872CC8" w:rsidRPr="00184342">
        <w:fldChar w:fldCharType="begin"/>
      </w:r>
      <w:r w:rsidR="00943757">
        <w:instrText xml:space="preserve"> ADDIN ZOTERO_ITEM CSL_CITATION {"citationID":"T522Il4f","properties":{"formattedCitation":"(Georgiadis et al., 2018)","plainCitation":"(Georgiadis et al., 2018)","noteIndex":0},"citationItems":[{"id":1120,"uris":["http://zotero.org/users/2360415/items/HLZQBVY2"],"uri":["http://zotero.org/users/2360415/items/HLZQBVY2"],"itemData":{"id":1120,"type":"report","collection-title":"GreeSE Paper","event-place":"London","number":"131","publisher":"Hellenic Observatory, LSE","publisher-place":"London","title":"The Impact of Minimum Wages on Wages and Employment: Evidence from Greece","author":[{"family":"Georgiadis","given":"Andreas"},{"family":"Kaplanis","given":"Ioannis"},{"family":"Monastiriotis","given":"Vassilis"}],"issued":{"date-parts":[["2018"]]}}}],"schema":"https://github.com/citation-style-language/schema/raw/master/csl-citation.json"} </w:instrText>
      </w:r>
      <w:r w:rsidR="00872CC8" w:rsidRPr="00184342">
        <w:fldChar w:fldCharType="separate"/>
      </w:r>
      <w:r w:rsidR="006C2C79" w:rsidRPr="006C2C79">
        <w:rPr>
          <w:rFonts w:cs="Times New Roman"/>
        </w:rPr>
        <w:t>(Georgiadis et al., 2018)</w:t>
      </w:r>
      <w:r w:rsidR="00872CC8" w:rsidRPr="00184342">
        <w:fldChar w:fldCharType="end"/>
      </w:r>
      <w:r w:rsidRPr="00184342">
        <w:t xml:space="preserve">. </w:t>
      </w:r>
    </w:p>
    <w:p w14:paraId="53BCC001" w14:textId="3F843A5B" w:rsidR="003F1742" w:rsidRPr="00B6379A" w:rsidRDefault="00111AE2" w:rsidP="004E78D1">
      <w:r>
        <w:t>T</w:t>
      </w:r>
      <w:r w:rsidR="00104F07" w:rsidRPr="00111AE2">
        <w:t>h</w:t>
      </w:r>
      <w:r w:rsidR="008A4002">
        <w:t>e</w:t>
      </w:r>
      <w:r w:rsidR="00104F07" w:rsidRPr="00111AE2">
        <w:t xml:space="preserve"> change</w:t>
      </w:r>
      <w:r w:rsidR="008A4002">
        <w:t>s</w:t>
      </w:r>
      <w:r w:rsidR="00104F07" w:rsidRPr="00111AE2">
        <w:t xml:space="preserve"> in the</w:t>
      </w:r>
      <w:r w:rsidR="00F23642">
        <w:t xml:space="preserve"> setting</w:t>
      </w:r>
      <w:r w:rsidR="008A4002">
        <w:t xml:space="preserve"> and on the level of</w:t>
      </w:r>
      <w:r w:rsidR="00F23642">
        <w:t xml:space="preserve"> the</w:t>
      </w:r>
      <w:r w:rsidR="00104F07" w:rsidRPr="00111AE2">
        <w:t xml:space="preserve"> minimum wage sent shockwaves </w:t>
      </w:r>
      <w:r w:rsidR="00AB0346">
        <w:t>through</w:t>
      </w:r>
      <w:r w:rsidR="00104F07" w:rsidRPr="00111AE2">
        <w:t xml:space="preserve"> </w:t>
      </w:r>
      <w:r w:rsidR="000E5CEF">
        <w:t xml:space="preserve">the </w:t>
      </w:r>
      <w:r w:rsidR="00104F07" w:rsidRPr="00111AE2">
        <w:t>employers</w:t>
      </w:r>
      <w:r w:rsidR="00253EA9" w:rsidRPr="00111AE2">
        <w:t>’</w:t>
      </w:r>
      <w:r w:rsidR="00104F07" w:rsidRPr="00111AE2">
        <w:t xml:space="preserve"> </w:t>
      </w:r>
      <w:r w:rsidR="007A52AB">
        <w:t>associations</w:t>
      </w:r>
      <w:r w:rsidR="00104F07" w:rsidRPr="00111AE2">
        <w:t>, vis-à-vis their</w:t>
      </w:r>
      <w:r w:rsidR="004E78D1" w:rsidRPr="00111AE2">
        <w:t xml:space="preserve"> structural </w:t>
      </w:r>
      <w:r w:rsidR="00104F07" w:rsidRPr="00111AE2">
        <w:t>role</w:t>
      </w:r>
      <w:r w:rsidR="004E78D1" w:rsidRPr="00111AE2">
        <w:t>, ident</w:t>
      </w:r>
      <w:r w:rsidR="00104F07" w:rsidRPr="00111AE2">
        <w:t xml:space="preserve">ity and interest representation. </w:t>
      </w:r>
      <w:r w:rsidR="00104F07">
        <w:t xml:space="preserve">All the peak-level associations (including trade unions and employers) </w:t>
      </w:r>
      <w:r w:rsidR="004E78D1" w:rsidRPr="00B6379A">
        <w:t xml:space="preserve">vehemently resisted state intervention in the determination of the NMW and </w:t>
      </w:r>
      <w:r w:rsidR="00104F07">
        <w:t>demand</w:t>
      </w:r>
      <w:r w:rsidR="00632CB7">
        <w:t>ed</w:t>
      </w:r>
      <w:r w:rsidR="00104F07">
        <w:t xml:space="preserve"> the restoration of the previous system </w:t>
      </w:r>
      <w:r w:rsidR="004E78D1" w:rsidRPr="00B6379A">
        <w:t>of free collective bargaining. However, as was the case with the decentralisation of collective bargaining, this broad agreement concealed the nuances, fault lines and hidden fractures between and within the employers</w:t>
      </w:r>
      <w:r w:rsidR="00AA4D2B">
        <w:t>’</w:t>
      </w:r>
      <w:r w:rsidR="004E78D1" w:rsidRPr="00B6379A">
        <w:t xml:space="preserve"> </w:t>
      </w:r>
      <w:r w:rsidR="007A52AB">
        <w:t>associations</w:t>
      </w:r>
      <w:r w:rsidR="004E78D1" w:rsidRPr="00B6379A">
        <w:t>.</w:t>
      </w:r>
    </w:p>
    <w:p w14:paraId="735A816D" w14:textId="73A2B296" w:rsidR="00204521" w:rsidRPr="00C1179A" w:rsidRDefault="00766506" w:rsidP="00204521">
      <w:r w:rsidRPr="00111AE2">
        <w:t>Th</w:t>
      </w:r>
      <w:r w:rsidR="00111AE2" w:rsidRPr="00111AE2">
        <w:t>e statutory regulation of the NMW</w:t>
      </w:r>
      <w:r w:rsidRPr="00111AE2">
        <w:t xml:space="preserve"> </w:t>
      </w:r>
      <w:r w:rsidR="00E34143">
        <w:t>had</w:t>
      </w:r>
      <w:r w:rsidR="00E34143" w:rsidRPr="00111AE2">
        <w:t xml:space="preserve"> </w:t>
      </w:r>
      <w:r w:rsidR="00111AE2" w:rsidRPr="00111AE2">
        <w:t>three important</w:t>
      </w:r>
      <w:r w:rsidRPr="00111AE2">
        <w:t xml:space="preserve"> consequences</w:t>
      </w:r>
      <w:r w:rsidR="008B3C51" w:rsidRPr="00C1179A">
        <w:t xml:space="preserve">. </w:t>
      </w:r>
      <w:r w:rsidR="00D92845" w:rsidRPr="00C1179A">
        <w:t xml:space="preserve">First, it </w:t>
      </w:r>
      <w:r w:rsidR="008B3C51" w:rsidRPr="00C1179A">
        <w:t xml:space="preserve">re-allocated power in the </w:t>
      </w:r>
      <w:r w:rsidR="005B543F" w:rsidRPr="00C1179A">
        <w:t>employment relations</w:t>
      </w:r>
      <w:r w:rsidR="008B3C51" w:rsidRPr="00C1179A">
        <w:t xml:space="preserve"> system, </w:t>
      </w:r>
      <w:r w:rsidR="00D92845" w:rsidRPr="00C1179A">
        <w:t xml:space="preserve">as the signing of the National Collective Agreement was one of the most important outcomes of national </w:t>
      </w:r>
      <w:r w:rsidR="00204521" w:rsidRPr="00C1179A">
        <w:t>social dialogue</w:t>
      </w:r>
      <w:r w:rsidR="008B3C51" w:rsidRPr="00C1179A">
        <w:t xml:space="preserve">. The conclusion of the national collective bargaining negotiations was a </w:t>
      </w:r>
      <w:r w:rsidR="00DD58CA" w:rsidRPr="00C1179A">
        <w:t>pivotal</w:t>
      </w:r>
      <w:r w:rsidRPr="00C1179A">
        <w:t xml:space="preserve"> </w:t>
      </w:r>
      <w:r w:rsidR="008B3C51" w:rsidRPr="00C1179A">
        <w:t>even</w:t>
      </w:r>
      <w:r w:rsidR="00AF3208" w:rsidRPr="00C1179A">
        <w:t>t</w:t>
      </w:r>
      <w:r w:rsidR="008B3C51" w:rsidRPr="00C1179A">
        <w:t xml:space="preserve"> in </w:t>
      </w:r>
      <w:r w:rsidR="00184342">
        <w:t xml:space="preserve">Greek </w:t>
      </w:r>
      <w:r w:rsidR="005B543F" w:rsidRPr="00C1179A">
        <w:t>employment relations</w:t>
      </w:r>
      <w:r w:rsidR="00DD58CA">
        <w:t>, charged with symbolism as it</w:t>
      </w:r>
      <w:r w:rsidR="008B3C51" w:rsidRPr="00C1179A">
        <w:t xml:space="preserve"> allowed the social partners to </w:t>
      </w:r>
      <w:r w:rsidR="00DD58CA">
        <w:t>constantly</w:t>
      </w:r>
      <w:r w:rsidR="00162B68">
        <w:t xml:space="preserve"> reaffirm and </w:t>
      </w:r>
      <w:r w:rsidR="008B3C51" w:rsidRPr="00C1179A">
        <w:t xml:space="preserve">reinforce their </w:t>
      </w:r>
      <w:r w:rsidRPr="00C1179A">
        <w:t xml:space="preserve">role and </w:t>
      </w:r>
      <w:r w:rsidR="008B3C51" w:rsidRPr="00C1179A">
        <w:t xml:space="preserve">power </w:t>
      </w:r>
      <w:r w:rsidR="00AF3208" w:rsidRPr="00C1179A">
        <w:t>within the institutional framework</w:t>
      </w:r>
      <w:r w:rsidR="008B3C51" w:rsidRPr="00C1179A">
        <w:t xml:space="preserve">. Moreover, </w:t>
      </w:r>
      <w:r w:rsidRPr="00C1179A">
        <w:t>the agreement</w:t>
      </w:r>
      <w:r w:rsidR="008B3C51" w:rsidRPr="00C1179A">
        <w:t xml:space="preserve"> cemented their role as guarantors of the smooth functioning of the system</w:t>
      </w:r>
      <w:r w:rsidRPr="00C1179A">
        <w:t xml:space="preserve"> and the preservation of industrial peace. A</w:t>
      </w:r>
      <w:r w:rsidR="00204521" w:rsidRPr="00C1179A">
        <w:t xml:space="preserve">s </w:t>
      </w:r>
      <w:r w:rsidR="0011473C" w:rsidRPr="00C1179A">
        <w:t>our</w:t>
      </w:r>
      <w:r w:rsidR="00204521" w:rsidRPr="00C1179A">
        <w:rPr>
          <w:rFonts w:cs="Times New Roman"/>
        </w:rPr>
        <w:t xml:space="preserve"> ESEE </w:t>
      </w:r>
      <w:r w:rsidR="00A168E1" w:rsidRPr="00C1179A">
        <w:rPr>
          <w:rFonts w:cs="Times New Roman"/>
        </w:rPr>
        <w:t>informant</w:t>
      </w:r>
      <w:r w:rsidR="0011473C" w:rsidRPr="00C1179A">
        <w:rPr>
          <w:rFonts w:cs="Times New Roman"/>
        </w:rPr>
        <w:t xml:space="preserve"> vividly argued:</w:t>
      </w:r>
    </w:p>
    <w:p w14:paraId="72242490" w14:textId="4220AEE4" w:rsidR="00204521" w:rsidRPr="00B6379A" w:rsidRDefault="0011473C" w:rsidP="00204521">
      <w:pPr>
        <w:pStyle w:val="Quote"/>
      </w:pPr>
      <w:r w:rsidRPr="00B6379A">
        <w:t>“</w:t>
      </w:r>
      <w:r w:rsidR="00204521" w:rsidRPr="00B6379A">
        <w:t xml:space="preserve">The </w:t>
      </w:r>
      <w:r w:rsidR="00766506">
        <w:t>general agreement [setting the national minimum wage]</w:t>
      </w:r>
      <w:r w:rsidR="00204521" w:rsidRPr="00B6379A">
        <w:t xml:space="preserve"> has, I believe, been based on this exact philosophy, to allow the existence of social dialogue, as it happens in most countries in Europe and even in Germany, where, as you said, there is no </w:t>
      </w:r>
      <w:r w:rsidR="009517CB">
        <w:t xml:space="preserve">general </w:t>
      </w:r>
      <w:r w:rsidR="000535B9">
        <w:t>[cross-sectoral]</w:t>
      </w:r>
      <w:r w:rsidR="009517CB">
        <w:t xml:space="preserve"> agreement</w:t>
      </w:r>
      <w:r w:rsidR="00204521" w:rsidRPr="00B6379A">
        <w:t xml:space="preserve">, but there are sectoral agreements and free collective bargaining. I do not understand why we should not have this freedom of self-regulation of the market in our hands. I hold the view that no Minister and no government is fully aware of the real conditions of the market and is not able to make sense of them.” </w:t>
      </w:r>
      <w:bookmarkStart w:id="0" w:name="_Hlk8381479"/>
      <w:r w:rsidR="00204521" w:rsidRPr="00B6379A">
        <w:t>(Interviewee ESEE, 21/7/2016)</w:t>
      </w:r>
      <w:bookmarkEnd w:id="0"/>
    </w:p>
    <w:p w14:paraId="00B99C33" w14:textId="43AA1782" w:rsidR="00AF3208" w:rsidRPr="00B6379A" w:rsidRDefault="006D2EE2" w:rsidP="00204521">
      <w:pPr>
        <w:rPr>
          <w:iCs/>
        </w:rPr>
      </w:pPr>
      <w:r w:rsidRPr="00B6379A">
        <w:t xml:space="preserve">All our interviewees </w:t>
      </w:r>
      <w:r w:rsidR="00766506">
        <w:t>reiterated</w:t>
      </w:r>
      <w:r w:rsidRPr="00B6379A">
        <w:t xml:space="preserve"> this last point about the social partners’ knowledge of the real conditions of the market</w:t>
      </w:r>
      <w:r w:rsidR="0079212A" w:rsidRPr="00B6379A">
        <w:t xml:space="preserve">. </w:t>
      </w:r>
      <w:r w:rsidR="002E4DC8">
        <w:t>B</w:t>
      </w:r>
      <w:r w:rsidR="0079212A" w:rsidRPr="00B6379A">
        <w:t>y</w:t>
      </w:r>
      <w:r w:rsidR="00BB1BAC" w:rsidRPr="00B6379A">
        <w:t xml:space="preserve"> removing th</w:t>
      </w:r>
      <w:r w:rsidR="0079212A" w:rsidRPr="00B6379A">
        <w:t>e</w:t>
      </w:r>
      <w:r w:rsidR="00BB1BAC" w:rsidRPr="00B6379A">
        <w:t xml:space="preserve"> right </w:t>
      </w:r>
      <w:r w:rsidR="0079212A" w:rsidRPr="00B6379A">
        <w:t xml:space="preserve">to determine the NMW from their </w:t>
      </w:r>
      <w:r w:rsidR="001821C3">
        <w:t>jurisdiction</w:t>
      </w:r>
      <w:r w:rsidR="00BB1BAC" w:rsidRPr="00B6379A">
        <w:t xml:space="preserve">, </w:t>
      </w:r>
      <w:r w:rsidR="002E4DC8">
        <w:t xml:space="preserve">therefore, </w:t>
      </w:r>
      <w:r w:rsidR="00BB1BAC" w:rsidRPr="00B6379A">
        <w:t>the</w:t>
      </w:r>
      <w:r w:rsidR="0079212A" w:rsidRPr="00B6379A">
        <w:t xml:space="preserve"> state and the Troika directly questioned the social partners’ </w:t>
      </w:r>
      <w:r w:rsidR="00AF3208" w:rsidRPr="00B6379A">
        <w:t>identity</w:t>
      </w:r>
      <w:r w:rsidR="00374B8C" w:rsidRPr="00B6379A">
        <w:rPr>
          <w:iCs/>
        </w:rPr>
        <w:t xml:space="preserve">, as well as their </w:t>
      </w:r>
      <w:r w:rsidR="00766506">
        <w:rPr>
          <w:rFonts w:cs="Times New Roman"/>
        </w:rPr>
        <w:t>role</w:t>
      </w:r>
      <w:r w:rsidR="00374B8C" w:rsidRPr="00B6379A">
        <w:rPr>
          <w:rFonts w:cs="Times New Roman"/>
        </w:rPr>
        <w:t xml:space="preserve"> as trustworthy and responsible </w:t>
      </w:r>
      <w:r w:rsidR="00E728C3">
        <w:rPr>
          <w:rFonts w:cs="Times New Roman"/>
        </w:rPr>
        <w:t>partners</w:t>
      </w:r>
      <w:r w:rsidR="00374B8C" w:rsidRPr="00B6379A">
        <w:rPr>
          <w:rFonts w:cs="Times New Roman"/>
        </w:rPr>
        <w:t xml:space="preserve"> in the </w:t>
      </w:r>
      <w:r w:rsidR="00766506">
        <w:rPr>
          <w:rFonts w:cs="Times New Roman"/>
        </w:rPr>
        <w:t xml:space="preserve">national </w:t>
      </w:r>
      <w:r w:rsidR="00AE2D34" w:rsidRPr="00B6379A">
        <w:rPr>
          <w:rFonts w:cs="Times New Roman"/>
        </w:rPr>
        <w:t>employment relations</w:t>
      </w:r>
      <w:r w:rsidR="00374B8C" w:rsidRPr="00B6379A">
        <w:rPr>
          <w:rFonts w:cs="Times New Roman"/>
        </w:rPr>
        <w:t xml:space="preserve"> </w:t>
      </w:r>
      <w:r w:rsidR="00766506">
        <w:rPr>
          <w:rFonts w:cs="Times New Roman"/>
        </w:rPr>
        <w:t>system</w:t>
      </w:r>
      <w:r w:rsidR="00AF3208" w:rsidRPr="00B6379A">
        <w:rPr>
          <w:iCs/>
        </w:rPr>
        <w:t>.</w:t>
      </w:r>
    </w:p>
    <w:p w14:paraId="066F9E44" w14:textId="717B6670" w:rsidR="001949DE" w:rsidRPr="00B6379A" w:rsidRDefault="001949DE" w:rsidP="001949DE">
      <w:pPr>
        <w:rPr>
          <w:iCs/>
        </w:rPr>
      </w:pPr>
      <w:r w:rsidRPr="00B6379A">
        <w:rPr>
          <w:iCs/>
        </w:rPr>
        <w:t xml:space="preserve">Second, the </w:t>
      </w:r>
      <w:r w:rsidR="00BB1BAC" w:rsidRPr="00B6379A">
        <w:rPr>
          <w:iCs/>
        </w:rPr>
        <w:t xml:space="preserve">statutory determination of the NMW transposed interest representation from the sphere of the market to the sphere of politics. Although the peak-level </w:t>
      </w:r>
      <w:r w:rsidR="007A52AB">
        <w:rPr>
          <w:iCs/>
        </w:rPr>
        <w:t>associations</w:t>
      </w:r>
      <w:r w:rsidR="00BB1BAC" w:rsidRPr="00B6379A">
        <w:rPr>
          <w:iCs/>
        </w:rPr>
        <w:t xml:space="preserve"> always participated in both spheres, having to deal </w:t>
      </w:r>
      <w:r w:rsidR="0079212A" w:rsidRPr="00B6379A">
        <w:rPr>
          <w:iCs/>
        </w:rPr>
        <w:t>predominantly</w:t>
      </w:r>
      <w:r w:rsidR="00BB1BAC" w:rsidRPr="00B6379A">
        <w:rPr>
          <w:iCs/>
        </w:rPr>
        <w:t xml:space="preserve"> with the sphere of politics to advance their respective interests proved quite perplexing and delicate at that </w:t>
      </w:r>
      <w:r w:rsidR="00804194" w:rsidRPr="00B6379A">
        <w:rPr>
          <w:iCs/>
        </w:rPr>
        <w:t>historical</w:t>
      </w:r>
      <w:r w:rsidR="00BB1BAC" w:rsidRPr="00B6379A">
        <w:rPr>
          <w:iCs/>
        </w:rPr>
        <w:t xml:space="preserve"> and political juncture</w:t>
      </w:r>
      <w:r w:rsidR="00CB31C7" w:rsidRPr="00B6379A">
        <w:rPr>
          <w:iCs/>
        </w:rPr>
        <w:t>. D</w:t>
      </w:r>
      <w:r w:rsidRPr="00B6379A">
        <w:rPr>
          <w:iCs/>
        </w:rPr>
        <w:t xml:space="preserve">ue to the close surveillance of the Troika, </w:t>
      </w:r>
      <w:r w:rsidR="000535B9">
        <w:rPr>
          <w:iCs/>
        </w:rPr>
        <w:t xml:space="preserve">accessing and </w:t>
      </w:r>
      <w:r w:rsidR="00CB31C7" w:rsidRPr="00B6379A">
        <w:rPr>
          <w:iCs/>
        </w:rPr>
        <w:t xml:space="preserve">influencing </w:t>
      </w:r>
      <w:r w:rsidRPr="00B6379A">
        <w:rPr>
          <w:iCs/>
        </w:rPr>
        <w:t xml:space="preserve">the sphere of politics </w:t>
      </w:r>
      <w:r w:rsidR="00CB31C7" w:rsidRPr="00B6379A">
        <w:rPr>
          <w:iCs/>
        </w:rPr>
        <w:t>became increasingly difficult</w:t>
      </w:r>
      <w:r w:rsidRPr="00B6379A">
        <w:rPr>
          <w:iCs/>
        </w:rPr>
        <w:t xml:space="preserve">, as </w:t>
      </w:r>
      <w:r w:rsidR="00F626DE">
        <w:rPr>
          <w:iCs/>
        </w:rPr>
        <w:t>all post-MoU</w:t>
      </w:r>
      <w:r w:rsidR="00CA72CE">
        <w:rPr>
          <w:iCs/>
        </w:rPr>
        <w:t xml:space="preserve"> </w:t>
      </w:r>
      <w:r w:rsidR="000535B9">
        <w:rPr>
          <w:iCs/>
        </w:rPr>
        <w:t>government</w:t>
      </w:r>
      <w:r w:rsidR="00CA72CE">
        <w:rPr>
          <w:iCs/>
        </w:rPr>
        <w:t>s</w:t>
      </w:r>
      <w:r w:rsidR="000535B9">
        <w:rPr>
          <w:iCs/>
        </w:rPr>
        <w:t xml:space="preserve"> w</w:t>
      </w:r>
      <w:r w:rsidR="00CA72CE">
        <w:rPr>
          <w:iCs/>
        </w:rPr>
        <w:t>ere</w:t>
      </w:r>
      <w:r w:rsidR="000535B9">
        <w:rPr>
          <w:iCs/>
        </w:rPr>
        <w:t xml:space="preserve"> “with the back against the wall” and</w:t>
      </w:r>
      <w:r w:rsidRPr="00B6379A">
        <w:rPr>
          <w:iCs/>
        </w:rPr>
        <w:t xml:space="preserve"> </w:t>
      </w:r>
      <w:r w:rsidR="000535B9">
        <w:rPr>
          <w:iCs/>
        </w:rPr>
        <w:t>truly un</w:t>
      </w:r>
      <w:r w:rsidRPr="00B6379A">
        <w:rPr>
          <w:iCs/>
        </w:rPr>
        <w:t xml:space="preserve">able to accommodate requests from the </w:t>
      </w:r>
      <w:r w:rsidR="00CB31C7" w:rsidRPr="00B6379A">
        <w:rPr>
          <w:iCs/>
        </w:rPr>
        <w:t>social partner</w:t>
      </w:r>
      <w:r w:rsidR="000535B9">
        <w:rPr>
          <w:iCs/>
        </w:rPr>
        <w:t>s.</w:t>
      </w:r>
    </w:p>
    <w:p w14:paraId="2F0CDDD1" w14:textId="0378D6F0" w:rsidR="001949DE" w:rsidRPr="00B6379A" w:rsidRDefault="002A20D9" w:rsidP="00204521">
      <w:pPr>
        <w:rPr>
          <w:iCs/>
        </w:rPr>
      </w:pPr>
      <w:r w:rsidRPr="00B6379A">
        <w:rPr>
          <w:iCs/>
        </w:rPr>
        <w:t xml:space="preserve">Third, and as a corollary </w:t>
      </w:r>
      <w:r w:rsidR="000535B9">
        <w:rPr>
          <w:iCs/>
        </w:rPr>
        <w:t>to</w:t>
      </w:r>
      <w:r w:rsidRPr="00B6379A">
        <w:rPr>
          <w:iCs/>
        </w:rPr>
        <w:t xml:space="preserve"> the above, the social partners </w:t>
      </w:r>
      <w:r w:rsidR="000535B9">
        <w:rPr>
          <w:iCs/>
        </w:rPr>
        <w:t>fundamentally lost the</w:t>
      </w:r>
      <w:r w:rsidRPr="00B6379A">
        <w:rPr>
          <w:iCs/>
        </w:rPr>
        <w:t xml:space="preserve"> power to have a say </w:t>
      </w:r>
      <w:r w:rsidR="001821C3">
        <w:rPr>
          <w:iCs/>
        </w:rPr>
        <w:t>in</w:t>
      </w:r>
      <w:r w:rsidR="001821C3" w:rsidRPr="00B6379A">
        <w:rPr>
          <w:iCs/>
        </w:rPr>
        <w:t xml:space="preserve"> </w:t>
      </w:r>
      <w:r w:rsidRPr="00B6379A">
        <w:rPr>
          <w:iCs/>
        </w:rPr>
        <w:t xml:space="preserve">the level of the NMW. </w:t>
      </w:r>
      <w:r w:rsidR="00F35818" w:rsidRPr="00B6379A">
        <w:rPr>
          <w:iCs/>
        </w:rPr>
        <w:t xml:space="preserve">This was not only a matter of </w:t>
      </w:r>
      <w:r w:rsidR="00434D93" w:rsidRPr="00B6379A">
        <w:rPr>
          <w:iCs/>
        </w:rPr>
        <w:t>status</w:t>
      </w:r>
      <w:r w:rsidR="000535B9">
        <w:rPr>
          <w:iCs/>
        </w:rPr>
        <w:t xml:space="preserve"> and </w:t>
      </w:r>
      <w:r w:rsidR="00525B86">
        <w:rPr>
          <w:iCs/>
        </w:rPr>
        <w:t>legitimacy but</w:t>
      </w:r>
      <w:r w:rsidR="00434D93" w:rsidRPr="00B6379A">
        <w:rPr>
          <w:iCs/>
        </w:rPr>
        <w:t xml:space="preserve"> had important </w:t>
      </w:r>
      <w:r w:rsidR="000535B9">
        <w:rPr>
          <w:iCs/>
        </w:rPr>
        <w:t>practical</w:t>
      </w:r>
      <w:r w:rsidR="00434D93" w:rsidRPr="00B6379A">
        <w:rPr>
          <w:iCs/>
        </w:rPr>
        <w:t xml:space="preserve"> implications for the sectors</w:t>
      </w:r>
      <w:r w:rsidR="006675FA">
        <w:rPr>
          <w:iCs/>
        </w:rPr>
        <w:t xml:space="preserve"> and the </w:t>
      </w:r>
      <w:r w:rsidR="00D52082" w:rsidRPr="00F73647">
        <w:rPr>
          <w:iCs/>
        </w:rPr>
        <w:t>narrow</w:t>
      </w:r>
      <w:r w:rsidR="006675FA" w:rsidRPr="00F73647">
        <w:rPr>
          <w:iCs/>
        </w:rPr>
        <w:t xml:space="preserve"> </w:t>
      </w:r>
      <w:r w:rsidR="006675FA">
        <w:rPr>
          <w:iCs/>
        </w:rPr>
        <w:t xml:space="preserve">interests they </w:t>
      </w:r>
      <w:r w:rsidR="00E34143">
        <w:rPr>
          <w:iCs/>
        </w:rPr>
        <w:t>represented</w:t>
      </w:r>
      <w:r w:rsidR="00434D93" w:rsidRPr="00B6379A">
        <w:rPr>
          <w:iCs/>
        </w:rPr>
        <w:t>. Hence ESEE and GSEVEE were very concerned about the decrease in the</w:t>
      </w:r>
      <w:r w:rsidR="00E34143">
        <w:rPr>
          <w:iCs/>
        </w:rPr>
        <w:t xml:space="preserve"> level of the</w:t>
      </w:r>
      <w:r w:rsidR="00434D93" w:rsidRPr="00B6379A">
        <w:rPr>
          <w:iCs/>
        </w:rPr>
        <w:t xml:space="preserve"> minimum wage, with ESEE </w:t>
      </w:r>
      <w:r w:rsidR="00783606" w:rsidRPr="00B6379A">
        <w:rPr>
          <w:iCs/>
        </w:rPr>
        <w:t>claiming</w:t>
      </w:r>
      <w:r w:rsidR="000535B9">
        <w:rPr>
          <w:iCs/>
        </w:rPr>
        <w:t xml:space="preserve"> that:</w:t>
      </w:r>
    </w:p>
    <w:p w14:paraId="15F0EB97" w14:textId="03AD48EB" w:rsidR="000535B9" w:rsidRDefault="00434D93" w:rsidP="000535B9">
      <w:pPr>
        <w:pStyle w:val="Quote"/>
      </w:pPr>
      <w:r w:rsidRPr="00B6379A">
        <w:t xml:space="preserve">“[we have] a clear position in favour of the restoration of the level of the minimum wage in pre-crisis levels … gradually within a </w:t>
      </w:r>
      <w:r w:rsidR="00B5087F" w:rsidRPr="00B6379A">
        <w:t>three-year</w:t>
      </w:r>
      <w:r w:rsidRPr="00B6379A">
        <w:t xml:space="preserve"> timeframe, so that the economic conditions allow this. In other words, to increase the level of the wage to 586 and then to 684 and reach 751 Euros. We believe this is a susta</w:t>
      </w:r>
      <w:r w:rsidR="000535B9">
        <w:t>inable threshold</w:t>
      </w:r>
      <w:r w:rsidRPr="00B6379A">
        <w:t xml:space="preserve"> for an employ</w:t>
      </w:r>
      <w:r w:rsidR="000535B9">
        <w:t>ee</w:t>
      </w:r>
      <w:r w:rsidRPr="00B6379A">
        <w:t xml:space="preserve"> to live with decency</w:t>
      </w:r>
      <w:r w:rsidR="000535B9">
        <w:t xml:space="preserve"> [i.e. living wage]</w:t>
      </w:r>
      <w:r w:rsidRPr="00B6379A">
        <w:t>.” (Interviewee ESEE, 21/7/2016)</w:t>
      </w:r>
      <w:r w:rsidR="00783606" w:rsidRPr="00B6379A">
        <w:t>,</w:t>
      </w:r>
    </w:p>
    <w:p w14:paraId="40238B08" w14:textId="129662B1" w:rsidR="00783606" w:rsidRPr="00B6379A" w:rsidRDefault="000535B9" w:rsidP="00783606">
      <w:r>
        <w:t xml:space="preserve">Similarly, the representative from </w:t>
      </w:r>
      <w:r w:rsidR="00783606" w:rsidRPr="00B6379A">
        <w:t xml:space="preserve">GSEVEE </w:t>
      </w:r>
      <w:r w:rsidR="001414BE">
        <w:t>argued that</w:t>
      </w:r>
      <w:r w:rsidR="00783606" w:rsidRPr="00B6379A">
        <w:t>:</w:t>
      </w:r>
    </w:p>
    <w:p w14:paraId="253F2CFA" w14:textId="609B6B86" w:rsidR="000535B9" w:rsidRPr="000535B9" w:rsidRDefault="00783606" w:rsidP="000535B9">
      <w:pPr>
        <w:pStyle w:val="Quote"/>
      </w:pPr>
      <w:r w:rsidRPr="00B6379A">
        <w:t>“</w:t>
      </w:r>
      <w:r w:rsidR="000535B9">
        <w:t>…</w:t>
      </w:r>
      <w:r w:rsidRPr="00B6379A">
        <w:t>if the country is unable to guarantee €751, then it should formally declare bankruptcy, because in essence it is already bankrupt. We are requesting to return the wage-setting system to the social partners, taking into account the (economic) situation as it has d</w:t>
      </w:r>
      <w:r w:rsidR="00C1179A">
        <w:t xml:space="preserve">eveloped.” (Interviewee </w:t>
      </w:r>
      <w:r w:rsidR="00565D0D">
        <w:t xml:space="preserve">GSEVEE, </w:t>
      </w:r>
      <w:r w:rsidRPr="00B6379A">
        <w:t>4/8/2016).</w:t>
      </w:r>
    </w:p>
    <w:p w14:paraId="3A7F1F5E" w14:textId="1137A73B" w:rsidR="00221DC5" w:rsidRDefault="00E32BBD" w:rsidP="00204521">
      <w:pPr>
        <w:rPr>
          <w:iCs/>
        </w:rPr>
      </w:pPr>
      <w:r w:rsidRPr="00B6379A">
        <w:rPr>
          <w:iCs/>
        </w:rPr>
        <w:t xml:space="preserve">SEV and SETE </w:t>
      </w:r>
      <w:r w:rsidR="000535B9">
        <w:rPr>
          <w:iCs/>
        </w:rPr>
        <w:t>were equally</w:t>
      </w:r>
      <w:r w:rsidRPr="00B6379A">
        <w:rPr>
          <w:iCs/>
        </w:rPr>
        <w:t xml:space="preserve"> in favour of </w:t>
      </w:r>
      <w:r w:rsidR="00273350" w:rsidRPr="00B6379A">
        <w:rPr>
          <w:iCs/>
        </w:rPr>
        <w:t xml:space="preserve">returning the </w:t>
      </w:r>
      <w:r w:rsidR="000535B9">
        <w:rPr>
          <w:iCs/>
        </w:rPr>
        <w:t>determination</w:t>
      </w:r>
      <w:r w:rsidR="00273350" w:rsidRPr="00B6379A">
        <w:rPr>
          <w:iCs/>
        </w:rPr>
        <w:t xml:space="preserve"> of the NMW to the </w:t>
      </w:r>
      <w:r w:rsidR="00AE2D34" w:rsidRPr="00B6379A">
        <w:rPr>
          <w:iCs/>
        </w:rPr>
        <w:t>hands</w:t>
      </w:r>
      <w:r w:rsidR="000535B9">
        <w:rPr>
          <w:iCs/>
        </w:rPr>
        <w:t xml:space="preserve"> of the social partners. However, they </w:t>
      </w:r>
      <w:r w:rsidR="00273350" w:rsidRPr="00B6379A">
        <w:rPr>
          <w:iCs/>
        </w:rPr>
        <w:t xml:space="preserve">were </w:t>
      </w:r>
      <w:r w:rsidR="000535B9">
        <w:rPr>
          <w:iCs/>
        </w:rPr>
        <w:t xml:space="preserve">much </w:t>
      </w:r>
      <w:r w:rsidR="00273350" w:rsidRPr="00B6379A">
        <w:rPr>
          <w:iCs/>
        </w:rPr>
        <w:t xml:space="preserve">more </w:t>
      </w:r>
      <w:r w:rsidR="00BA6B15">
        <w:rPr>
          <w:iCs/>
        </w:rPr>
        <w:t xml:space="preserve">reserved </w:t>
      </w:r>
      <w:r w:rsidR="00273350" w:rsidRPr="00B6379A">
        <w:rPr>
          <w:iCs/>
        </w:rPr>
        <w:t xml:space="preserve">regarding the level </w:t>
      </w:r>
      <w:r w:rsidR="00AE2D34" w:rsidRPr="00B6379A">
        <w:rPr>
          <w:iCs/>
        </w:rPr>
        <w:t xml:space="preserve">of </w:t>
      </w:r>
      <w:r w:rsidR="00273350" w:rsidRPr="00B6379A">
        <w:rPr>
          <w:iCs/>
        </w:rPr>
        <w:t>the</w:t>
      </w:r>
      <w:r w:rsidR="00AB0346">
        <w:rPr>
          <w:iCs/>
        </w:rPr>
        <w:t xml:space="preserve"> minimum</w:t>
      </w:r>
      <w:r w:rsidR="00273350" w:rsidRPr="00B6379A">
        <w:rPr>
          <w:iCs/>
        </w:rPr>
        <w:t xml:space="preserve"> wage, claiming that the economic conditions have changed and a NMW of the 2012 level (i.e. </w:t>
      </w:r>
      <w:r w:rsidR="00273350" w:rsidRPr="00B6379A">
        <w:t>€</w:t>
      </w:r>
      <w:r w:rsidR="00273350" w:rsidRPr="00B6379A">
        <w:rPr>
          <w:iCs/>
        </w:rPr>
        <w:t xml:space="preserve">751) </w:t>
      </w:r>
      <w:r w:rsidR="00273350" w:rsidRPr="000535B9">
        <w:rPr>
          <w:iCs/>
        </w:rPr>
        <w:t>may</w:t>
      </w:r>
      <w:r w:rsidR="000535B9">
        <w:rPr>
          <w:iCs/>
        </w:rPr>
        <w:t xml:space="preserve"> not be sustainable. </w:t>
      </w:r>
    </w:p>
    <w:p w14:paraId="7DB45AF1" w14:textId="6E4452D3" w:rsidR="00434D93" w:rsidRPr="00B6379A" w:rsidRDefault="0040292E" w:rsidP="00204521">
      <w:pPr>
        <w:rPr>
          <w:iCs/>
        </w:rPr>
      </w:pPr>
      <w:r>
        <w:rPr>
          <w:iCs/>
        </w:rPr>
        <w:t>T</w:t>
      </w:r>
      <w:r w:rsidR="00354DF9" w:rsidRPr="00B6379A">
        <w:rPr>
          <w:iCs/>
        </w:rPr>
        <w:t xml:space="preserve">his discrepancy between the </w:t>
      </w:r>
      <w:r w:rsidR="000535B9" w:rsidRPr="00B6379A">
        <w:rPr>
          <w:iCs/>
        </w:rPr>
        <w:t>employers’</w:t>
      </w:r>
      <w:r w:rsidR="00BE288D" w:rsidRPr="00B6379A">
        <w:rPr>
          <w:iCs/>
        </w:rPr>
        <w:t xml:space="preserve"> </w:t>
      </w:r>
      <w:r w:rsidR="007A52AB">
        <w:rPr>
          <w:iCs/>
        </w:rPr>
        <w:t>associations</w:t>
      </w:r>
      <w:r w:rsidR="00354DF9" w:rsidRPr="00B6379A">
        <w:rPr>
          <w:iCs/>
        </w:rPr>
        <w:t xml:space="preserve"> </w:t>
      </w:r>
      <w:r w:rsidR="00B37855">
        <w:rPr>
          <w:iCs/>
        </w:rPr>
        <w:t>stems from</w:t>
      </w:r>
      <w:r w:rsidR="00354DF9" w:rsidRPr="00B6379A">
        <w:rPr>
          <w:iCs/>
        </w:rPr>
        <w:t xml:space="preserve"> their perception </w:t>
      </w:r>
      <w:r w:rsidR="00B37855">
        <w:rPr>
          <w:iCs/>
        </w:rPr>
        <w:t xml:space="preserve">regarding </w:t>
      </w:r>
      <w:r w:rsidR="000535B9">
        <w:rPr>
          <w:iCs/>
        </w:rPr>
        <w:t xml:space="preserve">the nature of </w:t>
      </w:r>
      <w:r w:rsidR="00D2217F">
        <w:rPr>
          <w:iCs/>
        </w:rPr>
        <w:t xml:space="preserve">the minimum </w:t>
      </w:r>
      <w:r w:rsidR="000535B9">
        <w:rPr>
          <w:iCs/>
        </w:rPr>
        <w:t>wage</w:t>
      </w:r>
      <w:r w:rsidR="00B10428">
        <w:rPr>
          <w:iCs/>
        </w:rPr>
        <w:t>.</w:t>
      </w:r>
      <w:r w:rsidR="000535B9">
        <w:rPr>
          <w:iCs/>
        </w:rPr>
        <w:t xml:space="preserve"> ESEE and GSEVEE</w:t>
      </w:r>
      <w:r w:rsidR="00CB3058" w:rsidRPr="00B6379A">
        <w:rPr>
          <w:iCs/>
        </w:rPr>
        <w:t xml:space="preserve"> represent</w:t>
      </w:r>
      <w:r w:rsidR="001414BE">
        <w:rPr>
          <w:iCs/>
        </w:rPr>
        <w:t>ed</w:t>
      </w:r>
      <w:r w:rsidR="00CB3058" w:rsidRPr="00B6379A">
        <w:rPr>
          <w:iCs/>
        </w:rPr>
        <w:t xml:space="preserve"> </w:t>
      </w:r>
      <w:r w:rsidR="000535B9">
        <w:rPr>
          <w:iCs/>
        </w:rPr>
        <w:t>SMEs and the retail sector</w:t>
      </w:r>
      <w:r w:rsidR="001414BE">
        <w:rPr>
          <w:iCs/>
        </w:rPr>
        <w:t xml:space="preserve">, which </w:t>
      </w:r>
      <w:r w:rsidR="001414BE" w:rsidRPr="007066D4">
        <w:rPr>
          <w:iCs/>
        </w:rPr>
        <w:t xml:space="preserve">depended on internal </w:t>
      </w:r>
      <w:r w:rsidR="00E96992">
        <w:rPr>
          <w:iCs/>
        </w:rPr>
        <w:t xml:space="preserve">private </w:t>
      </w:r>
      <w:r w:rsidR="001414BE" w:rsidRPr="007066D4">
        <w:rPr>
          <w:iCs/>
        </w:rPr>
        <w:t>consumption for their survival</w:t>
      </w:r>
      <w:r w:rsidR="000535B9">
        <w:rPr>
          <w:iCs/>
        </w:rPr>
        <w:t>.</w:t>
      </w:r>
      <w:r>
        <w:rPr>
          <w:iCs/>
        </w:rPr>
        <w:t xml:space="preserve"> For these </w:t>
      </w:r>
      <w:r w:rsidR="0061577E">
        <w:rPr>
          <w:iCs/>
        </w:rPr>
        <w:t>sectors</w:t>
      </w:r>
      <w:r>
        <w:rPr>
          <w:iCs/>
        </w:rPr>
        <w:t xml:space="preserve"> the wage </w:t>
      </w:r>
      <w:r w:rsidR="00A35AEE">
        <w:rPr>
          <w:iCs/>
        </w:rPr>
        <w:t xml:space="preserve">had the very specific function of potential disposable income: when paid, the wage would almost immediately find its way back into the economic </w:t>
      </w:r>
      <w:r w:rsidR="00221DC5">
        <w:rPr>
          <w:iCs/>
        </w:rPr>
        <w:t>circuit</w:t>
      </w:r>
      <w:r w:rsidR="00A35AEE">
        <w:rPr>
          <w:iCs/>
        </w:rPr>
        <w:t>, as disposable income, thus fuelling consumption. Lower wages, however, led to diminished consumption and, hence, to sustainability problems for these sectors</w:t>
      </w:r>
      <w:r w:rsidR="000E5CEF">
        <w:rPr>
          <w:iCs/>
        </w:rPr>
        <w:t>.</w:t>
      </w:r>
      <w:r w:rsidR="00A35AEE">
        <w:rPr>
          <w:iCs/>
        </w:rPr>
        <w:t xml:space="preserve"> </w:t>
      </w:r>
      <w:r w:rsidR="00B10428">
        <w:rPr>
          <w:iCs/>
        </w:rPr>
        <w:t>It is only natural, then</w:t>
      </w:r>
      <w:r w:rsidR="000535B9">
        <w:rPr>
          <w:iCs/>
        </w:rPr>
        <w:t xml:space="preserve">, </w:t>
      </w:r>
      <w:r w:rsidR="00B10428">
        <w:rPr>
          <w:iCs/>
        </w:rPr>
        <w:t xml:space="preserve">that </w:t>
      </w:r>
      <w:r w:rsidR="000535B9">
        <w:rPr>
          <w:iCs/>
        </w:rPr>
        <w:t>these associations</w:t>
      </w:r>
      <w:r w:rsidR="00CB3058" w:rsidRPr="00B6379A">
        <w:rPr>
          <w:iCs/>
        </w:rPr>
        <w:t xml:space="preserve"> </w:t>
      </w:r>
      <w:r w:rsidR="00CB3058" w:rsidRPr="00B6379A">
        <w:t xml:space="preserve">viewed </w:t>
      </w:r>
      <w:r w:rsidR="000535B9">
        <w:t xml:space="preserve">the minimum </w:t>
      </w:r>
      <w:r w:rsidR="00CB3058" w:rsidRPr="00B6379A">
        <w:t xml:space="preserve">wage as income to be spent. </w:t>
      </w:r>
      <w:r w:rsidR="000535B9">
        <w:rPr>
          <w:iCs/>
        </w:rPr>
        <w:t xml:space="preserve">By contrast, </w:t>
      </w:r>
      <w:r w:rsidR="00A35AEE">
        <w:rPr>
          <w:iCs/>
        </w:rPr>
        <w:t xml:space="preserve">for </w:t>
      </w:r>
      <w:r w:rsidR="000535B9">
        <w:t>SEV and SETE</w:t>
      </w:r>
      <w:r w:rsidR="00CB3058" w:rsidRPr="00B6379A">
        <w:t xml:space="preserve"> that represented big and </w:t>
      </w:r>
      <w:r w:rsidR="00AE2D34" w:rsidRPr="00B6379A">
        <w:t>labour-intensive</w:t>
      </w:r>
      <w:r w:rsidR="00CB3058" w:rsidRPr="00B6379A">
        <w:t xml:space="preserve"> </w:t>
      </w:r>
      <w:r w:rsidR="00870F0B" w:rsidRPr="00B6379A">
        <w:t>sectors</w:t>
      </w:r>
      <w:r w:rsidR="00AC3524">
        <w:t xml:space="preserve">, with an </w:t>
      </w:r>
      <w:r w:rsidR="00221DC5">
        <w:t>outward-looking export-</w:t>
      </w:r>
      <w:r w:rsidR="00AC3524">
        <w:t xml:space="preserve">orientation </w:t>
      </w:r>
      <w:r w:rsidR="00221DC5">
        <w:t>and</w:t>
      </w:r>
      <w:r w:rsidR="00AC3524">
        <w:t xml:space="preserve"> dependenc</w:t>
      </w:r>
      <w:r w:rsidR="00221DC5">
        <w:t>e</w:t>
      </w:r>
      <w:r w:rsidR="00AC3524">
        <w:t xml:space="preserve"> on </w:t>
      </w:r>
      <w:r w:rsidR="00221DC5">
        <w:t>global demand</w:t>
      </w:r>
      <w:r w:rsidR="00AC3524">
        <w:t xml:space="preserve">, </w:t>
      </w:r>
      <w:r w:rsidR="00A35AEE">
        <w:t xml:space="preserve">the wage </w:t>
      </w:r>
      <w:r w:rsidR="00AC3524">
        <w:t xml:space="preserve">represented an important cost that could hinder their survival or competitive advantage. For these associations, therefore, </w:t>
      </w:r>
      <w:r w:rsidR="0098563A">
        <w:t>being able to restrain wage levels was a priority. Contrary to their counterparts, therefore, these associations</w:t>
      </w:r>
      <w:r w:rsidR="00CB3058" w:rsidRPr="00B6379A">
        <w:t xml:space="preserve"> viewed </w:t>
      </w:r>
      <w:r w:rsidR="000535B9">
        <w:t xml:space="preserve">the national minimum </w:t>
      </w:r>
      <w:r w:rsidR="00CB3058" w:rsidRPr="00B6379A">
        <w:t>w</w:t>
      </w:r>
      <w:r w:rsidR="000535B9">
        <w:t xml:space="preserve">age as a cost to be kept </w:t>
      </w:r>
      <w:r w:rsidR="00B37855">
        <w:t xml:space="preserve">in </w:t>
      </w:r>
      <w:r w:rsidR="000535B9">
        <w:t>check.</w:t>
      </w:r>
    </w:p>
    <w:p w14:paraId="16C25EBC" w14:textId="4E2A67F4" w:rsidR="00712F45" w:rsidRPr="00B6379A" w:rsidRDefault="00221DC5" w:rsidP="00712F45">
      <w:pPr>
        <w:rPr>
          <w:rFonts w:cs="Times New Roman"/>
        </w:rPr>
      </w:pPr>
      <w:r>
        <w:rPr>
          <w:rFonts w:cs="Times New Roman"/>
        </w:rPr>
        <w:t xml:space="preserve">The differing strategic </w:t>
      </w:r>
      <w:r w:rsidR="00AA0150">
        <w:rPr>
          <w:rFonts w:cs="Times New Roman"/>
        </w:rPr>
        <w:t>responses</w:t>
      </w:r>
      <w:r>
        <w:rPr>
          <w:rFonts w:cs="Times New Roman"/>
        </w:rPr>
        <w:t xml:space="preserve"> were also evident </w:t>
      </w:r>
      <w:r w:rsidR="00B10428">
        <w:rPr>
          <w:rFonts w:cs="Times New Roman"/>
        </w:rPr>
        <w:t xml:space="preserve">in </w:t>
      </w:r>
      <w:r>
        <w:rPr>
          <w:rFonts w:cs="Times New Roman"/>
        </w:rPr>
        <w:t xml:space="preserve">the associations’ scepticism over the capacity of the institutional changes to achieve their goals. </w:t>
      </w:r>
      <w:r w:rsidR="00951AB3">
        <w:rPr>
          <w:rFonts w:cs="Times New Roman"/>
        </w:rPr>
        <w:t>The representative</w:t>
      </w:r>
      <w:r w:rsidR="00712F45" w:rsidRPr="00B6379A">
        <w:rPr>
          <w:rFonts w:cs="Times New Roman"/>
        </w:rPr>
        <w:t xml:space="preserve"> from ESEE, for example, was very sceptical about the efficacy of the reduction of the NMW in boosting competitiveness and tackling unemployment:</w:t>
      </w:r>
    </w:p>
    <w:p w14:paraId="39B90805" w14:textId="6677A1CE" w:rsidR="00712F45" w:rsidRPr="00B6379A" w:rsidRDefault="00712F45" w:rsidP="00712F45">
      <w:pPr>
        <w:pStyle w:val="Quote"/>
      </w:pPr>
      <w:r w:rsidRPr="00B6379A">
        <w:t xml:space="preserve">"It must be understood, as is also demonstrated by the trajectory of the changes, through very aggressive interventions in employment relations, that the result was negative, both with regard to unemployment and insofar as the competitiveness of Greek enterprises is concerned. As a matter of fact, within a year, our country dropped six places and is now in the 62nd place with regard to competitiveness, a fact that does not confirm the theory that wage reductions and </w:t>
      </w:r>
      <w:r w:rsidR="00951AB3">
        <w:t>greater labour</w:t>
      </w:r>
      <w:r w:rsidRPr="00B6379A">
        <w:t xml:space="preserve"> flexibility will act to contain the level of unemployment" (Interviewee ESEE, 21/7/2016).</w:t>
      </w:r>
    </w:p>
    <w:p w14:paraId="0A758ABA" w14:textId="2109614A" w:rsidR="00712F45" w:rsidRPr="00B6379A" w:rsidRDefault="00712F45" w:rsidP="00712F45">
      <w:pPr>
        <w:rPr>
          <w:rFonts w:cs="Times New Roman"/>
        </w:rPr>
      </w:pPr>
      <w:r w:rsidRPr="00B6379A">
        <w:rPr>
          <w:rFonts w:cs="Times New Roman"/>
        </w:rPr>
        <w:t>A similar perception was also shared by GSEVEE:</w:t>
      </w:r>
    </w:p>
    <w:p w14:paraId="7EF864C3" w14:textId="43C3AE59" w:rsidR="003A7174" w:rsidRDefault="00712F45" w:rsidP="00633AA6">
      <w:pPr>
        <w:pStyle w:val="Quote"/>
      </w:pPr>
      <w:r w:rsidRPr="00B6379A">
        <w:t>“The bold intervention of the state in 2012, under the pretext of [increasing] competitiveness and reducing unemployment, was mandated by the creditors and the interests of large corporations in the country. It did not bring the expected results.” (Interviewee GSEVEE, 4/8/2016).</w:t>
      </w:r>
    </w:p>
    <w:p w14:paraId="5161D38E" w14:textId="4BE2ECDB" w:rsidR="00221DC5" w:rsidRDefault="00221DC5" w:rsidP="00221DC5">
      <w:r w:rsidRPr="00353EB6">
        <w:t xml:space="preserve">The </w:t>
      </w:r>
      <w:r>
        <w:t>above quote</w:t>
      </w:r>
      <w:r w:rsidRPr="00353EB6">
        <w:t xml:space="preserve"> is indicative of the fractures and divisions between employers’ </w:t>
      </w:r>
      <w:r>
        <w:t>associations</w:t>
      </w:r>
      <w:r w:rsidRPr="00353EB6">
        <w:t>.</w:t>
      </w:r>
      <w:r>
        <w:t xml:space="preserve"> Although their strategic </w:t>
      </w:r>
      <w:r w:rsidR="00AA0150">
        <w:t>response</w:t>
      </w:r>
      <w:r>
        <w:t xml:space="preserve"> towards some of the institutional changes followed a common trajectory – such as their demand for the NMW to be determined through bipartite social dialogue – in many respects their</w:t>
      </w:r>
      <w:r w:rsidRPr="00353EB6">
        <w:t xml:space="preserve"> perceptions of </w:t>
      </w:r>
      <w:r>
        <w:t xml:space="preserve">how </w:t>
      </w:r>
      <w:r w:rsidRPr="00353EB6">
        <w:t xml:space="preserve">the </w:t>
      </w:r>
      <w:r w:rsidR="00E0347C" w:rsidRPr="00F73647">
        <w:t>narrow</w:t>
      </w:r>
      <w:r w:rsidRPr="00F73647">
        <w:t xml:space="preserve"> interests </w:t>
      </w:r>
      <w:r w:rsidRPr="00353EB6">
        <w:t>they represent</w:t>
      </w:r>
      <w:r>
        <w:t>ed</w:t>
      </w:r>
      <w:r w:rsidRPr="00353EB6">
        <w:t xml:space="preserve"> </w:t>
      </w:r>
      <w:r>
        <w:t>could</w:t>
      </w:r>
      <w:r w:rsidRPr="00353EB6">
        <w:t xml:space="preserve"> best </w:t>
      </w:r>
      <w:r>
        <w:t xml:space="preserve">be </w:t>
      </w:r>
      <w:r w:rsidRPr="00353EB6">
        <w:t>served</w:t>
      </w:r>
      <w:r>
        <w:t xml:space="preserve"> differed substantially.</w:t>
      </w:r>
    </w:p>
    <w:p w14:paraId="45046F9D" w14:textId="3301D215" w:rsidR="00A42DE7" w:rsidRDefault="00220649" w:rsidP="00220649">
      <w:pPr>
        <w:pStyle w:val="Heading3"/>
      </w:pPr>
      <w:r>
        <w:t xml:space="preserve">4.3. </w:t>
      </w:r>
      <w:r w:rsidR="009F7317">
        <w:t xml:space="preserve">Explaining the </w:t>
      </w:r>
      <w:r w:rsidR="00221DC5">
        <w:t xml:space="preserve">variation </w:t>
      </w:r>
      <w:r w:rsidR="009F7317">
        <w:t xml:space="preserve">in the </w:t>
      </w:r>
      <w:r w:rsidR="007B0DF8">
        <w:t xml:space="preserve">Employers’ </w:t>
      </w:r>
      <w:r w:rsidR="007A52AB">
        <w:t>Associations</w:t>
      </w:r>
      <w:r w:rsidR="009F7317">
        <w:t xml:space="preserve"> </w:t>
      </w:r>
      <w:r w:rsidR="00AA0150">
        <w:t xml:space="preserve">strategic </w:t>
      </w:r>
      <w:r w:rsidR="009F7317">
        <w:t>responses</w:t>
      </w:r>
    </w:p>
    <w:p w14:paraId="623368BA" w14:textId="45C63E44" w:rsidR="00634EDA" w:rsidRDefault="00CA114B" w:rsidP="009F6FD2">
      <w:r>
        <w:t xml:space="preserve">Through their actions and positions the employers’ </w:t>
      </w:r>
      <w:r w:rsidR="007A52AB">
        <w:t>associations</w:t>
      </w:r>
      <w:r>
        <w:t xml:space="preserve"> </w:t>
      </w:r>
      <w:r w:rsidR="0009580F">
        <w:t>attempted</w:t>
      </w:r>
      <w:r>
        <w:t xml:space="preserve"> to achieve t</w:t>
      </w:r>
      <w:r w:rsidR="006C65C3">
        <w:t>wo</w:t>
      </w:r>
      <w:r>
        <w:t xml:space="preserve"> outcomes</w:t>
      </w:r>
      <w:r w:rsidR="000A04AD">
        <w:t>.</w:t>
      </w:r>
      <w:r>
        <w:t xml:space="preserve"> </w:t>
      </w:r>
      <w:r w:rsidR="000A04AD">
        <w:t>F</w:t>
      </w:r>
      <w:r>
        <w:t>irst, to reaffir</w:t>
      </w:r>
      <w:r w:rsidR="00A34824">
        <w:t>m</w:t>
      </w:r>
      <w:r>
        <w:t xml:space="preserve"> their power</w:t>
      </w:r>
      <w:r w:rsidR="00D521F8">
        <w:t xml:space="preserve"> </w:t>
      </w:r>
      <w:r w:rsidR="00634EDA">
        <w:t xml:space="preserve">and to reclaim their role as legitimate </w:t>
      </w:r>
      <w:r w:rsidR="00AA0150">
        <w:t xml:space="preserve">partners </w:t>
      </w:r>
      <w:r w:rsidR="00634EDA">
        <w:t>and change agents within the employment relations system</w:t>
      </w:r>
      <w:r w:rsidR="006C65C3">
        <w:t xml:space="preserve">, </w:t>
      </w:r>
      <w:r w:rsidR="00A34824">
        <w:t>hence satisfying an important organisational interest</w:t>
      </w:r>
      <w:r w:rsidR="00AE4886">
        <w:t>.</w:t>
      </w:r>
      <w:r w:rsidR="00634EDA">
        <w:t xml:space="preserve"> During the crisis years their power suffered a decisive blow, as the process of change (through the unilateral implementation of policies by the state under the guidance of the Troika)</w:t>
      </w:r>
      <w:r w:rsidR="00634EDA" w:rsidRPr="00634EDA">
        <w:t xml:space="preserve"> </w:t>
      </w:r>
      <w:r w:rsidR="00634EDA">
        <w:t xml:space="preserve">and the statutory determination of the NMW marginalised their role in determining outcomes in the employment relations arena. The fact that the two spheres (politics and the market) in which their power was exercised </w:t>
      </w:r>
      <w:r w:rsidR="00716F5C">
        <w:t xml:space="preserve">became inconsequential and out of reach also undermined their structural power. Despite still having access to the sphere of politics, especially through their participation in tripartite bodies and their direct lines of communication with the government, they found it increasingly difficult to influence policy formation. </w:t>
      </w:r>
      <w:r w:rsidR="00716F5C" w:rsidRPr="00716F5C">
        <w:t>Yet there w</w:t>
      </w:r>
      <w:r w:rsidR="00716F5C">
        <w:t xml:space="preserve">as also an expressed </w:t>
      </w:r>
      <w:r w:rsidR="00716F5C" w:rsidRPr="00716F5C">
        <w:t>belief</w:t>
      </w:r>
      <w:r w:rsidR="00716F5C">
        <w:t xml:space="preserve"> (e.g. from the GSEVEE)</w:t>
      </w:r>
      <w:r w:rsidR="00716F5C" w:rsidRPr="00716F5C">
        <w:t xml:space="preserve"> that these corridors </w:t>
      </w:r>
      <w:r w:rsidR="00154CBF">
        <w:t xml:space="preserve">of power </w:t>
      </w:r>
      <w:r w:rsidR="00716F5C" w:rsidRPr="00716F5C">
        <w:t>were selectively open to various vested interests</w:t>
      </w:r>
      <w:r w:rsidR="00716F5C">
        <w:t>, which</w:t>
      </w:r>
      <w:r w:rsidR="00716F5C" w:rsidRPr="00716F5C">
        <w:t xml:space="preserve"> did not utilise the traditional path of social dialogue to bring about </w:t>
      </w:r>
      <w:r w:rsidR="00E95922" w:rsidRPr="00716F5C">
        <w:t>change</w:t>
      </w:r>
      <w:r w:rsidR="00F32F4E">
        <w:t>; instead, they</w:t>
      </w:r>
      <w:r w:rsidR="00716F5C">
        <w:t xml:space="preserve"> operated behind the </w:t>
      </w:r>
      <w:r w:rsidR="00154CBF">
        <w:t>(</w:t>
      </w:r>
      <w:r w:rsidR="00716F5C">
        <w:t>political</w:t>
      </w:r>
      <w:r w:rsidR="00154CBF">
        <w:t>)</w:t>
      </w:r>
      <w:r w:rsidR="00716F5C">
        <w:t xml:space="preserve"> scene</w:t>
      </w:r>
      <w:r w:rsidR="00154CBF">
        <w:t>s</w:t>
      </w:r>
      <w:r w:rsidR="00716F5C" w:rsidRPr="00716F5C">
        <w:t xml:space="preserve"> to promote their </w:t>
      </w:r>
      <w:r w:rsidR="00E95922" w:rsidRPr="00716F5C">
        <w:t>agendas</w:t>
      </w:r>
      <w:r w:rsidR="00716F5C" w:rsidRPr="00716F5C">
        <w:t>.</w:t>
      </w:r>
      <w:r w:rsidR="00716F5C">
        <w:t xml:space="preserve"> The re-establishment of social dialogue, therefore, apart from helping reclaim the lost institutional identity</w:t>
      </w:r>
      <w:r w:rsidR="00154CBF">
        <w:t xml:space="preserve"> of social actors</w:t>
      </w:r>
      <w:r w:rsidR="00716F5C">
        <w:t xml:space="preserve">, would also serve </w:t>
      </w:r>
      <w:r w:rsidR="00E95922">
        <w:t>to</w:t>
      </w:r>
      <w:r w:rsidR="00716F5C">
        <w:t xml:space="preserve"> make decision-making public</w:t>
      </w:r>
      <w:r w:rsidR="00E95922">
        <w:t xml:space="preserve">, and hence </w:t>
      </w:r>
      <w:r w:rsidR="00154CBF">
        <w:t xml:space="preserve">“re-democratize” the system by </w:t>
      </w:r>
      <w:r w:rsidR="00E95922">
        <w:t xml:space="preserve">allowing all actors </w:t>
      </w:r>
      <w:r w:rsidR="00154CBF">
        <w:t>an</w:t>
      </w:r>
      <w:r w:rsidR="0000419D">
        <w:t xml:space="preserve"> opportunity </w:t>
      </w:r>
      <w:r w:rsidR="00E95922">
        <w:t xml:space="preserve">to influence </w:t>
      </w:r>
      <w:r w:rsidR="00AA0150">
        <w:t xml:space="preserve">policies and </w:t>
      </w:r>
      <w:r w:rsidR="00E95922">
        <w:t>outcomes.</w:t>
      </w:r>
    </w:p>
    <w:p w14:paraId="4ECAF523" w14:textId="614F903E" w:rsidR="00D4565F" w:rsidRDefault="007365FB" w:rsidP="006C65C3">
      <w:r>
        <w:t>A s</w:t>
      </w:r>
      <w:r w:rsidR="00BA522C">
        <w:t>econd</w:t>
      </w:r>
      <w:r>
        <w:t xml:space="preserve"> outcome they tried to achieve was</w:t>
      </w:r>
      <w:r w:rsidR="00BA522C">
        <w:t xml:space="preserve"> </w:t>
      </w:r>
      <w:r w:rsidR="002E3061">
        <w:t xml:space="preserve">to advance sectoral interests even if these seemed to contradict their </w:t>
      </w:r>
      <w:r w:rsidR="00AA0150">
        <w:t xml:space="preserve">individual </w:t>
      </w:r>
      <w:r w:rsidR="002E3061">
        <w:t>members’ revealed preferences.</w:t>
      </w:r>
      <w:r w:rsidR="00E861EB">
        <w:t xml:space="preserve"> </w:t>
      </w:r>
      <w:r w:rsidR="0009580F" w:rsidRPr="00353EB6">
        <w:t>GSEVEE and ESEE</w:t>
      </w:r>
      <w:r w:rsidR="0009580F">
        <w:t xml:space="preserve"> </w:t>
      </w:r>
      <w:r w:rsidR="00AA0150">
        <w:t>represented</w:t>
      </w:r>
      <w:r w:rsidR="0009580F" w:rsidRPr="00353EB6">
        <w:t xml:space="preserve"> the </w:t>
      </w:r>
      <w:r w:rsidR="00AA0150">
        <w:t xml:space="preserve">interests of </w:t>
      </w:r>
      <w:r w:rsidR="0009580F" w:rsidRPr="00353EB6">
        <w:t xml:space="preserve">small firms and commercial enterprises that were predominantly inward looking in sheltered sectors of the economy and relied on domestic demand and </w:t>
      </w:r>
      <w:r w:rsidR="004165D8">
        <w:t xml:space="preserve">private </w:t>
      </w:r>
      <w:r w:rsidR="0009580F" w:rsidRPr="00353EB6">
        <w:t>consumption</w:t>
      </w:r>
      <w:r w:rsidR="006C65C3">
        <w:t xml:space="preserve"> for their survival</w:t>
      </w:r>
      <w:r w:rsidR="00AA0150">
        <w:t>. Hence, they</w:t>
      </w:r>
      <w:r w:rsidR="0009580F">
        <w:t xml:space="preserve"> were more positively inclined towards </w:t>
      </w:r>
      <w:r w:rsidR="004165D8">
        <w:t xml:space="preserve">sectoral collective bargaining and </w:t>
      </w:r>
      <w:r w:rsidR="0009580F">
        <w:t xml:space="preserve">an increase in the minimum wage. </w:t>
      </w:r>
      <w:r w:rsidR="006C65C3" w:rsidRPr="00353EB6">
        <w:t xml:space="preserve">As domestic incomes </w:t>
      </w:r>
      <w:r w:rsidR="0099249D">
        <w:t>plummeted</w:t>
      </w:r>
      <w:r w:rsidR="006C65C3" w:rsidRPr="00353EB6">
        <w:t xml:space="preserve"> (not only </w:t>
      </w:r>
      <w:r w:rsidR="004165D8">
        <w:t xml:space="preserve">directly </w:t>
      </w:r>
      <w:r w:rsidR="0099249D">
        <w:t xml:space="preserve">through </w:t>
      </w:r>
      <w:r w:rsidR="004165D8">
        <w:t xml:space="preserve">decentralisation and </w:t>
      </w:r>
      <w:r w:rsidR="0099249D">
        <w:t>the reduction in the</w:t>
      </w:r>
      <w:r w:rsidR="0099249D" w:rsidRPr="00353EB6">
        <w:t xml:space="preserve"> </w:t>
      </w:r>
      <w:r w:rsidR="006C65C3" w:rsidRPr="00353EB6">
        <w:t xml:space="preserve">minimum wages, but also through ‘ripple effects’ </w:t>
      </w:r>
      <w:r w:rsidR="0099249D">
        <w:t xml:space="preserve">in </w:t>
      </w:r>
      <w:r w:rsidR="006C65C3" w:rsidRPr="00353EB6">
        <w:t xml:space="preserve">the </w:t>
      </w:r>
      <w:r w:rsidR="004165D8">
        <w:t xml:space="preserve">overall </w:t>
      </w:r>
      <w:r w:rsidR="006C65C3" w:rsidRPr="00353EB6">
        <w:t>wage distribution)</w:t>
      </w:r>
      <w:r w:rsidR="0099249D">
        <w:t>,</w:t>
      </w:r>
      <w:r w:rsidR="006C65C3" w:rsidRPr="00353EB6">
        <w:t xml:space="preserve"> domestic demand stagnated and </w:t>
      </w:r>
      <w:r w:rsidR="0099249D" w:rsidRPr="00353EB6">
        <w:t>GSEVEE and ESEE</w:t>
      </w:r>
      <w:r w:rsidR="0099249D" w:rsidRPr="00353EB6" w:rsidDel="0099249D">
        <w:t xml:space="preserve"> </w:t>
      </w:r>
      <w:r w:rsidR="006C65C3" w:rsidRPr="00353EB6">
        <w:t>members suffered disproportionately from the economic recession</w:t>
      </w:r>
      <w:r w:rsidR="006C65C3">
        <w:t xml:space="preserve">. </w:t>
      </w:r>
      <w:r w:rsidR="0009580F">
        <w:t xml:space="preserve">Moreover, </w:t>
      </w:r>
      <w:r w:rsidR="0009580F" w:rsidRPr="006C65C3">
        <w:t xml:space="preserve">their small-sized and relatively homogenous membership meant that there were clear advantages to be gained from sectoral agreements, which </w:t>
      </w:r>
      <w:r w:rsidR="006C65C3" w:rsidRPr="006C65C3">
        <w:t>c</w:t>
      </w:r>
      <w:r w:rsidR="0009580F" w:rsidRPr="006C65C3">
        <w:t xml:space="preserve">ould standardize the costs across the sector and </w:t>
      </w:r>
      <w:r w:rsidR="006C65C3" w:rsidRPr="006C65C3">
        <w:t>thus</w:t>
      </w:r>
      <w:r w:rsidR="0009580F" w:rsidRPr="006C65C3">
        <w:t xml:space="preserve"> help avoid a race-to-the-bottom with respect to wages.</w:t>
      </w:r>
      <w:r w:rsidR="006C65C3" w:rsidRPr="006C65C3">
        <w:t xml:space="preserve"> </w:t>
      </w:r>
    </w:p>
    <w:p w14:paraId="226D5D03" w14:textId="40D0C0AA" w:rsidR="006C65C3" w:rsidRPr="006C65C3" w:rsidRDefault="006C65C3" w:rsidP="006C65C3">
      <w:r w:rsidRPr="006C65C3">
        <w:t xml:space="preserve">By contrast, </w:t>
      </w:r>
      <w:r w:rsidR="00D4565F" w:rsidRPr="006C65C3">
        <w:t>SEV and SETE</w:t>
      </w:r>
      <w:r w:rsidR="00D4565F" w:rsidRPr="006C65C3" w:rsidDel="00D4565F">
        <w:t xml:space="preserve"> </w:t>
      </w:r>
      <w:r w:rsidR="00D4565F">
        <w:t>represented the interest</w:t>
      </w:r>
      <w:r w:rsidRPr="006C65C3">
        <w:t>s of large</w:t>
      </w:r>
      <w:r w:rsidR="00D4565F">
        <w:t>, export-oriented</w:t>
      </w:r>
      <w:r w:rsidRPr="006C65C3">
        <w:t xml:space="preserve"> and outward looking firms</w:t>
      </w:r>
      <w:r w:rsidR="00D4565F">
        <w:t>. They also</w:t>
      </w:r>
      <w:r w:rsidRPr="006C65C3">
        <w:t xml:space="preserve"> saw their role marginally weakened, because of the stripping </w:t>
      </w:r>
      <w:r w:rsidR="0099249D">
        <w:t xml:space="preserve">away </w:t>
      </w:r>
      <w:r w:rsidRPr="006C65C3">
        <w:t>of formal powers to negotiate the NMW,</w:t>
      </w:r>
      <w:r w:rsidR="00D4565F">
        <w:t xml:space="preserve"> but </w:t>
      </w:r>
      <w:r w:rsidRPr="006C65C3">
        <w:t xml:space="preserve">also realized that some of their long-running positions were essentially being </w:t>
      </w:r>
      <w:r w:rsidR="00940B89">
        <w:t>vindicat</w:t>
      </w:r>
      <w:r w:rsidRPr="006C65C3">
        <w:t xml:space="preserve">ed. </w:t>
      </w:r>
      <w:r w:rsidR="00F73647" w:rsidRPr="006C65C3">
        <w:t>Their members</w:t>
      </w:r>
      <w:r w:rsidRPr="006C65C3">
        <w:t xml:space="preserve"> </w:t>
      </w:r>
      <w:r w:rsidR="00D4565F">
        <w:t>were coming from sectors exposed to international competition, such as</w:t>
      </w:r>
      <w:r w:rsidR="00D4565F" w:rsidRPr="006C65C3">
        <w:t xml:space="preserve"> </w:t>
      </w:r>
      <w:r w:rsidRPr="006C65C3">
        <w:t>export-oriented firms or the tourism industry</w:t>
      </w:r>
      <w:r w:rsidR="00D4565F">
        <w:t>,</w:t>
      </w:r>
      <w:r w:rsidRPr="006C65C3">
        <w:t xml:space="preserve"> </w:t>
      </w:r>
      <w:r w:rsidR="00780EAF">
        <w:t xml:space="preserve">and </w:t>
      </w:r>
      <w:r w:rsidRPr="006C65C3">
        <w:t>relied on global demand for their products and services</w:t>
      </w:r>
      <w:r w:rsidR="00D4565F">
        <w:t>. Thus, they were individually and collectively g</w:t>
      </w:r>
      <w:r w:rsidRPr="006C65C3">
        <w:t xml:space="preserve">aining </w:t>
      </w:r>
      <w:r w:rsidR="00780EAF">
        <w:t xml:space="preserve">in </w:t>
      </w:r>
      <w:r w:rsidRPr="006C65C3">
        <w:t xml:space="preserve">competitiveness </w:t>
      </w:r>
      <w:r w:rsidR="00780EAF">
        <w:t>as a result of</w:t>
      </w:r>
      <w:r w:rsidR="00780EAF" w:rsidRPr="006C65C3">
        <w:t xml:space="preserve"> </w:t>
      </w:r>
      <w:r w:rsidR="004165D8">
        <w:t xml:space="preserve">the </w:t>
      </w:r>
      <w:r w:rsidRPr="006C65C3">
        <w:t>significant</w:t>
      </w:r>
      <w:r w:rsidR="005812CA">
        <w:t>ly</w:t>
      </w:r>
      <w:r w:rsidRPr="006C65C3">
        <w:t xml:space="preserve"> lower labour costs. At the same time, their large size and cross-sectoral membership meant that they had clear advantages to gain from a decentralized and more flexible bargaining structure, allowing firms to </w:t>
      </w:r>
      <w:r w:rsidR="00780EAF">
        <w:t>tailor</w:t>
      </w:r>
      <w:r w:rsidR="00780EAF" w:rsidRPr="006C65C3">
        <w:t xml:space="preserve"> </w:t>
      </w:r>
      <w:r w:rsidRPr="006C65C3">
        <w:t>bargaining to their own need.</w:t>
      </w:r>
      <w:r>
        <w:t xml:space="preserve"> In sum, all peak-level employers’ </w:t>
      </w:r>
      <w:r w:rsidR="007A52AB">
        <w:t>associations</w:t>
      </w:r>
      <w:r>
        <w:t xml:space="preserve"> </w:t>
      </w:r>
      <w:r w:rsidR="00D4565F">
        <w:t xml:space="preserve">strategic response to institutional changes are explained not only on the basis of the interests they represented and </w:t>
      </w:r>
      <w:r>
        <w:t xml:space="preserve">the impact the changes had on their </w:t>
      </w:r>
      <w:r w:rsidR="00D4565F">
        <w:t xml:space="preserve">members, but also </w:t>
      </w:r>
      <w:r w:rsidR="009B3DD1">
        <w:t>in view of</w:t>
      </w:r>
      <w:r w:rsidR="00D4565F">
        <w:t xml:space="preserve"> the impact the changes had on the reallocation of power in the employment relations system.</w:t>
      </w:r>
    </w:p>
    <w:p w14:paraId="4D06AA54" w14:textId="76714D82" w:rsidR="00542875" w:rsidRPr="00B6379A" w:rsidRDefault="00542875" w:rsidP="006C65C3">
      <w:pPr>
        <w:pStyle w:val="Heading2"/>
      </w:pPr>
      <w:r w:rsidRPr="00B6379A">
        <w:t>Conclusion</w:t>
      </w:r>
    </w:p>
    <w:p w14:paraId="5B47E156" w14:textId="2D99A402" w:rsidR="007365FB" w:rsidRPr="00B6379A" w:rsidRDefault="00542875" w:rsidP="003B17B8">
      <w:r>
        <w:t>In the context of the Greek recession, the institutional changes have been abrupt and severe. I</w:t>
      </w:r>
      <w:r w:rsidR="0083036D" w:rsidRPr="00B6379A">
        <w:t xml:space="preserve">ndividual </w:t>
      </w:r>
      <w:r>
        <w:t>firms</w:t>
      </w:r>
      <w:r w:rsidR="0083036D" w:rsidRPr="00B6379A">
        <w:t xml:space="preserve"> seemed to endorse the direction of change</w:t>
      </w:r>
      <w:r>
        <w:t xml:space="preserve"> towards greater marketization</w:t>
      </w:r>
      <w:r w:rsidR="0083036D" w:rsidRPr="00B6379A">
        <w:t>, as evidenced by the wage</w:t>
      </w:r>
      <w:r>
        <w:t xml:space="preserve"> cuts</w:t>
      </w:r>
      <w:r w:rsidR="0083036D" w:rsidRPr="00B6379A">
        <w:t xml:space="preserve"> and the </w:t>
      </w:r>
      <w:r>
        <w:t>dismantling</w:t>
      </w:r>
      <w:r w:rsidR="0083036D" w:rsidRPr="00B6379A">
        <w:t xml:space="preserve"> of sectoral bargaining. </w:t>
      </w:r>
      <w:r w:rsidR="003B17B8" w:rsidRPr="00B6379A">
        <w:t xml:space="preserve">This sentiment, however, was not completely shared by collective </w:t>
      </w:r>
      <w:r>
        <w:t xml:space="preserve">employer </w:t>
      </w:r>
      <w:r w:rsidR="007A52AB">
        <w:t>associations</w:t>
      </w:r>
      <w:r w:rsidR="003B17B8" w:rsidRPr="00B6379A">
        <w:t xml:space="preserve"> that casted doubt </w:t>
      </w:r>
      <w:r w:rsidR="00AE2D34" w:rsidRPr="00B6379A">
        <w:t>on</w:t>
      </w:r>
      <w:r w:rsidR="003B17B8" w:rsidRPr="00B6379A">
        <w:t xml:space="preserve"> the effectiveness of the technocratic policies implemented in the Greek labour market. This is not to say that the </w:t>
      </w:r>
      <w:r w:rsidR="004E61F8">
        <w:t>employer</w:t>
      </w:r>
      <w:r w:rsidR="00BE288D" w:rsidRPr="00B6379A">
        <w:t xml:space="preserve"> </w:t>
      </w:r>
      <w:r w:rsidR="007A52AB">
        <w:t>associations</w:t>
      </w:r>
      <w:r w:rsidR="003B17B8" w:rsidRPr="00B6379A">
        <w:t xml:space="preserve"> adopted an anti-MoU stance </w:t>
      </w:r>
      <w:r w:rsidR="00F75016" w:rsidRPr="00B6379A">
        <w:t>like</w:t>
      </w:r>
      <w:r w:rsidR="003B17B8" w:rsidRPr="00B6379A">
        <w:t xml:space="preserve"> the trade unions; on the contrary, they were in favour of many of the adopted changes. </w:t>
      </w:r>
      <w:r w:rsidR="002378A7" w:rsidRPr="00B6379A">
        <w:t>H</w:t>
      </w:r>
      <w:r w:rsidR="003B17B8" w:rsidRPr="00B6379A">
        <w:t xml:space="preserve">owever, </w:t>
      </w:r>
      <w:r w:rsidR="00AC7433">
        <w:t xml:space="preserve">the </w:t>
      </w:r>
      <w:r w:rsidR="003B17B8" w:rsidRPr="00B6379A">
        <w:t>f</w:t>
      </w:r>
      <w:r w:rsidR="00F458A5" w:rsidRPr="00B6379A">
        <w:t xml:space="preserve">ault </w:t>
      </w:r>
      <w:r w:rsidR="003B17B8" w:rsidRPr="00B6379A">
        <w:t>l</w:t>
      </w:r>
      <w:r w:rsidR="00F458A5" w:rsidRPr="00B6379A">
        <w:t xml:space="preserve">ines and </w:t>
      </w:r>
      <w:r w:rsidR="003B17B8" w:rsidRPr="00B6379A">
        <w:t>h</w:t>
      </w:r>
      <w:r w:rsidR="00F458A5" w:rsidRPr="00B6379A">
        <w:t xml:space="preserve">idden </w:t>
      </w:r>
      <w:r w:rsidR="003B17B8" w:rsidRPr="00B6379A">
        <w:t>f</w:t>
      </w:r>
      <w:r w:rsidR="00F458A5" w:rsidRPr="00B6379A">
        <w:t xml:space="preserve">ractures </w:t>
      </w:r>
      <w:r w:rsidR="00AC7433">
        <w:t>that emerged in</w:t>
      </w:r>
      <w:r w:rsidR="00AC7433" w:rsidRPr="00B6379A">
        <w:t xml:space="preserve"> </w:t>
      </w:r>
      <w:r w:rsidR="00F458A5" w:rsidRPr="00B6379A">
        <w:t xml:space="preserve">the </w:t>
      </w:r>
      <w:r w:rsidR="003B17B8" w:rsidRPr="00B6379A">
        <w:t>employers’</w:t>
      </w:r>
      <w:r w:rsidR="00F458A5" w:rsidRPr="00B6379A">
        <w:t xml:space="preserve"> </w:t>
      </w:r>
      <w:r w:rsidR="003B17B8" w:rsidRPr="00B6379A">
        <w:t>c</w:t>
      </w:r>
      <w:r w:rsidR="00F458A5" w:rsidRPr="00B6379A">
        <w:t>amp</w:t>
      </w:r>
      <w:r w:rsidR="003B17B8" w:rsidRPr="00B6379A">
        <w:t xml:space="preserve"> </w:t>
      </w:r>
      <w:r w:rsidR="00AC7433">
        <w:t>put into question</w:t>
      </w:r>
      <w:r w:rsidR="00AC7433" w:rsidRPr="00B6379A">
        <w:t xml:space="preserve"> </w:t>
      </w:r>
      <w:r w:rsidR="003B17B8" w:rsidRPr="00B6379A">
        <w:t>the</w:t>
      </w:r>
      <w:r w:rsidR="00F458A5" w:rsidRPr="00B6379A">
        <w:t xml:space="preserve"> binary logic </w:t>
      </w:r>
      <w:r w:rsidR="003B17B8" w:rsidRPr="00B6379A">
        <w:t xml:space="preserve">that </w:t>
      </w:r>
      <w:r w:rsidR="0057416E">
        <w:t xml:space="preserve">views </w:t>
      </w:r>
      <w:r>
        <w:t>e</w:t>
      </w:r>
      <w:r w:rsidR="00F458A5" w:rsidRPr="00B6379A">
        <w:t>mployers</w:t>
      </w:r>
      <w:r w:rsidR="000C22E3">
        <w:t>’ associations</w:t>
      </w:r>
      <w:r w:rsidR="00F458A5" w:rsidRPr="00B6379A">
        <w:t xml:space="preserve"> </w:t>
      </w:r>
      <w:r w:rsidR="00AC7433">
        <w:t xml:space="preserve">as </w:t>
      </w:r>
      <w:r w:rsidR="000C22E3">
        <w:t xml:space="preserve">pro-marketization </w:t>
      </w:r>
      <w:r w:rsidR="009E0450">
        <w:t>actor</w:t>
      </w:r>
      <w:r w:rsidR="000C22E3">
        <w:t>s</w:t>
      </w:r>
      <w:r w:rsidR="009E0450">
        <w:t xml:space="preserve"> </w:t>
      </w:r>
      <w:r w:rsidR="00AC7433">
        <w:t>and</w:t>
      </w:r>
      <w:r w:rsidR="009E0450">
        <w:t xml:space="preserve"> trade unions</w:t>
      </w:r>
      <w:r w:rsidR="00AC7433">
        <w:t xml:space="preserve"> </w:t>
      </w:r>
      <w:r w:rsidR="009E0450">
        <w:t xml:space="preserve">as </w:t>
      </w:r>
      <w:r w:rsidR="000C22E3">
        <w:t>anti-marketization ones.</w:t>
      </w:r>
      <w:r w:rsidR="001E6C96">
        <w:t xml:space="preserve"> </w:t>
      </w:r>
      <w:r w:rsidR="007365FB">
        <w:t xml:space="preserve">As we have seen, apart from the shared position that the NMW should be determined via bipartite social dialogue at the national level, </w:t>
      </w:r>
      <w:r w:rsidR="00106EB1">
        <w:t>instead of being</w:t>
      </w:r>
      <w:r w:rsidR="007365FB">
        <w:t xml:space="preserve"> </w:t>
      </w:r>
      <w:r w:rsidR="00B16292">
        <w:t>prescribed by law</w:t>
      </w:r>
      <w:r w:rsidR="007365FB">
        <w:t>, the employers’ associations</w:t>
      </w:r>
      <w:r w:rsidR="00B16292">
        <w:t>’</w:t>
      </w:r>
      <w:r w:rsidR="007365FB">
        <w:t xml:space="preserve"> </w:t>
      </w:r>
      <w:r w:rsidR="009E0450">
        <w:t>strategic position</w:t>
      </w:r>
      <w:r w:rsidR="00B16292">
        <w:t>s</w:t>
      </w:r>
      <w:r w:rsidR="009E0450">
        <w:t xml:space="preserve"> </w:t>
      </w:r>
      <w:r w:rsidR="00106EB1">
        <w:t xml:space="preserve">with regard to the </w:t>
      </w:r>
      <w:r w:rsidR="009E0450">
        <w:t xml:space="preserve">other </w:t>
      </w:r>
      <w:r w:rsidR="00106EB1">
        <w:t xml:space="preserve">institutional changes </w:t>
      </w:r>
      <w:r w:rsidR="007365FB">
        <w:t>differed</w:t>
      </w:r>
      <w:r w:rsidR="00106EB1">
        <w:t xml:space="preserve"> substantially. Hence GSEVEE and ESEE argued for a return to a more centralised system of collective bargaining and for higher minimum wages, whereas SEV and SETE, although not explicitly against </w:t>
      </w:r>
      <w:r w:rsidR="00C350D9">
        <w:t xml:space="preserve">sectoral </w:t>
      </w:r>
      <w:r w:rsidR="00106EB1">
        <w:t xml:space="preserve">bargaining, favoured </w:t>
      </w:r>
      <w:r w:rsidR="00C350D9">
        <w:t xml:space="preserve">the primacy of firm-level bargaining and </w:t>
      </w:r>
      <w:r w:rsidR="00106EB1">
        <w:t>decentralisation.</w:t>
      </w:r>
    </w:p>
    <w:p w14:paraId="0BC4CA5F" w14:textId="15024F93" w:rsidR="008E40F3" w:rsidRDefault="00270FC9" w:rsidP="000417A0">
      <w:r>
        <w:t xml:space="preserve">To </w:t>
      </w:r>
      <w:r w:rsidR="00C350D9">
        <w:t xml:space="preserve">account for </w:t>
      </w:r>
      <w:r>
        <w:t>t</w:t>
      </w:r>
      <w:r w:rsidRPr="00B6379A">
        <w:t xml:space="preserve">he </w:t>
      </w:r>
      <w:r w:rsidR="00B16292" w:rsidRPr="00B6379A">
        <w:t xml:space="preserve">apparent </w:t>
      </w:r>
      <w:r w:rsidR="00B16292">
        <w:t>divide</w:t>
      </w:r>
      <w:r w:rsidR="00B16292" w:rsidRPr="00B6379A">
        <w:t xml:space="preserve"> between </w:t>
      </w:r>
      <w:r w:rsidR="00B16292">
        <w:t xml:space="preserve">or among associations and for the </w:t>
      </w:r>
      <w:r w:rsidR="00C350D9">
        <w:t>variation in the</w:t>
      </w:r>
      <w:r w:rsidR="00B16292">
        <w:t>ir</w:t>
      </w:r>
      <w:r w:rsidR="00C350D9">
        <w:t xml:space="preserve"> strategic positions</w:t>
      </w:r>
      <w:r>
        <w:t xml:space="preserve">, the </w:t>
      </w:r>
      <w:r w:rsidR="000C5045">
        <w:t xml:space="preserve">article </w:t>
      </w:r>
      <w:r>
        <w:t>adopted a</w:t>
      </w:r>
      <w:r w:rsidR="00C350D9">
        <w:t>n interest representation and</w:t>
      </w:r>
      <w:r>
        <w:t xml:space="preserve"> power</w:t>
      </w:r>
      <w:r w:rsidR="00C350D9">
        <w:t>-based</w:t>
      </w:r>
      <w:r>
        <w:t xml:space="preserve"> </w:t>
      </w:r>
      <w:r w:rsidR="000C22E3">
        <w:t xml:space="preserve">model of strategic action </w:t>
      </w:r>
      <w:r w:rsidR="000C22E3">
        <w:fldChar w:fldCharType="begin"/>
      </w:r>
      <w:r w:rsidR="000C22E3">
        <w:instrText xml:space="preserve"> ADDIN ZOTERO_ITEM CSL_CITATION {"citationID":"I54DJVJY","properties":{"formattedCitation":"(Korpi, 2006; Wright, 2015)","plainCitation":"(Korpi, 2006; Wright, 2015)","noteIndex":0},"citationItems":[{"id":95,"uris":["http://zotero.org/users/2360415/items/6NZ8A9TM"],"uri":["http://zotero.org/users/2360415/items/6NZ8A9TM"],"itemData":{"id":95,"type":"article-journal","abstract":"The power resources approach, underlining the relevance of socioeconomic class and partisan politics in distributive conflict within capitalist economies, is challenged by employer-centered approaches claiming employers and cross-class alliances to have been crucial in advancing the development of welfare states and varieties of capitalism. Theoretically and empirically these claims are problematic. In welfare state expansion, employers have often been antagonists, under specific conditions consenters, but very rarely protagonists. Well-developed welfare states and coordinated market economies have emerged in countries with strong left parties in long-term cabinet participation or in countries with state corporatist institutional traditions and confessional parties in intensive competition with left parties.","container-title":"World Politics","ISSN":"0043-8871","issue":"2","journalAbbreviation":"World Politics","page":"167-206","source":"JSTOR","title":"Power Resources and Employer-Centered Approaches in Explanations of Welfare States and Varieties of Capitalism: Protagonists, Consenters, and Antagonists","title-short":"Power Resources and Employer-Centered Approaches in Explanations of Welfare States and Varieties of Capitalism","volume":"58","author":[{"family":"Korpi","given":"Walter"}],"issued":{"date-parts":[["2006"]]}}},{"id":1050,"uris":["http://zotero.org/users/2360415/items/P29CDN2Q"],"uri":["http://zotero.org/users/2360415/items/P29CDN2Q"],"itemData":{"id":1050,"type":"chapter","container-title":"Understanding Class","event-place":"London","page":"185-230","publisher":"Verso","publisher-place":"London","title":"Working-Class Power, Capitalist-Class Interests, and Class Compromise","author":[{"family":"Wright","given":"Erik Olin"}],"issued":{"date-parts":[["2015"]]}}}],"schema":"https://github.com/citation-style-language/schema/raw/master/csl-citation.json"} </w:instrText>
      </w:r>
      <w:r w:rsidR="000C22E3">
        <w:fldChar w:fldCharType="separate"/>
      </w:r>
      <w:r w:rsidR="000C22E3" w:rsidRPr="002541BE">
        <w:rPr>
          <w:rFonts w:cs="Times New Roman"/>
        </w:rPr>
        <w:t>(Korpi, 2006; Wright, 2015)</w:t>
      </w:r>
      <w:r w:rsidR="000C22E3">
        <w:fldChar w:fldCharType="end"/>
      </w:r>
      <w:r w:rsidR="00B16292">
        <w:t>.</w:t>
      </w:r>
      <w:r>
        <w:t xml:space="preserve"> </w:t>
      </w:r>
      <w:r w:rsidR="000C22E3">
        <w:t xml:space="preserve">Building on, and expanding, a burgeoning literature on the role and strategic behaviour of employers’ associations </w:t>
      </w:r>
      <w:r w:rsidR="000C22E3">
        <w:fldChar w:fldCharType="begin"/>
      </w:r>
      <w:r w:rsidR="00C909E2">
        <w:instrText xml:space="preserve"> ADDIN ZOTERO_ITEM CSL_CITATION {"citationID":"aGglqb55","properties":{"formattedCitation":"(Behrens, 2018; Paster, 2018)","plainCitation":"(Behrens, 2018; Paster, 2018)","noteIndex":0},"citationItems":[{"id":1247,"uris":["http://zotero.org/users/2360415/items/3F42AWEH"],"uri":["http://zotero.org/users/2360415/items/3F42AWEH"],"itemData":{"id":1247,"type":"article-journal","abstract":"Abstract.  Analysing a unique data set of the organizational characteristics of 358 German employers’ associations, the article investigates how employers manag","container-title":"Socio-Economic Review","DOI":"10.1093/ser/mwx037","ISSN":"1475-1461","issue":"4","journalAbbreviation":"Socioecon Rev","language":"en","page":"769-789","source":"academic-oup-com.ezproxy.lib.bbk.ac.uk","title":"Structure and competing logics: the art of shaping interests within German employers’ associations","title-short":"Structure and competing logics","volume":"16","author":[{"family":"Behrens","given":"Martin"}],"issued":{"date-parts":[["2018",10,1]]}}},{"id":1250,"uris":["http://zotero.org/users/2360415/items/U7RZQ4GP"],"uri":["http://zotero.org/users/2360415/items/U7RZQ4GP"],"itemData":{"id":1250,"type":"article-journal","container-title":"New Political Economy","issue":"6","language":"English","page":"674-689","title":"How Do Business Interest Groups Respond to Political Challenges? A Study of the Politics of German Employers","title-short":"How Do Business Interest Groups Respond to Political Challenges?","volume":"23","author":[{"family":"Paster","given":"Thomas"}],"issued":{"date-parts":[["2018"]]}}}],"schema":"https://github.com/citation-style-language/schema/raw/master/csl-citation.json"} </w:instrText>
      </w:r>
      <w:r w:rsidR="000C22E3">
        <w:fldChar w:fldCharType="separate"/>
      </w:r>
      <w:r w:rsidR="00C909E2" w:rsidRPr="00C909E2">
        <w:rPr>
          <w:rFonts w:cs="Times New Roman"/>
        </w:rPr>
        <w:t>(Behrens, 2018; Paster, 2018)</w:t>
      </w:r>
      <w:r w:rsidR="000C22E3">
        <w:fldChar w:fldCharType="end"/>
      </w:r>
      <w:r w:rsidR="000C22E3">
        <w:t>, w</w:t>
      </w:r>
      <w:r>
        <w:t>e argued that t</w:t>
      </w:r>
      <w:r w:rsidR="00375466">
        <w:t xml:space="preserve">he </w:t>
      </w:r>
      <w:r w:rsidR="00C350D9">
        <w:t xml:space="preserve">strategic position </w:t>
      </w:r>
      <w:r w:rsidR="00375466">
        <w:t>of the</w:t>
      </w:r>
      <w:r w:rsidR="00B4327B" w:rsidRPr="00B6379A">
        <w:t xml:space="preserve"> </w:t>
      </w:r>
      <w:r w:rsidR="00542875">
        <w:t>employer</w:t>
      </w:r>
      <w:r w:rsidR="006112E2">
        <w:t>s’</w:t>
      </w:r>
      <w:r w:rsidR="00BE288D" w:rsidRPr="00B6379A">
        <w:t xml:space="preserve"> </w:t>
      </w:r>
      <w:r w:rsidR="007A52AB">
        <w:t>associations</w:t>
      </w:r>
      <w:r w:rsidR="00B4327B" w:rsidRPr="00B6379A">
        <w:t xml:space="preserve"> can be explained by </w:t>
      </w:r>
      <w:r>
        <w:t xml:space="preserve">considering </w:t>
      </w:r>
      <w:r w:rsidR="00B4327B" w:rsidRPr="00B6379A">
        <w:t xml:space="preserve">the impact </w:t>
      </w:r>
      <w:r w:rsidR="00836DAD">
        <w:t xml:space="preserve">of </w:t>
      </w:r>
      <w:r w:rsidR="00542875">
        <w:t>the</w:t>
      </w:r>
      <w:r w:rsidR="00B4327B" w:rsidRPr="00B6379A">
        <w:t xml:space="preserve"> institutional changes on </w:t>
      </w:r>
      <w:r>
        <w:t>their</w:t>
      </w:r>
      <w:r w:rsidR="00A34824">
        <w:t xml:space="preserve"> </w:t>
      </w:r>
      <w:r w:rsidR="00A34824" w:rsidRPr="00B6379A">
        <w:t>power in the</w:t>
      </w:r>
      <w:r w:rsidR="00A34824">
        <w:t xml:space="preserve"> employment relations</w:t>
      </w:r>
      <w:r w:rsidR="00A34824" w:rsidRPr="00B6379A">
        <w:t xml:space="preserve"> system</w:t>
      </w:r>
      <w:r>
        <w:t>,</w:t>
      </w:r>
      <w:r w:rsidR="00A34824" w:rsidRPr="00B6379A">
        <w:t xml:space="preserve"> </w:t>
      </w:r>
      <w:r w:rsidR="00A34824">
        <w:t xml:space="preserve">and </w:t>
      </w:r>
      <w:r w:rsidR="00A11786">
        <w:t>the</w:t>
      </w:r>
      <w:r>
        <w:t>ir</w:t>
      </w:r>
      <w:r w:rsidR="00A11786">
        <w:t xml:space="preserve"> </w:t>
      </w:r>
      <w:r w:rsidR="00A34824">
        <w:t xml:space="preserve">consequent ability to defend and represent </w:t>
      </w:r>
      <w:r w:rsidR="00B4327B" w:rsidRPr="00B6379A">
        <w:t>the</w:t>
      </w:r>
      <w:r w:rsidR="006112E2">
        <w:t>ir</w:t>
      </w:r>
      <w:r w:rsidR="00B4327B" w:rsidRPr="00B6379A">
        <w:t xml:space="preserve"> </w:t>
      </w:r>
      <w:r w:rsidR="00106EB1">
        <w:t xml:space="preserve">organisational and sectoral </w:t>
      </w:r>
      <w:r w:rsidR="00B4327B" w:rsidRPr="00B6379A">
        <w:t>interests.</w:t>
      </w:r>
      <w:r w:rsidR="00C42D57" w:rsidRPr="00B6379A">
        <w:t xml:space="preserve"> </w:t>
      </w:r>
      <w:r>
        <w:t>Thus,</w:t>
      </w:r>
      <w:r w:rsidR="00C42D57" w:rsidRPr="00B6379A">
        <w:t xml:space="preserve"> </w:t>
      </w:r>
      <w:r w:rsidR="00542875">
        <w:t xml:space="preserve">the process </w:t>
      </w:r>
      <w:r w:rsidR="00C350D9">
        <w:t xml:space="preserve">of institutional change </w:t>
      </w:r>
      <w:r w:rsidR="00C42D57" w:rsidRPr="00B6379A">
        <w:t>marginalised the</w:t>
      </w:r>
      <w:r w:rsidR="002378A7" w:rsidRPr="00B6379A">
        <w:t>ir</w:t>
      </w:r>
      <w:r w:rsidR="00C42D57" w:rsidRPr="00B6379A">
        <w:t xml:space="preserve"> role in determining outcomes in the employment </w:t>
      </w:r>
      <w:r w:rsidR="00C350D9" w:rsidRPr="00B6379A">
        <w:t>relations’</w:t>
      </w:r>
      <w:r w:rsidR="00C42D57" w:rsidRPr="00B6379A">
        <w:t xml:space="preserve"> </w:t>
      </w:r>
      <w:r w:rsidR="002378A7" w:rsidRPr="00B6379A">
        <w:t>arena</w:t>
      </w:r>
      <w:r w:rsidR="00C42D57" w:rsidRPr="00B6379A">
        <w:t>, by restricting their access to the sphere of politics</w:t>
      </w:r>
      <w:r w:rsidR="00C350D9">
        <w:t>. T</w:t>
      </w:r>
      <w:r w:rsidR="00C42D57" w:rsidRPr="00B6379A">
        <w:t xml:space="preserve">he statutory determination of the NMW barred them from the sphere of the market as well, </w:t>
      </w:r>
      <w:r w:rsidR="002101BD" w:rsidRPr="00B6379A">
        <w:t xml:space="preserve">by removing one </w:t>
      </w:r>
      <w:r w:rsidR="006112E2">
        <w:t xml:space="preserve">of </w:t>
      </w:r>
      <w:r w:rsidR="002101BD" w:rsidRPr="00B6379A">
        <w:t>their most important functions in the system.</w:t>
      </w:r>
      <w:r w:rsidR="008E40F3">
        <w:t xml:space="preserve"> </w:t>
      </w:r>
      <w:r>
        <w:t>Both processes</w:t>
      </w:r>
      <w:r w:rsidRPr="00B6379A">
        <w:t xml:space="preserve"> </w:t>
      </w:r>
      <w:r w:rsidR="002101BD" w:rsidRPr="00B6379A">
        <w:t>impacted directly on the allocation of power</w:t>
      </w:r>
      <w:r w:rsidR="001F7E96">
        <w:t xml:space="preserve"> in the employment relations system</w:t>
      </w:r>
      <w:r w:rsidR="002101BD" w:rsidRPr="00B6379A">
        <w:t xml:space="preserve">, since their structural </w:t>
      </w:r>
      <w:r w:rsidR="00C350D9">
        <w:t>role</w:t>
      </w:r>
      <w:r w:rsidR="00C350D9" w:rsidRPr="00B6379A">
        <w:t xml:space="preserve"> </w:t>
      </w:r>
      <w:r w:rsidR="002101BD" w:rsidRPr="00B6379A">
        <w:t>declined by default</w:t>
      </w:r>
      <w:r>
        <w:t>,</w:t>
      </w:r>
      <w:r w:rsidR="002101BD" w:rsidRPr="00B6379A">
        <w:t xml:space="preserve"> and their mobilisation power could not </w:t>
      </w:r>
      <w:r w:rsidR="00542875">
        <w:t xml:space="preserve">be used effectively. Within this new context, </w:t>
      </w:r>
      <w:r w:rsidR="002101BD" w:rsidRPr="00B6379A">
        <w:t xml:space="preserve">other forms of influence, such as lobbying, seemed to be gaining </w:t>
      </w:r>
      <w:r w:rsidR="00542875">
        <w:t>ground</w:t>
      </w:r>
      <w:r w:rsidR="008E40F3">
        <w:t>.</w:t>
      </w:r>
    </w:p>
    <w:p w14:paraId="0A73085D" w14:textId="5566027D" w:rsidR="00BB4D51" w:rsidRDefault="001C0BA5" w:rsidP="000417A0">
      <w:r>
        <w:t>T</w:t>
      </w:r>
      <w:r w:rsidR="00375466">
        <w:t xml:space="preserve">o </w:t>
      </w:r>
      <w:r w:rsidR="00375466" w:rsidRPr="00B6379A">
        <w:t xml:space="preserve">represent diverse </w:t>
      </w:r>
      <w:r w:rsidR="00BB4D51">
        <w:t xml:space="preserve">sectoral </w:t>
      </w:r>
      <w:r w:rsidR="00375466">
        <w:t>and organisational</w:t>
      </w:r>
      <w:r w:rsidR="00375466" w:rsidRPr="00B6379A">
        <w:t xml:space="preserve"> interests</w:t>
      </w:r>
      <w:r w:rsidR="00375466">
        <w:t>,</w:t>
      </w:r>
      <w:r w:rsidR="00375466" w:rsidRPr="00B6379A">
        <w:t xml:space="preserve"> </w:t>
      </w:r>
      <w:r w:rsidR="002C0402" w:rsidRPr="00B6379A">
        <w:t xml:space="preserve">the </w:t>
      </w:r>
      <w:r w:rsidR="00BE288D" w:rsidRPr="00B6379A">
        <w:t>employers</w:t>
      </w:r>
      <w:r w:rsidR="006112E2">
        <w:t>’</w:t>
      </w:r>
      <w:r w:rsidR="00BE288D" w:rsidRPr="00B6379A">
        <w:t xml:space="preserve"> </w:t>
      </w:r>
      <w:r w:rsidR="007A52AB">
        <w:t>associations</w:t>
      </w:r>
      <w:r w:rsidR="002C0402" w:rsidRPr="00B6379A">
        <w:t xml:space="preserve"> </w:t>
      </w:r>
      <w:r w:rsidR="00F85147">
        <w:t xml:space="preserve">embraced strategies in line with their structural </w:t>
      </w:r>
      <w:r w:rsidR="00AA0150">
        <w:t xml:space="preserve">role </w:t>
      </w:r>
      <w:r w:rsidR="00F85147">
        <w:t>in the economy. Therefore</w:t>
      </w:r>
      <w:r w:rsidR="00B31C85">
        <w:t>,</w:t>
      </w:r>
      <w:r w:rsidR="00F85147">
        <w:t xml:space="preserve"> the associations representing sectors with small and medium enterprises and a high dependency on internal consumption, favoured centralisation and higher wages, as the latter could directly </w:t>
      </w:r>
      <w:r w:rsidR="00BB4D51">
        <w:t>help</w:t>
      </w:r>
      <w:r w:rsidR="00F85147">
        <w:t xml:space="preserve"> the </w:t>
      </w:r>
      <w:r w:rsidR="00BB4D51">
        <w:t>survival</w:t>
      </w:r>
      <w:r w:rsidR="00F85147">
        <w:t xml:space="preserve"> of their members. The associations that represented big, labour intensive, export-oriented sectors, </w:t>
      </w:r>
      <w:r w:rsidR="004A5893">
        <w:t xml:space="preserve">on the other hand, </w:t>
      </w:r>
      <w:r w:rsidR="00F85147">
        <w:t xml:space="preserve">favoured decentralised bargaining and lower wages. </w:t>
      </w:r>
    </w:p>
    <w:p w14:paraId="389078ED" w14:textId="20981262" w:rsidR="00E45331" w:rsidRDefault="00F85147" w:rsidP="000417A0">
      <w:pPr>
        <w:rPr>
          <w:rFonts w:cs="Times New Roman"/>
        </w:rPr>
      </w:pPr>
      <w:r>
        <w:t xml:space="preserve">All associations, however, </w:t>
      </w:r>
      <w:r w:rsidR="002C0402" w:rsidRPr="00B6379A">
        <w:t xml:space="preserve">found themselves </w:t>
      </w:r>
      <w:r w:rsidR="000D5CC5">
        <w:t>walking a tightrope in attempt</w:t>
      </w:r>
      <w:r w:rsidR="001C0BA5">
        <w:t>ing</w:t>
      </w:r>
      <w:r w:rsidR="000D5CC5">
        <w:t xml:space="preserve"> to </w:t>
      </w:r>
      <w:r w:rsidR="002C0402" w:rsidRPr="00B6379A">
        <w:t xml:space="preserve">represent diverse </w:t>
      </w:r>
      <w:r w:rsidR="00BB4D51">
        <w:t xml:space="preserve">sectoral </w:t>
      </w:r>
      <w:r w:rsidR="00A11786">
        <w:t>and organisational</w:t>
      </w:r>
      <w:r w:rsidR="00A11786" w:rsidRPr="00B6379A">
        <w:t xml:space="preserve"> </w:t>
      </w:r>
      <w:r w:rsidR="002C0402" w:rsidRPr="00B6379A">
        <w:t>interests</w:t>
      </w:r>
      <w:r w:rsidR="000D5CC5">
        <w:t>.</w:t>
      </w:r>
      <w:r w:rsidR="002C0402" w:rsidRPr="00B6379A">
        <w:t xml:space="preserve"> </w:t>
      </w:r>
      <w:r w:rsidR="000D5CC5">
        <w:t>O</w:t>
      </w:r>
      <w:r w:rsidR="002C0402" w:rsidRPr="00B6379A">
        <w:t>n the one hand</w:t>
      </w:r>
      <w:r w:rsidR="000D5CC5">
        <w:t>,</w:t>
      </w:r>
      <w:r w:rsidR="002C0402" w:rsidRPr="00B6379A">
        <w:t xml:space="preserve"> they pushed for their </w:t>
      </w:r>
      <w:r w:rsidR="000D5CC5">
        <w:t xml:space="preserve">respective </w:t>
      </w:r>
      <w:r w:rsidR="002C0402" w:rsidRPr="00B6379A">
        <w:t>sector</w:t>
      </w:r>
      <w:r w:rsidR="000D5CC5">
        <w:t>’</w:t>
      </w:r>
      <w:r w:rsidR="002378A7" w:rsidRPr="00B6379A">
        <w:t>s</w:t>
      </w:r>
      <w:r w:rsidR="000D5CC5">
        <w:t xml:space="preserve"> </w:t>
      </w:r>
      <w:r w:rsidR="002378A7" w:rsidRPr="00B6379A">
        <w:t>viability</w:t>
      </w:r>
      <w:r w:rsidR="002C0402" w:rsidRPr="00B6379A">
        <w:t xml:space="preserve">, having </w:t>
      </w:r>
      <w:r w:rsidR="002378A7" w:rsidRPr="00B6379A">
        <w:t xml:space="preserve">the benefit of </w:t>
      </w:r>
      <w:r w:rsidR="008E40F3">
        <w:t>a</w:t>
      </w:r>
      <w:r w:rsidR="00637FF5">
        <w:t xml:space="preserve"> broader</w:t>
      </w:r>
      <w:r w:rsidR="008E40F3">
        <w:t xml:space="preserve"> </w:t>
      </w:r>
      <w:r w:rsidR="002C0402" w:rsidRPr="00B6379A">
        <w:t xml:space="preserve">view of the impact of the crisis on their respective </w:t>
      </w:r>
      <w:r w:rsidR="008E40F3">
        <w:t>members</w:t>
      </w:r>
      <w:r w:rsidR="002C0402" w:rsidRPr="00B6379A">
        <w:t xml:space="preserve">, even if </w:t>
      </w:r>
      <w:r w:rsidR="00246336" w:rsidRPr="00B6379A">
        <w:t xml:space="preserve">in some cases </w:t>
      </w:r>
      <w:r w:rsidR="002C0402" w:rsidRPr="00B6379A">
        <w:t xml:space="preserve">this seemed to </w:t>
      </w:r>
      <w:r w:rsidR="000D5CC5">
        <w:t>go</w:t>
      </w:r>
      <w:r w:rsidR="000D5CC5" w:rsidRPr="00B6379A">
        <w:t xml:space="preserve"> </w:t>
      </w:r>
      <w:r w:rsidR="002C0402" w:rsidRPr="00B6379A">
        <w:t>against their constituencies’ revealed preferences. On the other</w:t>
      </w:r>
      <w:r w:rsidR="000D5CC5">
        <w:t xml:space="preserve"> hand</w:t>
      </w:r>
      <w:r w:rsidR="002C0402" w:rsidRPr="00B6379A">
        <w:t xml:space="preserve">, they tried to reclaim </w:t>
      </w:r>
      <w:r w:rsidR="006112E2">
        <w:t xml:space="preserve">their role </w:t>
      </w:r>
      <w:r w:rsidR="002C0402" w:rsidRPr="00B6379A">
        <w:t xml:space="preserve">and </w:t>
      </w:r>
      <w:r w:rsidR="00F20796" w:rsidRPr="00B6379A">
        <w:t>to re-establish</w:t>
      </w:r>
      <w:r w:rsidR="002C0402" w:rsidRPr="00B6379A">
        <w:t xml:space="preserve"> themselves as </w:t>
      </w:r>
      <w:r w:rsidR="00F20796" w:rsidRPr="00B6379A">
        <w:t xml:space="preserve">relevant and legitimate </w:t>
      </w:r>
      <w:r w:rsidR="008E40F3">
        <w:t>partners</w:t>
      </w:r>
      <w:r w:rsidR="002378A7" w:rsidRPr="00B6379A">
        <w:rPr>
          <w:rFonts w:cs="Times New Roman"/>
        </w:rPr>
        <w:t xml:space="preserve">, </w:t>
      </w:r>
      <w:r w:rsidR="00F20796" w:rsidRPr="00B6379A">
        <w:t>in a context that tended to marginalise them</w:t>
      </w:r>
      <w:r w:rsidR="00812816" w:rsidRPr="00B6379A">
        <w:t xml:space="preserve">, </w:t>
      </w:r>
      <w:r w:rsidR="00812816" w:rsidRPr="00B6379A">
        <w:rPr>
          <w:rFonts w:cs="Times New Roman"/>
        </w:rPr>
        <w:t xml:space="preserve">by casting doubt </w:t>
      </w:r>
      <w:r w:rsidR="000D5CC5">
        <w:rPr>
          <w:rFonts w:cs="Times New Roman"/>
        </w:rPr>
        <w:t>on</w:t>
      </w:r>
      <w:r w:rsidR="000D5CC5" w:rsidRPr="00B6379A">
        <w:rPr>
          <w:rFonts w:cs="Times New Roman"/>
        </w:rPr>
        <w:t xml:space="preserve"> </w:t>
      </w:r>
      <w:r w:rsidR="00812816" w:rsidRPr="00B6379A">
        <w:rPr>
          <w:rFonts w:cs="Times New Roman"/>
        </w:rPr>
        <w:t xml:space="preserve">the legitimacy of the </w:t>
      </w:r>
      <w:r w:rsidR="00797ECD" w:rsidRPr="00B6379A">
        <w:rPr>
          <w:rFonts w:cs="Times New Roman"/>
        </w:rPr>
        <w:t xml:space="preserve">state and the </w:t>
      </w:r>
      <w:r w:rsidR="00812816" w:rsidRPr="00B6379A">
        <w:rPr>
          <w:rFonts w:cs="Times New Roman"/>
        </w:rPr>
        <w:t>technocrats (the Troika) to guide institutional change</w:t>
      </w:r>
      <w:r w:rsidR="002378A7" w:rsidRPr="00B6379A">
        <w:rPr>
          <w:rFonts w:cs="Times New Roman"/>
        </w:rPr>
        <w:t xml:space="preserve"> in employment relations.</w:t>
      </w:r>
    </w:p>
    <w:p w14:paraId="068DD293" w14:textId="77777777" w:rsidR="00C84163" w:rsidRDefault="00C84163" w:rsidP="000417A0">
      <w:pPr>
        <w:rPr>
          <w:rFonts w:cs="Times New Roman"/>
        </w:rPr>
      </w:pPr>
    </w:p>
    <w:p w14:paraId="2C7B0A7E" w14:textId="50D5E3C9" w:rsidR="00D32267" w:rsidRDefault="00321708" w:rsidP="00EB0885">
      <w:pPr>
        <w:pStyle w:val="Heading2"/>
      </w:pPr>
      <w:r w:rsidRPr="007066D4">
        <w:t>References</w:t>
      </w:r>
    </w:p>
    <w:p w14:paraId="6897009B" w14:textId="77777777" w:rsidR="00471D19" w:rsidRPr="00471D19" w:rsidRDefault="00EB72A6" w:rsidP="00471D19">
      <w:pPr>
        <w:pStyle w:val="Bibliography"/>
        <w:rPr>
          <w:rFonts w:cs="Times New Roman"/>
        </w:rPr>
      </w:pPr>
      <w:r w:rsidRPr="007066D4">
        <w:fldChar w:fldCharType="begin" w:fldLock="1"/>
      </w:r>
      <w:r w:rsidR="008A75C0">
        <w:instrText xml:space="preserve"> ADDIN ZOTERO_BIBL {"uncited":[],"omitted":[],"custom":[]} CSL_BIBLIOGRAPHY </w:instrText>
      </w:r>
      <w:r w:rsidRPr="007066D4">
        <w:fldChar w:fldCharType="separate"/>
      </w:r>
      <w:r w:rsidR="00471D19" w:rsidRPr="00471D19">
        <w:rPr>
          <w:rFonts w:cs="Times New Roman"/>
        </w:rPr>
        <w:t xml:space="preserve">Alfonso A (2019) State-led wage devaluation in Southern Europe in the wake of the Eurozone crisis. </w:t>
      </w:r>
      <w:r w:rsidR="00471D19" w:rsidRPr="00471D19">
        <w:rPr>
          <w:rFonts w:cs="Times New Roman"/>
          <w:i/>
          <w:iCs/>
        </w:rPr>
        <w:t>European Journal of Political Research</w:t>
      </w:r>
      <w:r w:rsidR="00471D19" w:rsidRPr="00471D19">
        <w:rPr>
          <w:rFonts w:cs="Times New Roman"/>
        </w:rPr>
        <w:t xml:space="preserve"> 58(3): 938–959.</w:t>
      </w:r>
    </w:p>
    <w:p w14:paraId="03FF290E" w14:textId="77777777" w:rsidR="00471D19" w:rsidRPr="00471D19" w:rsidRDefault="00471D19" w:rsidP="00471D19">
      <w:pPr>
        <w:pStyle w:val="Bibliography"/>
        <w:rPr>
          <w:rFonts w:cs="Times New Roman"/>
        </w:rPr>
      </w:pPr>
      <w:r w:rsidRPr="00471D19">
        <w:rPr>
          <w:rFonts w:cs="Times New Roman"/>
        </w:rPr>
        <w:t xml:space="preserve">Armingeon K and Baccaro L (2012) Political economy of the sovereign debt crisis: The limits of internal devaluation. </w:t>
      </w:r>
      <w:r w:rsidRPr="00471D19">
        <w:rPr>
          <w:rFonts w:cs="Times New Roman"/>
          <w:i/>
          <w:iCs/>
        </w:rPr>
        <w:t>Industrial Law Journal</w:t>
      </w:r>
      <w:r w:rsidRPr="00471D19">
        <w:rPr>
          <w:rFonts w:cs="Times New Roman"/>
        </w:rPr>
        <w:t xml:space="preserve"> 41(3): 254–275. DOI: 10.1093/indlaw/dws029.</w:t>
      </w:r>
    </w:p>
    <w:p w14:paraId="6ED6C364" w14:textId="77777777" w:rsidR="00471D19" w:rsidRPr="00471D19" w:rsidRDefault="00471D19" w:rsidP="00471D19">
      <w:pPr>
        <w:pStyle w:val="Bibliography"/>
        <w:rPr>
          <w:rFonts w:cs="Times New Roman"/>
        </w:rPr>
      </w:pPr>
      <w:r w:rsidRPr="00471D19">
        <w:rPr>
          <w:rFonts w:cs="Times New Roman"/>
        </w:rPr>
        <w:t xml:space="preserve">Avdagic S and Crouch C (2015) Symposium Introduction: Labour Market Reforms, Employment Performance, Employment Quality, and Changing Social Risks. </w:t>
      </w:r>
      <w:r w:rsidRPr="00471D19">
        <w:rPr>
          <w:rFonts w:cs="Times New Roman"/>
          <w:i/>
          <w:iCs/>
        </w:rPr>
        <w:t>British Journal of Industrial Relations</w:t>
      </w:r>
      <w:r w:rsidRPr="00471D19">
        <w:rPr>
          <w:rFonts w:cs="Times New Roman"/>
        </w:rPr>
        <w:t xml:space="preserve"> 53(1): 1–5. DOI: 10.1111/bjir.12116.</w:t>
      </w:r>
    </w:p>
    <w:p w14:paraId="4012D435" w14:textId="77777777" w:rsidR="00471D19" w:rsidRPr="00471D19" w:rsidRDefault="00471D19" w:rsidP="00471D19">
      <w:pPr>
        <w:pStyle w:val="Bibliography"/>
        <w:rPr>
          <w:rFonts w:cs="Times New Roman"/>
        </w:rPr>
      </w:pPr>
      <w:r w:rsidRPr="00471D19">
        <w:rPr>
          <w:rFonts w:cs="Times New Roman"/>
        </w:rPr>
        <w:t xml:space="preserve">Baccaro L and Howell C (2011) A Common Neoliberal Trajectory: The Transformation of Industrial Relations in Advanced Capitalism. </w:t>
      </w:r>
      <w:r w:rsidRPr="00471D19">
        <w:rPr>
          <w:rFonts w:cs="Times New Roman"/>
          <w:i/>
          <w:iCs/>
        </w:rPr>
        <w:t>Politics &amp; Society</w:t>
      </w:r>
      <w:r w:rsidRPr="00471D19">
        <w:rPr>
          <w:rFonts w:cs="Times New Roman"/>
        </w:rPr>
        <w:t xml:space="preserve"> 39(4): 521–563. DOI: 10.1177/0032329211420082.</w:t>
      </w:r>
    </w:p>
    <w:p w14:paraId="2D63B8EA" w14:textId="77777777" w:rsidR="00471D19" w:rsidRPr="00471D19" w:rsidRDefault="00471D19" w:rsidP="00471D19">
      <w:pPr>
        <w:pStyle w:val="Bibliography"/>
        <w:rPr>
          <w:rFonts w:cs="Times New Roman"/>
        </w:rPr>
      </w:pPr>
      <w:r w:rsidRPr="00471D19">
        <w:rPr>
          <w:rFonts w:cs="Times New Roman"/>
        </w:rPr>
        <w:t xml:space="preserve">Behrens M (2018) Structure and competing logics: the art of shaping interests within German employers’ associations. </w:t>
      </w:r>
      <w:r w:rsidRPr="00471D19">
        <w:rPr>
          <w:rFonts w:cs="Times New Roman"/>
          <w:i/>
          <w:iCs/>
        </w:rPr>
        <w:t>Socio-Economic Review</w:t>
      </w:r>
      <w:r w:rsidRPr="00471D19">
        <w:rPr>
          <w:rFonts w:cs="Times New Roman"/>
        </w:rPr>
        <w:t xml:space="preserve"> 16(4): 769–789. DOI: 10.1093/ser/mwx037.</w:t>
      </w:r>
    </w:p>
    <w:p w14:paraId="65B9C3AB" w14:textId="77777777" w:rsidR="00471D19" w:rsidRPr="00471D19" w:rsidRDefault="00471D19" w:rsidP="00471D19">
      <w:pPr>
        <w:pStyle w:val="Bibliography"/>
        <w:rPr>
          <w:rFonts w:cs="Times New Roman"/>
        </w:rPr>
      </w:pPr>
      <w:r w:rsidRPr="00471D19">
        <w:rPr>
          <w:rFonts w:cs="Times New Roman"/>
        </w:rPr>
        <w:t xml:space="preserve">Benson J, Zhu Y and Gospel H (eds) (2017) </w:t>
      </w:r>
      <w:r w:rsidRPr="00471D19">
        <w:rPr>
          <w:rFonts w:cs="Times New Roman"/>
          <w:i/>
          <w:iCs/>
        </w:rPr>
        <w:t>Employers’ Associations in Asia:  Employer Collective Action</w:t>
      </w:r>
      <w:r w:rsidRPr="00471D19">
        <w:rPr>
          <w:rFonts w:cs="Times New Roman"/>
        </w:rPr>
        <w:t>. London: Routledge.</w:t>
      </w:r>
    </w:p>
    <w:p w14:paraId="22946F15" w14:textId="77777777" w:rsidR="00471D19" w:rsidRPr="00471D19" w:rsidRDefault="00471D19" w:rsidP="00471D19">
      <w:pPr>
        <w:pStyle w:val="Bibliography"/>
        <w:rPr>
          <w:rFonts w:cs="Times New Roman"/>
        </w:rPr>
      </w:pPr>
      <w:r w:rsidRPr="00471D19">
        <w:rPr>
          <w:rFonts w:cs="Times New Roman"/>
        </w:rPr>
        <w:t xml:space="preserve">Brandl B and Bechter B (2019) The hybridization of national collective bargaining systems: The impact of the economic crisis on the transformation of collective bargaining in the European Union. </w:t>
      </w:r>
      <w:r w:rsidRPr="00471D19">
        <w:rPr>
          <w:rFonts w:cs="Times New Roman"/>
          <w:i/>
          <w:iCs/>
        </w:rPr>
        <w:t>Economic and Industrial Democracy</w:t>
      </w:r>
      <w:r w:rsidRPr="00471D19">
        <w:rPr>
          <w:rFonts w:cs="Times New Roman"/>
        </w:rPr>
        <w:t xml:space="preserve"> 40(3): 469–489. DOI: 10.1177/0143831X17748199.</w:t>
      </w:r>
    </w:p>
    <w:p w14:paraId="33764B0D" w14:textId="77777777" w:rsidR="00471D19" w:rsidRPr="00471D19" w:rsidRDefault="00471D19" w:rsidP="00471D19">
      <w:pPr>
        <w:pStyle w:val="Bibliography"/>
        <w:rPr>
          <w:rFonts w:cs="Times New Roman"/>
        </w:rPr>
      </w:pPr>
      <w:r w:rsidRPr="00471D19">
        <w:rPr>
          <w:rFonts w:cs="Times New Roman"/>
        </w:rPr>
        <w:t xml:space="preserve">Brandl B and Lehr A (2016) The strange non-death of employer and business associations: An analysis of their representativeness and activities in Western European countries. </w:t>
      </w:r>
      <w:r w:rsidRPr="00471D19">
        <w:rPr>
          <w:rFonts w:cs="Times New Roman"/>
          <w:i/>
          <w:iCs/>
        </w:rPr>
        <w:t>Economic and Industrial Democracy</w:t>
      </w:r>
      <w:r w:rsidRPr="00471D19">
        <w:rPr>
          <w:rFonts w:cs="Times New Roman"/>
        </w:rPr>
        <w:t>. DOI: 10.1177/0143831X16669842.</w:t>
      </w:r>
    </w:p>
    <w:p w14:paraId="5C2A0411" w14:textId="77777777" w:rsidR="00471D19" w:rsidRPr="00471D19" w:rsidRDefault="00471D19" w:rsidP="00471D19">
      <w:pPr>
        <w:pStyle w:val="Bibliography"/>
        <w:rPr>
          <w:rFonts w:cs="Times New Roman"/>
        </w:rPr>
      </w:pPr>
      <w:r w:rsidRPr="00471D19">
        <w:rPr>
          <w:rFonts w:cs="Times New Roman"/>
        </w:rPr>
        <w:t xml:space="preserve">Crouch C (2011) </w:t>
      </w:r>
      <w:r w:rsidRPr="00471D19">
        <w:rPr>
          <w:rFonts w:cs="Times New Roman"/>
          <w:i/>
          <w:iCs/>
        </w:rPr>
        <w:t>The Strange Non-Death of Neoliberalism</w:t>
      </w:r>
      <w:r w:rsidRPr="00471D19">
        <w:rPr>
          <w:rFonts w:cs="Times New Roman"/>
        </w:rPr>
        <w:t>. London: Polity Press.</w:t>
      </w:r>
    </w:p>
    <w:p w14:paraId="52EAF1EB" w14:textId="77777777" w:rsidR="00471D19" w:rsidRPr="00471D19" w:rsidRDefault="00471D19" w:rsidP="00471D19">
      <w:pPr>
        <w:pStyle w:val="Bibliography"/>
        <w:rPr>
          <w:rFonts w:cs="Times New Roman"/>
        </w:rPr>
      </w:pPr>
      <w:r w:rsidRPr="00471D19">
        <w:rPr>
          <w:rFonts w:cs="Times New Roman"/>
        </w:rPr>
        <w:t xml:space="preserve">Culpepper PD (2008) The Politics of Common Knowledge: Ideas and Institutional Change in Wage Bargaining. </w:t>
      </w:r>
      <w:r w:rsidRPr="00471D19">
        <w:rPr>
          <w:rFonts w:cs="Times New Roman"/>
          <w:i/>
          <w:iCs/>
        </w:rPr>
        <w:t>International Organization</w:t>
      </w:r>
      <w:r w:rsidRPr="00471D19">
        <w:rPr>
          <w:rFonts w:cs="Times New Roman"/>
        </w:rPr>
        <w:t xml:space="preserve"> 62(01): 1–33. DOI: 10.1017/S0020818308080016.</w:t>
      </w:r>
    </w:p>
    <w:p w14:paraId="1A4F93DF" w14:textId="77777777" w:rsidR="00471D19" w:rsidRPr="00471D19" w:rsidRDefault="00471D19" w:rsidP="00471D19">
      <w:pPr>
        <w:pStyle w:val="Bibliography"/>
        <w:rPr>
          <w:rFonts w:cs="Times New Roman"/>
        </w:rPr>
      </w:pPr>
      <w:r w:rsidRPr="00471D19">
        <w:rPr>
          <w:rFonts w:cs="Times New Roman"/>
        </w:rPr>
        <w:t xml:space="preserve">Culpepper PD and Regan A (2014) Why don’t governments need trade unions anymore? The death of social pacts in Ireland and Italy. </w:t>
      </w:r>
      <w:r w:rsidRPr="00471D19">
        <w:rPr>
          <w:rFonts w:cs="Times New Roman"/>
          <w:i/>
          <w:iCs/>
        </w:rPr>
        <w:t>Socio-Economic Review</w:t>
      </w:r>
      <w:r w:rsidRPr="00471D19">
        <w:rPr>
          <w:rFonts w:cs="Times New Roman"/>
        </w:rPr>
        <w:t xml:space="preserve"> 12(4): 723–745. DOI: 10.1093/ser/mwt028.</w:t>
      </w:r>
    </w:p>
    <w:p w14:paraId="79E8A122" w14:textId="77777777" w:rsidR="00471D19" w:rsidRPr="00471D19" w:rsidRDefault="00471D19" w:rsidP="00471D19">
      <w:pPr>
        <w:pStyle w:val="Bibliography"/>
        <w:rPr>
          <w:rFonts w:cs="Times New Roman"/>
        </w:rPr>
      </w:pPr>
      <w:r w:rsidRPr="00471D19">
        <w:rPr>
          <w:rFonts w:cs="Times New Roman"/>
        </w:rPr>
        <w:t xml:space="preserve">Emigh RJ (1997) The Power of Negative Thinking: The Use of Negative Case Methodology in the Development of Sociological Theory. </w:t>
      </w:r>
      <w:r w:rsidRPr="00471D19">
        <w:rPr>
          <w:rFonts w:cs="Times New Roman"/>
          <w:i/>
          <w:iCs/>
        </w:rPr>
        <w:t>Theory and Society</w:t>
      </w:r>
      <w:r w:rsidRPr="00471D19">
        <w:rPr>
          <w:rFonts w:cs="Times New Roman"/>
        </w:rPr>
        <w:t xml:space="preserve"> 26(5): 649–684.</w:t>
      </w:r>
    </w:p>
    <w:p w14:paraId="6C7A8E5C" w14:textId="77777777" w:rsidR="00471D19" w:rsidRPr="00471D19" w:rsidRDefault="00471D19" w:rsidP="00471D19">
      <w:pPr>
        <w:pStyle w:val="Bibliography"/>
        <w:rPr>
          <w:rFonts w:cs="Times New Roman"/>
        </w:rPr>
      </w:pPr>
      <w:r w:rsidRPr="00471D19">
        <w:rPr>
          <w:rFonts w:cs="Times New Roman"/>
        </w:rPr>
        <w:t xml:space="preserve">European Commission (2010) </w:t>
      </w:r>
      <w:r w:rsidRPr="00471D19">
        <w:rPr>
          <w:rFonts w:cs="Times New Roman"/>
          <w:i/>
          <w:iCs/>
        </w:rPr>
        <w:t>The Economic Adjustment Programme for Greece</w:t>
      </w:r>
      <w:r w:rsidRPr="00471D19">
        <w:rPr>
          <w:rFonts w:cs="Times New Roman"/>
        </w:rPr>
        <w:t>. Occassional Papers 61, May. Brussels: European Commission, Directorate-General for Economic and Financial Affairs.</w:t>
      </w:r>
    </w:p>
    <w:p w14:paraId="34B446C0" w14:textId="77777777" w:rsidR="00471D19" w:rsidRPr="00471D19" w:rsidRDefault="00471D19" w:rsidP="00471D19">
      <w:pPr>
        <w:pStyle w:val="Bibliography"/>
        <w:rPr>
          <w:rFonts w:cs="Times New Roman"/>
        </w:rPr>
      </w:pPr>
      <w:r w:rsidRPr="00471D19">
        <w:rPr>
          <w:rFonts w:cs="Times New Roman"/>
        </w:rPr>
        <w:t xml:space="preserve">European Commission (2012) </w:t>
      </w:r>
      <w:r w:rsidRPr="00471D19">
        <w:rPr>
          <w:rFonts w:cs="Times New Roman"/>
          <w:i/>
          <w:iCs/>
        </w:rPr>
        <w:t>The second economic adjustment programme for Greece</w:t>
      </w:r>
      <w:r w:rsidRPr="00471D19">
        <w:rPr>
          <w:rFonts w:cs="Times New Roman"/>
        </w:rPr>
        <w:t>. Occassional Papers 94, March. Brussels: European Commission, Directorate-General for Economic and Financial Affairs.</w:t>
      </w:r>
    </w:p>
    <w:p w14:paraId="030AF9D0" w14:textId="77777777" w:rsidR="00471D19" w:rsidRPr="00471D19" w:rsidRDefault="00471D19" w:rsidP="00471D19">
      <w:pPr>
        <w:pStyle w:val="Bibliography"/>
        <w:rPr>
          <w:rFonts w:cs="Times New Roman"/>
        </w:rPr>
      </w:pPr>
      <w:r w:rsidRPr="00471D19">
        <w:rPr>
          <w:rFonts w:cs="Times New Roman"/>
        </w:rPr>
        <w:t xml:space="preserve">Geary J (2016) Economic crisis, austerity and trade union responses: The Irish case in comparative perspective. </w:t>
      </w:r>
      <w:r w:rsidRPr="00471D19">
        <w:rPr>
          <w:rFonts w:cs="Times New Roman"/>
          <w:i/>
          <w:iCs/>
        </w:rPr>
        <w:t>European Journal of Industrial Relations</w:t>
      </w:r>
      <w:r w:rsidRPr="00471D19">
        <w:rPr>
          <w:rFonts w:cs="Times New Roman"/>
        </w:rPr>
        <w:t xml:space="preserve"> 22(2): 131–147. DOI: 10.1177/0959680115616526.</w:t>
      </w:r>
    </w:p>
    <w:p w14:paraId="571E4DAB" w14:textId="77777777" w:rsidR="00471D19" w:rsidRPr="00471D19" w:rsidRDefault="00471D19" w:rsidP="00471D19">
      <w:pPr>
        <w:pStyle w:val="Bibliography"/>
        <w:rPr>
          <w:rFonts w:cs="Times New Roman"/>
        </w:rPr>
      </w:pPr>
      <w:r w:rsidRPr="00471D19">
        <w:rPr>
          <w:rFonts w:cs="Times New Roman"/>
        </w:rPr>
        <w:t xml:space="preserve">George AL and Bennett A (2005) </w:t>
      </w:r>
      <w:r w:rsidRPr="00471D19">
        <w:rPr>
          <w:rFonts w:cs="Times New Roman"/>
          <w:i/>
          <w:iCs/>
        </w:rPr>
        <w:t>Case Studies and Theory Development in the Social Sciences</w:t>
      </w:r>
      <w:r w:rsidRPr="00471D19">
        <w:rPr>
          <w:rFonts w:cs="Times New Roman"/>
        </w:rPr>
        <w:t>. Cambridge, Mass.: MIT Press. DOI: 10.1017/S0022381607080231.</w:t>
      </w:r>
    </w:p>
    <w:p w14:paraId="4096804D" w14:textId="77777777" w:rsidR="00471D19" w:rsidRPr="00471D19" w:rsidRDefault="00471D19" w:rsidP="00471D19">
      <w:pPr>
        <w:pStyle w:val="Bibliography"/>
        <w:rPr>
          <w:rFonts w:cs="Times New Roman"/>
        </w:rPr>
      </w:pPr>
      <w:r w:rsidRPr="00471D19">
        <w:rPr>
          <w:rFonts w:cs="Times New Roman"/>
        </w:rPr>
        <w:t xml:space="preserve">Georgiadis A, Kaplanis I and Monastiriotis V (2018) </w:t>
      </w:r>
      <w:r w:rsidRPr="00471D19">
        <w:rPr>
          <w:rFonts w:cs="Times New Roman"/>
          <w:i/>
          <w:iCs/>
        </w:rPr>
        <w:t>The Impact of Minimum Wages on Wages and Employment: Evidence from Greece</w:t>
      </w:r>
      <w:r w:rsidRPr="00471D19">
        <w:rPr>
          <w:rFonts w:cs="Times New Roman"/>
        </w:rPr>
        <w:t>. GreeSE Paper 131. London: Hellenic Observatory, LSE.</w:t>
      </w:r>
    </w:p>
    <w:p w14:paraId="68C4D905" w14:textId="77777777" w:rsidR="00471D19" w:rsidRPr="00471D19" w:rsidRDefault="00471D19" w:rsidP="00471D19">
      <w:pPr>
        <w:pStyle w:val="Bibliography"/>
        <w:rPr>
          <w:rFonts w:cs="Times New Roman"/>
        </w:rPr>
      </w:pPr>
      <w:r w:rsidRPr="00471D19">
        <w:rPr>
          <w:rFonts w:cs="Times New Roman"/>
        </w:rPr>
        <w:t xml:space="preserve">Giannakopoulos N and Laliotis I (2019) Firm-level Bargaining and Wage Adjustments before and during the Crisis: Evidence from the 2011 Industrial Relations Reform. In: Voskeritsian H, Kapotas P, and Niforou C (eds) </w:t>
      </w:r>
      <w:r w:rsidRPr="00471D19">
        <w:rPr>
          <w:rFonts w:cs="Times New Roman"/>
          <w:i/>
          <w:iCs/>
        </w:rPr>
        <w:t>Greek Employment Relations in Crisis: Problems, Challenges and Prospects</w:t>
      </w:r>
      <w:r w:rsidRPr="00471D19">
        <w:rPr>
          <w:rFonts w:cs="Times New Roman"/>
        </w:rPr>
        <w:t>. 1st ed. London: Routledge, pp. 83–103.</w:t>
      </w:r>
    </w:p>
    <w:p w14:paraId="62C686DB" w14:textId="77777777" w:rsidR="00471D19" w:rsidRPr="00471D19" w:rsidRDefault="00471D19" w:rsidP="00471D19">
      <w:pPr>
        <w:pStyle w:val="Bibliography"/>
        <w:rPr>
          <w:rFonts w:cs="Times New Roman"/>
        </w:rPr>
      </w:pPr>
      <w:r w:rsidRPr="00471D19">
        <w:rPr>
          <w:rFonts w:cs="Times New Roman"/>
        </w:rPr>
        <w:t xml:space="preserve">Gooberman L, Hauptmeier M and Heery E (2017) A typology of employers’ organisations in the United Kingdom. </w:t>
      </w:r>
      <w:r w:rsidRPr="00471D19">
        <w:rPr>
          <w:rFonts w:cs="Times New Roman"/>
          <w:i/>
          <w:iCs/>
        </w:rPr>
        <w:t>Economic and Industrial Democracy</w:t>
      </w:r>
      <w:r w:rsidRPr="00471D19">
        <w:rPr>
          <w:rFonts w:cs="Times New Roman"/>
        </w:rPr>
        <w:t xml:space="preserve"> 0(0). DOI: 10.1177/0143831X17704499.</w:t>
      </w:r>
    </w:p>
    <w:p w14:paraId="75306AEE" w14:textId="77777777" w:rsidR="00471D19" w:rsidRPr="00471D19" w:rsidRDefault="00471D19" w:rsidP="00471D19">
      <w:pPr>
        <w:pStyle w:val="Bibliography"/>
        <w:rPr>
          <w:rFonts w:cs="Times New Roman"/>
        </w:rPr>
      </w:pPr>
      <w:r w:rsidRPr="00471D19">
        <w:rPr>
          <w:rFonts w:cs="Times New Roman"/>
        </w:rPr>
        <w:t xml:space="preserve">Greer I and Doellgast V (2017) Marketization, inequality, and institutional change: Toward a new framework for comparative employment relations. </w:t>
      </w:r>
      <w:r w:rsidRPr="00471D19">
        <w:rPr>
          <w:rFonts w:cs="Times New Roman"/>
          <w:i/>
          <w:iCs/>
        </w:rPr>
        <w:t>Journal of Industrial Relations</w:t>
      </w:r>
      <w:r w:rsidRPr="00471D19">
        <w:rPr>
          <w:rFonts w:cs="Times New Roman"/>
        </w:rPr>
        <w:t xml:space="preserve"> 59(2): 192–208.</w:t>
      </w:r>
    </w:p>
    <w:p w14:paraId="5D831176" w14:textId="77777777" w:rsidR="00471D19" w:rsidRPr="00471D19" w:rsidRDefault="00471D19" w:rsidP="00471D19">
      <w:pPr>
        <w:pStyle w:val="Bibliography"/>
        <w:rPr>
          <w:rFonts w:cs="Times New Roman"/>
        </w:rPr>
      </w:pPr>
      <w:r w:rsidRPr="00471D19">
        <w:rPr>
          <w:rFonts w:cs="Times New Roman"/>
        </w:rPr>
        <w:t xml:space="preserve">Gumbrell McCormick R and Hyman R (2013) </w:t>
      </w:r>
      <w:r w:rsidRPr="00471D19">
        <w:rPr>
          <w:rFonts w:cs="Times New Roman"/>
          <w:i/>
          <w:iCs/>
        </w:rPr>
        <w:t>Trade Unions in Western Europe: Hard Times, Hard Choices</w:t>
      </w:r>
      <w:r w:rsidRPr="00471D19">
        <w:rPr>
          <w:rFonts w:cs="Times New Roman"/>
        </w:rPr>
        <w:t>. Oxford: Oxford University Press.</w:t>
      </w:r>
    </w:p>
    <w:p w14:paraId="0841D661" w14:textId="77777777" w:rsidR="00471D19" w:rsidRPr="00471D19" w:rsidRDefault="00471D19" w:rsidP="00471D19">
      <w:pPr>
        <w:pStyle w:val="Bibliography"/>
        <w:rPr>
          <w:rFonts w:cs="Times New Roman"/>
        </w:rPr>
      </w:pPr>
      <w:r w:rsidRPr="00471D19">
        <w:rPr>
          <w:rFonts w:cs="Times New Roman"/>
        </w:rPr>
        <w:t xml:space="preserve">Hall PA and Thelen K (2009) Institutional change in varieties of capitalism. </w:t>
      </w:r>
      <w:r w:rsidRPr="00471D19">
        <w:rPr>
          <w:rFonts w:cs="Times New Roman"/>
          <w:i/>
          <w:iCs/>
        </w:rPr>
        <w:t>Socio - Economic Review</w:t>
      </w:r>
      <w:r w:rsidRPr="00471D19">
        <w:rPr>
          <w:rFonts w:cs="Times New Roman"/>
        </w:rPr>
        <w:t xml:space="preserve"> 7(1): 7–34. DOI: 10.1093/ser/mwn020.</w:t>
      </w:r>
    </w:p>
    <w:p w14:paraId="60C9FA0A" w14:textId="77777777" w:rsidR="00471D19" w:rsidRPr="00471D19" w:rsidRDefault="00471D19" w:rsidP="00471D19">
      <w:pPr>
        <w:pStyle w:val="Bibliography"/>
        <w:rPr>
          <w:rFonts w:cs="Times New Roman"/>
        </w:rPr>
      </w:pPr>
      <w:r w:rsidRPr="00471D19">
        <w:rPr>
          <w:rFonts w:cs="Times New Roman"/>
        </w:rPr>
        <w:t xml:space="preserve">Hauptmeier M (2012) Institutions Are What Actors Make of Them - The Changing Construction of Firm-Level Employment Relations in Spain. </w:t>
      </w:r>
      <w:r w:rsidRPr="00471D19">
        <w:rPr>
          <w:rFonts w:cs="Times New Roman"/>
          <w:i/>
          <w:iCs/>
        </w:rPr>
        <w:t>British Journal of Industrial Relations</w:t>
      </w:r>
      <w:r w:rsidRPr="00471D19">
        <w:rPr>
          <w:rFonts w:cs="Times New Roman"/>
        </w:rPr>
        <w:t xml:space="preserve"> 50(4): 737–759. DOI: 10.1111/j.1467-8543.2012.00891.x.</w:t>
      </w:r>
    </w:p>
    <w:p w14:paraId="3F8A3151" w14:textId="77777777" w:rsidR="00471D19" w:rsidRPr="00471D19" w:rsidRDefault="00471D19" w:rsidP="00471D19">
      <w:pPr>
        <w:pStyle w:val="Bibliography"/>
        <w:rPr>
          <w:rFonts w:cs="Times New Roman"/>
        </w:rPr>
      </w:pPr>
      <w:r w:rsidRPr="00471D19">
        <w:rPr>
          <w:rFonts w:cs="Times New Roman"/>
        </w:rPr>
        <w:t xml:space="preserve">Hermann C (2017) Crisis, structural reform and the dismantling of the European Social Model(s). </w:t>
      </w:r>
      <w:r w:rsidRPr="00471D19">
        <w:rPr>
          <w:rFonts w:cs="Times New Roman"/>
          <w:i/>
          <w:iCs/>
        </w:rPr>
        <w:t>Economic and Industrial Democracy</w:t>
      </w:r>
      <w:r w:rsidRPr="00471D19">
        <w:rPr>
          <w:rFonts w:cs="Times New Roman"/>
        </w:rPr>
        <w:t xml:space="preserve"> 38(1): 51–68. DOI: 10.1177/0143831X14555708.</w:t>
      </w:r>
    </w:p>
    <w:p w14:paraId="3392C88B" w14:textId="77777777" w:rsidR="00471D19" w:rsidRPr="00471D19" w:rsidRDefault="00471D19" w:rsidP="00471D19">
      <w:pPr>
        <w:pStyle w:val="Bibliography"/>
        <w:rPr>
          <w:rFonts w:cs="Times New Roman"/>
        </w:rPr>
      </w:pPr>
      <w:r w:rsidRPr="00471D19">
        <w:rPr>
          <w:rFonts w:cs="Times New Roman"/>
        </w:rPr>
        <w:t xml:space="preserve">Ibsen CL and Navrbjerg SE (2019) Adapting to survive: The case of Danish employers’ organisations - Ibsen - 2019 - Human Resource Management Journal - Wiley Online Library. </w:t>
      </w:r>
      <w:r w:rsidRPr="00471D19">
        <w:rPr>
          <w:rFonts w:cs="Times New Roman"/>
          <w:i/>
          <w:iCs/>
        </w:rPr>
        <w:t>Human Resource Management Journal</w:t>
      </w:r>
      <w:r w:rsidRPr="00471D19">
        <w:rPr>
          <w:rFonts w:cs="Times New Roman"/>
        </w:rPr>
        <w:t xml:space="preserve"> 29(1): 36–50.</w:t>
      </w:r>
    </w:p>
    <w:p w14:paraId="2124475A" w14:textId="77777777" w:rsidR="00471D19" w:rsidRPr="00471D19" w:rsidRDefault="00471D19" w:rsidP="00471D19">
      <w:pPr>
        <w:pStyle w:val="Bibliography"/>
        <w:rPr>
          <w:rFonts w:cs="Times New Roman"/>
        </w:rPr>
      </w:pPr>
      <w:r w:rsidRPr="00471D19">
        <w:rPr>
          <w:rFonts w:cs="Times New Roman"/>
        </w:rPr>
        <w:t xml:space="preserve">Kazakos A (1998) </w:t>
      </w:r>
      <w:r w:rsidRPr="00471D19">
        <w:rPr>
          <w:rFonts w:cs="Times New Roman"/>
          <w:i/>
          <w:iCs/>
        </w:rPr>
        <w:t>The Arbitration of Collective Interest Differences According to Law 1876/1990</w:t>
      </w:r>
      <w:r w:rsidRPr="00471D19">
        <w:rPr>
          <w:rFonts w:cs="Times New Roman"/>
        </w:rPr>
        <w:t>. Thessaloniki: Sakkoulas.</w:t>
      </w:r>
    </w:p>
    <w:p w14:paraId="07D20CC8" w14:textId="77777777" w:rsidR="00471D19" w:rsidRPr="00471D19" w:rsidRDefault="00471D19" w:rsidP="00471D19">
      <w:pPr>
        <w:pStyle w:val="Bibliography"/>
        <w:rPr>
          <w:rFonts w:cs="Times New Roman"/>
        </w:rPr>
      </w:pPr>
      <w:r w:rsidRPr="00471D19">
        <w:rPr>
          <w:rFonts w:cs="Times New Roman"/>
        </w:rPr>
        <w:t xml:space="preserve">Kornelakis A and Voskeritsian H (2014) The Transformation of Employment Regulation in Greece: Towards a Dysfunctional Liberal Market Economy? </w:t>
      </w:r>
      <w:r w:rsidRPr="00471D19">
        <w:rPr>
          <w:rFonts w:cs="Times New Roman"/>
          <w:i/>
          <w:iCs/>
        </w:rPr>
        <w:t>Relations Industrielles / Industrial Relations</w:t>
      </w:r>
      <w:r w:rsidRPr="00471D19">
        <w:rPr>
          <w:rFonts w:cs="Times New Roman"/>
        </w:rPr>
        <w:t xml:space="preserve"> 69(2): 344–365.</w:t>
      </w:r>
    </w:p>
    <w:p w14:paraId="20411A44" w14:textId="77777777" w:rsidR="00471D19" w:rsidRPr="00471D19" w:rsidRDefault="00471D19" w:rsidP="00471D19">
      <w:pPr>
        <w:pStyle w:val="Bibliography"/>
        <w:rPr>
          <w:rFonts w:cs="Times New Roman"/>
        </w:rPr>
      </w:pPr>
      <w:r w:rsidRPr="00471D19">
        <w:rPr>
          <w:rFonts w:cs="Times New Roman"/>
        </w:rPr>
        <w:t xml:space="preserve">Korpi W (2006) Power Resources and Employer-Centered Approaches in Explanations of Welfare States and Varieties of Capitalism: Protagonists, Consenters, and Antagonists. </w:t>
      </w:r>
      <w:r w:rsidRPr="00471D19">
        <w:rPr>
          <w:rFonts w:cs="Times New Roman"/>
          <w:i/>
          <w:iCs/>
        </w:rPr>
        <w:t>World Politics</w:t>
      </w:r>
      <w:r w:rsidRPr="00471D19">
        <w:rPr>
          <w:rFonts w:cs="Times New Roman"/>
        </w:rPr>
        <w:t xml:space="preserve"> 58(2): 167–206.</w:t>
      </w:r>
    </w:p>
    <w:p w14:paraId="7C9972B9" w14:textId="77777777" w:rsidR="00471D19" w:rsidRPr="00471D19" w:rsidRDefault="00471D19" w:rsidP="00471D19">
      <w:pPr>
        <w:pStyle w:val="Bibliography"/>
        <w:rPr>
          <w:rFonts w:cs="Times New Roman"/>
        </w:rPr>
      </w:pPr>
      <w:r w:rsidRPr="00471D19">
        <w:rPr>
          <w:rFonts w:cs="Times New Roman"/>
        </w:rPr>
        <w:t xml:space="preserve">Koukiadaki A and Kokkinou C (2016) The Greek System of Collective Bargaining in (the) Crisis. In: Koukiadaki A, Tavora I, and Lucio MM (eds) </w:t>
      </w:r>
      <w:r w:rsidRPr="00471D19">
        <w:rPr>
          <w:rFonts w:cs="Times New Roman"/>
          <w:i/>
          <w:iCs/>
        </w:rPr>
        <w:t>Joint Regulation and Labour Market Policy in Europe during the Crisis</w:t>
      </w:r>
      <w:r w:rsidRPr="00471D19">
        <w:rPr>
          <w:rFonts w:cs="Times New Roman"/>
        </w:rPr>
        <w:t>. Brussels: ETUI, pp. 135–203.</w:t>
      </w:r>
    </w:p>
    <w:p w14:paraId="25D3231D" w14:textId="77777777" w:rsidR="00471D19" w:rsidRPr="00471D19" w:rsidRDefault="00471D19" w:rsidP="00471D19">
      <w:pPr>
        <w:pStyle w:val="Bibliography"/>
        <w:rPr>
          <w:rFonts w:cs="Times New Roman"/>
        </w:rPr>
      </w:pPr>
      <w:r w:rsidRPr="00471D19">
        <w:rPr>
          <w:rFonts w:cs="Times New Roman"/>
        </w:rPr>
        <w:t xml:space="preserve">Koukiadaki A and Kretsos L (2012) Opening Pandora’s Box: The Sovereign Debt Crisis and Labour Market Regulation in Greece. </w:t>
      </w:r>
      <w:r w:rsidRPr="00471D19">
        <w:rPr>
          <w:rFonts w:cs="Times New Roman"/>
          <w:i/>
          <w:iCs/>
        </w:rPr>
        <w:t>Industrial Law Journal</w:t>
      </w:r>
      <w:r w:rsidRPr="00471D19">
        <w:rPr>
          <w:rFonts w:cs="Times New Roman"/>
        </w:rPr>
        <w:t xml:space="preserve"> 41(3): 276–304.</w:t>
      </w:r>
    </w:p>
    <w:p w14:paraId="2FF6C569" w14:textId="77777777" w:rsidR="00471D19" w:rsidRPr="00471D19" w:rsidRDefault="00471D19" w:rsidP="00471D19">
      <w:pPr>
        <w:pStyle w:val="Bibliography"/>
        <w:rPr>
          <w:rFonts w:cs="Times New Roman"/>
        </w:rPr>
      </w:pPr>
      <w:r w:rsidRPr="00471D19">
        <w:rPr>
          <w:rFonts w:cs="Times New Roman"/>
        </w:rPr>
        <w:t xml:space="preserve">Molina O (2014) Self-regulation and the state in industrial relations in Southern Europe: Back to the future? </w:t>
      </w:r>
      <w:r w:rsidRPr="00471D19">
        <w:rPr>
          <w:rFonts w:cs="Times New Roman"/>
          <w:i/>
          <w:iCs/>
        </w:rPr>
        <w:t>European Journal of Industrial Relations</w:t>
      </w:r>
      <w:r w:rsidRPr="00471D19">
        <w:rPr>
          <w:rFonts w:cs="Times New Roman"/>
        </w:rPr>
        <w:t xml:space="preserve"> 20(1): 21–36. DOI: 10.1177/0959680113516404.</w:t>
      </w:r>
    </w:p>
    <w:p w14:paraId="290017A0" w14:textId="77777777" w:rsidR="00471D19" w:rsidRPr="00471D19" w:rsidRDefault="00471D19" w:rsidP="00471D19">
      <w:pPr>
        <w:pStyle w:val="Bibliography"/>
        <w:rPr>
          <w:rFonts w:cs="Times New Roman"/>
        </w:rPr>
      </w:pPr>
      <w:r w:rsidRPr="00471D19">
        <w:rPr>
          <w:rFonts w:cs="Times New Roman"/>
        </w:rPr>
        <w:t xml:space="preserve">Mouriki A and Traxler F (2007) Greece. In: Gerhard Huemer and Traxler F (eds) </w:t>
      </w:r>
      <w:r w:rsidRPr="00471D19">
        <w:rPr>
          <w:rFonts w:cs="Times New Roman"/>
          <w:i/>
          <w:iCs/>
        </w:rPr>
        <w:t>Handbook of Business Interest Associations, Firm Size and Governance: A Comparative Analytical Approach</w:t>
      </w:r>
      <w:r w:rsidRPr="00471D19">
        <w:rPr>
          <w:rFonts w:cs="Times New Roman"/>
        </w:rPr>
        <w:t>. London ; New York: Routledge, pp. 177–191.</w:t>
      </w:r>
    </w:p>
    <w:p w14:paraId="03971DBC" w14:textId="77777777" w:rsidR="00471D19" w:rsidRPr="00471D19" w:rsidRDefault="00471D19" w:rsidP="00471D19">
      <w:pPr>
        <w:pStyle w:val="Bibliography"/>
        <w:rPr>
          <w:rFonts w:cs="Times New Roman"/>
        </w:rPr>
      </w:pPr>
      <w:r w:rsidRPr="00471D19">
        <w:rPr>
          <w:rFonts w:cs="Times New Roman"/>
        </w:rPr>
        <w:t xml:space="preserve">OMED (2010) </w:t>
      </w:r>
      <w:r w:rsidRPr="00471D19">
        <w:rPr>
          <w:rFonts w:cs="Times New Roman"/>
          <w:i/>
          <w:iCs/>
        </w:rPr>
        <w:t>Review of the Organization for Mediation and Arbitration (OMED) Work 1992-2010</w:t>
      </w:r>
      <w:r w:rsidRPr="00471D19">
        <w:rPr>
          <w:rFonts w:cs="Times New Roman"/>
        </w:rPr>
        <w:t>. Athens: OMED.</w:t>
      </w:r>
    </w:p>
    <w:p w14:paraId="575C6925" w14:textId="77777777" w:rsidR="00471D19" w:rsidRPr="00471D19" w:rsidRDefault="00471D19" w:rsidP="00471D19">
      <w:pPr>
        <w:pStyle w:val="Bibliography"/>
        <w:rPr>
          <w:rFonts w:cs="Times New Roman"/>
        </w:rPr>
      </w:pPr>
      <w:r w:rsidRPr="00471D19">
        <w:rPr>
          <w:rFonts w:cs="Times New Roman"/>
        </w:rPr>
        <w:t xml:space="preserve">Paster T (2018) How Do Business Interest Groups Respond to Political Challenges? A Study of the Politics of German Employers. </w:t>
      </w:r>
      <w:r w:rsidRPr="00471D19">
        <w:rPr>
          <w:rFonts w:cs="Times New Roman"/>
          <w:i/>
          <w:iCs/>
        </w:rPr>
        <w:t>New Political Economy</w:t>
      </w:r>
      <w:r w:rsidRPr="00471D19">
        <w:rPr>
          <w:rFonts w:cs="Times New Roman"/>
        </w:rPr>
        <w:t xml:space="preserve"> 23(6): 674–689.</w:t>
      </w:r>
    </w:p>
    <w:p w14:paraId="0F3AA4F5" w14:textId="77777777" w:rsidR="00471D19" w:rsidRPr="00471D19" w:rsidRDefault="00471D19" w:rsidP="00471D19">
      <w:pPr>
        <w:pStyle w:val="Bibliography"/>
        <w:rPr>
          <w:rFonts w:cs="Times New Roman"/>
        </w:rPr>
      </w:pPr>
      <w:r w:rsidRPr="00471D19">
        <w:rPr>
          <w:rFonts w:cs="Times New Roman"/>
        </w:rPr>
        <w:t xml:space="preserve">Pedersini R and Regini M (2013) Coping with the crisis in Italy: Employment relations and social dialogue amidst the recession. </w:t>
      </w:r>
      <w:r w:rsidRPr="00471D19">
        <w:rPr>
          <w:rFonts w:cs="Times New Roman"/>
          <w:i/>
          <w:iCs/>
        </w:rPr>
        <w:t>ILO Working Paper No. 50</w:t>
      </w:r>
      <w:r w:rsidRPr="00471D19">
        <w:rPr>
          <w:rFonts w:cs="Times New Roman"/>
        </w:rPr>
        <w:t xml:space="preserve"> (5): 109–126.</w:t>
      </w:r>
    </w:p>
    <w:p w14:paraId="57D70FC9" w14:textId="77777777" w:rsidR="00471D19" w:rsidRPr="00471D19" w:rsidRDefault="00471D19" w:rsidP="00471D19">
      <w:pPr>
        <w:pStyle w:val="Bibliography"/>
        <w:rPr>
          <w:rFonts w:cs="Times New Roman"/>
        </w:rPr>
      </w:pPr>
      <w:r w:rsidRPr="00471D19">
        <w:rPr>
          <w:rFonts w:cs="Times New Roman"/>
        </w:rPr>
        <w:t xml:space="preserve">Perrone L, Wright EO and Griffin LJ (1984) Positional Power, Strikes and Wages. </w:t>
      </w:r>
      <w:r w:rsidRPr="00471D19">
        <w:rPr>
          <w:rFonts w:cs="Times New Roman"/>
          <w:i/>
          <w:iCs/>
        </w:rPr>
        <w:t>American Sociological Review</w:t>
      </w:r>
      <w:r w:rsidRPr="00471D19">
        <w:rPr>
          <w:rFonts w:cs="Times New Roman"/>
        </w:rPr>
        <w:t xml:space="preserve"> 49(3): 412–426. DOI: 10.2307/2095284.</w:t>
      </w:r>
    </w:p>
    <w:p w14:paraId="7085887B" w14:textId="77777777" w:rsidR="00471D19" w:rsidRPr="00471D19" w:rsidRDefault="00471D19" w:rsidP="00471D19">
      <w:pPr>
        <w:pStyle w:val="Bibliography"/>
        <w:rPr>
          <w:rFonts w:cs="Times New Roman"/>
        </w:rPr>
      </w:pPr>
      <w:r w:rsidRPr="00471D19">
        <w:rPr>
          <w:rFonts w:cs="Times New Roman"/>
        </w:rPr>
        <w:t xml:space="preserve">Picot G and Tassinari A (2017) All of one kind? Labour market reforms under austerity in Italy and Spain. </w:t>
      </w:r>
      <w:r w:rsidRPr="00471D19">
        <w:rPr>
          <w:rFonts w:cs="Times New Roman"/>
          <w:i/>
          <w:iCs/>
        </w:rPr>
        <w:t>Socio-Economic Review</w:t>
      </w:r>
      <w:r w:rsidRPr="00471D19">
        <w:rPr>
          <w:rFonts w:cs="Times New Roman"/>
        </w:rPr>
        <w:t xml:space="preserve"> 15(2): 461–482. DOI: 10.1093/ser/mww042.</w:t>
      </w:r>
    </w:p>
    <w:p w14:paraId="4DD1B731" w14:textId="77777777" w:rsidR="00471D19" w:rsidRPr="00471D19" w:rsidRDefault="00471D19" w:rsidP="00471D19">
      <w:pPr>
        <w:pStyle w:val="Bibliography"/>
        <w:rPr>
          <w:rFonts w:cs="Times New Roman"/>
        </w:rPr>
      </w:pPr>
      <w:r w:rsidRPr="00471D19">
        <w:rPr>
          <w:rFonts w:cs="Times New Roman"/>
        </w:rPr>
        <w:t xml:space="preserve">Schmitter PC and Streeck W (1999) </w:t>
      </w:r>
      <w:r w:rsidRPr="00471D19">
        <w:rPr>
          <w:rFonts w:cs="Times New Roman"/>
          <w:i/>
          <w:iCs/>
        </w:rPr>
        <w:t>The Organization of Business Interests: Studying the Associative Action of Business in Advanced Industrial Societies.</w:t>
      </w:r>
      <w:r w:rsidRPr="00471D19">
        <w:rPr>
          <w:rFonts w:cs="Times New Roman"/>
        </w:rPr>
        <w:t xml:space="preserve"> 1999/1, Discussion Paper. Koln: Max Planck Institut fur Gesellschaftsforschung. Available at: http://www.mpifg.de/pu/mpifg_dp/dp99-1.pdf.</w:t>
      </w:r>
    </w:p>
    <w:p w14:paraId="016DAAD8" w14:textId="77777777" w:rsidR="00471D19" w:rsidRPr="00471D19" w:rsidRDefault="00471D19" w:rsidP="00471D19">
      <w:pPr>
        <w:pStyle w:val="Bibliography"/>
        <w:rPr>
          <w:rFonts w:cs="Times New Roman"/>
        </w:rPr>
      </w:pPr>
      <w:r w:rsidRPr="00471D19">
        <w:rPr>
          <w:rFonts w:cs="Times New Roman"/>
        </w:rPr>
        <w:t xml:space="preserve">Sheldon P, Nacamulli R, Paoletti F, et al. (2016) Employer Association Responses to the Effects of Bargaining Decentralization in Australia and Italy: Seeking Explanations from Organizational Theory: Employer Associations in Australia and Italy. </w:t>
      </w:r>
      <w:r w:rsidRPr="00471D19">
        <w:rPr>
          <w:rFonts w:cs="Times New Roman"/>
          <w:i/>
          <w:iCs/>
        </w:rPr>
        <w:t>British Journal of Industrial Relations</w:t>
      </w:r>
      <w:r w:rsidRPr="00471D19">
        <w:rPr>
          <w:rFonts w:cs="Times New Roman"/>
        </w:rPr>
        <w:t xml:space="preserve"> 54(1): 160–191. DOI: 10.1111/bjir.12061.</w:t>
      </w:r>
    </w:p>
    <w:p w14:paraId="673FE45A" w14:textId="77777777" w:rsidR="00471D19" w:rsidRPr="00471D19" w:rsidRDefault="00471D19" w:rsidP="00471D19">
      <w:pPr>
        <w:pStyle w:val="Bibliography"/>
        <w:rPr>
          <w:rFonts w:cs="Times New Roman"/>
        </w:rPr>
      </w:pPr>
      <w:r w:rsidRPr="00471D19">
        <w:rPr>
          <w:rFonts w:cs="Times New Roman"/>
        </w:rPr>
        <w:t xml:space="preserve">Streeck W and Thelen K (2005) Introduction: Institutional Change in Advanced Political Economies. In: Streeck W and Thelen K (eds) </w:t>
      </w:r>
      <w:r w:rsidRPr="00471D19">
        <w:rPr>
          <w:rFonts w:cs="Times New Roman"/>
          <w:i/>
          <w:iCs/>
        </w:rPr>
        <w:t>Beyond Continuity: Institutional Change in Advanced Political Economies</w:t>
      </w:r>
      <w:r w:rsidRPr="00471D19">
        <w:rPr>
          <w:rFonts w:cs="Times New Roman"/>
        </w:rPr>
        <w:t>. Oxford: Oxford University Press, pp. 1–39.</w:t>
      </w:r>
    </w:p>
    <w:p w14:paraId="19284044" w14:textId="77777777" w:rsidR="00471D19" w:rsidRPr="00471D19" w:rsidRDefault="00471D19" w:rsidP="00471D19">
      <w:pPr>
        <w:pStyle w:val="Bibliography"/>
        <w:rPr>
          <w:rFonts w:cs="Times New Roman"/>
        </w:rPr>
      </w:pPr>
      <w:r w:rsidRPr="00471D19">
        <w:rPr>
          <w:rFonts w:cs="Times New Roman"/>
        </w:rPr>
        <w:t xml:space="preserve">Traxler F (2007) The Theoretical and Methodological Framework of the Analysis. In: Gerhard Huemer and Traxler F (eds) </w:t>
      </w:r>
      <w:r w:rsidRPr="00471D19">
        <w:rPr>
          <w:rFonts w:cs="Times New Roman"/>
          <w:i/>
          <w:iCs/>
        </w:rPr>
        <w:t>Handbook of Business Interest Associations, Firm Size and Governance: A Comparative Analytical Approach</w:t>
      </w:r>
      <w:r w:rsidRPr="00471D19">
        <w:rPr>
          <w:rFonts w:cs="Times New Roman"/>
        </w:rPr>
        <w:t>. London ; New York: Routledge, pp. 10–36.</w:t>
      </w:r>
    </w:p>
    <w:p w14:paraId="38364167" w14:textId="77777777" w:rsidR="00471D19" w:rsidRPr="00471D19" w:rsidRDefault="00471D19" w:rsidP="00471D19">
      <w:pPr>
        <w:pStyle w:val="Bibliography"/>
        <w:rPr>
          <w:rFonts w:cs="Times New Roman"/>
        </w:rPr>
      </w:pPr>
      <w:r w:rsidRPr="00471D19">
        <w:rPr>
          <w:rFonts w:cs="Times New Roman"/>
        </w:rPr>
        <w:t xml:space="preserve">Vatta A (2007) Italy. In: Gerhard Huemer and Traxler F (eds) </w:t>
      </w:r>
      <w:r w:rsidRPr="00471D19">
        <w:rPr>
          <w:rFonts w:cs="Times New Roman"/>
          <w:i/>
          <w:iCs/>
        </w:rPr>
        <w:t>Handbook of Business Interest Associations, Firm Size and Governance: A Comparative Analytical Approach</w:t>
      </w:r>
      <w:r w:rsidRPr="00471D19">
        <w:rPr>
          <w:rFonts w:cs="Times New Roman"/>
        </w:rPr>
        <w:t>. London ; New York: Routledge, pp. 204–229.</w:t>
      </w:r>
    </w:p>
    <w:p w14:paraId="1477D7F3" w14:textId="77777777" w:rsidR="00471D19" w:rsidRPr="00471D19" w:rsidRDefault="00471D19" w:rsidP="00471D19">
      <w:pPr>
        <w:pStyle w:val="Bibliography"/>
        <w:rPr>
          <w:rFonts w:cs="Times New Roman"/>
        </w:rPr>
      </w:pPr>
      <w:r w:rsidRPr="00471D19">
        <w:rPr>
          <w:rFonts w:cs="Times New Roman"/>
        </w:rPr>
        <w:t xml:space="preserve">Visser J (2019) </w:t>
      </w:r>
      <w:r w:rsidRPr="00471D19">
        <w:rPr>
          <w:rFonts w:cs="Times New Roman"/>
          <w:i/>
          <w:iCs/>
        </w:rPr>
        <w:t>ICTWSS Database. Version 6.0</w:t>
      </w:r>
      <w:r w:rsidRPr="00471D19">
        <w:rPr>
          <w:rFonts w:cs="Times New Roman"/>
        </w:rPr>
        <w:t>. Amsterdam: Amsterdam Institute for Advanced Labour Studies (AIAS), University of Amsterdam.</w:t>
      </w:r>
    </w:p>
    <w:p w14:paraId="54A43C59" w14:textId="77777777" w:rsidR="00471D19" w:rsidRPr="00471D19" w:rsidRDefault="00471D19" w:rsidP="00471D19">
      <w:pPr>
        <w:pStyle w:val="Bibliography"/>
        <w:rPr>
          <w:rFonts w:cs="Times New Roman"/>
        </w:rPr>
      </w:pPr>
      <w:r w:rsidRPr="00471D19">
        <w:rPr>
          <w:rFonts w:cs="Times New Roman"/>
        </w:rPr>
        <w:t xml:space="preserve">Voskeritsian H and Kornelakis A (2019) Power, Institutional Change, and the Transformation of Greek Employment Relations. In: Voskeritsian H, Kapotas P, and Niforou C (eds) </w:t>
      </w:r>
      <w:r w:rsidRPr="00471D19">
        <w:rPr>
          <w:rFonts w:cs="Times New Roman"/>
          <w:i/>
          <w:iCs/>
        </w:rPr>
        <w:t>Greek Employment Relations in Crisis: Problems, Challenges and Prospects</w:t>
      </w:r>
      <w:r w:rsidRPr="00471D19">
        <w:rPr>
          <w:rFonts w:cs="Times New Roman"/>
        </w:rPr>
        <w:t>. 1st ed. London: Routledge, pp. 14–30.</w:t>
      </w:r>
    </w:p>
    <w:p w14:paraId="3BAC0F94" w14:textId="3A7C22A3" w:rsidR="00471D19" w:rsidRPr="00471D19" w:rsidRDefault="00471D19" w:rsidP="00471D19">
      <w:pPr>
        <w:pStyle w:val="Bibliography"/>
        <w:rPr>
          <w:rFonts w:cs="Times New Roman"/>
        </w:rPr>
      </w:pPr>
      <w:r w:rsidRPr="00471D19">
        <w:rPr>
          <w:rFonts w:cs="Times New Roman"/>
        </w:rPr>
        <w:t xml:space="preserve">Voskeritsian H, Veliziotis M, Kapotas P, </w:t>
      </w:r>
      <w:r w:rsidR="00710656">
        <w:rPr>
          <w:rFonts w:cs="Times New Roman"/>
        </w:rPr>
        <w:t>Kornelakis, A</w:t>
      </w:r>
      <w:bookmarkStart w:id="1" w:name="_GoBack"/>
      <w:bookmarkEnd w:id="1"/>
      <w:r w:rsidRPr="00471D19">
        <w:rPr>
          <w:rFonts w:cs="Times New Roman"/>
        </w:rPr>
        <w:t xml:space="preserve"> (2017) </w:t>
      </w:r>
      <w:r w:rsidRPr="00471D19">
        <w:rPr>
          <w:rFonts w:cs="Times New Roman"/>
          <w:i/>
          <w:iCs/>
        </w:rPr>
        <w:t>Between a Rock and a Hard Place: Social Partners and Reforms in the Wage Setting System in Greece under Austerity</w:t>
      </w:r>
      <w:r w:rsidRPr="00471D19">
        <w:rPr>
          <w:rFonts w:cs="Times New Roman"/>
        </w:rPr>
        <w:t>. GreeSE Paper 114. London: Hellenic Observatory, LSE.</w:t>
      </w:r>
    </w:p>
    <w:p w14:paraId="52DE7429" w14:textId="77777777" w:rsidR="00471D19" w:rsidRPr="00471D19" w:rsidRDefault="00471D19" w:rsidP="00471D19">
      <w:pPr>
        <w:pStyle w:val="Bibliography"/>
        <w:rPr>
          <w:rFonts w:cs="Times New Roman"/>
        </w:rPr>
      </w:pPr>
      <w:r w:rsidRPr="00471D19">
        <w:rPr>
          <w:rFonts w:cs="Times New Roman"/>
        </w:rPr>
        <w:t xml:space="preserve">Wright EO (2015) Working-Class Power, Capitalist-Class Interests, and Class Compromise. In: </w:t>
      </w:r>
      <w:r w:rsidRPr="00471D19">
        <w:rPr>
          <w:rFonts w:cs="Times New Roman"/>
          <w:i/>
          <w:iCs/>
        </w:rPr>
        <w:t>Understanding Class</w:t>
      </w:r>
      <w:r w:rsidRPr="00471D19">
        <w:rPr>
          <w:rFonts w:cs="Times New Roman"/>
        </w:rPr>
        <w:t>. London: Verso, pp. 185–230.</w:t>
      </w:r>
    </w:p>
    <w:p w14:paraId="6BAFF08A" w14:textId="3B1B291A" w:rsidR="00F03A48" w:rsidRPr="007066D4" w:rsidRDefault="00EB72A6" w:rsidP="0081642F">
      <w:pPr>
        <w:widowControl w:val="0"/>
        <w:autoSpaceDE w:val="0"/>
        <w:autoSpaceDN w:val="0"/>
        <w:adjustRightInd w:val="0"/>
        <w:ind w:left="480" w:hanging="480"/>
        <w:rPr>
          <w:rFonts w:cs="Times New Roman"/>
        </w:rPr>
      </w:pPr>
      <w:r w:rsidRPr="007066D4">
        <w:rPr>
          <w:rFonts w:cs="Times New Roman"/>
        </w:rPr>
        <w:fldChar w:fldCharType="end"/>
      </w:r>
    </w:p>
    <w:sectPr w:rsidR="00F03A48" w:rsidRPr="007066D4" w:rsidSect="00DF440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D38E" w14:textId="77777777" w:rsidR="00BA2CEB" w:rsidRDefault="00BA2CEB" w:rsidP="001F16A8">
      <w:r>
        <w:separator/>
      </w:r>
    </w:p>
  </w:endnote>
  <w:endnote w:type="continuationSeparator" w:id="0">
    <w:p w14:paraId="58944CA0" w14:textId="77777777" w:rsidR="00BA2CEB" w:rsidRDefault="00BA2CEB" w:rsidP="001F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0DAE" w14:textId="77777777" w:rsidR="0024754B" w:rsidRDefault="0024754B" w:rsidP="00CE5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CCC99" w14:textId="77777777" w:rsidR="0024754B" w:rsidRDefault="0024754B" w:rsidP="00CE55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08D5" w14:textId="36E299F6" w:rsidR="0024754B" w:rsidRDefault="0024754B" w:rsidP="00CE5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CEF">
      <w:rPr>
        <w:rStyle w:val="PageNumber"/>
        <w:noProof/>
      </w:rPr>
      <w:t>21</w:t>
    </w:r>
    <w:r>
      <w:rPr>
        <w:rStyle w:val="PageNumber"/>
      </w:rPr>
      <w:fldChar w:fldCharType="end"/>
    </w:r>
  </w:p>
  <w:p w14:paraId="43EF02F3" w14:textId="77777777" w:rsidR="0024754B" w:rsidRDefault="0024754B" w:rsidP="00CE55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D7341" w14:textId="77777777" w:rsidR="00BA2CEB" w:rsidRDefault="00BA2CEB" w:rsidP="001F16A8">
      <w:r>
        <w:separator/>
      </w:r>
    </w:p>
  </w:footnote>
  <w:footnote w:type="continuationSeparator" w:id="0">
    <w:p w14:paraId="471D06FD" w14:textId="77777777" w:rsidR="00BA2CEB" w:rsidRDefault="00BA2CEB" w:rsidP="001F16A8">
      <w:r>
        <w:continuationSeparator/>
      </w:r>
    </w:p>
  </w:footnote>
  <w:footnote w:id="1">
    <w:p w14:paraId="1F2886DD" w14:textId="2F138BA2" w:rsidR="0024754B" w:rsidRDefault="0024754B" w:rsidP="00941E41">
      <w:pPr>
        <w:pStyle w:val="FootnoteText"/>
      </w:pPr>
      <w:r w:rsidRPr="00B76447">
        <w:rPr>
          <w:rStyle w:val="FootnoteReference"/>
        </w:rPr>
        <w:footnoteRef/>
      </w:r>
      <w:r>
        <w:t xml:space="preserve"> </w:t>
      </w:r>
      <w:r w:rsidRPr="00351563">
        <w:t xml:space="preserve">The </w:t>
      </w:r>
      <w:r w:rsidRPr="00351563">
        <w:rPr>
          <w:i/>
        </w:rPr>
        <w:t>erga omnes</w:t>
      </w:r>
      <w:r w:rsidRPr="00351563">
        <w:t xml:space="preserve"> principle stipulated that a sectoral collective agreement</w:t>
      </w:r>
      <w:r>
        <w:t>,</w:t>
      </w:r>
      <w:r w:rsidRPr="00351563">
        <w:t xml:space="preserve"> </w:t>
      </w:r>
      <w:r>
        <w:t>which</w:t>
      </w:r>
      <w:r w:rsidRPr="00351563">
        <w:t xml:space="preserve"> was signed between a trade union and employers or employers’ associations that represented at least 50%+1 of the workers in the respective sector, was applicable to all workers in the sector through a process involving the issuing of a ministerial decree. The </w:t>
      </w:r>
      <w:r w:rsidRPr="00351563">
        <w:rPr>
          <w:i/>
        </w:rPr>
        <w:t>favourability</w:t>
      </w:r>
      <w:r w:rsidRPr="00351563">
        <w:t xml:space="preserve"> principle postulated that</w:t>
      </w:r>
      <w:r>
        <w:t>,</w:t>
      </w:r>
      <w:r w:rsidRPr="00351563">
        <w:t xml:space="preserve"> if an employee’s terms and conditions of employment were the subject of more than one collective agreements (e.g. a sectoral, an occupational and a company one)</w:t>
      </w:r>
      <w:r>
        <w:t>,</w:t>
      </w:r>
      <w:r w:rsidRPr="00351563">
        <w:t xml:space="preserve"> then the one most favourable to the employee would eventually apply. This implied that an employer could not offer wages below the ones agreed at the sectoral or occupational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66A"/>
    <w:multiLevelType w:val="hybridMultilevel"/>
    <w:tmpl w:val="A74A301E"/>
    <w:lvl w:ilvl="0" w:tplc="3E8AB0A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5450"/>
    <w:multiLevelType w:val="hybridMultilevel"/>
    <w:tmpl w:val="9B023C9A"/>
    <w:lvl w:ilvl="0" w:tplc="575611A4">
      <w:start w:val="1"/>
      <w:numFmt w:val="bullet"/>
      <w:lvlText w:val="•"/>
      <w:lvlJc w:val="left"/>
      <w:pPr>
        <w:tabs>
          <w:tab w:val="num" w:pos="720"/>
        </w:tabs>
        <w:ind w:left="720" w:hanging="360"/>
      </w:pPr>
      <w:rPr>
        <w:rFonts w:ascii="Arial" w:hAnsi="Arial" w:hint="default"/>
      </w:rPr>
    </w:lvl>
    <w:lvl w:ilvl="1" w:tplc="09927720">
      <w:numFmt w:val="bullet"/>
      <w:lvlText w:val="–"/>
      <w:lvlJc w:val="left"/>
      <w:pPr>
        <w:tabs>
          <w:tab w:val="num" w:pos="1440"/>
        </w:tabs>
        <w:ind w:left="1440" w:hanging="360"/>
      </w:pPr>
      <w:rPr>
        <w:rFonts w:ascii="Arial" w:hAnsi="Arial" w:hint="default"/>
      </w:rPr>
    </w:lvl>
    <w:lvl w:ilvl="2" w:tplc="96CC7FA8" w:tentative="1">
      <w:start w:val="1"/>
      <w:numFmt w:val="bullet"/>
      <w:lvlText w:val="•"/>
      <w:lvlJc w:val="left"/>
      <w:pPr>
        <w:tabs>
          <w:tab w:val="num" w:pos="2160"/>
        </w:tabs>
        <w:ind w:left="2160" w:hanging="360"/>
      </w:pPr>
      <w:rPr>
        <w:rFonts w:ascii="Arial" w:hAnsi="Arial" w:hint="default"/>
      </w:rPr>
    </w:lvl>
    <w:lvl w:ilvl="3" w:tplc="BB7C3A30" w:tentative="1">
      <w:start w:val="1"/>
      <w:numFmt w:val="bullet"/>
      <w:lvlText w:val="•"/>
      <w:lvlJc w:val="left"/>
      <w:pPr>
        <w:tabs>
          <w:tab w:val="num" w:pos="2880"/>
        </w:tabs>
        <w:ind w:left="2880" w:hanging="360"/>
      </w:pPr>
      <w:rPr>
        <w:rFonts w:ascii="Arial" w:hAnsi="Arial" w:hint="default"/>
      </w:rPr>
    </w:lvl>
    <w:lvl w:ilvl="4" w:tplc="C8F88D94" w:tentative="1">
      <w:start w:val="1"/>
      <w:numFmt w:val="bullet"/>
      <w:lvlText w:val="•"/>
      <w:lvlJc w:val="left"/>
      <w:pPr>
        <w:tabs>
          <w:tab w:val="num" w:pos="3600"/>
        </w:tabs>
        <w:ind w:left="3600" w:hanging="360"/>
      </w:pPr>
      <w:rPr>
        <w:rFonts w:ascii="Arial" w:hAnsi="Arial" w:hint="default"/>
      </w:rPr>
    </w:lvl>
    <w:lvl w:ilvl="5" w:tplc="000E72BE" w:tentative="1">
      <w:start w:val="1"/>
      <w:numFmt w:val="bullet"/>
      <w:lvlText w:val="•"/>
      <w:lvlJc w:val="left"/>
      <w:pPr>
        <w:tabs>
          <w:tab w:val="num" w:pos="4320"/>
        </w:tabs>
        <w:ind w:left="4320" w:hanging="360"/>
      </w:pPr>
      <w:rPr>
        <w:rFonts w:ascii="Arial" w:hAnsi="Arial" w:hint="default"/>
      </w:rPr>
    </w:lvl>
    <w:lvl w:ilvl="6" w:tplc="754A308E" w:tentative="1">
      <w:start w:val="1"/>
      <w:numFmt w:val="bullet"/>
      <w:lvlText w:val="•"/>
      <w:lvlJc w:val="left"/>
      <w:pPr>
        <w:tabs>
          <w:tab w:val="num" w:pos="5040"/>
        </w:tabs>
        <w:ind w:left="5040" w:hanging="360"/>
      </w:pPr>
      <w:rPr>
        <w:rFonts w:ascii="Arial" w:hAnsi="Arial" w:hint="default"/>
      </w:rPr>
    </w:lvl>
    <w:lvl w:ilvl="7" w:tplc="01682BAC" w:tentative="1">
      <w:start w:val="1"/>
      <w:numFmt w:val="bullet"/>
      <w:lvlText w:val="•"/>
      <w:lvlJc w:val="left"/>
      <w:pPr>
        <w:tabs>
          <w:tab w:val="num" w:pos="5760"/>
        </w:tabs>
        <w:ind w:left="5760" w:hanging="360"/>
      </w:pPr>
      <w:rPr>
        <w:rFonts w:ascii="Arial" w:hAnsi="Arial" w:hint="default"/>
      </w:rPr>
    </w:lvl>
    <w:lvl w:ilvl="8" w:tplc="C2EEAA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0266B"/>
    <w:multiLevelType w:val="multilevel"/>
    <w:tmpl w:val="622EFA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883814"/>
    <w:multiLevelType w:val="hybridMultilevel"/>
    <w:tmpl w:val="BDB8E9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E4A68"/>
    <w:multiLevelType w:val="hybridMultilevel"/>
    <w:tmpl w:val="6254A9DE"/>
    <w:lvl w:ilvl="0" w:tplc="2C308246">
      <w:start w:val="1"/>
      <w:numFmt w:val="bullet"/>
      <w:lvlText w:val=""/>
      <w:lvlJc w:val="left"/>
      <w:pPr>
        <w:tabs>
          <w:tab w:val="num" w:pos="720"/>
        </w:tabs>
        <w:ind w:left="720" w:hanging="360"/>
      </w:pPr>
      <w:rPr>
        <w:rFonts w:ascii="Wingdings" w:hAnsi="Wingdings" w:hint="default"/>
      </w:rPr>
    </w:lvl>
    <w:lvl w:ilvl="1" w:tplc="299E0774" w:tentative="1">
      <w:start w:val="1"/>
      <w:numFmt w:val="bullet"/>
      <w:lvlText w:val=""/>
      <w:lvlJc w:val="left"/>
      <w:pPr>
        <w:tabs>
          <w:tab w:val="num" w:pos="1440"/>
        </w:tabs>
        <w:ind w:left="1440" w:hanging="360"/>
      </w:pPr>
      <w:rPr>
        <w:rFonts w:ascii="Wingdings" w:hAnsi="Wingdings" w:hint="default"/>
      </w:rPr>
    </w:lvl>
    <w:lvl w:ilvl="2" w:tplc="3B8A6FB2" w:tentative="1">
      <w:start w:val="1"/>
      <w:numFmt w:val="bullet"/>
      <w:lvlText w:val=""/>
      <w:lvlJc w:val="left"/>
      <w:pPr>
        <w:tabs>
          <w:tab w:val="num" w:pos="2160"/>
        </w:tabs>
        <w:ind w:left="2160" w:hanging="360"/>
      </w:pPr>
      <w:rPr>
        <w:rFonts w:ascii="Wingdings" w:hAnsi="Wingdings" w:hint="default"/>
      </w:rPr>
    </w:lvl>
    <w:lvl w:ilvl="3" w:tplc="65E0BA08" w:tentative="1">
      <w:start w:val="1"/>
      <w:numFmt w:val="bullet"/>
      <w:lvlText w:val=""/>
      <w:lvlJc w:val="left"/>
      <w:pPr>
        <w:tabs>
          <w:tab w:val="num" w:pos="2880"/>
        </w:tabs>
        <w:ind w:left="2880" w:hanging="360"/>
      </w:pPr>
      <w:rPr>
        <w:rFonts w:ascii="Wingdings" w:hAnsi="Wingdings" w:hint="default"/>
      </w:rPr>
    </w:lvl>
    <w:lvl w:ilvl="4" w:tplc="7E1C64E4" w:tentative="1">
      <w:start w:val="1"/>
      <w:numFmt w:val="bullet"/>
      <w:lvlText w:val=""/>
      <w:lvlJc w:val="left"/>
      <w:pPr>
        <w:tabs>
          <w:tab w:val="num" w:pos="3600"/>
        </w:tabs>
        <w:ind w:left="3600" w:hanging="360"/>
      </w:pPr>
      <w:rPr>
        <w:rFonts w:ascii="Wingdings" w:hAnsi="Wingdings" w:hint="default"/>
      </w:rPr>
    </w:lvl>
    <w:lvl w:ilvl="5" w:tplc="D7F8C928" w:tentative="1">
      <w:start w:val="1"/>
      <w:numFmt w:val="bullet"/>
      <w:lvlText w:val=""/>
      <w:lvlJc w:val="left"/>
      <w:pPr>
        <w:tabs>
          <w:tab w:val="num" w:pos="4320"/>
        </w:tabs>
        <w:ind w:left="4320" w:hanging="360"/>
      </w:pPr>
      <w:rPr>
        <w:rFonts w:ascii="Wingdings" w:hAnsi="Wingdings" w:hint="default"/>
      </w:rPr>
    </w:lvl>
    <w:lvl w:ilvl="6" w:tplc="AE3CE90C" w:tentative="1">
      <w:start w:val="1"/>
      <w:numFmt w:val="bullet"/>
      <w:lvlText w:val=""/>
      <w:lvlJc w:val="left"/>
      <w:pPr>
        <w:tabs>
          <w:tab w:val="num" w:pos="5040"/>
        </w:tabs>
        <w:ind w:left="5040" w:hanging="360"/>
      </w:pPr>
      <w:rPr>
        <w:rFonts w:ascii="Wingdings" w:hAnsi="Wingdings" w:hint="default"/>
      </w:rPr>
    </w:lvl>
    <w:lvl w:ilvl="7" w:tplc="2F6E19DC" w:tentative="1">
      <w:start w:val="1"/>
      <w:numFmt w:val="bullet"/>
      <w:lvlText w:val=""/>
      <w:lvlJc w:val="left"/>
      <w:pPr>
        <w:tabs>
          <w:tab w:val="num" w:pos="5760"/>
        </w:tabs>
        <w:ind w:left="5760" w:hanging="360"/>
      </w:pPr>
      <w:rPr>
        <w:rFonts w:ascii="Wingdings" w:hAnsi="Wingdings" w:hint="default"/>
      </w:rPr>
    </w:lvl>
    <w:lvl w:ilvl="8" w:tplc="7B422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848D5"/>
    <w:multiLevelType w:val="hybridMultilevel"/>
    <w:tmpl w:val="4302F828"/>
    <w:lvl w:ilvl="0" w:tplc="0CDCCC12">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7549"/>
    <w:multiLevelType w:val="hybridMultilevel"/>
    <w:tmpl w:val="422047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7677F"/>
    <w:multiLevelType w:val="hybridMultilevel"/>
    <w:tmpl w:val="8F16A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8240A"/>
    <w:multiLevelType w:val="hybridMultilevel"/>
    <w:tmpl w:val="6C94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61468"/>
    <w:multiLevelType w:val="hybridMultilevel"/>
    <w:tmpl w:val="14EC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987F3B"/>
    <w:multiLevelType w:val="hybridMultilevel"/>
    <w:tmpl w:val="8CD2D2B8"/>
    <w:lvl w:ilvl="0" w:tplc="911E9C4A">
      <w:start w:val="1"/>
      <w:numFmt w:val="decimal"/>
      <w:lvlText w:val="%1."/>
      <w:lvlJc w:val="left"/>
      <w:pPr>
        <w:tabs>
          <w:tab w:val="num" w:pos="720"/>
        </w:tabs>
        <w:ind w:left="720" w:hanging="360"/>
      </w:pPr>
    </w:lvl>
    <w:lvl w:ilvl="1" w:tplc="60B8D922" w:tentative="1">
      <w:start w:val="1"/>
      <w:numFmt w:val="decimal"/>
      <w:lvlText w:val="%2."/>
      <w:lvlJc w:val="left"/>
      <w:pPr>
        <w:tabs>
          <w:tab w:val="num" w:pos="1440"/>
        </w:tabs>
        <w:ind w:left="1440" w:hanging="360"/>
      </w:pPr>
    </w:lvl>
    <w:lvl w:ilvl="2" w:tplc="8DEE6876" w:tentative="1">
      <w:start w:val="1"/>
      <w:numFmt w:val="decimal"/>
      <w:lvlText w:val="%3."/>
      <w:lvlJc w:val="left"/>
      <w:pPr>
        <w:tabs>
          <w:tab w:val="num" w:pos="2160"/>
        </w:tabs>
        <w:ind w:left="2160" w:hanging="360"/>
      </w:pPr>
    </w:lvl>
    <w:lvl w:ilvl="3" w:tplc="DCBEF80E" w:tentative="1">
      <w:start w:val="1"/>
      <w:numFmt w:val="decimal"/>
      <w:lvlText w:val="%4."/>
      <w:lvlJc w:val="left"/>
      <w:pPr>
        <w:tabs>
          <w:tab w:val="num" w:pos="2880"/>
        </w:tabs>
        <w:ind w:left="2880" w:hanging="360"/>
      </w:pPr>
    </w:lvl>
    <w:lvl w:ilvl="4" w:tplc="C22A4FEA" w:tentative="1">
      <w:start w:val="1"/>
      <w:numFmt w:val="decimal"/>
      <w:lvlText w:val="%5."/>
      <w:lvlJc w:val="left"/>
      <w:pPr>
        <w:tabs>
          <w:tab w:val="num" w:pos="3600"/>
        </w:tabs>
        <w:ind w:left="3600" w:hanging="360"/>
      </w:pPr>
    </w:lvl>
    <w:lvl w:ilvl="5" w:tplc="59A81944" w:tentative="1">
      <w:start w:val="1"/>
      <w:numFmt w:val="decimal"/>
      <w:lvlText w:val="%6."/>
      <w:lvlJc w:val="left"/>
      <w:pPr>
        <w:tabs>
          <w:tab w:val="num" w:pos="4320"/>
        </w:tabs>
        <w:ind w:left="4320" w:hanging="360"/>
      </w:pPr>
    </w:lvl>
    <w:lvl w:ilvl="6" w:tplc="98F67DE2" w:tentative="1">
      <w:start w:val="1"/>
      <w:numFmt w:val="decimal"/>
      <w:lvlText w:val="%7."/>
      <w:lvlJc w:val="left"/>
      <w:pPr>
        <w:tabs>
          <w:tab w:val="num" w:pos="5040"/>
        </w:tabs>
        <w:ind w:left="5040" w:hanging="360"/>
      </w:pPr>
    </w:lvl>
    <w:lvl w:ilvl="7" w:tplc="B212F856" w:tentative="1">
      <w:start w:val="1"/>
      <w:numFmt w:val="decimal"/>
      <w:lvlText w:val="%8."/>
      <w:lvlJc w:val="left"/>
      <w:pPr>
        <w:tabs>
          <w:tab w:val="num" w:pos="5760"/>
        </w:tabs>
        <w:ind w:left="5760" w:hanging="360"/>
      </w:pPr>
    </w:lvl>
    <w:lvl w:ilvl="8" w:tplc="C25025A8" w:tentative="1">
      <w:start w:val="1"/>
      <w:numFmt w:val="decimal"/>
      <w:lvlText w:val="%9."/>
      <w:lvlJc w:val="left"/>
      <w:pPr>
        <w:tabs>
          <w:tab w:val="num" w:pos="6480"/>
        </w:tabs>
        <w:ind w:left="6480" w:hanging="360"/>
      </w:pPr>
    </w:lvl>
  </w:abstractNum>
  <w:abstractNum w:abstractNumId="11" w15:restartNumberingAfterBreak="0">
    <w:nsid w:val="2B825F00"/>
    <w:multiLevelType w:val="hybridMultilevel"/>
    <w:tmpl w:val="0D1E85FA"/>
    <w:lvl w:ilvl="0" w:tplc="5FC09BAE">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B00E33"/>
    <w:multiLevelType w:val="hybridMultilevel"/>
    <w:tmpl w:val="11D458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0015C"/>
    <w:multiLevelType w:val="multilevel"/>
    <w:tmpl w:val="622EFAF6"/>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7F7BCB"/>
    <w:multiLevelType w:val="hybridMultilevel"/>
    <w:tmpl w:val="791A3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47630"/>
    <w:multiLevelType w:val="hybridMultilevel"/>
    <w:tmpl w:val="9B1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77139"/>
    <w:multiLevelType w:val="hybridMultilevel"/>
    <w:tmpl w:val="DB32C2FC"/>
    <w:lvl w:ilvl="0" w:tplc="ED26549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672AF"/>
    <w:multiLevelType w:val="hybridMultilevel"/>
    <w:tmpl w:val="4142D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9B7593"/>
    <w:multiLevelType w:val="hybridMultilevel"/>
    <w:tmpl w:val="C69854E6"/>
    <w:lvl w:ilvl="0" w:tplc="670A8552">
      <w:start w:val="1"/>
      <w:numFmt w:val="decimal"/>
      <w:lvlText w:val="%1."/>
      <w:lvlJc w:val="left"/>
      <w:pPr>
        <w:tabs>
          <w:tab w:val="num" w:pos="720"/>
        </w:tabs>
        <w:ind w:left="720" w:hanging="360"/>
      </w:pPr>
    </w:lvl>
    <w:lvl w:ilvl="1" w:tplc="30B63A48" w:tentative="1">
      <w:start w:val="1"/>
      <w:numFmt w:val="decimal"/>
      <w:lvlText w:val="%2."/>
      <w:lvlJc w:val="left"/>
      <w:pPr>
        <w:tabs>
          <w:tab w:val="num" w:pos="1440"/>
        </w:tabs>
        <w:ind w:left="1440" w:hanging="360"/>
      </w:pPr>
    </w:lvl>
    <w:lvl w:ilvl="2" w:tplc="573E3B86" w:tentative="1">
      <w:start w:val="1"/>
      <w:numFmt w:val="decimal"/>
      <w:lvlText w:val="%3."/>
      <w:lvlJc w:val="left"/>
      <w:pPr>
        <w:tabs>
          <w:tab w:val="num" w:pos="2160"/>
        </w:tabs>
        <w:ind w:left="2160" w:hanging="360"/>
      </w:pPr>
    </w:lvl>
    <w:lvl w:ilvl="3" w:tplc="DEB8F87C" w:tentative="1">
      <w:start w:val="1"/>
      <w:numFmt w:val="decimal"/>
      <w:lvlText w:val="%4."/>
      <w:lvlJc w:val="left"/>
      <w:pPr>
        <w:tabs>
          <w:tab w:val="num" w:pos="2880"/>
        </w:tabs>
        <w:ind w:left="2880" w:hanging="360"/>
      </w:pPr>
    </w:lvl>
    <w:lvl w:ilvl="4" w:tplc="73FAD08E" w:tentative="1">
      <w:start w:val="1"/>
      <w:numFmt w:val="decimal"/>
      <w:lvlText w:val="%5."/>
      <w:lvlJc w:val="left"/>
      <w:pPr>
        <w:tabs>
          <w:tab w:val="num" w:pos="3600"/>
        </w:tabs>
        <w:ind w:left="3600" w:hanging="360"/>
      </w:pPr>
    </w:lvl>
    <w:lvl w:ilvl="5" w:tplc="82EAC242" w:tentative="1">
      <w:start w:val="1"/>
      <w:numFmt w:val="decimal"/>
      <w:lvlText w:val="%6."/>
      <w:lvlJc w:val="left"/>
      <w:pPr>
        <w:tabs>
          <w:tab w:val="num" w:pos="4320"/>
        </w:tabs>
        <w:ind w:left="4320" w:hanging="360"/>
      </w:pPr>
    </w:lvl>
    <w:lvl w:ilvl="6" w:tplc="F118B786" w:tentative="1">
      <w:start w:val="1"/>
      <w:numFmt w:val="decimal"/>
      <w:lvlText w:val="%7."/>
      <w:lvlJc w:val="left"/>
      <w:pPr>
        <w:tabs>
          <w:tab w:val="num" w:pos="5040"/>
        </w:tabs>
        <w:ind w:left="5040" w:hanging="360"/>
      </w:pPr>
    </w:lvl>
    <w:lvl w:ilvl="7" w:tplc="23BC2DDA" w:tentative="1">
      <w:start w:val="1"/>
      <w:numFmt w:val="decimal"/>
      <w:lvlText w:val="%8."/>
      <w:lvlJc w:val="left"/>
      <w:pPr>
        <w:tabs>
          <w:tab w:val="num" w:pos="5760"/>
        </w:tabs>
        <w:ind w:left="5760" w:hanging="360"/>
      </w:pPr>
    </w:lvl>
    <w:lvl w:ilvl="8" w:tplc="53D808DA" w:tentative="1">
      <w:start w:val="1"/>
      <w:numFmt w:val="decimal"/>
      <w:lvlText w:val="%9."/>
      <w:lvlJc w:val="left"/>
      <w:pPr>
        <w:tabs>
          <w:tab w:val="num" w:pos="6480"/>
        </w:tabs>
        <w:ind w:left="6480" w:hanging="360"/>
      </w:pPr>
    </w:lvl>
  </w:abstractNum>
  <w:abstractNum w:abstractNumId="19" w15:restartNumberingAfterBreak="0">
    <w:nsid w:val="64196A81"/>
    <w:multiLevelType w:val="hybridMultilevel"/>
    <w:tmpl w:val="323C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E4948"/>
    <w:multiLevelType w:val="hybridMultilevel"/>
    <w:tmpl w:val="578E517C"/>
    <w:lvl w:ilvl="0" w:tplc="24D8E1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6078D"/>
    <w:multiLevelType w:val="hybridMultilevel"/>
    <w:tmpl w:val="BE7AD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E1CDD"/>
    <w:multiLevelType w:val="hybridMultilevel"/>
    <w:tmpl w:val="F26A5BAE"/>
    <w:lvl w:ilvl="0" w:tplc="B5FAABEC">
      <w:start w:val="1"/>
      <w:numFmt w:val="bullet"/>
      <w:lvlText w:val=""/>
      <w:lvlJc w:val="left"/>
      <w:pPr>
        <w:tabs>
          <w:tab w:val="num" w:pos="720"/>
        </w:tabs>
        <w:ind w:left="720" w:hanging="360"/>
      </w:pPr>
      <w:rPr>
        <w:rFonts w:ascii="Wingdings" w:hAnsi="Wingdings" w:hint="default"/>
      </w:rPr>
    </w:lvl>
    <w:lvl w:ilvl="1" w:tplc="ED2894C0" w:tentative="1">
      <w:start w:val="1"/>
      <w:numFmt w:val="bullet"/>
      <w:lvlText w:val=""/>
      <w:lvlJc w:val="left"/>
      <w:pPr>
        <w:tabs>
          <w:tab w:val="num" w:pos="1440"/>
        </w:tabs>
        <w:ind w:left="1440" w:hanging="360"/>
      </w:pPr>
      <w:rPr>
        <w:rFonts w:ascii="Wingdings" w:hAnsi="Wingdings" w:hint="default"/>
      </w:rPr>
    </w:lvl>
    <w:lvl w:ilvl="2" w:tplc="F6280812" w:tentative="1">
      <w:start w:val="1"/>
      <w:numFmt w:val="bullet"/>
      <w:lvlText w:val=""/>
      <w:lvlJc w:val="left"/>
      <w:pPr>
        <w:tabs>
          <w:tab w:val="num" w:pos="2160"/>
        </w:tabs>
        <w:ind w:left="2160" w:hanging="360"/>
      </w:pPr>
      <w:rPr>
        <w:rFonts w:ascii="Wingdings" w:hAnsi="Wingdings" w:hint="default"/>
      </w:rPr>
    </w:lvl>
    <w:lvl w:ilvl="3" w:tplc="FCF258E0" w:tentative="1">
      <w:start w:val="1"/>
      <w:numFmt w:val="bullet"/>
      <w:lvlText w:val=""/>
      <w:lvlJc w:val="left"/>
      <w:pPr>
        <w:tabs>
          <w:tab w:val="num" w:pos="2880"/>
        </w:tabs>
        <w:ind w:left="2880" w:hanging="360"/>
      </w:pPr>
      <w:rPr>
        <w:rFonts w:ascii="Wingdings" w:hAnsi="Wingdings" w:hint="default"/>
      </w:rPr>
    </w:lvl>
    <w:lvl w:ilvl="4" w:tplc="161EF6BC" w:tentative="1">
      <w:start w:val="1"/>
      <w:numFmt w:val="bullet"/>
      <w:lvlText w:val=""/>
      <w:lvlJc w:val="left"/>
      <w:pPr>
        <w:tabs>
          <w:tab w:val="num" w:pos="3600"/>
        </w:tabs>
        <w:ind w:left="3600" w:hanging="360"/>
      </w:pPr>
      <w:rPr>
        <w:rFonts w:ascii="Wingdings" w:hAnsi="Wingdings" w:hint="default"/>
      </w:rPr>
    </w:lvl>
    <w:lvl w:ilvl="5" w:tplc="4A90E5F8" w:tentative="1">
      <w:start w:val="1"/>
      <w:numFmt w:val="bullet"/>
      <w:lvlText w:val=""/>
      <w:lvlJc w:val="left"/>
      <w:pPr>
        <w:tabs>
          <w:tab w:val="num" w:pos="4320"/>
        </w:tabs>
        <w:ind w:left="4320" w:hanging="360"/>
      </w:pPr>
      <w:rPr>
        <w:rFonts w:ascii="Wingdings" w:hAnsi="Wingdings" w:hint="default"/>
      </w:rPr>
    </w:lvl>
    <w:lvl w:ilvl="6" w:tplc="1E7246D4" w:tentative="1">
      <w:start w:val="1"/>
      <w:numFmt w:val="bullet"/>
      <w:lvlText w:val=""/>
      <w:lvlJc w:val="left"/>
      <w:pPr>
        <w:tabs>
          <w:tab w:val="num" w:pos="5040"/>
        </w:tabs>
        <w:ind w:left="5040" w:hanging="360"/>
      </w:pPr>
      <w:rPr>
        <w:rFonts w:ascii="Wingdings" w:hAnsi="Wingdings" w:hint="default"/>
      </w:rPr>
    </w:lvl>
    <w:lvl w:ilvl="7" w:tplc="B6D480A2" w:tentative="1">
      <w:start w:val="1"/>
      <w:numFmt w:val="bullet"/>
      <w:lvlText w:val=""/>
      <w:lvlJc w:val="left"/>
      <w:pPr>
        <w:tabs>
          <w:tab w:val="num" w:pos="5760"/>
        </w:tabs>
        <w:ind w:left="5760" w:hanging="360"/>
      </w:pPr>
      <w:rPr>
        <w:rFonts w:ascii="Wingdings" w:hAnsi="Wingdings" w:hint="default"/>
      </w:rPr>
    </w:lvl>
    <w:lvl w:ilvl="8" w:tplc="6AF21E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0969"/>
    <w:multiLevelType w:val="hybridMultilevel"/>
    <w:tmpl w:val="815408F6"/>
    <w:lvl w:ilvl="0" w:tplc="27A403D2">
      <w:start w:val="1"/>
      <w:numFmt w:val="bullet"/>
      <w:lvlText w:val=""/>
      <w:lvlJc w:val="left"/>
      <w:pPr>
        <w:tabs>
          <w:tab w:val="num" w:pos="720"/>
        </w:tabs>
        <w:ind w:left="720" w:hanging="360"/>
      </w:pPr>
      <w:rPr>
        <w:rFonts w:ascii="Wingdings" w:hAnsi="Wingdings" w:hint="default"/>
      </w:rPr>
    </w:lvl>
    <w:lvl w:ilvl="1" w:tplc="D828265C" w:tentative="1">
      <w:start w:val="1"/>
      <w:numFmt w:val="bullet"/>
      <w:lvlText w:val=""/>
      <w:lvlJc w:val="left"/>
      <w:pPr>
        <w:tabs>
          <w:tab w:val="num" w:pos="1440"/>
        </w:tabs>
        <w:ind w:left="1440" w:hanging="360"/>
      </w:pPr>
      <w:rPr>
        <w:rFonts w:ascii="Wingdings" w:hAnsi="Wingdings" w:hint="default"/>
      </w:rPr>
    </w:lvl>
    <w:lvl w:ilvl="2" w:tplc="F678E9BE" w:tentative="1">
      <w:start w:val="1"/>
      <w:numFmt w:val="bullet"/>
      <w:lvlText w:val=""/>
      <w:lvlJc w:val="left"/>
      <w:pPr>
        <w:tabs>
          <w:tab w:val="num" w:pos="2160"/>
        </w:tabs>
        <w:ind w:left="2160" w:hanging="360"/>
      </w:pPr>
      <w:rPr>
        <w:rFonts w:ascii="Wingdings" w:hAnsi="Wingdings" w:hint="default"/>
      </w:rPr>
    </w:lvl>
    <w:lvl w:ilvl="3" w:tplc="BF32515A" w:tentative="1">
      <w:start w:val="1"/>
      <w:numFmt w:val="bullet"/>
      <w:lvlText w:val=""/>
      <w:lvlJc w:val="left"/>
      <w:pPr>
        <w:tabs>
          <w:tab w:val="num" w:pos="2880"/>
        </w:tabs>
        <w:ind w:left="2880" w:hanging="360"/>
      </w:pPr>
      <w:rPr>
        <w:rFonts w:ascii="Wingdings" w:hAnsi="Wingdings" w:hint="default"/>
      </w:rPr>
    </w:lvl>
    <w:lvl w:ilvl="4" w:tplc="6FA0D326" w:tentative="1">
      <w:start w:val="1"/>
      <w:numFmt w:val="bullet"/>
      <w:lvlText w:val=""/>
      <w:lvlJc w:val="left"/>
      <w:pPr>
        <w:tabs>
          <w:tab w:val="num" w:pos="3600"/>
        </w:tabs>
        <w:ind w:left="3600" w:hanging="360"/>
      </w:pPr>
      <w:rPr>
        <w:rFonts w:ascii="Wingdings" w:hAnsi="Wingdings" w:hint="default"/>
      </w:rPr>
    </w:lvl>
    <w:lvl w:ilvl="5" w:tplc="EC7AA020" w:tentative="1">
      <w:start w:val="1"/>
      <w:numFmt w:val="bullet"/>
      <w:lvlText w:val=""/>
      <w:lvlJc w:val="left"/>
      <w:pPr>
        <w:tabs>
          <w:tab w:val="num" w:pos="4320"/>
        </w:tabs>
        <w:ind w:left="4320" w:hanging="360"/>
      </w:pPr>
      <w:rPr>
        <w:rFonts w:ascii="Wingdings" w:hAnsi="Wingdings" w:hint="default"/>
      </w:rPr>
    </w:lvl>
    <w:lvl w:ilvl="6" w:tplc="91468E50" w:tentative="1">
      <w:start w:val="1"/>
      <w:numFmt w:val="bullet"/>
      <w:lvlText w:val=""/>
      <w:lvlJc w:val="left"/>
      <w:pPr>
        <w:tabs>
          <w:tab w:val="num" w:pos="5040"/>
        </w:tabs>
        <w:ind w:left="5040" w:hanging="360"/>
      </w:pPr>
      <w:rPr>
        <w:rFonts w:ascii="Wingdings" w:hAnsi="Wingdings" w:hint="default"/>
      </w:rPr>
    </w:lvl>
    <w:lvl w:ilvl="7" w:tplc="08365B14" w:tentative="1">
      <w:start w:val="1"/>
      <w:numFmt w:val="bullet"/>
      <w:lvlText w:val=""/>
      <w:lvlJc w:val="left"/>
      <w:pPr>
        <w:tabs>
          <w:tab w:val="num" w:pos="5760"/>
        </w:tabs>
        <w:ind w:left="5760" w:hanging="360"/>
      </w:pPr>
      <w:rPr>
        <w:rFonts w:ascii="Wingdings" w:hAnsi="Wingdings" w:hint="default"/>
      </w:rPr>
    </w:lvl>
    <w:lvl w:ilvl="8" w:tplc="7D269D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6373F"/>
    <w:multiLevelType w:val="hybridMultilevel"/>
    <w:tmpl w:val="E2EC3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0F5F47"/>
    <w:multiLevelType w:val="hybridMultilevel"/>
    <w:tmpl w:val="E6142804"/>
    <w:lvl w:ilvl="0" w:tplc="641C05CA">
      <w:start w:val="1"/>
      <w:numFmt w:val="bullet"/>
      <w:lvlText w:val="•"/>
      <w:lvlJc w:val="left"/>
      <w:pPr>
        <w:tabs>
          <w:tab w:val="num" w:pos="720"/>
        </w:tabs>
        <w:ind w:left="720" w:hanging="360"/>
      </w:pPr>
      <w:rPr>
        <w:rFonts w:ascii="Arial" w:hAnsi="Arial" w:hint="default"/>
      </w:rPr>
    </w:lvl>
    <w:lvl w:ilvl="1" w:tplc="88AC9F7E">
      <w:numFmt w:val="bullet"/>
      <w:lvlText w:val="–"/>
      <w:lvlJc w:val="left"/>
      <w:pPr>
        <w:tabs>
          <w:tab w:val="num" w:pos="1440"/>
        </w:tabs>
        <w:ind w:left="1440" w:hanging="360"/>
      </w:pPr>
      <w:rPr>
        <w:rFonts w:ascii="Arial" w:hAnsi="Arial" w:hint="default"/>
      </w:rPr>
    </w:lvl>
    <w:lvl w:ilvl="2" w:tplc="4BA0BEC0" w:tentative="1">
      <w:start w:val="1"/>
      <w:numFmt w:val="bullet"/>
      <w:lvlText w:val="•"/>
      <w:lvlJc w:val="left"/>
      <w:pPr>
        <w:tabs>
          <w:tab w:val="num" w:pos="2160"/>
        </w:tabs>
        <w:ind w:left="2160" w:hanging="360"/>
      </w:pPr>
      <w:rPr>
        <w:rFonts w:ascii="Arial" w:hAnsi="Arial" w:hint="default"/>
      </w:rPr>
    </w:lvl>
    <w:lvl w:ilvl="3" w:tplc="45B487D8" w:tentative="1">
      <w:start w:val="1"/>
      <w:numFmt w:val="bullet"/>
      <w:lvlText w:val="•"/>
      <w:lvlJc w:val="left"/>
      <w:pPr>
        <w:tabs>
          <w:tab w:val="num" w:pos="2880"/>
        </w:tabs>
        <w:ind w:left="2880" w:hanging="360"/>
      </w:pPr>
      <w:rPr>
        <w:rFonts w:ascii="Arial" w:hAnsi="Arial" w:hint="default"/>
      </w:rPr>
    </w:lvl>
    <w:lvl w:ilvl="4" w:tplc="F4FAD184" w:tentative="1">
      <w:start w:val="1"/>
      <w:numFmt w:val="bullet"/>
      <w:lvlText w:val="•"/>
      <w:lvlJc w:val="left"/>
      <w:pPr>
        <w:tabs>
          <w:tab w:val="num" w:pos="3600"/>
        </w:tabs>
        <w:ind w:left="3600" w:hanging="360"/>
      </w:pPr>
      <w:rPr>
        <w:rFonts w:ascii="Arial" w:hAnsi="Arial" w:hint="default"/>
      </w:rPr>
    </w:lvl>
    <w:lvl w:ilvl="5" w:tplc="4C0A8EFC" w:tentative="1">
      <w:start w:val="1"/>
      <w:numFmt w:val="bullet"/>
      <w:lvlText w:val="•"/>
      <w:lvlJc w:val="left"/>
      <w:pPr>
        <w:tabs>
          <w:tab w:val="num" w:pos="4320"/>
        </w:tabs>
        <w:ind w:left="4320" w:hanging="360"/>
      </w:pPr>
      <w:rPr>
        <w:rFonts w:ascii="Arial" w:hAnsi="Arial" w:hint="default"/>
      </w:rPr>
    </w:lvl>
    <w:lvl w:ilvl="6" w:tplc="011E427C" w:tentative="1">
      <w:start w:val="1"/>
      <w:numFmt w:val="bullet"/>
      <w:lvlText w:val="•"/>
      <w:lvlJc w:val="left"/>
      <w:pPr>
        <w:tabs>
          <w:tab w:val="num" w:pos="5040"/>
        </w:tabs>
        <w:ind w:left="5040" w:hanging="360"/>
      </w:pPr>
      <w:rPr>
        <w:rFonts w:ascii="Arial" w:hAnsi="Arial" w:hint="default"/>
      </w:rPr>
    </w:lvl>
    <w:lvl w:ilvl="7" w:tplc="F84036C6" w:tentative="1">
      <w:start w:val="1"/>
      <w:numFmt w:val="bullet"/>
      <w:lvlText w:val="•"/>
      <w:lvlJc w:val="left"/>
      <w:pPr>
        <w:tabs>
          <w:tab w:val="num" w:pos="5760"/>
        </w:tabs>
        <w:ind w:left="5760" w:hanging="360"/>
      </w:pPr>
      <w:rPr>
        <w:rFonts w:ascii="Arial" w:hAnsi="Arial" w:hint="default"/>
      </w:rPr>
    </w:lvl>
    <w:lvl w:ilvl="8" w:tplc="9A2C04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5D40F8"/>
    <w:multiLevelType w:val="hybridMultilevel"/>
    <w:tmpl w:val="4DE840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5"/>
    </w:lvlOverride>
  </w:num>
  <w:num w:numId="5">
    <w:abstractNumId w:val="14"/>
  </w:num>
  <w:num w:numId="6">
    <w:abstractNumId w:val="6"/>
  </w:num>
  <w:num w:numId="7">
    <w:abstractNumId w:val="8"/>
  </w:num>
  <w:num w:numId="8">
    <w:abstractNumId w:val="15"/>
  </w:num>
  <w:num w:numId="9">
    <w:abstractNumId w:val="12"/>
  </w:num>
  <w:num w:numId="10">
    <w:abstractNumId w:val="7"/>
  </w:num>
  <w:num w:numId="11">
    <w:abstractNumId w:val="1"/>
  </w:num>
  <w:num w:numId="12">
    <w:abstractNumId w:val="25"/>
  </w:num>
  <w:num w:numId="13">
    <w:abstractNumId w:val="20"/>
  </w:num>
  <w:num w:numId="14">
    <w:abstractNumId w:val="16"/>
  </w:num>
  <w:num w:numId="15">
    <w:abstractNumId w:val="11"/>
  </w:num>
  <w:num w:numId="16">
    <w:abstractNumId w:val="0"/>
  </w:num>
  <w:num w:numId="17">
    <w:abstractNumId w:val="23"/>
  </w:num>
  <w:num w:numId="18">
    <w:abstractNumId w:val="18"/>
  </w:num>
  <w:num w:numId="19">
    <w:abstractNumId w:val="22"/>
  </w:num>
  <w:num w:numId="20">
    <w:abstractNumId w:val="10"/>
  </w:num>
  <w:num w:numId="21">
    <w:abstractNumId w:val="26"/>
  </w:num>
  <w:num w:numId="22">
    <w:abstractNumId w:val="4"/>
  </w:num>
  <w:num w:numId="23">
    <w:abstractNumId w:val="2"/>
  </w:num>
  <w:num w:numId="24">
    <w:abstractNumId w:val="13"/>
    <w:lvlOverride w:ilvl="0">
      <w:startOverride w:val="3"/>
    </w:lvlOverride>
  </w:num>
  <w:num w:numId="25">
    <w:abstractNumId w:val="17"/>
  </w:num>
  <w:num w:numId="26">
    <w:abstractNumId w:val="9"/>
  </w:num>
  <w:num w:numId="27">
    <w:abstractNumId w:val="3"/>
  </w:num>
  <w:num w:numId="28">
    <w:abstractNumId w:val="24"/>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6B"/>
    <w:rsid w:val="000005D1"/>
    <w:rsid w:val="00003734"/>
    <w:rsid w:val="0000419D"/>
    <w:rsid w:val="00005D35"/>
    <w:rsid w:val="00010B58"/>
    <w:rsid w:val="000148ED"/>
    <w:rsid w:val="00015A7C"/>
    <w:rsid w:val="00016943"/>
    <w:rsid w:val="000238A3"/>
    <w:rsid w:val="0002578E"/>
    <w:rsid w:val="00025B38"/>
    <w:rsid w:val="00031B60"/>
    <w:rsid w:val="000417A0"/>
    <w:rsid w:val="0004522D"/>
    <w:rsid w:val="00045B38"/>
    <w:rsid w:val="0004757B"/>
    <w:rsid w:val="000535B9"/>
    <w:rsid w:val="00055C8A"/>
    <w:rsid w:val="00057B96"/>
    <w:rsid w:val="00060079"/>
    <w:rsid w:val="000670CB"/>
    <w:rsid w:val="000670F7"/>
    <w:rsid w:val="00067635"/>
    <w:rsid w:val="000715C4"/>
    <w:rsid w:val="000724CF"/>
    <w:rsid w:val="00075790"/>
    <w:rsid w:val="0008446F"/>
    <w:rsid w:val="0009580F"/>
    <w:rsid w:val="000973E2"/>
    <w:rsid w:val="000A04AD"/>
    <w:rsid w:val="000A2B2F"/>
    <w:rsid w:val="000A3659"/>
    <w:rsid w:val="000A45D4"/>
    <w:rsid w:val="000B3402"/>
    <w:rsid w:val="000B3B0F"/>
    <w:rsid w:val="000B503A"/>
    <w:rsid w:val="000B645F"/>
    <w:rsid w:val="000C021F"/>
    <w:rsid w:val="000C22E3"/>
    <w:rsid w:val="000C5045"/>
    <w:rsid w:val="000C5814"/>
    <w:rsid w:val="000C5A4D"/>
    <w:rsid w:val="000C695E"/>
    <w:rsid w:val="000C6E91"/>
    <w:rsid w:val="000D40AE"/>
    <w:rsid w:val="000D5CC5"/>
    <w:rsid w:val="000D6DE5"/>
    <w:rsid w:val="000D757F"/>
    <w:rsid w:val="000E2256"/>
    <w:rsid w:val="000E3E2F"/>
    <w:rsid w:val="000E5CEF"/>
    <w:rsid w:val="000E6BDC"/>
    <w:rsid w:val="000E7065"/>
    <w:rsid w:val="000F209D"/>
    <w:rsid w:val="000F5AD2"/>
    <w:rsid w:val="00100726"/>
    <w:rsid w:val="00100C16"/>
    <w:rsid w:val="0010318A"/>
    <w:rsid w:val="00104F07"/>
    <w:rsid w:val="00105EA2"/>
    <w:rsid w:val="00106EB1"/>
    <w:rsid w:val="0010798E"/>
    <w:rsid w:val="00111AE2"/>
    <w:rsid w:val="00111D95"/>
    <w:rsid w:val="00112371"/>
    <w:rsid w:val="00113FCE"/>
    <w:rsid w:val="0011416A"/>
    <w:rsid w:val="0011473C"/>
    <w:rsid w:val="0011490F"/>
    <w:rsid w:val="00116A1C"/>
    <w:rsid w:val="0012094C"/>
    <w:rsid w:val="00121486"/>
    <w:rsid w:val="00122076"/>
    <w:rsid w:val="001316EC"/>
    <w:rsid w:val="00135B2C"/>
    <w:rsid w:val="00136F69"/>
    <w:rsid w:val="001414BE"/>
    <w:rsid w:val="00141802"/>
    <w:rsid w:val="001443CC"/>
    <w:rsid w:val="00146B5C"/>
    <w:rsid w:val="00147C10"/>
    <w:rsid w:val="00152354"/>
    <w:rsid w:val="001540BE"/>
    <w:rsid w:val="00154CBF"/>
    <w:rsid w:val="00160EC0"/>
    <w:rsid w:val="0016170F"/>
    <w:rsid w:val="00162A87"/>
    <w:rsid w:val="00162B68"/>
    <w:rsid w:val="00163832"/>
    <w:rsid w:val="0016588B"/>
    <w:rsid w:val="00180C0F"/>
    <w:rsid w:val="00181331"/>
    <w:rsid w:val="00181C65"/>
    <w:rsid w:val="001821C3"/>
    <w:rsid w:val="00183008"/>
    <w:rsid w:val="00184342"/>
    <w:rsid w:val="0019214E"/>
    <w:rsid w:val="0019361C"/>
    <w:rsid w:val="001949DE"/>
    <w:rsid w:val="00196C07"/>
    <w:rsid w:val="001A16F4"/>
    <w:rsid w:val="001B7368"/>
    <w:rsid w:val="001B753C"/>
    <w:rsid w:val="001C0BA5"/>
    <w:rsid w:val="001C1547"/>
    <w:rsid w:val="001C4892"/>
    <w:rsid w:val="001C7632"/>
    <w:rsid w:val="001D01F9"/>
    <w:rsid w:val="001D03A2"/>
    <w:rsid w:val="001D138D"/>
    <w:rsid w:val="001D1903"/>
    <w:rsid w:val="001D2ACF"/>
    <w:rsid w:val="001D2E31"/>
    <w:rsid w:val="001D3AB5"/>
    <w:rsid w:val="001D6565"/>
    <w:rsid w:val="001E0A4A"/>
    <w:rsid w:val="001E160F"/>
    <w:rsid w:val="001E213E"/>
    <w:rsid w:val="001E248A"/>
    <w:rsid w:val="001E4857"/>
    <w:rsid w:val="001E4E76"/>
    <w:rsid w:val="001E6C96"/>
    <w:rsid w:val="001F087C"/>
    <w:rsid w:val="001F16A8"/>
    <w:rsid w:val="001F300B"/>
    <w:rsid w:val="001F56FD"/>
    <w:rsid w:val="001F5B5D"/>
    <w:rsid w:val="001F5BAD"/>
    <w:rsid w:val="001F75A5"/>
    <w:rsid w:val="001F7C40"/>
    <w:rsid w:val="001F7E96"/>
    <w:rsid w:val="00201DE5"/>
    <w:rsid w:val="00202E8B"/>
    <w:rsid w:val="00204521"/>
    <w:rsid w:val="00204793"/>
    <w:rsid w:val="00207BF8"/>
    <w:rsid w:val="002101BD"/>
    <w:rsid w:val="00211B0C"/>
    <w:rsid w:val="00214AC1"/>
    <w:rsid w:val="00215A03"/>
    <w:rsid w:val="00220649"/>
    <w:rsid w:val="00221DC5"/>
    <w:rsid w:val="002232EF"/>
    <w:rsid w:val="002245CF"/>
    <w:rsid w:val="002343A2"/>
    <w:rsid w:val="00234E12"/>
    <w:rsid w:val="00235AA3"/>
    <w:rsid w:val="00237745"/>
    <w:rsid w:val="002378A7"/>
    <w:rsid w:val="00243794"/>
    <w:rsid w:val="00246336"/>
    <w:rsid w:val="0024754B"/>
    <w:rsid w:val="00250056"/>
    <w:rsid w:val="00251625"/>
    <w:rsid w:val="002529DC"/>
    <w:rsid w:val="00253EA9"/>
    <w:rsid w:val="002541BE"/>
    <w:rsid w:val="0025427D"/>
    <w:rsid w:val="00266B99"/>
    <w:rsid w:val="00270FC9"/>
    <w:rsid w:val="00272A51"/>
    <w:rsid w:val="00272B51"/>
    <w:rsid w:val="00273350"/>
    <w:rsid w:val="002734FD"/>
    <w:rsid w:val="002744F9"/>
    <w:rsid w:val="00280A3E"/>
    <w:rsid w:val="002814E4"/>
    <w:rsid w:val="00283970"/>
    <w:rsid w:val="00285EE7"/>
    <w:rsid w:val="0028705A"/>
    <w:rsid w:val="00287479"/>
    <w:rsid w:val="0029373C"/>
    <w:rsid w:val="00293743"/>
    <w:rsid w:val="00297C96"/>
    <w:rsid w:val="002A0EC2"/>
    <w:rsid w:val="002A20D9"/>
    <w:rsid w:val="002A454E"/>
    <w:rsid w:val="002A4D97"/>
    <w:rsid w:val="002A7E33"/>
    <w:rsid w:val="002B3AE6"/>
    <w:rsid w:val="002B6A72"/>
    <w:rsid w:val="002C0402"/>
    <w:rsid w:val="002C2FC3"/>
    <w:rsid w:val="002C6B1B"/>
    <w:rsid w:val="002D0522"/>
    <w:rsid w:val="002D1D65"/>
    <w:rsid w:val="002D374C"/>
    <w:rsid w:val="002D61D3"/>
    <w:rsid w:val="002E2866"/>
    <w:rsid w:val="002E3061"/>
    <w:rsid w:val="002E4DC8"/>
    <w:rsid w:val="002E6146"/>
    <w:rsid w:val="002E6F28"/>
    <w:rsid w:val="002F385E"/>
    <w:rsid w:val="002F392A"/>
    <w:rsid w:val="002F547D"/>
    <w:rsid w:val="002F7466"/>
    <w:rsid w:val="00301E2A"/>
    <w:rsid w:val="0031081B"/>
    <w:rsid w:val="00310B4E"/>
    <w:rsid w:val="00315784"/>
    <w:rsid w:val="00315EDD"/>
    <w:rsid w:val="00321708"/>
    <w:rsid w:val="00325A1C"/>
    <w:rsid w:val="00342789"/>
    <w:rsid w:val="0034512D"/>
    <w:rsid w:val="00350AA4"/>
    <w:rsid w:val="00351563"/>
    <w:rsid w:val="00353EB6"/>
    <w:rsid w:val="00354DF9"/>
    <w:rsid w:val="00360F73"/>
    <w:rsid w:val="00363518"/>
    <w:rsid w:val="00364415"/>
    <w:rsid w:val="00373E29"/>
    <w:rsid w:val="00374B8C"/>
    <w:rsid w:val="00375466"/>
    <w:rsid w:val="003769DE"/>
    <w:rsid w:val="003821CF"/>
    <w:rsid w:val="00392284"/>
    <w:rsid w:val="0039529F"/>
    <w:rsid w:val="003A1036"/>
    <w:rsid w:val="003A34A5"/>
    <w:rsid w:val="003A45AB"/>
    <w:rsid w:val="003A63D2"/>
    <w:rsid w:val="003A7174"/>
    <w:rsid w:val="003B17B8"/>
    <w:rsid w:val="003B2D62"/>
    <w:rsid w:val="003B6DC8"/>
    <w:rsid w:val="003C134E"/>
    <w:rsid w:val="003C33F7"/>
    <w:rsid w:val="003C458A"/>
    <w:rsid w:val="003C72D8"/>
    <w:rsid w:val="003C7FD7"/>
    <w:rsid w:val="003D2CC0"/>
    <w:rsid w:val="003D5122"/>
    <w:rsid w:val="003D6C91"/>
    <w:rsid w:val="003E121F"/>
    <w:rsid w:val="003E43B5"/>
    <w:rsid w:val="003F1742"/>
    <w:rsid w:val="003F4A90"/>
    <w:rsid w:val="003F7919"/>
    <w:rsid w:val="00401FBD"/>
    <w:rsid w:val="0040292E"/>
    <w:rsid w:val="00403898"/>
    <w:rsid w:val="00403A58"/>
    <w:rsid w:val="00404101"/>
    <w:rsid w:val="00405195"/>
    <w:rsid w:val="0040539B"/>
    <w:rsid w:val="004100A6"/>
    <w:rsid w:val="00411F8C"/>
    <w:rsid w:val="00412003"/>
    <w:rsid w:val="00413355"/>
    <w:rsid w:val="00413629"/>
    <w:rsid w:val="00415615"/>
    <w:rsid w:val="004165D8"/>
    <w:rsid w:val="00417BA9"/>
    <w:rsid w:val="00420E76"/>
    <w:rsid w:val="0042477F"/>
    <w:rsid w:val="004319E3"/>
    <w:rsid w:val="00434D93"/>
    <w:rsid w:val="004358A3"/>
    <w:rsid w:val="00436165"/>
    <w:rsid w:val="00437873"/>
    <w:rsid w:val="00444B26"/>
    <w:rsid w:val="00445F8D"/>
    <w:rsid w:val="00447A02"/>
    <w:rsid w:val="00447E9A"/>
    <w:rsid w:val="00447F4B"/>
    <w:rsid w:val="004514AC"/>
    <w:rsid w:val="0045366E"/>
    <w:rsid w:val="004537CB"/>
    <w:rsid w:val="0046024A"/>
    <w:rsid w:val="004612DE"/>
    <w:rsid w:val="00461A19"/>
    <w:rsid w:val="004621A2"/>
    <w:rsid w:val="00464014"/>
    <w:rsid w:val="00465341"/>
    <w:rsid w:val="00465461"/>
    <w:rsid w:val="00471D19"/>
    <w:rsid w:val="00473573"/>
    <w:rsid w:val="00473601"/>
    <w:rsid w:val="00473B4B"/>
    <w:rsid w:val="00474ED5"/>
    <w:rsid w:val="0047760C"/>
    <w:rsid w:val="00482E92"/>
    <w:rsid w:val="004854EF"/>
    <w:rsid w:val="004902C7"/>
    <w:rsid w:val="00492016"/>
    <w:rsid w:val="0049346C"/>
    <w:rsid w:val="004A2BA0"/>
    <w:rsid w:val="004A5893"/>
    <w:rsid w:val="004A7E22"/>
    <w:rsid w:val="004B0A40"/>
    <w:rsid w:val="004B1B9B"/>
    <w:rsid w:val="004B3C20"/>
    <w:rsid w:val="004C0527"/>
    <w:rsid w:val="004C203D"/>
    <w:rsid w:val="004C4444"/>
    <w:rsid w:val="004C4C5B"/>
    <w:rsid w:val="004C6765"/>
    <w:rsid w:val="004C6F3D"/>
    <w:rsid w:val="004D0A74"/>
    <w:rsid w:val="004D0DD8"/>
    <w:rsid w:val="004D7B1E"/>
    <w:rsid w:val="004E09CD"/>
    <w:rsid w:val="004E1985"/>
    <w:rsid w:val="004E27C4"/>
    <w:rsid w:val="004E61F8"/>
    <w:rsid w:val="004E6A85"/>
    <w:rsid w:val="004E78D1"/>
    <w:rsid w:val="004E7FE5"/>
    <w:rsid w:val="004F2DD3"/>
    <w:rsid w:val="004F30A9"/>
    <w:rsid w:val="004F3D20"/>
    <w:rsid w:val="004F4276"/>
    <w:rsid w:val="004F645A"/>
    <w:rsid w:val="0050630B"/>
    <w:rsid w:val="005101EE"/>
    <w:rsid w:val="0051278B"/>
    <w:rsid w:val="005159DB"/>
    <w:rsid w:val="0052158C"/>
    <w:rsid w:val="00523F30"/>
    <w:rsid w:val="00525B86"/>
    <w:rsid w:val="005270C9"/>
    <w:rsid w:val="00530E20"/>
    <w:rsid w:val="005346EC"/>
    <w:rsid w:val="005363DD"/>
    <w:rsid w:val="00541391"/>
    <w:rsid w:val="00541F2D"/>
    <w:rsid w:val="00542875"/>
    <w:rsid w:val="00542DD3"/>
    <w:rsid w:val="005449EC"/>
    <w:rsid w:val="00544EF3"/>
    <w:rsid w:val="00545EAE"/>
    <w:rsid w:val="00546563"/>
    <w:rsid w:val="005524D3"/>
    <w:rsid w:val="00553082"/>
    <w:rsid w:val="00554754"/>
    <w:rsid w:val="005569EA"/>
    <w:rsid w:val="00560112"/>
    <w:rsid w:val="005612DA"/>
    <w:rsid w:val="0056228F"/>
    <w:rsid w:val="005646DA"/>
    <w:rsid w:val="00565097"/>
    <w:rsid w:val="00565D0D"/>
    <w:rsid w:val="00570E1A"/>
    <w:rsid w:val="00570E79"/>
    <w:rsid w:val="00571F63"/>
    <w:rsid w:val="0057416E"/>
    <w:rsid w:val="00574EE9"/>
    <w:rsid w:val="0057652A"/>
    <w:rsid w:val="00576802"/>
    <w:rsid w:val="005812CA"/>
    <w:rsid w:val="00581676"/>
    <w:rsid w:val="0058226C"/>
    <w:rsid w:val="0058562A"/>
    <w:rsid w:val="00587BD8"/>
    <w:rsid w:val="005912B4"/>
    <w:rsid w:val="005920DB"/>
    <w:rsid w:val="00594CC2"/>
    <w:rsid w:val="005A2DCE"/>
    <w:rsid w:val="005A397E"/>
    <w:rsid w:val="005A4E99"/>
    <w:rsid w:val="005A5BE0"/>
    <w:rsid w:val="005A5D90"/>
    <w:rsid w:val="005B379F"/>
    <w:rsid w:val="005B529B"/>
    <w:rsid w:val="005B543F"/>
    <w:rsid w:val="005C1840"/>
    <w:rsid w:val="005C2864"/>
    <w:rsid w:val="005C47CC"/>
    <w:rsid w:val="005C490E"/>
    <w:rsid w:val="005C4A0E"/>
    <w:rsid w:val="005D1AA5"/>
    <w:rsid w:val="005D2D8C"/>
    <w:rsid w:val="005D3BFB"/>
    <w:rsid w:val="005D4B79"/>
    <w:rsid w:val="005D5A33"/>
    <w:rsid w:val="005D6572"/>
    <w:rsid w:val="005E5611"/>
    <w:rsid w:val="005E569A"/>
    <w:rsid w:val="005E56BB"/>
    <w:rsid w:val="005E6059"/>
    <w:rsid w:val="005F3664"/>
    <w:rsid w:val="005F7DAD"/>
    <w:rsid w:val="0060054C"/>
    <w:rsid w:val="00601543"/>
    <w:rsid w:val="00603C77"/>
    <w:rsid w:val="00605E68"/>
    <w:rsid w:val="00610D09"/>
    <w:rsid w:val="006112E2"/>
    <w:rsid w:val="0061577E"/>
    <w:rsid w:val="006158F2"/>
    <w:rsid w:val="006164A5"/>
    <w:rsid w:val="00626062"/>
    <w:rsid w:val="00626CD6"/>
    <w:rsid w:val="006301BD"/>
    <w:rsid w:val="006307C4"/>
    <w:rsid w:val="00632CB7"/>
    <w:rsid w:val="00633AA6"/>
    <w:rsid w:val="00634EDA"/>
    <w:rsid w:val="00637FF5"/>
    <w:rsid w:val="0064159A"/>
    <w:rsid w:val="00641EA8"/>
    <w:rsid w:val="00644443"/>
    <w:rsid w:val="006467FF"/>
    <w:rsid w:val="00650A42"/>
    <w:rsid w:val="00650CDE"/>
    <w:rsid w:val="00651E48"/>
    <w:rsid w:val="0065202D"/>
    <w:rsid w:val="00654BB9"/>
    <w:rsid w:val="00654CBF"/>
    <w:rsid w:val="00655CA5"/>
    <w:rsid w:val="00664553"/>
    <w:rsid w:val="00664A59"/>
    <w:rsid w:val="00667328"/>
    <w:rsid w:val="006674A3"/>
    <w:rsid w:val="006675FA"/>
    <w:rsid w:val="00667755"/>
    <w:rsid w:val="00671382"/>
    <w:rsid w:val="00677151"/>
    <w:rsid w:val="00677EF0"/>
    <w:rsid w:val="00684744"/>
    <w:rsid w:val="00685172"/>
    <w:rsid w:val="006857EC"/>
    <w:rsid w:val="00690CBC"/>
    <w:rsid w:val="00692D0A"/>
    <w:rsid w:val="006931E0"/>
    <w:rsid w:val="00693F89"/>
    <w:rsid w:val="006A19D0"/>
    <w:rsid w:val="006A33C5"/>
    <w:rsid w:val="006A4B67"/>
    <w:rsid w:val="006A5210"/>
    <w:rsid w:val="006B0613"/>
    <w:rsid w:val="006B1011"/>
    <w:rsid w:val="006B50B5"/>
    <w:rsid w:val="006B7336"/>
    <w:rsid w:val="006C09FF"/>
    <w:rsid w:val="006C0EC7"/>
    <w:rsid w:val="006C2C79"/>
    <w:rsid w:val="006C2EF4"/>
    <w:rsid w:val="006C3174"/>
    <w:rsid w:val="006C65C3"/>
    <w:rsid w:val="006D1C75"/>
    <w:rsid w:val="006D24D8"/>
    <w:rsid w:val="006D2EE2"/>
    <w:rsid w:val="006D32C2"/>
    <w:rsid w:val="006D3813"/>
    <w:rsid w:val="006D59E0"/>
    <w:rsid w:val="006E323C"/>
    <w:rsid w:val="006F07B0"/>
    <w:rsid w:val="006F0964"/>
    <w:rsid w:val="006F124B"/>
    <w:rsid w:val="006F34B4"/>
    <w:rsid w:val="006F61C3"/>
    <w:rsid w:val="006F6BAA"/>
    <w:rsid w:val="0070064C"/>
    <w:rsid w:val="00700A30"/>
    <w:rsid w:val="00704045"/>
    <w:rsid w:val="007066D4"/>
    <w:rsid w:val="007104F9"/>
    <w:rsid w:val="00710656"/>
    <w:rsid w:val="0071119A"/>
    <w:rsid w:val="00712938"/>
    <w:rsid w:val="00712F45"/>
    <w:rsid w:val="00716DBD"/>
    <w:rsid w:val="00716F5C"/>
    <w:rsid w:val="007214EC"/>
    <w:rsid w:val="0072269E"/>
    <w:rsid w:val="00726E86"/>
    <w:rsid w:val="00735164"/>
    <w:rsid w:val="007365FB"/>
    <w:rsid w:val="00737F25"/>
    <w:rsid w:val="00737F5D"/>
    <w:rsid w:val="0074094B"/>
    <w:rsid w:val="0074192A"/>
    <w:rsid w:val="00746922"/>
    <w:rsid w:val="0075140F"/>
    <w:rsid w:val="007529E9"/>
    <w:rsid w:val="00753C65"/>
    <w:rsid w:val="00753D60"/>
    <w:rsid w:val="00757956"/>
    <w:rsid w:val="0076125E"/>
    <w:rsid w:val="00761550"/>
    <w:rsid w:val="00762CE4"/>
    <w:rsid w:val="00765F2E"/>
    <w:rsid w:val="00766506"/>
    <w:rsid w:val="00770DA8"/>
    <w:rsid w:val="00780EAF"/>
    <w:rsid w:val="007831C5"/>
    <w:rsid w:val="00783606"/>
    <w:rsid w:val="00785A72"/>
    <w:rsid w:val="0079212A"/>
    <w:rsid w:val="007921D2"/>
    <w:rsid w:val="00792275"/>
    <w:rsid w:val="00795F9A"/>
    <w:rsid w:val="0079609B"/>
    <w:rsid w:val="0079695B"/>
    <w:rsid w:val="00797E22"/>
    <w:rsid w:val="00797ECD"/>
    <w:rsid w:val="007A52AB"/>
    <w:rsid w:val="007A7EE7"/>
    <w:rsid w:val="007B0DF8"/>
    <w:rsid w:val="007B0E5F"/>
    <w:rsid w:val="007B0F9C"/>
    <w:rsid w:val="007B124D"/>
    <w:rsid w:val="007B27F9"/>
    <w:rsid w:val="007C05AF"/>
    <w:rsid w:val="007C14B0"/>
    <w:rsid w:val="007C4CBD"/>
    <w:rsid w:val="007C6FB8"/>
    <w:rsid w:val="007D2190"/>
    <w:rsid w:val="007E1A2F"/>
    <w:rsid w:val="007E3F93"/>
    <w:rsid w:val="007E7C8D"/>
    <w:rsid w:val="008009C5"/>
    <w:rsid w:val="00803BF2"/>
    <w:rsid w:val="00804194"/>
    <w:rsid w:val="00804F32"/>
    <w:rsid w:val="00805538"/>
    <w:rsid w:val="00805F2B"/>
    <w:rsid w:val="00806550"/>
    <w:rsid w:val="00807157"/>
    <w:rsid w:val="00807C55"/>
    <w:rsid w:val="00810A44"/>
    <w:rsid w:val="00812816"/>
    <w:rsid w:val="00812E5D"/>
    <w:rsid w:val="00813F34"/>
    <w:rsid w:val="0081642F"/>
    <w:rsid w:val="00817622"/>
    <w:rsid w:val="00820360"/>
    <w:rsid w:val="00820D26"/>
    <w:rsid w:val="00820F20"/>
    <w:rsid w:val="00821DA4"/>
    <w:rsid w:val="00822AAC"/>
    <w:rsid w:val="00822E95"/>
    <w:rsid w:val="008241A0"/>
    <w:rsid w:val="00826DD9"/>
    <w:rsid w:val="0083036D"/>
    <w:rsid w:val="00831779"/>
    <w:rsid w:val="00832A7D"/>
    <w:rsid w:val="00834F3E"/>
    <w:rsid w:val="00835291"/>
    <w:rsid w:val="00836DAD"/>
    <w:rsid w:val="00837B3E"/>
    <w:rsid w:val="00837BEF"/>
    <w:rsid w:val="00847634"/>
    <w:rsid w:val="00850275"/>
    <w:rsid w:val="0085134B"/>
    <w:rsid w:val="0086106F"/>
    <w:rsid w:val="00864CB0"/>
    <w:rsid w:val="00865A67"/>
    <w:rsid w:val="00866954"/>
    <w:rsid w:val="00870D37"/>
    <w:rsid w:val="00870F0B"/>
    <w:rsid w:val="0087204D"/>
    <w:rsid w:val="00872CC8"/>
    <w:rsid w:val="00873A2C"/>
    <w:rsid w:val="00875117"/>
    <w:rsid w:val="00877098"/>
    <w:rsid w:val="00877E8B"/>
    <w:rsid w:val="008809CA"/>
    <w:rsid w:val="008845E7"/>
    <w:rsid w:val="00894A88"/>
    <w:rsid w:val="008977D1"/>
    <w:rsid w:val="0089782E"/>
    <w:rsid w:val="00897E58"/>
    <w:rsid w:val="008A073E"/>
    <w:rsid w:val="008A34EC"/>
    <w:rsid w:val="008A4002"/>
    <w:rsid w:val="008A75C0"/>
    <w:rsid w:val="008B3C51"/>
    <w:rsid w:val="008B5E42"/>
    <w:rsid w:val="008B701E"/>
    <w:rsid w:val="008C1B88"/>
    <w:rsid w:val="008C2360"/>
    <w:rsid w:val="008C3F21"/>
    <w:rsid w:val="008C49DA"/>
    <w:rsid w:val="008C71F3"/>
    <w:rsid w:val="008D0795"/>
    <w:rsid w:val="008D2595"/>
    <w:rsid w:val="008D622A"/>
    <w:rsid w:val="008E0F21"/>
    <w:rsid w:val="008E1D6E"/>
    <w:rsid w:val="008E21CE"/>
    <w:rsid w:val="008E2491"/>
    <w:rsid w:val="008E40F3"/>
    <w:rsid w:val="008E7925"/>
    <w:rsid w:val="008E7FC2"/>
    <w:rsid w:val="008F0DFB"/>
    <w:rsid w:val="008F4DCD"/>
    <w:rsid w:val="008F6369"/>
    <w:rsid w:val="0090007D"/>
    <w:rsid w:val="00900C47"/>
    <w:rsid w:val="00904D55"/>
    <w:rsid w:val="00910154"/>
    <w:rsid w:val="00917C6C"/>
    <w:rsid w:val="00921A63"/>
    <w:rsid w:val="00922433"/>
    <w:rsid w:val="009255C3"/>
    <w:rsid w:val="00932417"/>
    <w:rsid w:val="00932596"/>
    <w:rsid w:val="0093267F"/>
    <w:rsid w:val="00933AFB"/>
    <w:rsid w:val="00933E0D"/>
    <w:rsid w:val="009363B6"/>
    <w:rsid w:val="00940B89"/>
    <w:rsid w:val="00941E41"/>
    <w:rsid w:val="00943757"/>
    <w:rsid w:val="00943E04"/>
    <w:rsid w:val="00946C4A"/>
    <w:rsid w:val="009517CB"/>
    <w:rsid w:val="00951AB3"/>
    <w:rsid w:val="00960525"/>
    <w:rsid w:val="00961FBA"/>
    <w:rsid w:val="00964BEB"/>
    <w:rsid w:val="00965B65"/>
    <w:rsid w:val="0096674F"/>
    <w:rsid w:val="00967C4D"/>
    <w:rsid w:val="00972759"/>
    <w:rsid w:val="00974363"/>
    <w:rsid w:val="0097450E"/>
    <w:rsid w:val="00983984"/>
    <w:rsid w:val="009855C3"/>
    <w:rsid w:val="0098563A"/>
    <w:rsid w:val="0099249D"/>
    <w:rsid w:val="009943F5"/>
    <w:rsid w:val="00997A71"/>
    <w:rsid w:val="009A0168"/>
    <w:rsid w:val="009A3ECA"/>
    <w:rsid w:val="009A55B3"/>
    <w:rsid w:val="009A5776"/>
    <w:rsid w:val="009A64D0"/>
    <w:rsid w:val="009B3947"/>
    <w:rsid w:val="009B3C00"/>
    <w:rsid w:val="009B3DD1"/>
    <w:rsid w:val="009B4C12"/>
    <w:rsid w:val="009B620D"/>
    <w:rsid w:val="009B69EE"/>
    <w:rsid w:val="009C39B5"/>
    <w:rsid w:val="009C5576"/>
    <w:rsid w:val="009C615F"/>
    <w:rsid w:val="009D2395"/>
    <w:rsid w:val="009E0450"/>
    <w:rsid w:val="009E1AB2"/>
    <w:rsid w:val="009E2D70"/>
    <w:rsid w:val="009E5378"/>
    <w:rsid w:val="009E58E2"/>
    <w:rsid w:val="009F0EAF"/>
    <w:rsid w:val="009F12A3"/>
    <w:rsid w:val="009F18EC"/>
    <w:rsid w:val="009F36E8"/>
    <w:rsid w:val="009F54C9"/>
    <w:rsid w:val="009F5666"/>
    <w:rsid w:val="009F5961"/>
    <w:rsid w:val="009F5F57"/>
    <w:rsid w:val="009F6E9F"/>
    <w:rsid w:val="009F6FD2"/>
    <w:rsid w:val="009F7317"/>
    <w:rsid w:val="009F7FAE"/>
    <w:rsid w:val="00A00129"/>
    <w:rsid w:val="00A001F0"/>
    <w:rsid w:val="00A01C6B"/>
    <w:rsid w:val="00A039BE"/>
    <w:rsid w:val="00A03B69"/>
    <w:rsid w:val="00A0423D"/>
    <w:rsid w:val="00A059C9"/>
    <w:rsid w:val="00A11786"/>
    <w:rsid w:val="00A11E8D"/>
    <w:rsid w:val="00A12E42"/>
    <w:rsid w:val="00A142C2"/>
    <w:rsid w:val="00A14F3C"/>
    <w:rsid w:val="00A168E1"/>
    <w:rsid w:val="00A17996"/>
    <w:rsid w:val="00A17C94"/>
    <w:rsid w:val="00A22389"/>
    <w:rsid w:val="00A322D0"/>
    <w:rsid w:val="00A34824"/>
    <w:rsid w:val="00A35AEE"/>
    <w:rsid w:val="00A3748B"/>
    <w:rsid w:val="00A42DE7"/>
    <w:rsid w:val="00A455AC"/>
    <w:rsid w:val="00A45BFB"/>
    <w:rsid w:val="00A45CFE"/>
    <w:rsid w:val="00A52312"/>
    <w:rsid w:val="00A54A34"/>
    <w:rsid w:val="00A56512"/>
    <w:rsid w:val="00A57696"/>
    <w:rsid w:val="00A6050C"/>
    <w:rsid w:val="00A6492D"/>
    <w:rsid w:val="00A651EF"/>
    <w:rsid w:val="00A7079C"/>
    <w:rsid w:val="00A71DF6"/>
    <w:rsid w:val="00A72F7B"/>
    <w:rsid w:val="00A8173D"/>
    <w:rsid w:val="00A817DE"/>
    <w:rsid w:val="00A84417"/>
    <w:rsid w:val="00A86224"/>
    <w:rsid w:val="00A9126C"/>
    <w:rsid w:val="00A9126D"/>
    <w:rsid w:val="00A915AF"/>
    <w:rsid w:val="00A948A0"/>
    <w:rsid w:val="00AA00D9"/>
    <w:rsid w:val="00AA0150"/>
    <w:rsid w:val="00AA0F87"/>
    <w:rsid w:val="00AA1300"/>
    <w:rsid w:val="00AA39D9"/>
    <w:rsid w:val="00AA4113"/>
    <w:rsid w:val="00AA4D2B"/>
    <w:rsid w:val="00AA7281"/>
    <w:rsid w:val="00AB0346"/>
    <w:rsid w:val="00AB1E93"/>
    <w:rsid w:val="00AB44F2"/>
    <w:rsid w:val="00AC01DD"/>
    <w:rsid w:val="00AC13A7"/>
    <w:rsid w:val="00AC3524"/>
    <w:rsid w:val="00AC3F02"/>
    <w:rsid w:val="00AC5268"/>
    <w:rsid w:val="00AC5B6A"/>
    <w:rsid w:val="00AC5BAD"/>
    <w:rsid w:val="00AC7433"/>
    <w:rsid w:val="00AD1F71"/>
    <w:rsid w:val="00AD23B6"/>
    <w:rsid w:val="00AD3A1A"/>
    <w:rsid w:val="00AD4037"/>
    <w:rsid w:val="00AD42DF"/>
    <w:rsid w:val="00AD5AAA"/>
    <w:rsid w:val="00AD61BA"/>
    <w:rsid w:val="00AD6373"/>
    <w:rsid w:val="00AD75AF"/>
    <w:rsid w:val="00AE05DC"/>
    <w:rsid w:val="00AE0656"/>
    <w:rsid w:val="00AE2D34"/>
    <w:rsid w:val="00AE4886"/>
    <w:rsid w:val="00AE7888"/>
    <w:rsid w:val="00AF3208"/>
    <w:rsid w:val="00AF4653"/>
    <w:rsid w:val="00AF6B0E"/>
    <w:rsid w:val="00AF77A2"/>
    <w:rsid w:val="00AF7C61"/>
    <w:rsid w:val="00B10428"/>
    <w:rsid w:val="00B16292"/>
    <w:rsid w:val="00B259AE"/>
    <w:rsid w:val="00B3178B"/>
    <w:rsid w:val="00B31C85"/>
    <w:rsid w:val="00B32125"/>
    <w:rsid w:val="00B3472C"/>
    <w:rsid w:val="00B34779"/>
    <w:rsid w:val="00B35D38"/>
    <w:rsid w:val="00B36226"/>
    <w:rsid w:val="00B366BA"/>
    <w:rsid w:val="00B37855"/>
    <w:rsid w:val="00B40FAE"/>
    <w:rsid w:val="00B4327B"/>
    <w:rsid w:val="00B47AC6"/>
    <w:rsid w:val="00B50336"/>
    <w:rsid w:val="00B50675"/>
    <w:rsid w:val="00B5087F"/>
    <w:rsid w:val="00B52A4C"/>
    <w:rsid w:val="00B606C2"/>
    <w:rsid w:val="00B616E4"/>
    <w:rsid w:val="00B62A93"/>
    <w:rsid w:val="00B6379A"/>
    <w:rsid w:val="00B715FA"/>
    <w:rsid w:val="00B76104"/>
    <w:rsid w:val="00B76447"/>
    <w:rsid w:val="00B848A2"/>
    <w:rsid w:val="00B852AB"/>
    <w:rsid w:val="00B85F29"/>
    <w:rsid w:val="00B86054"/>
    <w:rsid w:val="00B87B8A"/>
    <w:rsid w:val="00B90457"/>
    <w:rsid w:val="00B90BDA"/>
    <w:rsid w:val="00B959A6"/>
    <w:rsid w:val="00B959DF"/>
    <w:rsid w:val="00BA049F"/>
    <w:rsid w:val="00BA2CEB"/>
    <w:rsid w:val="00BA45F5"/>
    <w:rsid w:val="00BA522C"/>
    <w:rsid w:val="00BA6873"/>
    <w:rsid w:val="00BA6A6E"/>
    <w:rsid w:val="00BA6B15"/>
    <w:rsid w:val="00BA7B36"/>
    <w:rsid w:val="00BB0D67"/>
    <w:rsid w:val="00BB1BAC"/>
    <w:rsid w:val="00BB293D"/>
    <w:rsid w:val="00BB4D51"/>
    <w:rsid w:val="00BC6A5B"/>
    <w:rsid w:val="00BD2B08"/>
    <w:rsid w:val="00BD3962"/>
    <w:rsid w:val="00BD6D9B"/>
    <w:rsid w:val="00BE288D"/>
    <w:rsid w:val="00BE2B3D"/>
    <w:rsid w:val="00BE374D"/>
    <w:rsid w:val="00BE4CD6"/>
    <w:rsid w:val="00BF2857"/>
    <w:rsid w:val="00BF3B77"/>
    <w:rsid w:val="00BF55D4"/>
    <w:rsid w:val="00C007C4"/>
    <w:rsid w:val="00C036BA"/>
    <w:rsid w:val="00C0653C"/>
    <w:rsid w:val="00C1179A"/>
    <w:rsid w:val="00C122B3"/>
    <w:rsid w:val="00C14FE1"/>
    <w:rsid w:val="00C15150"/>
    <w:rsid w:val="00C15A5F"/>
    <w:rsid w:val="00C20AE8"/>
    <w:rsid w:val="00C25C36"/>
    <w:rsid w:val="00C276A9"/>
    <w:rsid w:val="00C30336"/>
    <w:rsid w:val="00C305AE"/>
    <w:rsid w:val="00C3157E"/>
    <w:rsid w:val="00C33759"/>
    <w:rsid w:val="00C35088"/>
    <w:rsid w:val="00C350D9"/>
    <w:rsid w:val="00C42D57"/>
    <w:rsid w:val="00C459D6"/>
    <w:rsid w:val="00C4674C"/>
    <w:rsid w:val="00C5133D"/>
    <w:rsid w:val="00C52D85"/>
    <w:rsid w:val="00C540C8"/>
    <w:rsid w:val="00C557F0"/>
    <w:rsid w:val="00C560EC"/>
    <w:rsid w:val="00C572D5"/>
    <w:rsid w:val="00C61858"/>
    <w:rsid w:val="00C62C32"/>
    <w:rsid w:val="00C66FA9"/>
    <w:rsid w:val="00C734A0"/>
    <w:rsid w:val="00C77864"/>
    <w:rsid w:val="00C80CD6"/>
    <w:rsid w:val="00C8404B"/>
    <w:rsid w:val="00C840CD"/>
    <w:rsid w:val="00C84163"/>
    <w:rsid w:val="00C84584"/>
    <w:rsid w:val="00C87620"/>
    <w:rsid w:val="00C909E2"/>
    <w:rsid w:val="00C92885"/>
    <w:rsid w:val="00C95E51"/>
    <w:rsid w:val="00CA0D36"/>
    <w:rsid w:val="00CA1042"/>
    <w:rsid w:val="00CA114B"/>
    <w:rsid w:val="00CA1B18"/>
    <w:rsid w:val="00CA1C1B"/>
    <w:rsid w:val="00CA6F16"/>
    <w:rsid w:val="00CA72CE"/>
    <w:rsid w:val="00CB3058"/>
    <w:rsid w:val="00CB31C7"/>
    <w:rsid w:val="00CB41E0"/>
    <w:rsid w:val="00CB48FA"/>
    <w:rsid w:val="00CC0264"/>
    <w:rsid w:val="00CC3182"/>
    <w:rsid w:val="00CC411C"/>
    <w:rsid w:val="00CC4800"/>
    <w:rsid w:val="00CC4B82"/>
    <w:rsid w:val="00CD2765"/>
    <w:rsid w:val="00CD3B8C"/>
    <w:rsid w:val="00CD5C76"/>
    <w:rsid w:val="00CD6EC9"/>
    <w:rsid w:val="00CE1B5E"/>
    <w:rsid w:val="00CE5535"/>
    <w:rsid w:val="00CE7654"/>
    <w:rsid w:val="00CF14EB"/>
    <w:rsid w:val="00CF23A4"/>
    <w:rsid w:val="00CF2622"/>
    <w:rsid w:val="00D01AD2"/>
    <w:rsid w:val="00D03275"/>
    <w:rsid w:val="00D05C4D"/>
    <w:rsid w:val="00D10C6A"/>
    <w:rsid w:val="00D12D2D"/>
    <w:rsid w:val="00D13DB6"/>
    <w:rsid w:val="00D201A0"/>
    <w:rsid w:val="00D2217F"/>
    <w:rsid w:val="00D26075"/>
    <w:rsid w:val="00D32267"/>
    <w:rsid w:val="00D35249"/>
    <w:rsid w:val="00D36BEA"/>
    <w:rsid w:val="00D36F60"/>
    <w:rsid w:val="00D432A4"/>
    <w:rsid w:val="00D43CA4"/>
    <w:rsid w:val="00D4565F"/>
    <w:rsid w:val="00D46832"/>
    <w:rsid w:val="00D469F1"/>
    <w:rsid w:val="00D46CF8"/>
    <w:rsid w:val="00D52082"/>
    <w:rsid w:val="00D521F8"/>
    <w:rsid w:val="00D52EFC"/>
    <w:rsid w:val="00D566E2"/>
    <w:rsid w:val="00D625D6"/>
    <w:rsid w:val="00D62C0E"/>
    <w:rsid w:val="00D630FB"/>
    <w:rsid w:val="00D71630"/>
    <w:rsid w:val="00D721E2"/>
    <w:rsid w:val="00D735A6"/>
    <w:rsid w:val="00D7373B"/>
    <w:rsid w:val="00D74303"/>
    <w:rsid w:val="00D75452"/>
    <w:rsid w:val="00D7607A"/>
    <w:rsid w:val="00D80CB8"/>
    <w:rsid w:val="00D820F1"/>
    <w:rsid w:val="00D83537"/>
    <w:rsid w:val="00D837C8"/>
    <w:rsid w:val="00D85C69"/>
    <w:rsid w:val="00D92845"/>
    <w:rsid w:val="00D961B5"/>
    <w:rsid w:val="00D97EB3"/>
    <w:rsid w:val="00DA026F"/>
    <w:rsid w:val="00DB6F80"/>
    <w:rsid w:val="00DC11F3"/>
    <w:rsid w:val="00DC6C04"/>
    <w:rsid w:val="00DD0D70"/>
    <w:rsid w:val="00DD4386"/>
    <w:rsid w:val="00DD4CF2"/>
    <w:rsid w:val="00DD58CA"/>
    <w:rsid w:val="00DD64F3"/>
    <w:rsid w:val="00DD6885"/>
    <w:rsid w:val="00DD6B15"/>
    <w:rsid w:val="00DD6F57"/>
    <w:rsid w:val="00DE259E"/>
    <w:rsid w:val="00DE65A4"/>
    <w:rsid w:val="00DF2B26"/>
    <w:rsid w:val="00DF35E4"/>
    <w:rsid w:val="00DF440E"/>
    <w:rsid w:val="00DF62FE"/>
    <w:rsid w:val="00DF679D"/>
    <w:rsid w:val="00E0068E"/>
    <w:rsid w:val="00E01843"/>
    <w:rsid w:val="00E0347C"/>
    <w:rsid w:val="00E1078C"/>
    <w:rsid w:val="00E10A14"/>
    <w:rsid w:val="00E13942"/>
    <w:rsid w:val="00E14F62"/>
    <w:rsid w:val="00E169F1"/>
    <w:rsid w:val="00E21A1F"/>
    <w:rsid w:val="00E22F90"/>
    <w:rsid w:val="00E23400"/>
    <w:rsid w:val="00E2424C"/>
    <w:rsid w:val="00E243C9"/>
    <w:rsid w:val="00E24482"/>
    <w:rsid w:val="00E2539E"/>
    <w:rsid w:val="00E32BBD"/>
    <w:rsid w:val="00E34143"/>
    <w:rsid w:val="00E34B08"/>
    <w:rsid w:val="00E35635"/>
    <w:rsid w:val="00E35895"/>
    <w:rsid w:val="00E4064C"/>
    <w:rsid w:val="00E43156"/>
    <w:rsid w:val="00E45331"/>
    <w:rsid w:val="00E465DC"/>
    <w:rsid w:val="00E50E70"/>
    <w:rsid w:val="00E552C5"/>
    <w:rsid w:val="00E5663E"/>
    <w:rsid w:val="00E608FC"/>
    <w:rsid w:val="00E6291D"/>
    <w:rsid w:val="00E654AF"/>
    <w:rsid w:val="00E717B5"/>
    <w:rsid w:val="00E71B19"/>
    <w:rsid w:val="00E720A0"/>
    <w:rsid w:val="00E72418"/>
    <w:rsid w:val="00E728C3"/>
    <w:rsid w:val="00E75D90"/>
    <w:rsid w:val="00E81828"/>
    <w:rsid w:val="00E83502"/>
    <w:rsid w:val="00E85188"/>
    <w:rsid w:val="00E861EB"/>
    <w:rsid w:val="00E871A6"/>
    <w:rsid w:val="00E907B5"/>
    <w:rsid w:val="00E94C5B"/>
    <w:rsid w:val="00E951A4"/>
    <w:rsid w:val="00E957FE"/>
    <w:rsid w:val="00E95922"/>
    <w:rsid w:val="00E96992"/>
    <w:rsid w:val="00E9752F"/>
    <w:rsid w:val="00EA0D82"/>
    <w:rsid w:val="00EA15F6"/>
    <w:rsid w:val="00EA26A1"/>
    <w:rsid w:val="00EA714C"/>
    <w:rsid w:val="00EB0885"/>
    <w:rsid w:val="00EB19E4"/>
    <w:rsid w:val="00EB1C84"/>
    <w:rsid w:val="00EB458B"/>
    <w:rsid w:val="00EB4647"/>
    <w:rsid w:val="00EB4DAD"/>
    <w:rsid w:val="00EB6CAE"/>
    <w:rsid w:val="00EB6ED9"/>
    <w:rsid w:val="00EB72A6"/>
    <w:rsid w:val="00EC0969"/>
    <w:rsid w:val="00EC2CE0"/>
    <w:rsid w:val="00EC337B"/>
    <w:rsid w:val="00EC6D55"/>
    <w:rsid w:val="00ED04FE"/>
    <w:rsid w:val="00ED08E3"/>
    <w:rsid w:val="00ED6B34"/>
    <w:rsid w:val="00EE0C59"/>
    <w:rsid w:val="00EE124F"/>
    <w:rsid w:val="00EE2233"/>
    <w:rsid w:val="00EE54B5"/>
    <w:rsid w:val="00EE6473"/>
    <w:rsid w:val="00EE73CE"/>
    <w:rsid w:val="00EF11AC"/>
    <w:rsid w:val="00EF16F9"/>
    <w:rsid w:val="00EF20E7"/>
    <w:rsid w:val="00EF686E"/>
    <w:rsid w:val="00F0005D"/>
    <w:rsid w:val="00F0050F"/>
    <w:rsid w:val="00F00F61"/>
    <w:rsid w:val="00F035AB"/>
    <w:rsid w:val="00F03A48"/>
    <w:rsid w:val="00F06FF1"/>
    <w:rsid w:val="00F11D8F"/>
    <w:rsid w:val="00F12557"/>
    <w:rsid w:val="00F127FA"/>
    <w:rsid w:val="00F144AA"/>
    <w:rsid w:val="00F17F27"/>
    <w:rsid w:val="00F20796"/>
    <w:rsid w:val="00F21091"/>
    <w:rsid w:val="00F22B34"/>
    <w:rsid w:val="00F230D7"/>
    <w:rsid w:val="00F23642"/>
    <w:rsid w:val="00F262A6"/>
    <w:rsid w:val="00F26CA3"/>
    <w:rsid w:val="00F27B67"/>
    <w:rsid w:val="00F32279"/>
    <w:rsid w:val="00F32F4E"/>
    <w:rsid w:val="00F35818"/>
    <w:rsid w:val="00F36421"/>
    <w:rsid w:val="00F37925"/>
    <w:rsid w:val="00F44E12"/>
    <w:rsid w:val="00F458A5"/>
    <w:rsid w:val="00F46759"/>
    <w:rsid w:val="00F467C1"/>
    <w:rsid w:val="00F521DD"/>
    <w:rsid w:val="00F53D65"/>
    <w:rsid w:val="00F55ACE"/>
    <w:rsid w:val="00F57683"/>
    <w:rsid w:val="00F602D0"/>
    <w:rsid w:val="00F626DE"/>
    <w:rsid w:val="00F70A23"/>
    <w:rsid w:val="00F71BD8"/>
    <w:rsid w:val="00F73647"/>
    <w:rsid w:val="00F75016"/>
    <w:rsid w:val="00F75A2F"/>
    <w:rsid w:val="00F7747C"/>
    <w:rsid w:val="00F8319D"/>
    <w:rsid w:val="00F837A2"/>
    <w:rsid w:val="00F841E1"/>
    <w:rsid w:val="00F84FC7"/>
    <w:rsid w:val="00F85014"/>
    <w:rsid w:val="00F85147"/>
    <w:rsid w:val="00F86894"/>
    <w:rsid w:val="00F912CC"/>
    <w:rsid w:val="00F92618"/>
    <w:rsid w:val="00F9275B"/>
    <w:rsid w:val="00F934BF"/>
    <w:rsid w:val="00F946CE"/>
    <w:rsid w:val="00F9777A"/>
    <w:rsid w:val="00FA4975"/>
    <w:rsid w:val="00FA5085"/>
    <w:rsid w:val="00FA5CB7"/>
    <w:rsid w:val="00FB000C"/>
    <w:rsid w:val="00FB1057"/>
    <w:rsid w:val="00FB3D26"/>
    <w:rsid w:val="00FB4736"/>
    <w:rsid w:val="00FB53BB"/>
    <w:rsid w:val="00FC00A7"/>
    <w:rsid w:val="00FC1645"/>
    <w:rsid w:val="00FC579E"/>
    <w:rsid w:val="00FD3A53"/>
    <w:rsid w:val="00FD43DA"/>
    <w:rsid w:val="00FD4977"/>
    <w:rsid w:val="00FD692D"/>
    <w:rsid w:val="00FE23C4"/>
    <w:rsid w:val="00FE4B30"/>
    <w:rsid w:val="00FE5B17"/>
    <w:rsid w:val="00FE6F36"/>
    <w:rsid w:val="00FE757F"/>
    <w:rsid w:val="00FF25BB"/>
    <w:rsid w:val="00FF44B5"/>
    <w:rsid w:val="00FF6C4D"/>
    <w:rsid w:val="00F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75D0B"/>
  <w14:defaultImageDpi w14:val="300"/>
  <w15:docId w15:val="{1D501154-6F24-4A9A-BF2E-23F9B9FF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331"/>
    <w:pPr>
      <w:spacing w:before="120" w:after="240" w:line="360" w:lineRule="auto"/>
      <w:jc w:val="both"/>
    </w:pPr>
    <w:rPr>
      <w:rFonts w:ascii="Times New Roman" w:hAnsi="Times New Roman"/>
      <w:lang w:val="en-GB"/>
    </w:rPr>
  </w:style>
  <w:style w:type="paragraph" w:styleId="Heading1">
    <w:name w:val="heading 1"/>
    <w:basedOn w:val="Normal"/>
    <w:next w:val="Normal"/>
    <w:link w:val="Heading1Char"/>
    <w:uiPriority w:val="9"/>
    <w:qFormat/>
    <w:rsid w:val="00AC5268"/>
    <w:pPr>
      <w:keepNext/>
      <w:keepLines/>
      <w:spacing w:before="240" w:line="48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5268"/>
    <w:pPr>
      <w:keepNext/>
      <w:keepLines/>
      <w:numPr>
        <w:numId w:val="2"/>
      </w:numPr>
      <w:spacing w:before="360" w:line="480" w:lineRule="auto"/>
      <w:outlineLvl w:val="1"/>
    </w:pPr>
    <w:rPr>
      <w:rFonts w:eastAsiaTheme="majorEastAsia" w:cstheme="majorBidi"/>
      <w:b/>
      <w:szCs w:val="26"/>
      <w:lang w:val="en-US"/>
    </w:rPr>
  </w:style>
  <w:style w:type="paragraph" w:styleId="Heading3">
    <w:name w:val="heading 3"/>
    <w:basedOn w:val="Normal"/>
    <w:next w:val="Normal"/>
    <w:link w:val="Heading3Char"/>
    <w:qFormat/>
    <w:rsid w:val="00EB0885"/>
    <w:pPr>
      <w:widowControl w:val="0"/>
      <w:autoSpaceDE w:val="0"/>
      <w:autoSpaceDN w:val="0"/>
      <w:adjustRightInd w:val="0"/>
      <w:spacing w:before="240"/>
      <w:ind w:left="284"/>
      <w:outlineLvl w:val="2"/>
    </w:pPr>
    <w:rPr>
      <w:rFonts w:eastAsia="Calibri" w:cs="Times New Roman"/>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26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C5268"/>
    <w:rPr>
      <w:rFonts w:ascii="Times New Roman" w:eastAsiaTheme="majorEastAsia" w:hAnsi="Times New Roman" w:cstheme="majorBidi"/>
      <w:b/>
      <w:szCs w:val="26"/>
    </w:rPr>
  </w:style>
  <w:style w:type="character" w:customStyle="1" w:styleId="Heading3Char">
    <w:name w:val="Heading 3 Char"/>
    <w:basedOn w:val="DefaultParagraphFont"/>
    <w:link w:val="Heading3"/>
    <w:rsid w:val="00EB0885"/>
    <w:rPr>
      <w:rFonts w:ascii="Times New Roman" w:eastAsia="Calibri" w:hAnsi="Times New Roman" w:cs="Times New Roman"/>
      <w:b/>
      <w:i/>
      <w:szCs w:val="22"/>
      <w:lang w:val="en-GB"/>
    </w:rPr>
  </w:style>
  <w:style w:type="paragraph" w:styleId="TOC1">
    <w:name w:val="toc 1"/>
    <w:basedOn w:val="Normal"/>
    <w:next w:val="Normal"/>
    <w:autoRedefine/>
    <w:uiPriority w:val="39"/>
    <w:rsid w:val="00A11E8D"/>
    <w:rPr>
      <w:rFonts w:ascii="Arial" w:eastAsia="Calibri" w:hAnsi="Arial" w:cs="Times New Roman"/>
      <w:b/>
      <w:szCs w:val="22"/>
    </w:rPr>
  </w:style>
  <w:style w:type="character" w:customStyle="1" w:styleId="apple-converted-space">
    <w:name w:val="apple-converted-space"/>
    <w:basedOn w:val="DefaultParagraphFont"/>
    <w:rsid w:val="006F34B4"/>
  </w:style>
  <w:style w:type="character" w:styleId="Hyperlink">
    <w:name w:val="Hyperlink"/>
    <w:basedOn w:val="DefaultParagraphFont"/>
    <w:uiPriority w:val="99"/>
    <w:unhideWhenUsed/>
    <w:rsid w:val="006F34B4"/>
    <w:rPr>
      <w:color w:val="0000FF"/>
      <w:u w:val="single"/>
    </w:rPr>
  </w:style>
  <w:style w:type="paragraph" w:styleId="Header">
    <w:name w:val="header"/>
    <w:basedOn w:val="Normal"/>
    <w:link w:val="HeaderChar"/>
    <w:uiPriority w:val="99"/>
    <w:unhideWhenUsed/>
    <w:rsid w:val="001F16A8"/>
    <w:pPr>
      <w:tabs>
        <w:tab w:val="center" w:pos="4320"/>
        <w:tab w:val="right" w:pos="8640"/>
      </w:tabs>
    </w:pPr>
  </w:style>
  <w:style w:type="character" w:customStyle="1" w:styleId="HeaderChar">
    <w:name w:val="Header Char"/>
    <w:basedOn w:val="DefaultParagraphFont"/>
    <w:link w:val="Header"/>
    <w:uiPriority w:val="99"/>
    <w:rsid w:val="001F16A8"/>
    <w:rPr>
      <w:lang w:val="en-GB"/>
    </w:rPr>
  </w:style>
  <w:style w:type="paragraph" w:styleId="Footer">
    <w:name w:val="footer"/>
    <w:basedOn w:val="Normal"/>
    <w:link w:val="FooterChar"/>
    <w:uiPriority w:val="99"/>
    <w:unhideWhenUsed/>
    <w:rsid w:val="001F16A8"/>
    <w:pPr>
      <w:tabs>
        <w:tab w:val="center" w:pos="4320"/>
        <w:tab w:val="right" w:pos="8640"/>
      </w:tabs>
    </w:pPr>
  </w:style>
  <w:style w:type="character" w:customStyle="1" w:styleId="FooterChar">
    <w:name w:val="Footer Char"/>
    <w:basedOn w:val="DefaultParagraphFont"/>
    <w:link w:val="Footer"/>
    <w:uiPriority w:val="99"/>
    <w:rsid w:val="001F16A8"/>
    <w:rPr>
      <w:lang w:val="en-GB"/>
    </w:rPr>
  </w:style>
  <w:style w:type="paragraph" w:styleId="BalloonText">
    <w:name w:val="Balloon Text"/>
    <w:basedOn w:val="Normal"/>
    <w:link w:val="BalloonTextChar"/>
    <w:uiPriority w:val="99"/>
    <w:semiHidden/>
    <w:unhideWhenUsed/>
    <w:rsid w:val="00B90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457"/>
    <w:rPr>
      <w:rFonts w:ascii="Lucida Grande" w:hAnsi="Lucida Grande" w:cs="Lucida Grande"/>
      <w:sz w:val="18"/>
      <w:szCs w:val="18"/>
      <w:lang w:val="en-GB"/>
    </w:rPr>
  </w:style>
  <w:style w:type="table" w:styleId="TableGrid">
    <w:name w:val="Table Grid"/>
    <w:basedOn w:val="TableNormal"/>
    <w:uiPriority w:val="59"/>
    <w:rsid w:val="00AC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C5268"/>
    <w:pPr>
      <w:spacing w:after="120"/>
    </w:pPr>
    <w:rPr>
      <w:sz w:val="20"/>
    </w:rPr>
  </w:style>
  <w:style w:type="character" w:customStyle="1" w:styleId="FootnoteTextChar">
    <w:name w:val="Footnote Text Char"/>
    <w:basedOn w:val="DefaultParagraphFont"/>
    <w:link w:val="FootnoteText"/>
    <w:uiPriority w:val="99"/>
    <w:rsid w:val="00AC5268"/>
    <w:rPr>
      <w:rFonts w:ascii="Times New Roman" w:hAnsi="Times New Roman"/>
      <w:sz w:val="20"/>
      <w:lang w:val="en-GB"/>
    </w:rPr>
  </w:style>
  <w:style w:type="character" w:styleId="FootnoteReference">
    <w:name w:val="footnote reference"/>
    <w:uiPriority w:val="99"/>
    <w:semiHidden/>
    <w:rsid w:val="00AC5268"/>
    <w:rPr>
      <w:vertAlign w:val="superscript"/>
    </w:rPr>
  </w:style>
  <w:style w:type="paragraph" w:styleId="ListParagraph">
    <w:name w:val="List Paragraph"/>
    <w:basedOn w:val="Normal"/>
    <w:uiPriority w:val="34"/>
    <w:qFormat/>
    <w:rsid w:val="007B0DF8"/>
    <w:pPr>
      <w:ind w:left="720"/>
      <w:contextualSpacing/>
    </w:pPr>
    <w:rPr>
      <w:rFonts w:eastAsia="Calibri" w:cs="Times New Roman"/>
      <w:szCs w:val="22"/>
    </w:rPr>
  </w:style>
  <w:style w:type="paragraph" w:styleId="CommentText">
    <w:name w:val="annotation text"/>
    <w:basedOn w:val="Normal"/>
    <w:link w:val="CommentTextChar"/>
    <w:uiPriority w:val="99"/>
    <w:semiHidden/>
    <w:unhideWhenUsed/>
    <w:rsid w:val="00AC5268"/>
    <w:rPr>
      <w:sz w:val="20"/>
      <w:szCs w:val="20"/>
    </w:rPr>
  </w:style>
  <w:style w:type="character" w:customStyle="1" w:styleId="CommentTextChar">
    <w:name w:val="Comment Text Char"/>
    <w:basedOn w:val="DefaultParagraphFont"/>
    <w:link w:val="CommentText"/>
    <w:uiPriority w:val="99"/>
    <w:semiHidden/>
    <w:rsid w:val="00AC5268"/>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C5268"/>
    <w:rPr>
      <w:b/>
      <w:bCs/>
    </w:rPr>
  </w:style>
  <w:style w:type="character" w:customStyle="1" w:styleId="CommentSubjectChar">
    <w:name w:val="Comment Subject Char"/>
    <w:basedOn w:val="CommentTextChar"/>
    <w:link w:val="CommentSubject"/>
    <w:uiPriority w:val="99"/>
    <w:semiHidden/>
    <w:rsid w:val="00AC5268"/>
    <w:rPr>
      <w:rFonts w:ascii="Times New Roman" w:hAnsi="Times New Roman"/>
      <w:b/>
      <w:bCs/>
      <w:sz w:val="20"/>
      <w:szCs w:val="20"/>
      <w:lang w:val="en-GB"/>
    </w:rPr>
  </w:style>
  <w:style w:type="paragraph" w:styleId="Quote">
    <w:name w:val="Quote"/>
    <w:basedOn w:val="Normal"/>
    <w:next w:val="Normal"/>
    <w:link w:val="QuoteChar"/>
    <w:uiPriority w:val="29"/>
    <w:qFormat/>
    <w:rsid w:val="00253EA9"/>
    <w:pPr>
      <w:ind w:left="567" w:right="567"/>
    </w:pPr>
    <w:rPr>
      <w:iCs/>
      <w:sz w:val="22"/>
    </w:rPr>
  </w:style>
  <w:style w:type="character" w:customStyle="1" w:styleId="QuoteChar">
    <w:name w:val="Quote Char"/>
    <w:basedOn w:val="DefaultParagraphFont"/>
    <w:link w:val="Quote"/>
    <w:uiPriority w:val="29"/>
    <w:rsid w:val="00253EA9"/>
    <w:rPr>
      <w:rFonts w:ascii="Times New Roman" w:hAnsi="Times New Roman"/>
      <w:iCs/>
      <w:sz w:val="22"/>
      <w:lang w:val="en-GB"/>
    </w:rPr>
  </w:style>
  <w:style w:type="character" w:styleId="PageNumber">
    <w:name w:val="page number"/>
    <w:basedOn w:val="DefaultParagraphFont"/>
    <w:uiPriority w:val="99"/>
    <w:semiHidden/>
    <w:unhideWhenUsed/>
    <w:rsid w:val="00CE5535"/>
  </w:style>
  <w:style w:type="paragraph" w:styleId="Bibliography">
    <w:name w:val="Bibliography"/>
    <w:basedOn w:val="Normal"/>
    <w:next w:val="Normal"/>
    <w:uiPriority w:val="37"/>
    <w:unhideWhenUsed/>
    <w:rsid w:val="00474ED5"/>
    <w:pPr>
      <w:spacing w:line="240" w:lineRule="auto"/>
      <w:ind w:left="720" w:hanging="720"/>
    </w:pPr>
  </w:style>
  <w:style w:type="character" w:styleId="CommentReference">
    <w:name w:val="annotation reference"/>
    <w:basedOn w:val="DefaultParagraphFont"/>
    <w:uiPriority w:val="99"/>
    <w:semiHidden/>
    <w:unhideWhenUsed/>
    <w:rsid w:val="00F934BF"/>
    <w:rPr>
      <w:sz w:val="16"/>
      <w:szCs w:val="16"/>
    </w:rPr>
  </w:style>
  <w:style w:type="character" w:styleId="EndnoteReference">
    <w:name w:val="endnote reference"/>
    <w:basedOn w:val="DefaultParagraphFont"/>
    <w:uiPriority w:val="99"/>
    <w:semiHidden/>
    <w:unhideWhenUsed/>
    <w:rsid w:val="00B76447"/>
    <w:rPr>
      <w:vertAlign w:val="superscript"/>
    </w:rPr>
  </w:style>
  <w:style w:type="character" w:styleId="BookTitle">
    <w:name w:val="Book Title"/>
    <w:basedOn w:val="DefaultParagraphFont"/>
    <w:uiPriority w:val="33"/>
    <w:qFormat/>
    <w:rsid w:val="00A7079C"/>
    <w:rPr>
      <w:b/>
      <w:bCs/>
      <w:i/>
      <w:iCs/>
      <w:spacing w:val="5"/>
    </w:rPr>
  </w:style>
  <w:style w:type="character" w:styleId="Strong">
    <w:name w:val="Strong"/>
    <w:basedOn w:val="DefaultParagraphFont"/>
    <w:uiPriority w:val="22"/>
    <w:qFormat/>
    <w:rsid w:val="00A7079C"/>
    <w:rPr>
      <w:b/>
      <w:bCs/>
    </w:rPr>
  </w:style>
  <w:style w:type="paragraph" w:styleId="Revision">
    <w:name w:val="Revision"/>
    <w:hidden/>
    <w:uiPriority w:val="99"/>
    <w:semiHidden/>
    <w:rsid w:val="00E3589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3729">
      <w:bodyDiv w:val="1"/>
      <w:marLeft w:val="0"/>
      <w:marRight w:val="0"/>
      <w:marTop w:val="0"/>
      <w:marBottom w:val="0"/>
      <w:divBdr>
        <w:top w:val="none" w:sz="0" w:space="0" w:color="auto"/>
        <w:left w:val="none" w:sz="0" w:space="0" w:color="auto"/>
        <w:bottom w:val="none" w:sz="0" w:space="0" w:color="auto"/>
        <w:right w:val="none" w:sz="0" w:space="0" w:color="auto"/>
      </w:divBdr>
      <w:divsChild>
        <w:div w:id="774596716">
          <w:marLeft w:val="806"/>
          <w:marRight w:val="0"/>
          <w:marTop w:val="200"/>
          <w:marBottom w:val="0"/>
          <w:divBdr>
            <w:top w:val="none" w:sz="0" w:space="0" w:color="auto"/>
            <w:left w:val="none" w:sz="0" w:space="0" w:color="auto"/>
            <w:bottom w:val="none" w:sz="0" w:space="0" w:color="auto"/>
            <w:right w:val="none" w:sz="0" w:space="0" w:color="auto"/>
          </w:divBdr>
        </w:div>
      </w:divsChild>
    </w:div>
    <w:div w:id="351957477">
      <w:bodyDiv w:val="1"/>
      <w:marLeft w:val="0"/>
      <w:marRight w:val="0"/>
      <w:marTop w:val="0"/>
      <w:marBottom w:val="0"/>
      <w:divBdr>
        <w:top w:val="none" w:sz="0" w:space="0" w:color="auto"/>
        <w:left w:val="none" w:sz="0" w:space="0" w:color="auto"/>
        <w:bottom w:val="none" w:sz="0" w:space="0" w:color="auto"/>
        <w:right w:val="none" w:sz="0" w:space="0" w:color="auto"/>
      </w:divBdr>
    </w:div>
    <w:div w:id="507257927">
      <w:bodyDiv w:val="1"/>
      <w:marLeft w:val="0"/>
      <w:marRight w:val="0"/>
      <w:marTop w:val="0"/>
      <w:marBottom w:val="0"/>
      <w:divBdr>
        <w:top w:val="none" w:sz="0" w:space="0" w:color="auto"/>
        <w:left w:val="none" w:sz="0" w:space="0" w:color="auto"/>
        <w:bottom w:val="none" w:sz="0" w:space="0" w:color="auto"/>
        <w:right w:val="none" w:sz="0" w:space="0" w:color="auto"/>
      </w:divBdr>
    </w:div>
    <w:div w:id="518586834">
      <w:bodyDiv w:val="1"/>
      <w:marLeft w:val="0"/>
      <w:marRight w:val="0"/>
      <w:marTop w:val="0"/>
      <w:marBottom w:val="0"/>
      <w:divBdr>
        <w:top w:val="none" w:sz="0" w:space="0" w:color="auto"/>
        <w:left w:val="none" w:sz="0" w:space="0" w:color="auto"/>
        <w:bottom w:val="none" w:sz="0" w:space="0" w:color="auto"/>
        <w:right w:val="none" w:sz="0" w:space="0" w:color="auto"/>
      </w:divBdr>
    </w:div>
    <w:div w:id="581916997">
      <w:bodyDiv w:val="1"/>
      <w:marLeft w:val="0"/>
      <w:marRight w:val="0"/>
      <w:marTop w:val="0"/>
      <w:marBottom w:val="0"/>
      <w:divBdr>
        <w:top w:val="none" w:sz="0" w:space="0" w:color="auto"/>
        <w:left w:val="none" w:sz="0" w:space="0" w:color="auto"/>
        <w:bottom w:val="none" w:sz="0" w:space="0" w:color="auto"/>
        <w:right w:val="none" w:sz="0" w:space="0" w:color="auto"/>
      </w:divBdr>
      <w:divsChild>
        <w:div w:id="396976050">
          <w:marLeft w:val="360"/>
          <w:marRight w:val="0"/>
          <w:marTop w:val="200"/>
          <w:marBottom w:val="0"/>
          <w:divBdr>
            <w:top w:val="none" w:sz="0" w:space="0" w:color="auto"/>
            <w:left w:val="none" w:sz="0" w:space="0" w:color="auto"/>
            <w:bottom w:val="none" w:sz="0" w:space="0" w:color="auto"/>
            <w:right w:val="none" w:sz="0" w:space="0" w:color="auto"/>
          </w:divBdr>
        </w:div>
        <w:div w:id="553153741">
          <w:marLeft w:val="360"/>
          <w:marRight w:val="0"/>
          <w:marTop w:val="200"/>
          <w:marBottom w:val="0"/>
          <w:divBdr>
            <w:top w:val="none" w:sz="0" w:space="0" w:color="auto"/>
            <w:left w:val="none" w:sz="0" w:space="0" w:color="auto"/>
            <w:bottom w:val="none" w:sz="0" w:space="0" w:color="auto"/>
            <w:right w:val="none" w:sz="0" w:space="0" w:color="auto"/>
          </w:divBdr>
        </w:div>
        <w:div w:id="1893232188">
          <w:marLeft w:val="360"/>
          <w:marRight w:val="0"/>
          <w:marTop w:val="200"/>
          <w:marBottom w:val="0"/>
          <w:divBdr>
            <w:top w:val="none" w:sz="0" w:space="0" w:color="auto"/>
            <w:left w:val="none" w:sz="0" w:space="0" w:color="auto"/>
            <w:bottom w:val="none" w:sz="0" w:space="0" w:color="auto"/>
            <w:right w:val="none" w:sz="0" w:space="0" w:color="auto"/>
          </w:divBdr>
        </w:div>
        <w:div w:id="2091852609">
          <w:marLeft w:val="360"/>
          <w:marRight w:val="0"/>
          <w:marTop w:val="200"/>
          <w:marBottom w:val="0"/>
          <w:divBdr>
            <w:top w:val="none" w:sz="0" w:space="0" w:color="auto"/>
            <w:left w:val="none" w:sz="0" w:space="0" w:color="auto"/>
            <w:bottom w:val="none" w:sz="0" w:space="0" w:color="auto"/>
            <w:right w:val="none" w:sz="0" w:space="0" w:color="auto"/>
          </w:divBdr>
        </w:div>
      </w:divsChild>
    </w:div>
    <w:div w:id="657005651">
      <w:bodyDiv w:val="1"/>
      <w:marLeft w:val="0"/>
      <w:marRight w:val="0"/>
      <w:marTop w:val="0"/>
      <w:marBottom w:val="0"/>
      <w:divBdr>
        <w:top w:val="none" w:sz="0" w:space="0" w:color="auto"/>
        <w:left w:val="none" w:sz="0" w:space="0" w:color="auto"/>
        <w:bottom w:val="none" w:sz="0" w:space="0" w:color="auto"/>
        <w:right w:val="none" w:sz="0" w:space="0" w:color="auto"/>
      </w:divBdr>
    </w:div>
    <w:div w:id="707997626">
      <w:bodyDiv w:val="1"/>
      <w:marLeft w:val="0"/>
      <w:marRight w:val="0"/>
      <w:marTop w:val="0"/>
      <w:marBottom w:val="0"/>
      <w:divBdr>
        <w:top w:val="none" w:sz="0" w:space="0" w:color="auto"/>
        <w:left w:val="none" w:sz="0" w:space="0" w:color="auto"/>
        <w:bottom w:val="none" w:sz="0" w:space="0" w:color="auto"/>
        <w:right w:val="none" w:sz="0" w:space="0" w:color="auto"/>
      </w:divBdr>
    </w:div>
    <w:div w:id="756907020">
      <w:bodyDiv w:val="1"/>
      <w:marLeft w:val="0"/>
      <w:marRight w:val="0"/>
      <w:marTop w:val="0"/>
      <w:marBottom w:val="0"/>
      <w:divBdr>
        <w:top w:val="none" w:sz="0" w:space="0" w:color="auto"/>
        <w:left w:val="none" w:sz="0" w:space="0" w:color="auto"/>
        <w:bottom w:val="none" w:sz="0" w:space="0" w:color="auto"/>
        <w:right w:val="none" w:sz="0" w:space="0" w:color="auto"/>
      </w:divBdr>
    </w:div>
    <w:div w:id="795105601">
      <w:bodyDiv w:val="1"/>
      <w:marLeft w:val="0"/>
      <w:marRight w:val="0"/>
      <w:marTop w:val="0"/>
      <w:marBottom w:val="0"/>
      <w:divBdr>
        <w:top w:val="none" w:sz="0" w:space="0" w:color="auto"/>
        <w:left w:val="none" w:sz="0" w:space="0" w:color="auto"/>
        <w:bottom w:val="none" w:sz="0" w:space="0" w:color="auto"/>
        <w:right w:val="none" w:sz="0" w:space="0" w:color="auto"/>
      </w:divBdr>
    </w:div>
    <w:div w:id="891505807">
      <w:bodyDiv w:val="1"/>
      <w:marLeft w:val="0"/>
      <w:marRight w:val="0"/>
      <w:marTop w:val="0"/>
      <w:marBottom w:val="0"/>
      <w:divBdr>
        <w:top w:val="none" w:sz="0" w:space="0" w:color="auto"/>
        <w:left w:val="none" w:sz="0" w:space="0" w:color="auto"/>
        <w:bottom w:val="none" w:sz="0" w:space="0" w:color="auto"/>
        <w:right w:val="none" w:sz="0" w:space="0" w:color="auto"/>
      </w:divBdr>
      <w:divsChild>
        <w:div w:id="49424267">
          <w:marLeft w:val="547"/>
          <w:marRight w:val="0"/>
          <w:marTop w:val="106"/>
          <w:marBottom w:val="0"/>
          <w:divBdr>
            <w:top w:val="none" w:sz="0" w:space="0" w:color="auto"/>
            <w:left w:val="none" w:sz="0" w:space="0" w:color="auto"/>
            <w:bottom w:val="none" w:sz="0" w:space="0" w:color="auto"/>
            <w:right w:val="none" w:sz="0" w:space="0" w:color="auto"/>
          </w:divBdr>
        </w:div>
        <w:div w:id="564485401">
          <w:marLeft w:val="547"/>
          <w:marRight w:val="0"/>
          <w:marTop w:val="106"/>
          <w:marBottom w:val="0"/>
          <w:divBdr>
            <w:top w:val="none" w:sz="0" w:space="0" w:color="auto"/>
            <w:left w:val="none" w:sz="0" w:space="0" w:color="auto"/>
            <w:bottom w:val="none" w:sz="0" w:space="0" w:color="auto"/>
            <w:right w:val="none" w:sz="0" w:space="0" w:color="auto"/>
          </w:divBdr>
        </w:div>
        <w:div w:id="692344627">
          <w:marLeft w:val="1166"/>
          <w:marRight w:val="0"/>
          <w:marTop w:val="96"/>
          <w:marBottom w:val="0"/>
          <w:divBdr>
            <w:top w:val="none" w:sz="0" w:space="0" w:color="auto"/>
            <w:left w:val="none" w:sz="0" w:space="0" w:color="auto"/>
            <w:bottom w:val="none" w:sz="0" w:space="0" w:color="auto"/>
            <w:right w:val="none" w:sz="0" w:space="0" w:color="auto"/>
          </w:divBdr>
        </w:div>
        <w:div w:id="856164383">
          <w:marLeft w:val="547"/>
          <w:marRight w:val="0"/>
          <w:marTop w:val="106"/>
          <w:marBottom w:val="0"/>
          <w:divBdr>
            <w:top w:val="none" w:sz="0" w:space="0" w:color="auto"/>
            <w:left w:val="none" w:sz="0" w:space="0" w:color="auto"/>
            <w:bottom w:val="none" w:sz="0" w:space="0" w:color="auto"/>
            <w:right w:val="none" w:sz="0" w:space="0" w:color="auto"/>
          </w:divBdr>
        </w:div>
        <w:div w:id="873345483">
          <w:marLeft w:val="1166"/>
          <w:marRight w:val="0"/>
          <w:marTop w:val="96"/>
          <w:marBottom w:val="0"/>
          <w:divBdr>
            <w:top w:val="none" w:sz="0" w:space="0" w:color="auto"/>
            <w:left w:val="none" w:sz="0" w:space="0" w:color="auto"/>
            <w:bottom w:val="none" w:sz="0" w:space="0" w:color="auto"/>
            <w:right w:val="none" w:sz="0" w:space="0" w:color="auto"/>
          </w:divBdr>
        </w:div>
        <w:div w:id="886143520">
          <w:marLeft w:val="547"/>
          <w:marRight w:val="0"/>
          <w:marTop w:val="106"/>
          <w:marBottom w:val="0"/>
          <w:divBdr>
            <w:top w:val="none" w:sz="0" w:space="0" w:color="auto"/>
            <w:left w:val="none" w:sz="0" w:space="0" w:color="auto"/>
            <w:bottom w:val="none" w:sz="0" w:space="0" w:color="auto"/>
            <w:right w:val="none" w:sz="0" w:space="0" w:color="auto"/>
          </w:divBdr>
        </w:div>
        <w:div w:id="1025059671">
          <w:marLeft w:val="1166"/>
          <w:marRight w:val="0"/>
          <w:marTop w:val="96"/>
          <w:marBottom w:val="0"/>
          <w:divBdr>
            <w:top w:val="none" w:sz="0" w:space="0" w:color="auto"/>
            <w:left w:val="none" w:sz="0" w:space="0" w:color="auto"/>
            <w:bottom w:val="none" w:sz="0" w:space="0" w:color="auto"/>
            <w:right w:val="none" w:sz="0" w:space="0" w:color="auto"/>
          </w:divBdr>
        </w:div>
        <w:div w:id="1186097708">
          <w:marLeft w:val="1166"/>
          <w:marRight w:val="0"/>
          <w:marTop w:val="96"/>
          <w:marBottom w:val="0"/>
          <w:divBdr>
            <w:top w:val="none" w:sz="0" w:space="0" w:color="auto"/>
            <w:left w:val="none" w:sz="0" w:space="0" w:color="auto"/>
            <w:bottom w:val="none" w:sz="0" w:space="0" w:color="auto"/>
            <w:right w:val="none" w:sz="0" w:space="0" w:color="auto"/>
          </w:divBdr>
        </w:div>
      </w:divsChild>
    </w:div>
    <w:div w:id="953365907">
      <w:bodyDiv w:val="1"/>
      <w:marLeft w:val="0"/>
      <w:marRight w:val="0"/>
      <w:marTop w:val="0"/>
      <w:marBottom w:val="0"/>
      <w:divBdr>
        <w:top w:val="none" w:sz="0" w:space="0" w:color="auto"/>
        <w:left w:val="none" w:sz="0" w:space="0" w:color="auto"/>
        <w:bottom w:val="none" w:sz="0" w:space="0" w:color="auto"/>
        <w:right w:val="none" w:sz="0" w:space="0" w:color="auto"/>
      </w:divBdr>
    </w:div>
    <w:div w:id="956184269">
      <w:bodyDiv w:val="1"/>
      <w:marLeft w:val="0"/>
      <w:marRight w:val="0"/>
      <w:marTop w:val="0"/>
      <w:marBottom w:val="0"/>
      <w:divBdr>
        <w:top w:val="none" w:sz="0" w:space="0" w:color="auto"/>
        <w:left w:val="none" w:sz="0" w:space="0" w:color="auto"/>
        <w:bottom w:val="none" w:sz="0" w:space="0" w:color="auto"/>
        <w:right w:val="none" w:sz="0" w:space="0" w:color="auto"/>
      </w:divBdr>
      <w:divsChild>
        <w:div w:id="209609744">
          <w:marLeft w:val="360"/>
          <w:marRight w:val="0"/>
          <w:marTop w:val="200"/>
          <w:marBottom w:val="0"/>
          <w:divBdr>
            <w:top w:val="none" w:sz="0" w:space="0" w:color="auto"/>
            <w:left w:val="none" w:sz="0" w:space="0" w:color="auto"/>
            <w:bottom w:val="none" w:sz="0" w:space="0" w:color="auto"/>
            <w:right w:val="none" w:sz="0" w:space="0" w:color="auto"/>
          </w:divBdr>
        </w:div>
        <w:div w:id="252738307">
          <w:marLeft w:val="360"/>
          <w:marRight w:val="0"/>
          <w:marTop w:val="200"/>
          <w:marBottom w:val="0"/>
          <w:divBdr>
            <w:top w:val="none" w:sz="0" w:space="0" w:color="auto"/>
            <w:left w:val="none" w:sz="0" w:space="0" w:color="auto"/>
            <w:bottom w:val="none" w:sz="0" w:space="0" w:color="auto"/>
            <w:right w:val="none" w:sz="0" w:space="0" w:color="auto"/>
          </w:divBdr>
        </w:div>
        <w:div w:id="961304437">
          <w:marLeft w:val="360"/>
          <w:marRight w:val="0"/>
          <w:marTop w:val="200"/>
          <w:marBottom w:val="0"/>
          <w:divBdr>
            <w:top w:val="none" w:sz="0" w:space="0" w:color="auto"/>
            <w:left w:val="none" w:sz="0" w:space="0" w:color="auto"/>
            <w:bottom w:val="none" w:sz="0" w:space="0" w:color="auto"/>
            <w:right w:val="none" w:sz="0" w:space="0" w:color="auto"/>
          </w:divBdr>
        </w:div>
        <w:div w:id="1104883244">
          <w:marLeft w:val="806"/>
          <w:marRight w:val="0"/>
          <w:marTop w:val="200"/>
          <w:marBottom w:val="0"/>
          <w:divBdr>
            <w:top w:val="none" w:sz="0" w:space="0" w:color="auto"/>
            <w:left w:val="none" w:sz="0" w:space="0" w:color="auto"/>
            <w:bottom w:val="none" w:sz="0" w:space="0" w:color="auto"/>
            <w:right w:val="none" w:sz="0" w:space="0" w:color="auto"/>
          </w:divBdr>
        </w:div>
        <w:div w:id="1429539139">
          <w:marLeft w:val="806"/>
          <w:marRight w:val="0"/>
          <w:marTop w:val="200"/>
          <w:marBottom w:val="0"/>
          <w:divBdr>
            <w:top w:val="none" w:sz="0" w:space="0" w:color="auto"/>
            <w:left w:val="none" w:sz="0" w:space="0" w:color="auto"/>
            <w:bottom w:val="none" w:sz="0" w:space="0" w:color="auto"/>
            <w:right w:val="none" w:sz="0" w:space="0" w:color="auto"/>
          </w:divBdr>
        </w:div>
      </w:divsChild>
    </w:div>
    <w:div w:id="1122306635">
      <w:bodyDiv w:val="1"/>
      <w:marLeft w:val="0"/>
      <w:marRight w:val="0"/>
      <w:marTop w:val="0"/>
      <w:marBottom w:val="0"/>
      <w:divBdr>
        <w:top w:val="none" w:sz="0" w:space="0" w:color="auto"/>
        <w:left w:val="none" w:sz="0" w:space="0" w:color="auto"/>
        <w:bottom w:val="none" w:sz="0" w:space="0" w:color="auto"/>
        <w:right w:val="none" w:sz="0" w:space="0" w:color="auto"/>
      </w:divBdr>
      <w:divsChild>
        <w:div w:id="1232277743">
          <w:marLeft w:val="0"/>
          <w:marRight w:val="0"/>
          <w:marTop w:val="0"/>
          <w:marBottom w:val="0"/>
          <w:divBdr>
            <w:top w:val="none" w:sz="0" w:space="0" w:color="auto"/>
            <w:left w:val="none" w:sz="0" w:space="0" w:color="auto"/>
            <w:bottom w:val="none" w:sz="0" w:space="0" w:color="auto"/>
            <w:right w:val="none" w:sz="0" w:space="0" w:color="auto"/>
          </w:divBdr>
          <w:divsChild>
            <w:div w:id="455224402">
              <w:marLeft w:val="0"/>
              <w:marRight w:val="0"/>
              <w:marTop w:val="0"/>
              <w:marBottom w:val="0"/>
              <w:divBdr>
                <w:top w:val="none" w:sz="0" w:space="0" w:color="auto"/>
                <w:left w:val="none" w:sz="0" w:space="0" w:color="auto"/>
                <w:bottom w:val="none" w:sz="0" w:space="0" w:color="auto"/>
                <w:right w:val="none" w:sz="0" w:space="0" w:color="auto"/>
              </w:divBdr>
              <w:divsChild>
                <w:div w:id="436946542">
                  <w:marLeft w:val="0"/>
                  <w:marRight w:val="0"/>
                  <w:marTop w:val="0"/>
                  <w:marBottom w:val="0"/>
                  <w:divBdr>
                    <w:top w:val="none" w:sz="0" w:space="0" w:color="auto"/>
                    <w:left w:val="none" w:sz="0" w:space="0" w:color="auto"/>
                    <w:bottom w:val="none" w:sz="0" w:space="0" w:color="auto"/>
                    <w:right w:val="none" w:sz="0" w:space="0" w:color="auto"/>
                  </w:divBdr>
                </w:div>
                <w:div w:id="21402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2676">
          <w:marLeft w:val="0"/>
          <w:marRight w:val="0"/>
          <w:marTop w:val="0"/>
          <w:marBottom w:val="0"/>
          <w:divBdr>
            <w:top w:val="none" w:sz="0" w:space="0" w:color="auto"/>
            <w:left w:val="none" w:sz="0" w:space="0" w:color="auto"/>
            <w:bottom w:val="none" w:sz="0" w:space="0" w:color="auto"/>
            <w:right w:val="none" w:sz="0" w:space="0" w:color="auto"/>
          </w:divBdr>
          <w:divsChild>
            <w:div w:id="804927254">
              <w:marLeft w:val="0"/>
              <w:marRight w:val="0"/>
              <w:marTop w:val="0"/>
              <w:marBottom w:val="0"/>
              <w:divBdr>
                <w:top w:val="none" w:sz="0" w:space="0" w:color="auto"/>
                <w:left w:val="none" w:sz="0" w:space="0" w:color="auto"/>
                <w:bottom w:val="none" w:sz="0" w:space="0" w:color="auto"/>
                <w:right w:val="none" w:sz="0" w:space="0" w:color="auto"/>
              </w:divBdr>
              <w:divsChild>
                <w:div w:id="99394907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26476024">
      <w:bodyDiv w:val="1"/>
      <w:marLeft w:val="0"/>
      <w:marRight w:val="0"/>
      <w:marTop w:val="0"/>
      <w:marBottom w:val="0"/>
      <w:divBdr>
        <w:top w:val="none" w:sz="0" w:space="0" w:color="auto"/>
        <w:left w:val="none" w:sz="0" w:space="0" w:color="auto"/>
        <w:bottom w:val="none" w:sz="0" w:space="0" w:color="auto"/>
        <w:right w:val="none" w:sz="0" w:space="0" w:color="auto"/>
      </w:divBdr>
      <w:divsChild>
        <w:div w:id="2003312020">
          <w:marLeft w:val="360"/>
          <w:marRight w:val="0"/>
          <w:marTop w:val="200"/>
          <w:marBottom w:val="0"/>
          <w:divBdr>
            <w:top w:val="none" w:sz="0" w:space="0" w:color="auto"/>
            <w:left w:val="none" w:sz="0" w:space="0" w:color="auto"/>
            <w:bottom w:val="none" w:sz="0" w:space="0" w:color="auto"/>
            <w:right w:val="none" w:sz="0" w:space="0" w:color="auto"/>
          </w:divBdr>
        </w:div>
      </w:divsChild>
    </w:div>
    <w:div w:id="1682662436">
      <w:bodyDiv w:val="1"/>
      <w:marLeft w:val="0"/>
      <w:marRight w:val="0"/>
      <w:marTop w:val="0"/>
      <w:marBottom w:val="0"/>
      <w:divBdr>
        <w:top w:val="none" w:sz="0" w:space="0" w:color="auto"/>
        <w:left w:val="none" w:sz="0" w:space="0" w:color="auto"/>
        <w:bottom w:val="none" w:sz="0" w:space="0" w:color="auto"/>
        <w:right w:val="none" w:sz="0" w:space="0" w:color="auto"/>
      </w:divBdr>
      <w:divsChild>
        <w:div w:id="1583490184">
          <w:marLeft w:val="0"/>
          <w:marRight w:val="0"/>
          <w:marTop w:val="0"/>
          <w:marBottom w:val="0"/>
          <w:divBdr>
            <w:top w:val="none" w:sz="0" w:space="0" w:color="auto"/>
            <w:left w:val="none" w:sz="0" w:space="0" w:color="auto"/>
            <w:bottom w:val="none" w:sz="0" w:space="0" w:color="auto"/>
            <w:right w:val="none" w:sz="0" w:space="0" w:color="auto"/>
          </w:divBdr>
          <w:divsChild>
            <w:div w:id="763114542">
              <w:marLeft w:val="0"/>
              <w:marRight w:val="0"/>
              <w:marTop w:val="0"/>
              <w:marBottom w:val="0"/>
              <w:divBdr>
                <w:top w:val="none" w:sz="0" w:space="0" w:color="auto"/>
                <w:left w:val="none" w:sz="0" w:space="0" w:color="auto"/>
                <w:bottom w:val="none" w:sz="0" w:space="0" w:color="auto"/>
                <w:right w:val="none" w:sz="0" w:space="0" w:color="auto"/>
              </w:divBdr>
              <w:divsChild>
                <w:div w:id="1161042297">
                  <w:marLeft w:val="0"/>
                  <w:marRight w:val="0"/>
                  <w:marTop w:val="0"/>
                  <w:marBottom w:val="0"/>
                  <w:divBdr>
                    <w:top w:val="none" w:sz="0" w:space="0" w:color="auto"/>
                    <w:left w:val="none" w:sz="0" w:space="0" w:color="auto"/>
                    <w:bottom w:val="none" w:sz="0" w:space="0" w:color="auto"/>
                    <w:right w:val="none" w:sz="0" w:space="0" w:color="auto"/>
                  </w:divBdr>
                </w:div>
                <w:div w:id="12834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732">
          <w:marLeft w:val="0"/>
          <w:marRight w:val="0"/>
          <w:marTop w:val="0"/>
          <w:marBottom w:val="0"/>
          <w:divBdr>
            <w:top w:val="none" w:sz="0" w:space="0" w:color="auto"/>
            <w:left w:val="none" w:sz="0" w:space="0" w:color="auto"/>
            <w:bottom w:val="none" w:sz="0" w:space="0" w:color="auto"/>
            <w:right w:val="none" w:sz="0" w:space="0" w:color="auto"/>
          </w:divBdr>
          <w:divsChild>
            <w:div w:id="1189174648">
              <w:marLeft w:val="0"/>
              <w:marRight w:val="0"/>
              <w:marTop w:val="0"/>
              <w:marBottom w:val="0"/>
              <w:divBdr>
                <w:top w:val="none" w:sz="0" w:space="0" w:color="auto"/>
                <w:left w:val="none" w:sz="0" w:space="0" w:color="auto"/>
                <w:bottom w:val="none" w:sz="0" w:space="0" w:color="auto"/>
                <w:right w:val="none" w:sz="0" w:space="0" w:color="auto"/>
              </w:divBdr>
              <w:divsChild>
                <w:div w:id="3400121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84553502">
      <w:bodyDiv w:val="1"/>
      <w:marLeft w:val="0"/>
      <w:marRight w:val="0"/>
      <w:marTop w:val="0"/>
      <w:marBottom w:val="0"/>
      <w:divBdr>
        <w:top w:val="none" w:sz="0" w:space="0" w:color="auto"/>
        <w:left w:val="none" w:sz="0" w:space="0" w:color="auto"/>
        <w:bottom w:val="none" w:sz="0" w:space="0" w:color="auto"/>
        <w:right w:val="none" w:sz="0" w:space="0" w:color="auto"/>
      </w:divBdr>
    </w:div>
    <w:div w:id="1687444942">
      <w:bodyDiv w:val="1"/>
      <w:marLeft w:val="0"/>
      <w:marRight w:val="0"/>
      <w:marTop w:val="0"/>
      <w:marBottom w:val="0"/>
      <w:divBdr>
        <w:top w:val="none" w:sz="0" w:space="0" w:color="auto"/>
        <w:left w:val="none" w:sz="0" w:space="0" w:color="auto"/>
        <w:bottom w:val="none" w:sz="0" w:space="0" w:color="auto"/>
        <w:right w:val="none" w:sz="0" w:space="0" w:color="auto"/>
      </w:divBdr>
      <w:divsChild>
        <w:div w:id="920942646">
          <w:marLeft w:val="547"/>
          <w:marRight w:val="0"/>
          <w:marTop w:val="106"/>
          <w:marBottom w:val="0"/>
          <w:divBdr>
            <w:top w:val="none" w:sz="0" w:space="0" w:color="auto"/>
            <w:left w:val="none" w:sz="0" w:space="0" w:color="auto"/>
            <w:bottom w:val="none" w:sz="0" w:space="0" w:color="auto"/>
            <w:right w:val="none" w:sz="0" w:space="0" w:color="auto"/>
          </w:divBdr>
        </w:div>
        <w:div w:id="1035034472">
          <w:marLeft w:val="1166"/>
          <w:marRight w:val="0"/>
          <w:marTop w:val="96"/>
          <w:marBottom w:val="0"/>
          <w:divBdr>
            <w:top w:val="none" w:sz="0" w:space="0" w:color="auto"/>
            <w:left w:val="none" w:sz="0" w:space="0" w:color="auto"/>
            <w:bottom w:val="none" w:sz="0" w:space="0" w:color="auto"/>
            <w:right w:val="none" w:sz="0" w:space="0" w:color="auto"/>
          </w:divBdr>
        </w:div>
        <w:div w:id="1088770214">
          <w:marLeft w:val="547"/>
          <w:marRight w:val="0"/>
          <w:marTop w:val="106"/>
          <w:marBottom w:val="0"/>
          <w:divBdr>
            <w:top w:val="none" w:sz="0" w:space="0" w:color="auto"/>
            <w:left w:val="none" w:sz="0" w:space="0" w:color="auto"/>
            <w:bottom w:val="none" w:sz="0" w:space="0" w:color="auto"/>
            <w:right w:val="none" w:sz="0" w:space="0" w:color="auto"/>
          </w:divBdr>
        </w:div>
        <w:div w:id="1199589906">
          <w:marLeft w:val="1166"/>
          <w:marRight w:val="0"/>
          <w:marTop w:val="96"/>
          <w:marBottom w:val="0"/>
          <w:divBdr>
            <w:top w:val="none" w:sz="0" w:space="0" w:color="auto"/>
            <w:left w:val="none" w:sz="0" w:space="0" w:color="auto"/>
            <w:bottom w:val="none" w:sz="0" w:space="0" w:color="auto"/>
            <w:right w:val="none" w:sz="0" w:space="0" w:color="auto"/>
          </w:divBdr>
        </w:div>
        <w:div w:id="1306348505">
          <w:marLeft w:val="547"/>
          <w:marRight w:val="0"/>
          <w:marTop w:val="106"/>
          <w:marBottom w:val="0"/>
          <w:divBdr>
            <w:top w:val="none" w:sz="0" w:space="0" w:color="auto"/>
            <w:left w:val="none" w:sz="0" w:space="0" w:color="auto"/>
            <w:bottom w:val="none" w:sz="0" w:space="0" w:color="auto"/>
            <w:right w:val="none" w:sz="0" w:space="0" w:color="auto"/>
          </w:divBdr>
        </w:div>
        <w:div w:id="1593006240">
          <w:marLeft w:val="1166"/>
          <w:marRight w:val="0"/>
          <w:marTop w:val="96"/>
          <w:marBottom w:val="0"/>
          <w:divBdr>
            <w:top w:val="none" w:sz="0" w:space="0" w:color="auto"/>
            <w:left w:val="none" w:sz="0" w:space="0" w:color="auto"/>
            <w:bottom w:val="none" w:sz="0" w:space="0" w:color="auto"/>
            <w:right w:val="none" w:sz="0" w:space="0" w:color="auto"/>
          </w:divBdr>
        </w:div>
        <w:div w:id="1625961918">
          <w:marLeft w:val="1166"/>
          <w:marRight w:val="0"/>
          <w:marTop w:val="96"/>
          <w:marBottom w:val="0"/>
          <w:divBdr>
            <w:top w:val="none" w:sz="0" w:space="0" w:color="auto"/>
            <w:left w:val="none" w:sz="0" w:space="0" w:color="auto"/>
            <w:bottom w:val="none" w:sz="0" w:space="0" w:color="auto"/>
            <w:right w:val="none" w:sz="0" w:space="0" w:color="auto"/>
          </w:divBdr>
        </w:div>
      </w:divsChild>
    </w:div>
    <w:div w:id="1689528447">
      <w:bodyDiv w:val="1"/>
      <w:marLeft w:val="0"/>
      <w:marRight w:val="0"/>
      <w:marTop w:val="0"/>
      <w:marBottom w:val="0"/>
      <w:divBdr>
        <w:top w:val="none" w:sz="0" w:space="0" w:color="auto"/>
        <w:left w:val="none" w:sz="0" w:space="0" w:color="auto"/>
        <w:bottom w:val="none" w:sz="0" w:space="0" w:color="auto"/>
        <w:right w:val="none" w:sz="0" w:space="0" w:color="auto"/>
      </w:divBdr>
    </w:div>
    <w:div w:id="1717386943">
      <w:bodyDiv w:val="1"/>
      <w:marLeft w:val="0"/>
      <w:marRight w:val="0"/>
      <w:marTop w:val="0"/>
      <w:marBottom w:val="0"/>
      <w:divBdr>
        <w:top w:val="none" w:sz="0" w:space="0" w:color="auto"/>
        <w:left w:val="none" w:sz="0" w:space="0" w:color="auto"/>
        <w:bottom w:val="none" w:sz="0" w:space="0" w:color="auto"/>
        <w:right w:val="none" w:sz="0" w:space="0" w:color="auto"/>
      </w:divBdr>
    </w:div>
    <w:div w:id="1792430065">
      <w:bodyDiv w:val="1"/>
      <w:marLeft w:val="0"/>
      <w:marRight w:val="0"/>
      <w:marTop w:val="0"/>
      <w:marBottom w:val="0"/>
      <w:divBdr>
        <w:top w:val="none" w:sz="0" w:space="0" w:color="auto"/>
        <w:left w:val="none" w:sz="0" w:space="0" w:color="auto"/>
        <w:bottom w:val="none" w:sz="0" w:space="0" w:color="auto"/>
        <w:right w:val="none" w:sz="0" w:space="0" w:color="auto"/>
      </w:divBdr>
    </w:div>
    <w:div w:id="1924214270">
      <w:bodyDiv w:val="1"/>
      <w:marLeft w:val="0"/>
      <w:marRight w:val="0"/>
      <w:marTop w:val="0"/>
      <w:marBottom w:val="0"/>
      <w:divBdr>
        <w:top w:val="none" w:sz="0" w:space="0" w:color="auto"/>
        <w:left w:val="none" w:sz="0" w:space="0" w:color="auto"/>
        <w:bottom w:val="none" w:sz="0" w:space="0" w:color="auto"/>
        <w:right w:val="none" w:sz="0" w:space="0" w:color="auto"/>
      </w:divBdr>
      <w:divsChild>
        <w:div w:id="20668808">
          <w:marLeft w:val="1166"/>
          <w:marRight w:val="0"/>
          <w:marTop w:val="96"/>
          <w:marBottom w:val="0"/>
          <w:divBdr>
            <w:top w:val="none" w:sz="0" w:space="0" w:color="auto"/>
            <w:left w:val="none" w:sz="0" w:space="0" w:color="auto"/>
            <w:bottom w:val="none" w:sz="0" w:space="0" w:color="auto"/>
            <w:right w:val="none" w:sz="0" w:space="0" w:color="auto"/>
          </w:divBdr>
        </w:div>
        <w:div w:id="112135202">
          <w:marLeft w:val="1166"/>
          <w:marRight w:val="0"/>
          <w:marTop w:val="96"/>
          <w:marBottom w:val="0"/>
          <w:divBdr>
            <w:top w:val="none" w:sz="0" w:space="0" w:color="auto"/>
            <w:left w:val="none" w:sz="0" w:space="0" w:color="auto"/>
            <w:bottom w:val="none" w:sz="0" w:space="0" w:color="auto"/>
            <w:right w:val="none" w:sz="0" w:space="0" w:color="auto"/>
          </w:divBdr>
        </w:div>
        <w:div w:id="219172686">
          <w:marLeft w:val="547"/>
          <w:marRight w:val="0"/>
          <w:marTop w:val="106"/>
          <w:marBottom w:val="0"/>
          <w:divBdr>
            <w:top w:val="none" w:sz="0" w:space="0" w:color="auto"/>
            <w:left w:val="none" w:sz="0" w:space="0" w:color="auto"/>
            <w:bottom w:val="none" w:sz="0" w:space="0" w:color="auto"/>
            <w:right w:val="none" w:sz="0" w:space="0" w:color="auto"/>
          </w:divBdr>
        </w:div>
        <w:div w:id="240989887">
          <w:marLeft w:val="547"/>
          <w:marRight w:val="0"/>
          <w:marTop w:val="106"/>
          <w:marBottom w:val="0"/>
          <w:divBdr>
            <w:top w:val="none" w:sz="0" w:space="0" w:color="auto"/>
            <w:left w:val="none" w:sz="0" w:space="0" w:color="auto"/>
            <w:bottom w:val="none" w:sz="0" w:space="0" w:color="auto"/>
            <w:right w:val="none" w:sz="0" w:space="0" w:color="auto"/>
          </w:divBdr>
        </w:div>
        <w:div w:id="1236433640">
          <w:marLeft w:val="547"/>
          <w:marRight w:val="0"/>
          <w:marTop w:val="106"/>
          <w:marBottom w:val="0"/>
          <w:divBdr>
            <w:top w:val="none" w:sz="0" w:space="0" w:color="auto"/>
            <w:left w:val="none" w:sz="0" w:space="0" w:color="auto"/>
            <w:bottom w:val="none" w:sz="0" w:space="0" w:color="auto"/>
            <w:right w:val="none" w:sz="0" w:space="0" w:color="auto"/>
          </w:divBdr>
        </w:div>
        <w:div w:id="1625574462">
          <w:marLeft w:val="1166"/>
          <w:marRight w:val="0"/>
          <w:marTop w:val="96"/>
          <w:marBottom w:val="0"/>
          <w:divBdr>
            <w:top w:val="none" w:sz="0" w:space="0" w:color="auto"/>
            <w:left w:val="none" w:sz="0" w:space="0" w:color="auto"/>
            <w:bottom w:val="none" w:sz="0" w:space="0" w:color="auto"/>
            <w:right w:val="none" w:sz="0" w:space="0" w:color="auto"/>
          </w:divBdr>
        </w:div>
        <w:div w:id="1944608080">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s.oecd.org/Index.aspx"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ilestore.soton.ac.uk\users\mv1f15\mydocuments\Academics\MY%20WRITINGS\Horen-Kornelakis\Greek%20Gov\data%20-%20Michalis\minimum%20wage\minimum%20wage%20relative%20to%20median%20EU%20countries%20OEC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c:f>
              <c:strCache>
                <c:ptCount val="1"/>
                <c:pt idx="0">
                  <c:v>min w / median w</c:v>
                </c:pt>
              </c:strCache>
            </c:strRef>
          </c:tx>
          <c:spPr>
            <a:ln w="28575" cap="rnd">
              <a:solidFill>
                <a:schemeClr val="tx1"/>
              </a:solidFill>
              <a:round/>
            </a:ln>
            <a:effectLst/>
          </c:spPr>
          <c:marker>
            <c:symbol val="none"/>
          </c:marker>
          <c:cat>
            <c:numRef>
              <c:f>Sheet1!$B$3:$B$27</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numCache>
            </c:numRef>
          </c:cat>
          <c:val>
            <c:numRef>
              <c:f>Sheet1!$C$3:$C$27</c:f>
              <c:numCache>
                <c:formatCode>#,##0.00_ ;\-#,##0.00\ </c:formatCode>
                <c:ptCount val="25"/>
                <c:pt idx="0">
                  <c:v>0.60399999999999998</c:v>
                </c:pt>
                <c:pt idx="1">
                  <c:v>0.59099999999999997</c:v>
                </c:pt>
                <c:pt idx="2">
                  <c:v>0.59799999999999998</c:v>
                </c:pt>
                <c:pt idx="3">
                  <c:v>0.59599999999999997</c:v>
                </c:pt>
                <c:pt idx="4">
                  <c:v>0.57599999999999996</c:v>
                </c:pt>
                <c:pt idx="5">
                  <c:v>0.58099999999999996</c:v>
                </c:pt>
                <c:pt idx="6">
                  <c:v>0.58399999999999996</c:v>
                </c:pt>
                <c:pt idx="7">
                  <c:v>0.54700000000000004</c:v>
                </c:pt>
                <c:pt idx="8">
                  <c:v>0.54300000000000004</c:v>
                </c:pt>
                <c:pt idx="9">
                  <c:v>0.51600000000000001</c:v>
                </c:pt>
                <c:pt idx="10">
                  <c:v>0.5</c:v>
                </c:pt>
                <c:pt idx="11">
                  <c:v>0.5</c:v>
                </c:pt>
                <c:pt idx="12">
                  <c:v>0.48499999999999999</c:v>
                </c:pt>
                <c:pt idx="13">
                  <c:v>0.46500000000000002</c:v>
                </c:pt>
                <c:pt idx="14">
                  <c:v>0.46200000000000002</c:v>
                </c:pt>
                <c:pt idx="15">
                  <c:v>0.45900000000000002</c:v>
                </c:pt>
                <c:pt idx="16">
                  <c:v>0.46800000000000003</c:v>
                </c:pt>
                <c:pt idx="17">
                  <c:v>0.48499999999999999</c:v>
                </c:pt>
                <c:pt idx="18">
                  <c:v>0.48699999999999999</c:v>
                </c:pt>
                <c:pt idx="19">
                  <c:v>0.47599999999999998</c:v>
                </c:pt>
                <c:pt idx="20">
                  <c:v>0.52500000000000002</c:v>
                </c:pt>
                <c:pt idx="21">
                  <c:v>0.435</c:v>
                </c:pt>
                <c:pt idx="22">
                  <c:v>0.45300000000000001</c:v>
                </c:pt>
                <c:pt idx="23">
                  <c:v>0.46100000000000002</c:v>
                </c:pt>
                <c:pt idx="24">
                  <c:v>0.46</c:v>
                </c:pt>
              </c:numCache>
            </c:numRef>
          </c:val>
          <c:smooth val="0"/>
          <c:extLst>
            <c:ext xmlns:c16="http://schemas.microsoft.com/office/drawing/2014/chart" uri="{C3380CC4-5D6E-409C-BE32-E72D297353CC}">
              <c16:uniqueId val="{00000000-9792-468D-9ED8-58D83C1DBE19}"/>
            </c:ext>
          </c:extLst>
        </c:ser>
        <c:dLbls>
          <c:showLegendKey val="0"/>
          <c:showVal val="0"/>
          <c:showCatName val="0"/>
          <c:showSerName val="0"/>
          <c:showPercent val="0"/>
          <c:showBubbleSize val="0"/>
        </c:dLbls>
        <c:smooth val="0"/>
        <c:axId val="457052600"/>
        <c:axId val="457052992"/>
      </c:lineChart>
      <c:catAx>
        <c:axId val="45705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7052992"/>
        <c:crosses val="autoZero"/>
        <c:auto val="1"/>
        <c:lblAlgn val="ctr"/>
        <c:lblOffset val="100"/>
        <c:noMultiLvlLbl val="0"/>
      </c:catAx>
      <c:valAx>
        <c:axId val="457052992"/>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00_ ;\-#,##0.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57052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0B99-1878-4E8D-B68C-E5A1AC54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21982</Words>
  <Characters>125301</Characters>
  <Application>Microsoft Office Word</Application>
  <DocSecurity>0</DocSecurity>
  <Lines>1044</Lines>
  <Paragraphs>293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Introduction</vt:lpstr>
      <vt:lpstr>    Theoretical Framework</vt:lpstr>
      <vt:lpstr>        2.1. European Crisis, Institutional Change and Marketization</vt:lpstr>
      <vt:lpstr>        2.2. Employers’ Associations Strategies: Interests, Power Dynamics, and the Inst</vt:lpstr>
      <vt:lpstr>    Research Design, Data Collection and Methods</vt:lpstr>
      <vt:lpstr>    Marketization, Labour Markets and Employers’ Associations in Crisis: The Case of</vt:lpstr>
      <vt:lpstr>        4.1. Dismantling the Collective Bargaining System and Decentralization</vt:lpstr>
    </vt:vector>
  </TitlesOfParts>
  <Company/>
  <LinksUpToDate>false</LinksUpToDate>
  <CharactersWithSpaces>146990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Kornelakis</dc:creator>
  <cp:keywords/>
  <dc:description/>
  <cp:lastModifiedBy>Horen Voskeritsian</cp:lastModifiedBy>
  <cp:revision>8</cp:revision>
  <cp:lastPrinted>2020-02-07T14:08:00Z</cp:lastPrinted>
  <dcterms:created xsi:type="dcterms:W3CDTF">2020-05-28T15:42:00Z</dcterms:created>
  <dcterms:modified xsi:type="dcterms:W3CDTF">2020-05-29T12:40:00Z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199e8585-1bef-3aa0-b7f2-dde0baa98a9c</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http://www.zotero.org/styles/british-journal-of-industrial-relations</vt:lpwstr>
  </property>
  <property fmtid="{D5CDD505-2E9C-101B-9397-08002B2CF9AE}" pid="10" name="Mendeley Recent Style Name 2_1">
    <vt:lpwstr>British Journal of Industrial Relations</vt:lpwstr>
  </property>
  <property fmtid="{D5CDD505-2E9C-101B-9397-08002B2CF9AE}" pid="11" name="Mendeley Recent Style Id 3_1">
    <vt:lpwstr>http://www.zotero.org/styles/business-horizons</vt:lpwstr>
  </property>
  <property fmtid="{D5CDD505-2E9C-101B-9397-08002B2CF9AE}" pid="12" name="Mendeley Recent Style Name 3_1">
    <vt:lpwstr>Business Horizons</vt:lpwstr>
  </property>
  <property fmtid="{D5CDD505-2E9C-101B-9397-08002B2CF9AE}" pid="13" name="Mendeley Recent Style Id 4_1">
    <vt:lpwstr>http://www.zotero.org/styles/comparative-politics</vt:lpwstr>
  </property>
  <property fmtid="{D5CDD505-2E9C-101B-9397-08002B2CF9AE}" pid="14" name="Mendeley Recent Style Name 4_1">
    <vt:lpwstr>Comparative Politics</vt:lpwstr>
  </property>
  <property fmtid="{D5CDD505-2E9C-101B-9397-08002B2CF9AE}" pid="15" name="Mendeley Recent Style Id 5_1">
    <vt:lpwstr>http://www.zotero.org/styles/international-labour-organization</vt:lpwstr>
  </property>
  <property fmtid="{D5CDD505-2E9C-101B-9397-08002B2CF9AE}" pid="16" name="Mendeley Recent Style Name 5_1">
    <vt:lpwstr>International Labour Organization</vt:lpwstr>
  </property>
  <property fmtid="{D5CDD505-2E9C-101B-9397-08002B2CF9AE}" pid="17" name="Mendeley Recent Style Id 6_1">
    <vt:lpwstr>http://www.zotero.org/styles/journal-of-common-market-studies</vt:lpwstr>
  </property>
  <property fmtid="{D5CDD505-2E9C-101B-9397-08002B2CF9AE}" pid="18" name="Mendeley Recent Style Name 6_1">
    <vt:lpwstr>Journal of Common Market Studies</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y fmtid="{D5CDD505-2E9C-101B-9397-08002B2CF9AE}" pid="25" name="ZOTERO_PREF_1">
    <vt:lpwstr>&lt;data data-version="3" zotero-version="5.0.87"&gt;&lt;session id="df9hae7d"/&gt;&lt;style id="http://www.zotero.org/styles/sage-harvard" hasBibliography="1" bibliographyStyleHasBeenSet="1"/&gt;&lt;prefs&gt;&lt;pref name="fieldType" value="Field"/&gt;&lt;/prefs&gt;&lt;/data&gt;</vt:lpwstr>
  </property>
</Properties>
</file>