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BC3EC" w14:textId="77777777" w:rsidR="00240DB8" w:rsidRDefault="00240DB8" w:rsidP="00E57497">
      <w:pPr>
        <w:rPr>
          <w:b/>
          <w:sz w:val="72"/>
          <w:szCs w:val="72"/>
        </w:rPr>
      </w:pPr>
    </w:p>
    <w:p w14:paraId="0FFD158C" w14:textId="77777777" w:rsidR="00240DB8" w:rsidRDefault="00240DB8" w:rsidP="00E57497">
      <w:pPr>
        <w:rPr>
          <w:b/>
          <w:sz w:val="72"/>
          <w:szCs w:val="72"/>
        </w:rPr>
      </w:pPr>
    </w:p>
    <w:p w14:paraId="06CDCE83" w14:textId="77777777" w:rsidR="00240DB8" w:rsidRDefault="00240DB8" w:rsidP="00E57497">
      <w:pPr>
        <w:rPr>
          <w:b/>
          <w:sz w:val="72"/>
          <w:szCs w:val="72"/>
        </w:rPr>
      </w:pPr>
    </w:p>
    <w:p w14:paraId="06D1F5B0" w14:textId="7B304B83" w:rsidR="007A40C5" w:rsidRPr="00E57497" w:rsidRDefault="007A40C5" w:rsidP="00E57497">
      <w:pPr>
        <w:rPr>
          <w:b/>
          <w:sz w:val="72"/>
          <w:szCs w:val="72"/>
        </w:rPr>
      </w:pPr>
      <w:r w:rsidRPr="00E57497">
        <w:rPr>
          <w:b/>
          <w:sz w:val="72"/>
          <w:szCs w:val="72"/>
        </w:rPr>
        <w:t>Osteoporosis Epidemiology Using International Cohorts</w:t>
      </w:r>
    </w:p>
    <w:p w14:paraId="3FCB043B" w14:textId="77777777" w:rsidR="007A40C5" w:rsidRPr="00DE6E01" w:rsidRDefault="007A40C5" w:rsidP="00DE6E01">
      <w:pPr>
        <w:jc w:val="center"/>
        <w:rPr>
          <w:rFonts w:eastAsiaTheme="minorEastAsia"/>
          <w:sz w:val="28"/>
          <w:szCs w:val="28"/>
        </w:rPr>
      </w:pPr>
    </w:p>
    <w:p w14:paraId="6A6E141D" w14:textId="77777777" w:rsidR="007A40C5" w:rsidRPr="00441A90" w:rsidRDefault="007A40C5" w:rsidP="00DE6E01">
      <w:pPr>
        <w:jc w:val="center"/>
        <w:rPr>
          <w:sz w:val="28"/>
          <w:szCs w:val="28"/>
          <w:vertAlign w:val="superscript"/>
        </w:rPr>
      </w:pPr>
      <w:r>
        <w:rPr>
          <w:sz w:val="28"/>
          <w:szCs w:val="28"/>
        </w:rPr>
        <w:t>Jean Zhang</w:t>
      </w:r>
      <w:r>
        <w:rPr>
          <w:sz w:val="28"/>
          <w:szCs w:val="28"/>
          <w:vertAlign w:val="superscript"/>
        </w:rPr>
        <w:t>1</w:t>
      </w:r>
    </w:p>
    <w:p w14:paraId="1C067DB8" w14:textId="77777777" w:rsidR="007A40C5" w:rsidRPr="00DE6E01" w:rsidRDefault="007A40C5" w:rsidP="00DE6E01">
      <w:pPr>
        <w:jc w:val="center"/>
        <w:rPr>
          <w:rFonts w:eastAsiaTheme="minorEastAsia"/>
          <w:sz w:val="28"/>
          <w:szCs w:val="28"/>
        </w:rPr>
      </w:pPr>
      <w:r>
        <w:rPr>
          <w:rFonts w:eastAsiaTheme="minorEastAsia"/>
          <w:sz w:val="28"/>
          <w:szCs w:val="28"/>
        </w:rPr>
        <w:t>Elaine Dennison</w:t>
      </w:r>
      <w:r>
        <w:rPr>
          <w:rFonts w:eastAsiaTheme="minorEastAsia"/>
          <w:sz w:val="28"/>
          <w:szCs w:val="28"/>
          <w:vertAlign w:val="superscript"/>
        </w:rPr>
        <w:t>1,2</w:t>
      </w:r>
      <w:r>
        <w:rPr>
          <w:rFonts w:eastAsiaTheme="minorEastAsia"/>
          <w:sz w:val="28"/>
          <w:szCs w:val="28"/>
        </w:rPr>
        <w:t xml:space="preserve"> </w:t>
      </w:r>
    </w:p>
    <w:p w14:paraId="4011C5E0" w14:textId="77777777" w:rsidR="007A40C5" w:rsidRPr="00933C78" w:rsidRDefault="007A40C5" w:rsidP="00E57497">
      <w:pPr>
        <w:jc w:val="center"/>
        <w:rPr>
          <w:sz w:val="28"/>
          <w:szCs w:val="28"/>
          <w:vertAlign w:val="superscript"/>
        </w:rPr>
      </w:pPr>
      <w:r w:rsidRPr="00DE6E01">
        <w:rPr>
          <w:sz w:val="28"/>
          <w:szCs w:val="28"/>
        </w:rPr>
        <w:t>Dani</w:t>
      </w:r>
      <w:r>
        <w:rPr>
          <w:sz w:val="28"/>
          <w:szCs w:val="28"/>
        </w:rPr>
        <w:t>el</w:t>
      </w:r>
      <w:r w:rsidRPr="00DE6E01">
        <w:rPr>
          <w:sz w:val="28"/>
          <w:szCs w:val="28"/>
        </w:rPr>
        <w:t xml:space="preserve"> Prieto-Alhambra</w:t>
      </w:r>
      <w:r>
        <w:rPr>
          <w:sz w:val="28"/>
          <w:szCs w:val="28"/>
          <w:vertAlign w:val="superscript"/>
        </w:rPr>
        <w:t>3</w:t>
      </w:r>
    </w:p>
    <w:p w14:paraId="04E0E78A" w14:textId="77777777" w:rsidR="007A40C5" w:rsidRDefault="007A40C5" w:rsidP="00E57497">
      <w:pPr>
        <w:jc w:val="center"/>
      </w:pPr>
    </w:p>
    <w:p w14:paraId="431F3F59" w14:textId="77777777" w:rsidR="007A40C5" w:rsidRDefault="007A40C5" w:rsidP="00E57497">
      <w:pPr>
        <w:jc w:val="center"/>
      </w:pPr>
    </w:p>
    <w:p w14:paraId="20CE053D" w14:textId="77777777" w:rsidR="007A40C5" w:rsidRPr="00DE6E01" w:rsidRDefault="007A40C5" w:rsidP="00E57497">
      <w:pPr>
        <w:jc w:val="center"/>
        <w:rPr>
          <w:sz w:val="24"/>
          <w:szCs w:val="24"/>
        </w:rPr>
      </w:pPr>
    </w:p>
    <w:p w14:paraId="1AABA8B7" w14:textId="77777777" w:rsidR="007A40C5" w:rsidRDefault="007A40C5" w:rsidP="00DE6E01">
      <w:pPr>
        <w:jc w:val="center"/>
        <w:rPr>
          <w:sz w:val="24"/>
          <w:szCs w:val="24"/>
        </w:rPr>
      </w:pPr>
      <w:r w:rsidRPr="00DE6E01">
        <w:rPr>
          <w:sz w:val="24"/>
          <w:szCs w:val="24"/>
          <w:vertAlign w:val="superscript"/>
        </w:rPr>
        <w:t>1</w:t>
      </w:r>
      <w:r w:rsidRPr="00DE6E01">
        <w:rPr>
          <w:sz w:val="24"/>
          <w:szCs w:val="24"/>
        </w:rPr>
        <w:t>MRC Lifecourse Epidemiology Uni</w:t>
      </w:r>
      <w:r>
        <w:rPr>
          <w:sz w:val="24"/>
          <w:szCs w:val="24"/>
        </w:rPr>
        <w:t>t, University of Southampton, Southampton, UK</w:t>
      </w:r>
    </w:p>
    <w:p w14:paraId="467426C2" w14:textId="77777777" w:rsidR="007A40C5" w:rsidRPr="00DE6E01" w:rsidRDefault="007A40C5" w:rsidP="00DE6E01">
      <w:pPr>
        <w:jc w:val="center"/>
        <w:rPr>
          <w:sz w:val="24"/>
          <w:szCs w:val="24"/>
        </w:rPr>
      </w:pPr>
      <w:r>
        <w:rPr>
          <w:sz w:val="24"/>
          <w:szCs w:val="24"/>
          <w:vertAlign w:val="superscript"/>
        </w:rPr>
        <w:t>2</w:t>
      </w:r>
      <w:r>
        <w:rPr>
          <w:sz w:val="24"/>
          <w:szCs w:val="24"/>
        </w:rPr>
        <w:t>Victoria University of Wellington, Wellington, New Zealand</w:t>
      </w:r>
    </w:p>
    <w:p w14:paraId="70FFB5BE" w14:textId="77777777" w:rsidR="007A40C5" w:rsidRPr="00BB4346" w:rsidRDefault="007A40C5" w:rsidP="00BB4346">
      <w:pPr>
        <w:jc w:val="center"/>
      </w:pPr>
      <w:r>
        <w:rPr>
          <w:vertAlign w:val="superscript"/>
        </w:rPr>
        <w:t>3</w:t>
      </w:r>
      <w:r>
        <w:t xml:space="preserve">Centre for Statistics in Medicine - </w:t>
      </w:r>
      <w:r w:rsidRPr="00BB4346">
        <w:t>Nuffield Department of Orthopaedics, Rheumatology and Musculoskeletal Sciences</w:t>
      </w:r>
      <w:r>
        <w:t>, Uni</w:t>
      </w:r>
      <w:r w:rsidRPr="00BB4346">
        <w:t>versity of Oxford</w:t>
      </w:r>
      <w:r>
        <w:t>, Oxford, UK</w:t>
      </w:r>
    </w:p>
    <w:p w14:paraId="1CEC2EFD" w14:textId="6DC93275" w:rsidR="007A40C5" w:rsidRPr="00933C78" w:rsidRDefault="007A40C5" w:rsidP="00933C78">
      <w:r>
        <w:t xml:space="preserve">Corresponding author: </w:t>
      </w:r>
      <w:r w:rsidRPr="00933C78">
        <w:t>Daniel Prieto-Alhambra</w:t>
      </w:r>
      <w:r>
        <w:t xml:space="preserve">, Email: </w:t>
      </w:r>
      <w:hyperlink r:id="rId5" w:history="1">
        <w:r w:rsidRPr="009A633B">
          <w:rPr>
            <w:rStyle w:val="Hyperlink"/>
          </w:rPr>
          <w:t>daniel.prietoalhambra@ndorms.ox.ac.uk</w:t>
        </w:r>
      </w:hyperlink>
      <w:r>
        <w:t xml:space="preserve">; </w:t>
      </w:r>
      <w:r w:rsidRPr="00703C2B">
        <w:t>Tel:</w:t>
      </w:r>
      <w:r>
        <w:t xml:space="preserve"> </w:t>
      </w:r>
      <w:r w:rsidR="00703C2B">
        <w:t>01865 612 600</w:t>
      </w:r>
    </w:p>
    <w:p w14:paraId="2BD36838" w14:textId="77777777" w:rsidR="007A40C5" w:rsidRDefault="007A40C5" w:rsidP="00E57497">
      <w:pPr>
        <w:jc w:val="center"/>
      </w:pPr>
      <w:bookmarkStart w:id="0" w:name="_GoBack"/>
      <w:bookmarkEnd w:id="0"/>
    </w:p>
    <w:p w14:paraId="6851EAAF" w14:textId="77777777" w:rsidR="007A40C5" w:rsidRDefault="007A40C5" w:rsidP="00E57497">
      <w:pPr>
        <w:jc w:val="center"/>
      </w:pPr>
    </w:p>
    <w:p w14:paraId="29A51A36" w14:textId="77777777" w:rsidR="007A40C5" w:rsidRDefault="007A40C5">
      <w:r>
        <w:br w:type="page"/>
      </w:r>
    </w:p>
    <w:p w14:paraId="3DEB4CE7" w14:textId="49D631FA" w:rsidR="007A40C5" w:rsidRDefault="007A40C5" w:rsidP="00E57497">
      <w:r w:rsidRPr="0011682F">
        <w:rPr>
          <w:b/>
          <w:sz w:val="28"/>
          <w:szCs w:val="28"/>
        </w:rPr>
        <w:lastRenderedPageBreak/>
        <w:t>Abstract</w:t>
      </w:r>
      <w:r w:rsidR="00240DB8">
        <w:t xml:space="preserve"> (178</w:t>
      </w:r>
      <w:r>
        <w:t xml:space="preserve"> words)</w:t>
      </w:r>
    </w:p>
    <w:p w14:paraId="06F2181B" w14:textId="77777777" w:rsidR="007A40C5" w:rsidRDefault="007A40C5" w:rsidP="00240DB8">
      <w:pPr>
        <w:spacing w:line="360" w:lineRule="auto"/>
        <w:jc w:val="both"/>
      </w:pPr>
      <w:r w:rsidRPr="00144D1E">
        <w:rPr>
          <w:u w:val="single"/>
        </w:rPr>
        <w:t>Purpose of review</w:t>
      </w:r>
      <w:r w:rsidRPr="00136957">
        <w:t>:</w:t>
      </w:r>
      <w:r>
        <w:t xml:space="preserve"> The field of osteoporosis research has been active for the past 20 years, and has allowed significant advancement in the management of osteoporosis. This review will give an overview of the latest data from international cohorts that relate to current and recent osteoporosis research. </w:t>
      </w:r>
    </w:p>
    <w:p w14:paraId="109383A7" w14:textId="77777777" w:rsidR="007A40C5" w:rsidRDefault="007A40C5" w:rsidP="00240DB8">
      <w:pPr>
        <w:spacing w:line="360" w:lineRule="auto"/>
        <w:jc w:val="both"/>
      </w:pPr>
      <w:r w:rsidRPr="00144D1E">
        <w:rPr>
          <w:u w:val="single"/>
        </w:rPr>
        <w:t>Recent findings</w:t>
      </w:r>
      <w:r w:rsidRPr="00136957">
        <w:t>:</w:t>
      </w:r>
      <w:r>
        <w:t xml:space="preserve"> </w:t>
      </w:r>
    </w:p>
    <w:p w14:paraId="062E47DB" w14:textId="0ED9146F" w:rsidR="007A40C5" w:rsidRDefault="007A40C5" w:rsidP="00240DB8">
      <w:pPr>
        <w:spacing w:line="360" w:lineRule="auto"/>
        <w:jc w:val="both"/>
      </w:pPr>
      <w:r>
        <w:t>The clinical diagnosis of osteoporosis relies heavily on BMD measured at femoral neck or spine and al</w:t>
      </w:r>
      <w:r w:rsidR="00240DB8">
        <w:t>though BMD has excellent predic</w:t>
      </w:r>
      <w:r>
        <w:t>tive value for future fractures</w:t>
      </w:r>
      <w:r w:rsidR="00240DB8">
        <w:t>,</w:t>
      </w:r>
      <w:r>
        <w:t xml:space="preserve"> fracture risk assessment has evolved over the years, resulting in the birth of fracture prediction tools. Fracture risk factors not currently featured in these tools are being considered for inclusion, including imminent risk fracture following a sentinel fracture, number of falls, and previous vertebral fractures. Data from groups with comorbidities such as COPD are helping us understand how to best manage patients with multiple co-morbidities. Finally, the prevalence of vertebral fracture in the older general population and</w:t>
      </w:r>
      <w:r w:rsidR="00240DB8">
        <w:t xml:space="preserve"> other selected populations have been </w:t>
      </w:r>
      <w:r>
        <w:t xml:space="preserve">explored, alongside the global burden of osteoporosis and its consequences. </w:t>
      </w:r>
    </w:p>
    <w:p w14:paraId="38875A27" w14:textId="77777777" w:rsidR="007A40C5" w:rsidRDefault="007A40C5" w:rsidP="00240DB8">
      <w:pPr>
        <w:spacing w:line="360" w:lineRule="auto"/>
        <w:jc w:val="both"/>
      </w:pPr>
      <w:r w:rsidRPr="00144D1E">
        <w:rPr>
          <w:u w:val="single"/>
        </w:rPr>
        <w:t>Summary</w:t>
      </w:r>
      <w:r w:rsidRPr="00136957">
        <w:t>:</w:t>
      </w:r>
      <w:r>
        <w:t xml:space="preserve"> </w:t>
      </w:r>
    </w:p>
    <w:p w14:paraId="3B9A497C" w14:textId="77777777" w:rsidR="007A40C5" w:rsidRDefault="007A40C5" w:rsidP="00240DB8">
      <w:pPr>
        <w:spacing w:line="360" w:lineRule="auto"/>
        <w:jc w:val="both"/>
      </w:pPr>
      <w:r>
        <w:t xml:space="preserve">Our understanding of osteoporosis continues to expand, but knowledge gaps remain. </w:t>
      </w:r>
    </w:p>
    <w:p w14:paraId="2901E02E" w14:textId="77777777" w:rsidR="007A40C5" w:rsidRDefault="007A40C5" w:rsidP="00240DB8">
      <w:pPr>
        <w:spacing w:line="360" w:lineRule="auto"/>
        <w:jc w:val="both"/>
      </w:pPr>
    </w:p>
    <w:p w14:paraId="48021F26" w14:textId="77777777" w:rsidR="007A40C5" w:rsidRDefault="007A40C5" w:rsidP="00240DB8">
      <w:pPr>
        <w:spacing w:line="360" w:lineRule="auto"/>
        <w:jc w:val="both"/>
      </w:pPr>
    </w:p>
    <w:p w14:paraId="1471D7DD" w14:textId="77777777" w:rsidR="007A40C5" w:rsidRDefault="007A40C5" w:rsidP="00240DB8">
      <w:pPr>
        <w:spacing w:line="360" w:lineRule="auto"/>
        <w:jc w:val="both"/>
      </w:pPr>
      <w:r w:rsidRPr="00136957">
        <w:t>Keywords:</w:t>
      </w:r>
      <w:r>
        <w:t xml:space="preserve"> Osteoporosis, epidemiology, cohort, fracture, co-morbidities</w:t>
      </w:r>
    </w:p>
    <w:p w14:paraId="6E72F1B4" w14:textId="77777777" w:rsidR="007A40C5" w:rsidRDefault="007A40C5" w:rsidP="00240DB8">
      <w:pPr>
        <w:spacing w:line="360" w:lineRule="auto"/>
        <w:jc w:val="both"/>
      </w:pPr>
    </w:p>
    <w:p w14:paraId="4AAF7DFA" w14:textId="77777777" w:rsidR="007A40C5" w:rsidRDefault="007A40C5" w:rsidP="00240DB8">
      <w:pPr>
        <w:spacing w:line="360" w:lineRule="auto"/>
        <w:jc w:val="both"/>
      </w:pPr>
      <w:r>
        <w:br w:type="page"/>
      </w:r>
    </w:p>
    <w:p w14:paraId="4980B5C3" w14:textId="77777777" w:rsidR="007A40C5" w:rsidRPr="00C76D22" w:rsidRDefault="007A40C5" w:rsidP="00240DB8">
      <w:pPr>
        <w:pStyle w:val="doublespaced"/>
        <w:spacing w:line="360" w:lineRule="auto"/>
        <w:jc w:val="both"/>
        <w:rPr>
          <w:sz w:val="24"/>
          <w:szCs w:val="24"/>
        </w:rPr>
      </w:pPr>
      <w:r w:rsidRPr="00C76D22">
        <w:rPr>
          <w:sz w:val="24"/>
          <w:szCs w:val="24"/>
        </w:rPr>
        <w:lastRenderedPageBreak/>
        <w:t>Introduction</w:t>
      </w:r>
    </w:p>
    <w:p w14:paraId="69C9E0CA" w14:textId="3113B972" w:rsidR="007A40C5" w:rsidRPr="00C76D22" w:rsidRDefault="007A40C5" w:rsidP="00240DB8">
      <w:pPr>
        <w:pStyle w:val="doublespaced"/>
        <w:spacing w:line="360" w:lineRule="auto"/>
        <w:jc w:val="both"/>
        <w:rPr>
          <w:b w:val="0"/>
          <w:u w:val="none"/>
        </w:rPr>
      </w:pPr>
      <w:r w:rsidRPr="00C76D22">
        <w:rPr>
          <w:b w:val="0"/>
          <w:u w:val="none"/>
        </w:rPr>
        <w:t>Globally</w:t>
      </w:r>
      <w:r>
        <w:rPr>
          <w:b w:val="0"/>
          <w:u w:val="none"/>
        </w:rPr>
        <w:t xml:space="preserve"> we are living in an aging world</w:t>
      </w:r>
      <w:r w:rsidR="00240DB8">
        <w:rPr>
          <w:b w:val="0"/>
          <w:u w:val="none"/>
        </w:rPr>
        <w:t>. T</w:t>
      </w:r>
      <w:r w:rsidRPr="00C76D22">
        <w:rPr>
          <w:b w:val="0"/>
          <w:u w:val="none"/>
        </w:rPr>
        <w:t>herefore</w:t>
      </w:r>
      <w:r w:rsidR="00240DB8">
        <w:rPr>
          <w:b w:val="0"/>
          <w:u w:val="none"/>
        </w:rPr>
        <w:t>,</w:t>
      </w:r>
      <w:r w:rsidRPr="00C76D22">
        <w:rPr>
          <w:b w:val="0"/>
          <w:u w:val="none"/>
        </w:rPr>
        <w:t xml:space="preserve"> the concept of healthy aging is of paramount</w:t>
      </w:r>
      <w:r>
        <w:rPr>
          <w:b w:val="0"/>
          <w:u w:val="none"/>
        </w:rPr>
        <w:t xml:space="preserve"> importance</w:t>
      </w:r>
      <w:r w:rsidR="00343CC8">
        <w:rPr>
          <w:b w:val="0"/>
          <w:u w:val="none"/>
        </w:rPr>
        <w:t xml:space="preserve"> </w:t>
      </w:r>
      <w:r>
        <w:rPr>
          <w:b w:val="0"/>
          <w:noProof/>
          <w:u w:val="none"/>
        </w:rPr>
        <w:t>[1]</w:t>
      </w:r>
      <w:r w:rsidRPr="00C76D22">
        <w:rPr>
          <w:b w:val="0"/>
          <w:u w:val="none"/>
        </w:rPr>
        <w:t xml:space="preserve">. </w:t>
      </w:r>
      <w:r>
        <w:rPr>
          <w:b w:val="0"/>
          <w:u w:val="none"/>
        </w:rPr>
        <w:t xml:space="preserve">The latest report published from </w:t>
      </w:r>
      <w:r w:rsidR="00240DB8">
        <w:rPr>
          <w:b w:val="0"/>
          <w:u w:val="none"/>
        </w:rPr>
        <w:t xml:space="preserve">the </w:t>
      </w:r>
      <w:r>
        <w:rPr>
          <w:b w:val="0"/>
          <w:u w:val="none"/>
        </w:rPr>
        <w:t>International Osteoporosis Foundation (IOF), “</w:t>
      </w:r>
      <w:r w:rsidRPr="00BE3C34">
        <w:rPr>
          <w:b w:val="0"/>
          <w:u w:val="none"/>
        </w:rPr>
        <w:t>Broken bones, broken lives: A roadmap to solve the frag</w:t>
      </w:r>
      <w:r>
        <w:rPr>
          <w:b w:val="0"/>
          <w:u w:val="none"/>
        </w:rPr>
        <w:t xml:space="preserve">ility fracture crisis in Europe” estimates </w:t>
      </w:r>
      <w:r w:rsidRPr="00C76D22">
        <w:rPr>
          <w:b w:val="0"/>
          <w:u w:val="none"/>
        </w:rPr>
        <w:t>there are 2.68 million ne</w:t>
      </w:r>
      <w:r>
        <w:rPr>
          <w:b w:val="0"/>
          <w:u w:val="none"/>
        </w:rPr>
        <w:t>w broken bones each year w</w:t>
      </w:r>
      <w:r w:rsidRPr="00C76D22">
        <w:rPr>
          <w:b w:val="0"/>
          <w:u w:val="none"/>
        </w:rPr>
        <w:t xml:space="preserve">ithin the EU6 countries, comprising of France, Germany, </w:t>
      </w:r>
      <w:r>
        <w:rPr>
          <w:b w:val="0"/>
          <w:u w:val="none"/>
        </w:rPr>
        <w:t>Italy, Spain, Sweden and the UK</w:t>
      </w:r>
      <w:r w:rsidRPr="00C76D22">
        <w:rPr>
          <w:b w:val="0"/>
          <w:u w:val="none"/>
        </w:rPr>
        <w:t xml:space="preserve"> </w:t>
      </w:r>
      <w:r>
        <w:rPr>
          <w:b w:val="0"/>
          <w:noProof/>
          <w:u w:val="none"/>
        </w:rPr>
        <w:t>[2</w:t>
      </w:r>
      <w:r w:rsidR="00343CC8">
        <w:rPr>
          <w:b w:val="0"/>
          <w:noProof/>
          <w:u w:val="none"/>
        </w:rPr>
        <w:t>**</w:t>
      </w:r>
      <w:r>
        <w:rPr>
          <w:b w:val="0"/>
          <w:noProof/>
          <w:u w:val="none"/>
        </w:rPr>
        <w:t>]</w:t>
      </w:r>
      <w:r w:rsidRPr="00C76D22">
        <w:rPr>
          <w:b w:val="0"/>
          <w:u w:val="none"/>
        </w:rPr>
        <w:t xml:space="preserve">. The risk of fracture increases with </w:t>
      </w:r>
      <w:r>
        <w:rPr>
          <w:b w:val="0"/>
          <w:u w:val="none"/>
        </w:rPr>
        <w:t xml:space="preserve">a diagnosis of </w:t>
      </w:r>
      <w:r w:rsidRPr="00C76D22">
        <w:rPr>
          <w:b w:val="0"/>
          <w:u w:val="none"/>
        </w:rPr>
        <w:t xml:space="preserve">osteoporosis, which </w:t>
      </w:r>
      <w:r>
        <w:rPr>
          <w:b w:val="0"/>
          <w:u w:val="none"/>
        </w:rPr>
        <w:t>has been defined as</w:t>
      </w:r>
      <w:r w:rsidRPr="00C76D22">
        <w:rPr>
          <w:b w:val="0"/>
          <w:u w:val="none"/>
        </w:rPr>
        <w:t xml:space="preserve"> a condition characterised by low bone mass and microarchitectural deterioration of bone tissue, leading to enhanced bone fragility and therefore higher risk of fracture</w:t>
      </w:r>
      <w:r>
        <w:rPr>
          <w:b w:val="0"/>
          <w:u w:val="none"/>
        </w:rPr>
        <w:t xml:space="preserve"> </w:t>
      </w:r>
      <w:r>
        <w:rPr>
          <w:b w:val="0"/>
          <w:noProof/>
          <w:u w:val="none"/>
        </w:rPr>
        <w:t>[3]</w:t>
      </w:r>
      <w:r w:rsidRPr="00C76D22">
        <w:rPr>
          <w:b w:val="0"/>
          <w:u w:val="none"/>
        </w:rPr>
        <w:t>. In 1994, WHO defined osteoporosis as bone mineral density (BMD) measurement by dual X-ray absorptiometry (DXA)</w:t>
      </w:r>
      <w:r>
        <w:rPr>
          <w:b w:val="0"/>
          <w:u w:val="none"/>
        </w:rPr>
        <w:t>of</w:t>
      </w:r>
      <w:r w:rsidRPr="00C76D22">
        <w:rPr>
          <w:b w:val="0"/>
          <w:u w:val="none"/>
        </w:rPr>
        <w:t xml:space="preserve"> at least 2.5 standard deviation</w:t>
      </w:r>
      <w:r w:rsidR="00240DB8">
        <w:rPr>
          <w:b w:val="0"/>
          <w:u w:val="none"/>
        </w:rPr>
        <w:t>s</w:t>
      </w:r>
      <w:r>
        <w:rPr>
          <w:b w:val="0"/>
          <w:u w:val="none"/>
        </w:rPr>
        <w:t xml:space="preserve"> (SD)</w:t>
      </w:r>
      <w:r w:rsidRPr="00C76D22">
        <w:rPr>
          <w:b w:val="0"/>
          <w:u w:val="none"/>
        </w:rPr>
        <w:t xml:space="preserve"> below the sex-matched young adult mean</w:t>
      </w:r>
      <w:r>
        <w:rPr>
          <w:b w:val="0"/>
          <w:u w:val="none"/>
        </w:rPr>
        <w:t xml:space="preserve"> </w:t>
      </w:r>
      <w:r>
        <w:rPr>
          <w:b w:val="0"/>
          <w:noProof/>
          <w:u w:val="none"/>
        </w:rPr>
        <w:t>[3]</w:t>
      </w:r>
      <w:r w:rsidRPr="00C76D22">
        <w:rPr>
          <w:b w:val="0"/>
          <w:u w:val="none"/>
        </w:rPr>
        <w:t>.</w:t>
      </w:r>
      <w:r>
        <w:rPr>
          <w:b w:val="0"/>
          <w:u w:val="none"/>
        </w:rPr>
        <w:t xml:space="preserve"> More recently</w:t>
      </w:r>
      <w:r w:rsidRPr="00C76D22">
        <w:rPr>
          <w:b w:val="0"/>
          <w:u w:val="none"/>
        </w:rPr>
        <w:t xml:space="preserve"> the advent of </w:t>
      </w:r>
      <w:r>
        <w:rPr>
          <w:b w:val="0"/>
          <w:u w:val="none"/>
        </w:rPr>
        <w:t xml:space="preserve">algorithms capable of </w:t>
      </w:r>
      <w:r w:rsidRPr="00C76D22">
        <w:rPr>
          <w:b w:val="0"/>
          <w:u w:val="none"/>
        </w:rPr>
        <w:t>assessing clinical risk factors for fractures as part of osteoporosis screening, of which the most widely used is the Fract</w:t>
      </w:r>
      <w:r>
        <w:rPr>
          <w:b w:val="0"/>
          <w:u w:val="none"/>
        </w:rPr>
        <w:t xml:space="preserve">ure Risk Assessment Tool (FRAX) </w:t>
      </w:r>
      <w:r>
        <w:rPr>
          <w:b w:val="0"/>
          <w:noProof/>
          <w:u w:val="none"/>
        </w:rPr>
        <w:t>[4</w:t>
      </w:r>
      <w:r w:rsidR="00702843">
        <w:rPr>
          <w:b w:val="0"/>
          <w:noProof/>
          <w:u w:val="none"/>
        </w:rPr>
        <w:t>**</w:t>
      </w:r>
      <w:r>
        <w:rPr>
          <w:b w:val="0"/>
          <w:noProof/>
          <w:u w:val="none"/>
        </w:rPr>
        <w:t>]</w:t>
      </w:r>
      <w:r>
        <w:rPr>
          <w:b w:val="0"/>
          <w:u w:val="none"/>
        </w:rPr>
        <w:t xml:space="preserve">, </w:t>
      </w:r>
      <w:r w:rsidRPr="00C76D22">
        <w:rPr>
          <w:b w:val="0"/>
          <w:u w:val="none"/>
        </w:rPr>
        <w:t>has moved the era of assessment towards an individualised basis. Despite these advances in the last 20 years, the economic burden from fragility fractures remains substantial</w:t>
      </w:r>
      <w:r>
        <w:rPr>
          <w:b w:val="0"/>
          <w:u w:val="none"/>
        </w:rPr>
        <w:t>;</w:t>
      </w:r>
      <w:r w:rsidRPr="00C76D22">
        <w:rPr>
          <w:b w:val="0"/>
          <w:u w:val="none"/>
        </w:rPr>
        <w:t xml:space="preserve"> in 2017, the estimated fracture related cost totalled £4.52 billion (€5.25 billion) and these </w:t>
      </w:r>
      <w:r>
        <w:rPr>
          <w:b w:val="0"/>
          <w:u w:val="none"/>
        </w:rPr>
        <w:t xml:space="preserve">costs </w:t>
      </w:r>
      <w:r w:rsidRPr="00C76D22">
        <w:rPr>
          <w:b w:val="0"/>
          <w:u w:val="none"/>
        </w:rPr>
        <w:t>are set to increase to £5.89 billion (€6.83 billion) by 2030</w:t>
      </w:r>
      <w:r>
        <w:rPr>
          <w:b w:val="0"/>
          <w:u w:val="none"/>
        </w:rPr>
        <w:t xml:space="preserve"> </w:t>
      </w:r>
      <w:r>
        <w:rPr>
          <w:b w:val="0"/>
          <w:noProof/>
          <w:u w:val="none"/>
        </w:rPr>
        <w:t>[2]</w:t>
      </w:r>
      <w:r w:rsidRPr="00C76D22">
        <w:rPr>
          <w:b w:val="0"/>
          <w:u w:val="none"/>
        </w:rPr>
        <w:t>.</w:t>
      </w:r>
    </w:p>
    <w:p w14:paraId="00C19541" w14:textId="77777777" w:rsidR="007A40C5" w:rsidRPr="00C76D22" w:rsidRDefault="007A40C5" w:rsidP="00240DB8">
      <w:pPr>
        <w:pStyle w:val="doublespaced"/>
        <w:spacing w:line="360" w:lineRule="auto"/>
        <w:jc w:val="both"/>
        <w:rPr>
          <w:b w:val="0"/>
          <w:u w:val="none"/>
        </w:rPr>
      </w:pPr>
    </w:p>
    <w:p w14:paraId="1D87995C" w14:textId="5B2A9E20" w:rsidR="007A40C5" w:rsidRDefault="007A40C5" w:rsidP="00240DB8">
      <w:pPr>
        <w:pStyle w:val="doublespaced"/>
        <w:spacing w:line="360" w:lineRule="auto"/>
        <w:jc w:val="both"/>
        <w:rPr>
          <w:b w:val="0"/>
          <w:u w:val="none"/>
        </w:rPr>
      </w:pPr>
      <w:r w:rsidRPr="008368D4">
        <w:rPr>
          <w:b w:val="0"/>
          <w:u w:val="none"/>
        </w:rPr>
        <w:t>In this review we will provide a</w:t>
      </w:r>
      <w:r>
        <w:rPr>
          <w:b w:val="0"/>
          <w:u w:val="none"/>
        </w:rPr>
        <w:t xml:space="preserve"> review of the</w:t>
      </w:r>
      <w:r w:rsidRPr="008368D4">
        <w:rPr>
          <w:b w:val="0"/>
          <w:u w:val="none"/>
        </w:rPr>
        <w:t xml:space="preserve"> diagnosis of osteoporosis</w:t>
      </w:r>
      <w:r>
        <w:rPr>
          <w:b w:val="0"/>
          <w:u w:val="none"/>
        </w:rPr>
        <w:t>;</w:t>
      </w:r>
      <w:r w:rsidRPr="008368D4">
        <w:rPr>
          <w:b w:val="0"/>
          <w:u w:val="none"/>
        </w:rPr>
        <w:t xml:space="preserve"> explore emerging fracture risk factors</w:t>
      </w:r>
      <w:r>
        <w:rPr>
          <w:b w:val="0"/>
          <w:u w:val="none"/>
        </w:rPr>
        <w:t xml:space="preserve">; and </w:t>
      </w:r>
      <w:r w:rsidRPr="008368D4">
        <w:rPr>
          <w:b w:val="0"/>
          <w:u w:val="none"/>
        </w:rPr>
        <w:t xml:space="preserve">expand on current epidemiology data </w:t>
      </w:r>
      <w:r>
        <w:rPr>
          <w:b w:val="0"/>
          <w:u w:val="none"/>
        </w:rPr>
        <w:t xml:space="preserve">and the burden of osteoporosis </w:t>
      </w:r>
      <w:r w:rsidRPr="008368D4">
        <w:rPr>
          <w:b w:val="0"/>
          <w:u w:val="none"/>
        </w:rPr>
        <w:t xml:space="preserve">on </w:t>
      </w:r>
      <w:r w:rsidR="00240DB8">
        <w:rPr>
          <w:b w:val="0"/>
          <w:u w:val="none"/>
        </w:rPr>
        <w:t>populations</w:t>
      </w:r>
      <w:r w:rsidRPr="008368D4">
        <w:rPr>
          <w:b w:val="0"/>
          <w:u w:val="none"/>
        </w:rPr>
        <w:t xml:space="preserve"> using international cohorts.</w:t>
      </w:r>
    </w:p>
    <w:p w14:paraId="7613217B" w14:textId="77777777" w:rsidR="007A40C5" w:rsidRPr="00C76D22" w:rsidRDefault="007A40C5" w:rsidP="00240DB8">
      <w:pPr>
        <w:pStyle w:val="doublespaced"/>
        <w:spacing w:line="360" w:lineRule="auto"/>
        <w:jc w:val="both"/>
        <w:rPr>
          <w:b w:val="0"/>
          <w:u w:val="none"/>
        </w:rPr>
      </w:pPr>
    </w:p>
    <w:p w14:paraId="56F866D4" w14:textId="77777777" w:rsidR="007A40C5" w:rsidRPr="00C76D22" w:rsidRDefault="007A40C5" w:rsidP="00240DB8">
      <w:pPr>
        <w:pStyle w:val="doublespaced"/>
        <w:spacing w:line="360" w:lineRule="auto"/>
        <w:jc w:val="both"/>
        <w:rPr>
          <w:rFonts w:cstheme="minorHAnsi"/>
          <w:sz w:val="24"/>
          <w:szCs w:val="24"/>
        </w:rPr>
      </w:pPr>
      <w:r w:rsidRPr="00C76D22">
        <w:rPr>
          <w:rFonts w:cstheme="minorHAnsi"/>
          <w:sz w:val="24"/>
          <w:szCs w:val="24"/>
        </w:rPr>
        <w:t>Diagnosis of Osteoporosis</w:t>
      </w:r>
      <w:r>
        <w:rPr>
          <w:rFonts w:cstheme="minorHAnsi"/>
          <w:sz w:val="24"/>
          <w:szCs w:val="24"/>
        </w:rPr>
        <w:t xml:space="preserve"> </w:t>
      </w:r>
    </w:p>
    <w:p w14:paraId="128DADE8" w14:textId="00603505" w:rsidR="007A40C5" w:rsidRDefault="007A40C5" w:rsidP="00240DB8">
      <w:pPr>
        <w:pStyle w:val="doublespaced"/>
        <w:spacing w:line="360" w:lineRule="auto"/>
        <w:jc w:val="both"/>
        <w:rPr>
          <w:b w:val="0"/>
          <w:u w:val="none"/>
        </w:rPr>
      </w:pPr>
      <w:r>
        <w:rPr>
          <w:b w:val="0"/>
          <w:u w:val="none"/>
        </w:rPr>
        <w:t>Non</w:t>
      </w:r>
      <w:r w:rsidRPr="00C76D22">
        <w:rPr>
          <w:b w:val="0"/>
          <w:u w:val="none"/>
        </w:rPr>
        <w:t>-invasive imaging technique</w:t>
      </w:r>
      <w:r>
        <w:rPr>
          <w:b w:val="0"/>
          <w:u w:val="none"/>
        </w:rPr>
        <w:t>s</w:t>
      </w:r>
      <w:r w:rsidR="00240DB8">
        <w:rPr>
          <w:b w:val="0"/>
          <w:u w:val="none"/>
        </w:rPr>
        <w:t>,</w:t>
      </w:r>
      <w:r w:rsidRPr="00C76D22">
        <w:rPr>
          <w:b w:val="0"/>
          <w:u w:val="none"/>
        </w:rPr>
        <w:t xml:space="preserve"> in particular DXA scan</w:t>
      </w:r>
      <w:r>
        <w:rPr>
          <w:b w:val="0"/>
          <w:u w:val="none"/>
        </w:rPr>
        <w:t>ning</w:t>
      </w:r>
      <w:r w:rsidR="00240DB8">
        <w:rPr>
          <w:b w:val="0"/>
          <w:u w:val="none"/>
        </w:rPr>
        <w:t>,</w:t>
      </w:r>
      <w:r w:rsidRPr="00C76D22">
        <w:rPr>
          <w:b w:val="0"/>
          <w:u w:val="none"/>
        </w:rPr>
        <w:t xml:space="preserve"> has </w:t>
      </w:r>
      <w:r>
        <w:rPr>
          <w:b w:val="0"/>
          <w:u w:val="none"/>
        </w:rPr>
        <w:t>been adopted</w:t>
      </w:r>
      <w:r w:rsidRPr="00C76D22">
        <w:rPr>
          <w:b w:val="0"/>
          <w:u w:val="none"/>
        </w:rPr>
        <w:t xml:space="preserve"> as </w:t>
      </w:r>
      <w:r>
        <w:rPr>
          <w:b w:val="0"/>
          <w:u w:val="none"/>
        </w:rPr>
        <w:t xml:space="preserve">the </w:t>
      </w:r>
      <w:r w:rsidRPr="00C76D22">
        <w:rPr>
          <w:b w:val="0"/>
          <w:u w:val="none"/>
        </w:rPr>
        <w:t xml:space="preserve">method of measuring BMD and this has been universally accepted as the </w:t>
      </w:r>
      <w:r>
        <w:rPr>
          <w:b w:val="0"/>
          <w:u w:val="none"/>
        </w:rPr>
        <w:t>gold standard</w:t>
      </w:r>
      <w:r w:rsidRPr="00C76D22">
        <w:rPr>
          <w:b w:val="0"/>
          <w:u w:val="none"/>
        </w:rPr>
        <w:t xml:space="preserve"> for diagnosing osteoporosis</w:t>
      </w:r>
      <w:r>
        <w:rPr>
          <w:b w:val="0"/>
          <w:u w:val="none"/>
        </w:rPr>
        <w:t xml:space="preserve"> </w:t>
      </w:r>
      <w:r>
        <w:rPr>
          <w:b w:val="0"/>
          <w:noProof/>
          <w:u w:val="none"/>
        </w:rPr>
        <w:t>[5]</w:t>
      </w:r>
      <w:r w:rsidRPr="00C76D22">
        <w:rPr>
          <w:b w:val="0"/>
          <w:u w:val="none"/>
        </w:rPr>
        <w:t xml:space="preserve">. </w:t>
      </w:r>
      <w:r>
        <w:rPr>
          <w:b w:val="0"/>
          <w:u w:val="none"/>
        </w:rPr>
        <w:t>BMD has an excellent predictive ability for future fracture and its p</w:t>
      </w:r>
      <w:r w:rsidRPr="004A71D7">
        <w:rPr>
          <w:b w:val="0"/>
          <w:u w:val="none"/>
        </w:rPr>
        <w:t xml:space="preserve">redictive ability </w:t>
      </w:r>
      <w:r>
        <w:rPr>
          <w:b w:val="0"/>
          <w:u w:val="none"/>
        </w:rPr>
        <w:t>is not only comparable to that of blood pressure with stroke, it is</w:t>
      </w:r>
      <w:r w:rsidRPr="004A71D7">
        <w:rPr>
          <w:b w:val="0"/>
          <w:u w:val="none"/>
        </w:rPr>
        <w:t xml:space="preserve"> </w:t>
      </w:r>
      <w:r>
        <w:rPr>
          <w:b w:val="0"/>
          <w:u w:val="none"/>
        </w:rPr>
        <w:t xml:space="preserve">superior to the predictive power of </w:t>
      </w:r>
      <w:r w:rsidRPr="004A71D7">
        <w:rPr>
          <w:b w:val="0"/>
          <w:u w:val="none"/>
        </w:rPr>
        <w:t>serum cholesterol concentration for cardiovascular disease</w:t>
      </w:r>
      <w:r>
        <w:rPr>
          <w:b w:val="0"/>
          <w:u w:val="none"/>
        </w:rPr>
        <w:t xml:space="preserve"> </w:t>
      </w:r>
      <w:r>
        <w:rPr>
          <w:b w:val="0"/>
          <w:noProof/>
          <w:u w:val="none"/>
        </w:rPr>
        <w:t>[6]</w:t>
      </w:r>
      <w:r>
        <w:rPr>
          <w:b w:val="0"/>
          <w:u w:val="none"/>
        </w:rPr>
        <w:t xml:space="preserve">. </w:t>
      </w:r>
      <w:r w:rsidRPr="00C76D22">
        <w:rPr>
          <w:b w:val="0"/>
          <w:u w:val="none"/>
        </w:rPr>
        <w:t xml:space="preserve">However, it is important to </w:t>
      </w:r>
      <w:r>
        <w:rPr>
          <w:b w:val="0"/>
          <w:u w:val="none"/>
        </w:rPr>
        <w:t>recognise that fracture may not occur despite the presence of osteoporosis.</w:t>
      </w:r>
    </w:p>
    <w:p w14:paraId="60555D6B" w14:textId="65BA3CC3" w:rsidR="007A40C5" w:rsidRDefault="007A40C5" w:rsidP="00240DB8">
      <w:pPr>
        <w:pStyle w:val="doublespaced"/>
        <w:spacing w:line="360" w:lineRule="auto"/>
        <w:jc w:val="both"/>
        <w:rPr>
          <w:b w:val="0"/>
          <w:u w:val="none"/>
        </w:rPr>
      </w:pPr>
      <w:r>
        <w:rPr>
          <w:b w:val="0"/>
          <w:u w:val="none"/>
        </w:rPr>
        <w:t>The original WHO criteria for diagnosis of osteoporosis set</w:t>
      </w:r>
      <w:r w:rsidRPr="00C76D22">
        <w:rPr>
          <w:b w:val="0"/>
          <w:u w:val="none"/>
        </w:rPr>
        <w:t xml:space="preserve"> the numeric</w:t>
      </w:r>
      <w:r>
        <w:rPr>
          <w:b w:val="0"/>
          <w:u w:val="none"/>
        </w:rPr>
        <w:t>al</w:t>
      </w:r>
      <w:r w:rsidRPr="00C76D22">
        <w:rPr>
          <w:b w:val="0"/>
          <w:u w:val="none"/>
        </w:rPr>
        <w:t xml:space="preserve"> value </w:t>
      </w:r>
      <w:r>
        <w:rPr>
          <w:b w:val="0"/>
          <w:u w:val="none"/>
        </w:rPr>
        <w:t xml:space="preserve">of BMD value at </w:t>
      </w:r>
      <w:r>
        <w:rPr>
          <w:rFonts w:cstheme="minorHAnsi"/>
          <w:b w:val="0"/>
          <w:u w:val="none"/>
        </w:rPr>
        <w:t>≤</w:t>
      </w:r>
      <w:r>
        <w:rPr>
          <w:b w:val="0"/>
          <w:u w:val="none"/>
        </w:rPr>
        <w:t>2.5 SD of</w:t>
      </w:r>
      <w:r w:rsidRPr="00C76D22">
        <w:rPr>
          <w:b w:val="0"/>
          <w:u w:val="none"/>
        </w:rPr>
        <w:t xml:space="preserve"> the mean for a young adult at any site (spine, hip and mid-radius)</w:t>
      </w:r>
      <w:r>
        <w:rPr>
          <w:b w:val="0"/>
          <w:u w:val="none"/>
        </w:rPr>
        <w:t xml:space="preserve"> </w:t>
      </w:r>
      <w:r>
        <w:rPr>
          <w:b w:val="0"/>
          <w:noProof/>
          <w:u w:val="none"/>
        </w:rPr>
        <w:t>[5]</w:t>
      </w:r>
      <w:r>
        <w:rPr>
          <w:b w:val="0"/>
          <w:u w:val="none"/>
        </w:rPr>
        <w:t xml:space="preserve">. The latest European guideline published in 2019 states the </w:t>
      </w:r>
      <w:r w:rsidRPr="003E00F1">
        <w:rPr>
          <w:b w:val="0"/>
          <w:u w:val="none"/>
        </w:rPr>
        <w:t xml:space="preserve">T score of BMD assessed by DXA </w:t>
      </w:r>
      <w:r>
        <w:rPr>
          <w:b w:val="0"/>
          <w:u w:val="none"/>
        </w:rPr>
        <w:t xml:space="preserve">should be taken </w:t>
      </w:r>
      <w:r w:rsidRPr="003E00F1">
        <w:rPr>
          <w:b w:val="0"/>
          <w:u w:val="none"/>
        </w:rPr>
        <w:t>at</w:t>
      </w:r>
      <w:r>
        <w:rPr>
          <w:b w:val="0"/>
          <w:u w:val="none"/>
        </w:rPr>
        <w:t xml:space="preserve"> the</w:t>
      </w:r>
      <w:r w:rsidRPr="003E00F1">
        <w:rPr>
          <w:b w:val="0"/>
          <w:u w:val="none"/>
        </w:rPr>
        <w:t xml:space="preserve"> femoral</w:t>
      </w:r>
      <w:r>
        <w:rPr>
          <w:b w:val="0"/>
          <w:u w:val="none"/>
        </w:rPr>
        <w:t xml:space="preserve"> neck or spine </w:t>
      </w:r>
      <w:r>
        <w:rPr>
          <w:b w:val="0"/>
          <w:noProof/>
          <w:u w:val="none"/>
        </w:rPr>
        <w:t>[7</w:t>
      </w:r>
      <w:r w:rsidR="00081009">
        <w:rPr>
          <w:b w:val="0"/>
          <w:noProof/>
          <w:u w:val="none"/>
        </w:rPr>
        <w:t>**</w:t>
      </w:r>
      <w:r>
        <w:rPr>
          <w:b w:val="0"/>
          <w:noProof/>
          <w:u w:val="none"/>
        </w:rPr>
        <w:t xml:space="preserve">] </w:t>
      </w:r>
      <w:r>
        <w:rPr>
          <w:b w:val="0"/>
          <w:u w:val="none"/>
        </w:rPr>
        <w:t xml:space="preserve">which was also echoed in the National Osteoporosis Foundation guidelines </w:t>
      </w:r>
      <w:r>
        <w:rPr>
          <w:b w:val="0"/>
          <w:noProof/>
          <w:u w:val="none"/>
        </w:rPr>
        <w:t>[8]</w:t>
      </w:r>
      <w:r>
        <w:rPr>
          <w:b w:val="0"/>
          <w:u w:val="none"/>
        </w:rPr>
        <w:t xml:space="preserve">. </w:t>
      </w:r>
      <w:r>
        <w:rPr>
          <w:b w:val="0"/>
          <w:u w:val="none"/>
        </w:rPr>
        <w:lastRenderedPageBreak/>
        <w:t xml:space="preserve">However, the National Osteoporosis Guideline Group’s guidelines in 2017 highlighted that measurements made at the femoral neck has a higher predictive value for fracture risk </w:t>
      </w:r>
      <w:r>
        <w:rPr>
          <w:b w:val="0"/>
          <w:noProof/>
          <w:u w:val="none"/>
        </w:rPr>
        <w:t>[9]</w:t>
      </w:r>
      <w:r>
        <w:rPr>
          <w:b w:val="0"/>
          <w:u w:val="none"/>
        </w:rPr>
        <w:t xml:space="preserve">, as the accuracy of measurement at spine can be affected by degenerative changes, and should therefore avoided in older adults where degenerative change is common </w:t>
      </w:r>
      <w:r>
        <w:rPr>
          <w:b w:val="0"/>
          <w:noProof/>
          <w:u w:val="none"/>
        </w:rPr>
        <w:t>[9, 10]</w:t>
      </w:r>
      <w:r>
        <w:rPr>
          <w:b w:val="0"/>
          <w:u w:val="none"/>
        </w:rPr>
        <w:t xml:space="preserve">. </w:t>
      </w:r>
    </w:p>
    <w:p w14:paraId="45EDBE4B" w14:textId="77777777" w:rsidR="007A40C5" w:rsidRDefault="007A40C5" w:rsidP="00240DB8">
      <w:pPr>
        <w:pStyle w:val="doublespaced"/>
        <w:spacing w:line="360" w:lineRule="auto"/>
        <w:jc w:val="both"/>
        <w:rPr>
          <w:b w:val="0"/>
          <w:u w:val="none"/>
        </w:rPr>
      </w:pPr>
    </w:p>
    <w:p w14:paraId="4CAA16B7" w14:textId="77777777" w:rsidR="007A40C5" w:rsidRPr="00887396" w:rsidRDefault="007A40C5" w:rsidP="00240DB8">
      <w:pPr>
        <w:pStyle w:val="doublespaced"/>
        <w:spacing w:line="360" w:lineRule="auto"/>
        <w:jc w:val="both"/>
        <w:rPr>
          <w:sz w:val="24"/>
          <w:szCs w:val="24"/>
        </w:rPr>
      </w:pPr>
      <w:r w:rsidRPr="00887396">
        <w:rPr>
          <w:sz w:val="24"/>
          <w:szCs w:val="24"/>
        </w:rPr>
        <w:t xml:space="preserve">Prevalence and Incidence of Osteoporotic Fractures </w:t>
      </w:r>
    </w:p>
    <w:p w14:paraId="343651A8" w14:textId="1FD05280" w:rsidR="007A40C5" w:rsidRDefault="007A40C5" w:rsidP="00240DB8">
      <w:pPr>
        <w:pStyle w:val="doublespaced"/>
        <w:spacing w:line="360" w:lineRule="auto"/>
        <w:jc w:val="both"/>
        <w:rPr>
          <w:b w:val="0"/>
          <w:u w:val="none"/>
        </w:rPr>
      </w:pPr>
      <w:r>
        <w:rPr>
          <w:b w:val="0"/>
          <w:u w:val="none"/>
        </w:rPr>
        <w:t xml:space="preserve">The IOF EU6 report estimates approximately 16 million women and 4 million men are affected by osteoporosis, and that prevalence is evenly spread out across the 6 countries in the EU </w:t>
      </w:r>
      <w:r>
        <w:rPr>
          <w:b w:val="0"/>
          <w:noProof/>
          <w:u w:val="none"/>
        </w:rPr>
        <w:t>[2]</w:t>
      </w:r>
      <w:r>
        <w:rPr>
          <w:b w:val="0"/>
          <w:u w:val="none"/>
        </w:rPr>
        <w:t xml:space="preserve">. Osteoporosis can increase the risk of fracture but the actual risk of developing fracture is dependent upon many factors including fracture site, gender, and country. Vertebral fracture (VF), one of the most common osteoporotic fractures, has been closely studied in the past few years. It is often clinically silent, but can be associated with significant disease burden </w:t>
      </w:r>
      <w:r>
        <w:rPr>
          <w:b w:val="0"/>
          <w:noProof/>
          <w:u w:val="none"/>
        </w:rPr>
        <w:t>[11]</w:t>
      </w:r>
      <w:r>
        <w:rPr>
          <w:b w:val="0"/>
          <w:u w:val="none"/>
        </w:rPr>
        <w:t xml:space="preserve">, and has very important implications for future fracture risk </w:t>
      </w:r>
      <w:r>
        <w:rPr>
          <w:b w:val="0"/>
          <w:noProof/>
          <w:u w:val="none"/>
        </w:rPr>
        <w:t>[12</w:t>
      </w:r>
      <w:r w:rsidR="00081009">
        <w:rPr>
          <w:b w:val="0"/>
          <w:noProof/>
          <w:u w:val="none"/>
        </w:rPr>
        <w:t>*</w:t>
      </w:r>
      <w:r>
        <w:rPr>
          <w:b w:val="0"/>
          <w:noProof/>
          <w:u w:val="none"/>
        </w:rPr>
        <w:t>]</w:t>
      </w:r>
      <w:r>
        <w:rPr>
          <w:b w:val="0"/>
          <w:u w:val="none"/>
        </w:rPr>
        <w:t xml:space="preserve">. There is currently no definitive method of clinically diagnosing vertebral fractures. There are four main approaches: </w:t>
      </w:r>
      <w:r w:rsidRPr="00FB44E1">
        <w:rPr>
          <w:b w:val="0"/>
          <w:u w:val="none"/>
        </w:rPr>
        <w:t>qualitative visual assessment</w:t>
      </w:r>
      <w:r>
        <w:rPr>
          <w:b w:val="0"/>
          <w:u w:val="none"/>
        </w:rPr>
        <w:t xml:space="preserve">, semi-quantitative method, </w:t>
      </w:r>
      <w:r w:rsidRPr="00A93E5A">
        <w:rPr>
          <w:b w:val="0"/>
          <w:u w:val="none"/>
        </w:rPr>
        <w:t>pure morphometric analysis</w:t>
      </w:r>
      <w:r>
        <w:rPr>
          <w:b w:val="0"/>
          <w:u w:val="none"/>
        </w:rPr>
        <w:t xml:space="preserve">, and </w:t>
      </w:r>
      <w:r w:rsidRPr="00A93E5A">
        <w:rPr>
          <w:b w:val="0"/>
          <w:u w:val="none"/>
        </w:rPr>
        <w:t>algorithm-based qualitative (ABQ) method</w:t>
      </w:r>
      <w:r>
        <w:rPr>
          <w:b w:val="0"/>
          <w:u w:val="none"/>
        </w:rPr>
        <w:t xml:space="preserve">. The most widely used methodology is the semi-quantitative method described by Genant et al </w:t>
      </w:r>
      <w:r>
        <w:rPr>
          <w:b w:val="0"/>
          <w:noProof/>
          <w:u w:val="none"/>
        </w:rPr>
        <w:t>[13]</w:t>
      </w:r>
      <w:r>
        <w:rPr>
          <w:b w:val="0"/>
          <w:u w:val="none"/>
        </w:rPr>
        <w:t>. This is also the methodology endorsed by t</w:t>
      </w:r>
      <w:r w:rsidRPr="00C738E7">
        <w:rPr>
          <w:b w:val="0"/>
          <w:u w:val="none"/>
        </w:rPr>
        <w:t>he International Society for Clinical Densitometry</w:t>
      </w:r>
      <w:r>
        <w:rPr>
          <w:b w:val="0"/>
          <w:u w:val="none"/>
        </w:rPr>
        <w:t xml:space="preserve"> ISCD, and IOF </w:t>
      </w:r>
      <w:r>
        <w:rPr>
          <w:b w:val="0"/>
          <w:noProof/>
          <w:u w:val="none"/>
        </w:rPr>
        <w:t>[14, 15]</w:t>
      </w:r>
      <w:r>
        <w:rPr>
          <w:b w:val="0"/>
          <w:u w:val="none"/>
        </w:rPr>
        <w:t xml:space="preserve">. </w:t>
      </w:r>
    </w:p>
    <w:p w14:paraId="22E77871" w14:textId="77777777" w:rsidR="007A40C5" w:rsidRPr="00C41840" w:rsidRDefault="007A40C5" w:rsidP="00240DB8">
      <w:pPr>
        <w:pStyle w:val="doublespaced"/>
        <w:spacing w:line="360" w:lineRule="auto"/>
        <w:jc w:val="both"/>
        <w:rPr>
          <w:b w:val="0"/>
          <w:u w:val="none"/>
        </w:rPr>
      </w:pPr>
    </w:p>
    <w:p w14:paraId="25045BCC" w14:textId="77777777" w:rsidR="007A40C5" w:rsidRPr="00F357F5" w:rsidRDefault="007A40C5" w:rsidP="00240DB8">
      <w:pPr>
        <w:pStyle w:val="doublespaced"/>
        <w:spacing w:line="360" w:lineRule="auto"/>
        <w:jc w:val="both"/>
        <w:rPr>
          <w:u w:val="none"/>
        </w:rPr>
      </w:pPr>
      <w:r w:rsidRPr="00F357F5">
        <w:rPr>
          <w:u w:val="none"/>
        </w:rPr>
        <w:t>Vertebral Fracture</w:t>
      </w:r>
    </w:p>
    <w:p w14:paraId="3342654C" w14:textId="77777777" w:rsidR="007A40C5" w:rsidRDefault="007A40C5" w:rsidP="00240DB8">
      <w:pPr>
        <w:pStyle w:val="doublespaced"/>
        <w:spacing w:line="360" w:lineRule="auto"/>
        <w:jc w:val="both"/>
        <w:rPr>
          <w:rFonts w:cstheme="minorHAnsi"/>
          <w:b w:val="0"/>
          <w:u w:val="none"/>
        </w:rPr>
      </w:pPr>
      <w:r w:rsidRPr="00AF45B7">
        <w:rPr>
          <w:b w:val="0"/>
          <w:u w:val="none"/>
        </w:rPr>
        <w:t>Prevalence of VF</w:t>
      </w:r>
      <w:r>
        <w:rPr>
          <w:b w:val="0"/>
          <w:u w:val="none"/>
        </w:rPr>
        <w:t xml:space="preserve"> for women varies from region to region; in Europe the highest rate was seen in Scandinavia (26%) and the lowest in Eastern Europe (18%), and in Asia the highest was observed in Japan (24%), and the lowest in Indonesia (9%) </w:t>
      </w:r>
      <w:r>
        <w:rPr>
          <w:b w:val="0"/>
          <w:noProof/>
          <w:u w:val="none"/>
        </w:rPr>
        <w:t>[16]</w:t>
      </w:r>
      <w:r>
        <w:rPr>
          <w:b w:val="0"/>
          <w:u w:val="none"/>
        </w:rPr>
        <w:t>. Recent studies</w:t>
      </w:r>
      <w:r>
        <w:rPr>
          <w:rFonts w:cstheme="minorHAnsi"/>
          <w:b w:val="0"/>
          <w:u w:val="none"/>
        </w:rPr>
        <w:t xml:space="preserve"> reported a prevalence rate of 4.3% in </w:t>
      </w:r>
      <w:r>
        <w:rPr>
          <w:b w:val="0"/>
          <w:u w:val="none"/>
        </w:rPr>
        <w:t xml:space="preserve">a Spanish cohort of </w:t>
      </w:r>
      <w:r w:rsidRPr="00CC21F1">
        <w:rPr>
          <w:rFonts w:cstheme="minorHAnsi"/>
          <w:b w:val="0"/>
          <w:u w:val="none"/>
        </w:rPr>
        <w:t>postmenopausal women</w:t>
      </w:r>
      <w:r>
        <w:rPr>
          <w:rFonts w:cstheme="minorHAnsi"/>
          <w:b w:val="0"/>
          <w:u w:val="none"/>
        </w:rPr>
        <w:t xml:space="preserve"> </w:t>
      </w:r>
      <w:r>
        <w:rPr>
          <w:rFonts w:cstheme="minorHAnsi"/>
          <w:b w:val="0"/>
          <w:noProof/>
          <w:u w:val="none"/>
        </w:rPr>
        <w:t>[17]</w:t>
      </w:r>
      <w:r>
        <w:rPr>
          <w:rFonts w:cstheme="minorHAnsi"/>
          <w:b w:val="0"/>
          <w:u w:val="none"/>
        </w:rPr>
        <w:t xml:space="preserve">, which is lower than observed previously </w:t>
      </w:r>
      <w:r>
        <w:rPr>
          <w:rFonts w:cstheme="minorHAnsi"/>
          <w:b w:val="0"/>
          <w:noProof/>
          <w:u w:val="none"/>
        </w:rPr>
        <w:t>[16]</w:t>
      </w:r>
      <w:r>
        <w:rPr>
          <w:rFonts w:cstheme="minorHAnsi"/>
          <w:b w:val="0"/>
          <w:u w:val="none"/>
        </w:rPr>
        <w:t xml:space="preserve"> while recent prevalence data in women noted from a Japanese study was 19.1% </w:t>
      </w:r>
      <w:r>
        <w:rPr>
          <w:rFonts w:cstheme="minorHAnsi"/>
          <w:b w:val="0"/>
          <w:noProof/>
          <w:u w:val="none"/>
        </w:rPr>
        <w:t>[18]</w:t>
      </w:r>
      <w:r>
        <w:rPr>
          <w:rFonts w:cstheme="minorHAnsi"/>
          <w:b w:val="0"/>
          <w:u w:val="none"/>
        </w:rPr>
        <w:t>. The variation amongst the regions is likely to be partially due to ethnic differences, however the sharp decrease in prevalence rate noted in Spain compared with the Japanese data begs the question whether this reflects differences in secular trends between East and West.</w:t>
      </w:r>
    </w:p>
    <w:p w14:paraId="1534D354" w14:textId="77777777" w:rsidR="007A40C5" w:rsidRDefault="007A40C5" w:rsidP="00240DB8">
      <w:pPr>
        <w:pStyle w:val="doublespaced"/>
        <w:spacing w:line="360" w:lineRule="auto"/>
        <w:jc w:val="both"/>
        <w:rPr>
          <w:rFonts w:cstheme="minorHAnsi"/>
          <w:b w:val="0"/>
          <w:u w:val="none"/>
        </w:rPr>
      </w:pPr>
    </w:p>
    <w:p w14:paraId="269BF244" w14:textId="6E765718" w:rsidR="007A40C5" w:rsidRDefault="00240DB8" w:rsidP="00240DB8">
      <w:pPr>
        <w:pStyle w:val="doublespaced"/>
        <w:spacing w:line="360" w:lineRule="auto"/>
        <w:jc w:val="both"/>
        <w:rPr>
          <w:rFonts w:cstheme="minorHAnsi"/>
          <w:b w:val="0"/>
          <w:u w:val="none"/>
        </w:rPr>
      </w:pPr>
      <w:r>
        <w:rPr>
          <w:rFonts w:cstheme="minorHAnsi"/>
          <w:b w:val="0"/>
          <w:u w:val="none"/>
        </w:rPr>
        <w:t>A recent study showed e</w:t>
      </w:r>
      <w:r w:rsidR="007A40C5" w:rsidRPr="001746E7">
        <w:rPr>
          <w:rFonts w:cstheme="minorHAnsi"/>
          <w:b w:val="0"/>
          <w:u w:val="none"/>
        </w:rPr>
        <w:t xml:space="preserve">lderly women, aged &gt;70 years old were more likely to have severe VF than elderly men, but </w:t>
      </w:r>
      <w:r w:rsidR="007A40C5">
        <w:rPr>
          <w:rFonts w:cstheme="minorHAnsi"/>
          <w:b w:val="0"/>
          <w:u w:val="none"/>
        </w:rPr>
        <w:t>an</w:t>
      </w:r>
      <w:r w:rsidR="007A40C5" w:rsidRPr="001746E7">
        <w:rPr>
          <w:rFonts w:cstheme="minorHAnsi"/>
          <w:b w:val="0"/>
          <w:u w:val="none"/>
        </w:rPr>
        <w:t xml:space="preserve"> increase in severe VF was noted in both gender</w:t>
      </w:r>
      <w:r w:rsidR="007A40C5">
        <w:rPr>
          <w:rFonts w:cstheme="minorHAnsi"/>
          <w:b w:val="0"/>
          <w:u w:val="none"/>
        </w:rPr>
        <w:t>s</w:t>
      </w:r>
      <w:r w:rsidR="007A40C5" w:rsidRPr="001746E7">
        <w:rPr>
          <w:rFonts w:cstheme="minorHAnsi"/>
          <w:b w:val="0"/>
          <w:u w:val="none"/>
        </w:rPr>
        <w:t xml:space="preserve"> as age increases </w:t>
      </w:r>
      <w:r w:rsidR="007A40C5">
        <w:rPr>
          <w:rFonts w:cstheme="minorHAnsi"/>
          <w:b w:val="0"/>
          <w:noProof/>
          <w:u w:val="none"/>
        </w:rPr>
        <w:t>[18]</w:t>
      </w:r>
      <w:r w:rsidR="007A40C5" w:rsidRPr="001746E7">
        <w:rPr>
          <w:rFonts w:cstheme="minorHAnsi"/>
          <w:b w:val="0"/>
          <w:u w:val="none"/>
        </w:rPr>
        <w:t xml:space="preserve">. On the </w:t>
      </w:r>
      <w:r w:rsidR="007A40C5" w:rsidRPr="001746E7">
        <w:rPr>
          <w:rFonts w:cstheme="minorHAnsi"/>
          <w:b w:val="0"/>
          <w:u w:val="none"/>
        </w:rPr>
        <w:lastRenderedPageBreak/>
        <w:t xml:space="preserve">contrary, mild VF prevalence was significantly higher in men as a whole than women </w:t>
      </w:r>
      <w:r w:rsidR="007A40C5">
        <w:rPr>
          <w:rFonts w:cstheme="minorHAnsi"/>
          <w:b w:val="0"/>
          <w:noProof/>
          <w:u w:val="none"/>
        </w:rPr>
        <w:t>[16, 18]</w:t>
      </w:r>
      <w:r w:rsidR="007A40C5" w:rsidRPr="001746E7">
        <w:rPr>
          <w:rFonts w:cstheme="minorHAnsi"/>
          <w:b w:val="0"/>
          <w:u w:val="none"/>
        </w:rPr>
        <w:t xml:space="preserve"> and in particular those in their 50s and 60s </w:t>
      </w:r>
      <w:r w:rsidR="007A40C5">
        <w:rPr>
          <w:rFonts w:cstheme="minorHAnsi"/>
          <w:b w:val="0"/>
          <w:noProof/>
          <w:u w:val="none"/>
        </w:rPr>
        <w:t>[18]</w:t>
      </w:r>
      <w:r w:rsidR="007A40C5" w:rsidRPr="001746E7">
        <w:rPr>
          <w:rFonts w:cstheme="minorHAnsi"/>
          <w:b w:val="0"/>
          <w:u w:val="none"/>
        </w:rPr>
        <w:t>. Interestingly back pain was not significantly associated with multiple VF after adjustments, but is significantly associated with severe VF in both men and women</w:t>
      </w:r>
      <w:r w:rsidR="007A40C5">
        <w:rPr>
          <w:rFonts w:cstheme="minorHAnsi"/>
          <w:b w:val="0"/>
          <w:u w:val="none"/>
        </w:rPr>
        <w:t xml:space="preserve"> </w:t>
      </w:r>
      <w:r w:rsidR="007A40C5">
        <w:rPr>
          <w:rFonts w:cstheme="minorHAnsi"/>
          <w:b w:val="0"/>
          <w:noProof/>
          <w:u w:val="none"/>
        </w:rPr>
        <w:t>[18]</w:t>
      </w:r>
      <w:r w:rsidR="007A40C5" w:rsidRPr="001746E7">
        <w:rPr>
          <w:rFonts w:cstheme="minorHAnsi"/>
          <w:b w:val="0"/>
          <w:u w:val="none"/>
        </w:rPr>
        <w:t xml:space="preserve">. This suggests it is the extent of vertebral deformity rather than the number of affected vertebrae causing symptomatic </w:t>
      </w:r>
      <w:r w:rsidR="007A40C5" w:rsidRPr="00C41840">
        <w:rPr>
          <w:rFonts w:cstheme="minorHAnsi"/>
          <w:b w:val="0"/>
          <w:u w:val="none"/>
        </w:rPr>
        <w:t xml:space="preserve">outcomes. After 4 years of follow up from the initial FRODOS study, a population-based cohort of postmenopausal Spanish women, the cumulative incidence rate of VF was 6.6% </w:t>
      </w:r>
      <w:r w:rsidR="007A40C5">
        <w:rPr>
          <w:rFonts w:cstheme="minorHAnsi"/>
          <w:b w:val="0"/>
          <w:noProof/>
          <w:u w:val="none"/>
        </w:rPr>
        <w:t>[17]</w:t>
      </w:r>
      <w:r w:rsidR="007A40C5" w:rsidRPr="00C41840">
        <w:rPr>
          <w:rFonts w:cstheme="minorHAnsi"/>
          <w:b w:val="0"/>
          <w:u w:val="none"/>
        </w:rPr>
        <w:t xml:space="preserve">. </w:t>
      </w:r>
      <w:r w:rsidR="007A40C5">
        <w:rPr>
          <w:rFonts w:cstheme="minorHAnsi"/>
          <w:b w:val="0"/>
          <w:u w:val="none"/>
        </w:rPr>
        <w:t>Risk f</w:t>
      </w:r>
      <w:r w:rsidR="007A40C5" w:rsidRPr="00C41840">
        <w:rPr>
          <w:rFonts w:cstheme="minorHAnsi"/>
          <w:b w:val="0"/>
          <w:u w:val="none"/>
        </w:rPr>
        <w:t>actors affecting the incidence included prevalent VF, minor vertebral deformities, age, lower bone mass, glucocorticoid use, and rheumatoid arthritis</w:t>
      </w:r>
      <w:r w:rsidR="007A40C5">
        <w:rPr>
          <w:rFonts w:cstheme="minorHAnsi"/>
          <w:b w:val="0"/>
          <w:u w:val="none"/>
        </w:rPr>
        <w:t xml:space="preserve"> </w:t>
      </w:r>
      <w:r w:rsidR="007A40C5">
        <w:rPr>
          <w:rFonts w:cstheme="minorHAnsi"/>
          <w:b w:val="0"/>
          <w:noProof/>
          <w:u w:val="none"/>
        </w:rPr>
        <w:t>[17]</w:t>
      </w:r>
      <w:r w:rsidR="007A40C5" w:rsidRPr="00C41840">
        <w:rPr>
          <w:rFonts w:cstheme="minorHAnsi"/>
          <w:b w:val="0"/>
          <w:u w:val="none"/>
        </w:rPr>
        <w:t xml:space="preserve">. </w:t>
      </w:r>
      <w:r w:rsidR="007A40C5">
        <w:rPr>
          <w:rFonts w:cstheme="minorHAnsi"/>
          <w:b w:val="0"/>
          <w:u w:val="none"/>
        </w:rPr>
        <w:t xml:space="preserve">The presence of </w:t>
      </w:r>
      <w:r w:rsidR="007A40C5" w:rsidRPr="00C41840">
        <w:rPr>
          <w:rFonts w:cstheme="minorHAnsi"/>
          <w:b w:val="0"/>
          <w:u w:val="none"/>
        </w:rPr>
        <w:t>baseline VF was associated with five times the increase in relative risk for a new VF, 24% with prevalent fracture and 5.8% without prevalent fracture</w:t>
      </w:r>
      <w:r w:rsidR="007A40C5">
        <w:rPr>
          <w:rFonts w:cstheme="minorHAnsi"/>
          <w:b w:val="0"/>
          <w:u w:val="none"/>
        </w:rPr>
        <w:t xml:space="preserve"> </w:t>
      </w:r>
      <w:r w:rsidR="007A40C5">
        <w:rPr>
          <w:rFonts w:cstheme="minorHAnsi"/>
          <w:b w:val="0"/>
          <w:noProof/>
          <w:u w:val="none"/>
        </w:rPr>
        <w:t>[17]</w:t>
      </w:r>
      <w:r w:rsidR="007A40C5" w:rsidRPr="00C41840">
        <w:rPr>
          <w:rFonts w:cstheme="minorHAnsi"/>
          <w:b w:val="0"/>
          <w:u w:val="none"/>
        </w:rPr>
        <w:t xml:space="preserve">. </w:t>
      </w:r>
    </w:p>
    <w:p w14:paraId="47A9EFBF" w14:textId="77777777" w:rsidR="007A40C5" w:rsidRPr="00C41840" w:rsidRDefault="007A40C5" w:rsidP="00240DB8">
      <w:pPr>
        <w:pStyle w:val="doublespaced"/>
        <w:spacing w:line="360" w:lineRule="auto"/>
        <w:jc w:val="both"/>
        <w:rPr>
          <w:rFonts w:cstheme="minorHAnsi"/>
          <w:b w:val="0"/>
          <w:u w:val="none"/>
        </w:rPr>
      </w:pPr>
    </w:p>
    <w:p w14:paraId="5D5F5271" w14:textId="77777777" w:rsidR="007A40C5" w:rsidRPr="00C132DC" w:rsidRDefault="007A40C5" w:rsidP="00240DB8">
      <w:pPr>
        <w:pStyle w:val="doublespaced"/>
        <w:spacing w:line="360" w:lineRule="auto"/>
        <w:jc w:val="both"/>
        <w:rPr>
          <w:rFonts w:cstheme="minorHAnsi"/>
          <w:u w:val="none"/>
        </w:rPr>
      </w:pPr>
      <w:r w:rsidRPr="00C132DC">
        <w:rPr>
          <w:rFonts w:cstheme="minorHAnsi"/>
          <w:u w:val="none"/>
        </w:rPr>
        <w:t>Fragility Fracture</w:t>
      </w:r>
    </w:p>
    <w:p w14:paraId="2CEAB402" w14:textId="2EB78BBD" w:rsidR="007A40C5" w:rsidRDefault="007A40C5" w:rsidP="00240DB8">
      <w:pPr>
        <w:pStyle w:val="doublespaced"/>
        <w:spacing w:line="360" w:lineRule="auto"/>
        <w:jc w:val="both"/>
        <w:rPr>
          <w:b w:val="0"/>
          <w:u w:val="none"/>
        </w:rPr>
      </w:pPr>
      <w:r w:rsidRPr="00C132DC">
        <w:rPr>
          <w:b w:val="0"/>
          <w:u w:val="none"/>
        </w:rPr>
        <w:t xml:space="preserve">Fragility fracture is commonly </w:t>
      </w:r>
      <w:r w:rsidR="00240DB8">
        <w:rPr>
          <w:b w:val="0"/>
          <w:u w:val="none"/>
        </w:rPr>
        <w:t>defined according to</w:t>
      </w:r>
      <w:r w:rsidRPr="00C132DC">
        <w:rPr>
          <w:b w:val="0"/>
          <w:u w:val="none"/>
        </w:rPr>
        <w:t xml:space="preserve"> sites affected including hip, vertebral, wrist and </w:t>
      </w:r>
      <w:proofErr w:type="spellStart"/>
      <w:r w:rsidRPr="00C132DC">
        <w:rPr>
          <w:b w:val="0"/>
          <w:u w:val="none"/>
        </w:rPr>
        <w:t>humerus</w:t>
      </w:r>
      <w:proofErr w:type="spellEnd"/>
      <w:r w:rsidRPr="00C132DC">
        <w:rPr>
          <w:b w:val="0"/>
          <w:u w:val="none"/>
        </w:rPr>
        <w:t xml:space="preserve">. Hip fracture and its impact has been well documented in </w:t>
      </w:r>
      <w:r>
        <w:rPr>
          <w:b w:val="0"/>
          <w:u w:val="none"/>
        </w:rPr>
        <w:t xml:space="preserve">the scientific </w:t>
      </w:r>
      <w:r w:rsidRPr="00C132DC">
        <w:rPr>
          <w:b w:val="0"/>
          <w:u w:val="none"/>
        </w:rPr>
        <w:t>literature. However recently the Dubbo Osteoporosis Epidemiology Study (DOES), one of the world’s longest running longitudinal cohort studying osteoporosis, has highlighted</w:t>
      </w:r>
      <w:r>
        <w:rPr>
          <w:b w:val="0"/>
          <w:u w:val="none"/>
        </w:rPr>
        <w:t xml:space="preserve"> the</w:t>
      </w:r>
      <w:r w:rsidRPr="00C132DC">
        <w:rPr>
          <w:b w:val="0"/>
          <w:u w:val="none"/>
        </w:rPr>
        <w:t xml:space="preserve"> incidence of non-hip and non-vertebral fractures dominates in all age groups and </w:t>
      </w:r>
      <w:r>
        <w:rPr>
          <w:b w:val="0"/>
          <w:u w:val="none"/>
        </w:rPr>
        <w:t xml:space="preserve">that </w:t>
      </w:r>
      <w:r w:rsidRPr="00C132DC">
        <w:rPr>
          <w:b w:val="0"/>
          <w:u w:val="none"/>
        </w:rPr>
        <w:t>this incidence is higher than that of either hip or vertebral fractures alone</w:t>
      </w:r>
      <w:r>
        <w:rPr>
          <w:b w:val="0"/>
          <w:u w:val="none"/>
        </w:rPr>
        <w:t xml:space="preserve"> </w:t>
      </w:r>
      <w:r>
        <w:rPr>
          <w:b w:val="0"/>
          <w:noProof/>
          <w:u w:val="none"/>
        </w:rPr>
        <w:t>[19</w:t>
      </w:r>
      <w:r w:rsidR="003A1D7B">
        <w:rPr>
          <w:b w:val="0"/>
          <w:noProof/>
          <w:u w:val="none"/>
        </w:rPr>
        <w:t>*</w:t>
      </w:r>
      <w:r>
        <w:rPr>
          <w:b w:val="0"/>
          <w:noProof/>
          <w:u w:val="none"/>
        </w:rPr>
        <w:t>]</w:t>
      </w:r>
      <w:r>
        <w:rPr>
          <w:b w:val="0"/>
          <w:u w:val="none"/>
        </w:rPr>
        <w:t xml:space="preserve"> t</w:t>
      </w:r>
      <w:r w:rsidRPr="00C132DC">
        <w:rPr>
          <w:b w:val="0"/>
          <w:u w:val="none"/>
        </w:rPr>
        <w:t>herefore</w:t>
      </w:r>
      <w:r>
        <w:rPr>
          <w:b w:val="0"/>
          <w:u w:val="none"/>
        </w:rPr>
        <w:t>, highlighting the need to include our focus on non-</w:t>
      </w:r>
      <w:r w:rsidRPr="00C132DC">
        <w:rPr>
          <w:b w:val="0"/>
          <w:u w:val="none"/>
        </w:rPr>
        <w:t xml:space="preserve">hip and </w:t>
      </w:r>
      <w:r>
        <w:rPr>
          <w:b w:val="0"/>
          <w:u w:val="none"/>
        </w:rPr>
        <w:t>non-</w:t>
      </w:r>
      <w:r w:rsidRPr="00C132DC">
        <w:rPr>
          <w:b w:val="0"/>
          <w:u w:val="none"/>
        </w:rPr>
        <w:t xml:space="preserve">vertebral fractures on prevention and management. </w:t>
      </w:r>
      <w:r>
        <w:rPr>
          <w:b w:val="0"/>
          <w:u w:val="none"/>
        </w:rPr>
        <w:t>Th</w:t>
      </w:r>
      <w:r w:rsidRPr="00C132DC">
        <w:rPr>
          <w:b w:val="0"/>
          <w:u w:val="none"/>
        </w:rPr>
        <w:t xml:space="preserve">e importance of including lumbar BMD in assessment of fracture risk as a proportion of women with significantly lower BMD </w:t>
      </w:r>
      <w:r>
        <w:rPr>
          <w:b w:val="0"/>
          <w:u w:val="none"/>
        </w:rPr>
        <w:t xml:space="preserve">at lumbar </w:t>
      </w:r>
      <w:r w:rsidRPr="00C132DC">
        <w:rPr>
          <w:b w:val="0"/>
          <w:u w:val="none"/>
        </w:rPr>
        <w:t>than that of femoral neck is at a higher absolute risk of fracture</w:t>
      </w:r>
      <w:r>
        <w:rPr>
          <w:b w:val="0"/>
          <w:u w:val="none"/>
        </w:rPr>
        <w:t xml:space="preserve"> was highlighted</w:t>
      </w:r>
      <w:r w:rsidRPr="00D32ACB">
        <w:rPr>
          <w:b w:val="0"/>
          <w:u w:val="none"/>
        </w:rPr>
        <w:t xml:space="preserve"> </w:t>
      </w:r>
      <w:r>
        <w:rPr>
          <w:b w:val="0"/>
          <w:noProof/>
          <w:u w:val="none"/>
        </w:rPr>
        <w:t>[19]</w:t>
      </w:r>
      <w:r>
        <w:rPr>
          <w:b w:val="0"/>
          <w:u w:val="none"/>
        </w:rPr>
        <w:t xml:space="preserve">, although this sits in contrast to recommendations to use femoral BMD where possible due to the high prevalence of degenerative change in older adults. </w:t>
      </w:r>
      <w:r w:rsidRPr="00C132DC">
        <w:rPr>
          <w:b w:val="0"/>
          <w:u w:val="none"/>
        </w:rPr>
        <w:t xml:space="preserve">This risk is more noticeable in those with osteopenic/osteoporotic femoral neck BMD </w:t>
      </w:r>
      <w:r w:rsidR="00240DB8">
        <w:rPr>
          <w:b w:val="0"/>
          <w:u w:val="none"/>
        </w:rPr>
        <w:t xml:space="preserve">values </w:t>
      </w:r>
      <w:r w:rsidRPr="00C132DC">
        <w:rPr>
          <w:b w:val="0"/>
          <w:u w:val="none"/>
        </w:rPr>
        <w:t>or older in age</w:t>
      </w:r>
      <w:r>
        <w:rPr>
          <w:b w:val="0"/>
          <w:u w:val="none"/>
        </w:rPr>
        <w:t xml:space="preserve"> </w:t>
      </w:r>
      <w:r>
        <w:rPr>
          <w:b w:val="0"/>
          <w:noProof/>
          <w:u w:val="none"/>
        </w:rPr>
        <w:t>[19]</w:t>
      </w:r>
      <w:r w:rsidRPr="00C132DC">
        <w:rPr>
          <w:b w:val="0"/>
          <w:u w:val="none"/>
        </w:rPr>
        <w:t>.</w:t>
      </w:r>
    </w:p>
    <w:p w14:paraId="43088D57" w14:textId="77777777" w:rsidR="007A40C5" w:rsidRDefault="007A40C5" w:rsidP="00240DB8">
      <w:pPr>
        <w:pStyle w:val="doublespaced"/>
        <w:spacing w:line="360" w:lineRule="auto"/>
        <w:jc w:val="both"/>
        <w:rPr>
          <w:b w:val="0"/>
          <w:u w:val="none"/>
        </w:rPr>
      </w:pPr>
    </w:p>
    <w:p w14:paraId="3A230990" w14:textId="77777777" w:rsidR="007A40C5" w:rsidRPr="005A1888" w:rsidRDefault="007A40C5" w:rsidP="00240DB8">
      <w:pPr>
        <w:pStyle w:val="doublespaced"/>
        <w:spacing w:line="360" w:lineRule="auto"/>
        <w:jc w:val="both"/>
        <w:rPr>
          <w:u w:val="none"/>
        </w:rPr>
      </w:pPr>
      <w:r w:rsidRPr="005A1888">
        <w:rPr>
          <w:u w:val="none"/>
        </w:rPr>
        <w:t>Secular Trend</w:t>
      </w:r>
      <w:r>
        <w:rPr>
          <w:u w:val="none"/>
        </w:rPr>
        <w:t>s</w:t>
      </w:r>
    </w:p>
    <w:p w14:paraId="6D32B3AC" w14:textId="2825167F" w:rsidR="007A40C5" w:rsidRPr="00D111E8" w:rsidRDefault="007A40C5" w:rsidP="00240DB8">
      <w:pPr>
        <w:pStyle w:val="doublespaced"/>
        <w:spacing w:line="360" w:lineRule="auto"/>
        <w:jc w:val="both"/>
        <w:rPr>
          <w:b w:val="0"/>
          <w:u w:val="none"/>
        </w:rPr>
      </w:pPr>
      <w:r>
        <w:rPr>
          <w:b w:val="0"/>
          <w:u w:val="none"/>
        </w:rPr>
        <w:t xml:space="preserve">A literature on the secular trend of major osteoporotic fractures in various regions continues to emerge. In Denmark, data from 1995 to 2010 showed a general decline in the incidence rate of major osteoporotic fractures in both men and women, but a slight increase in clinical vertebral fractures for men </w:t>
      </w:r>
      <w:r>
        <w:rPr>
          <w:b w:val="0"/>
          <w:noProof/>
          <w:u w:val="none"/>
        </w:rPr>
        <w:t>[20]</w:t>
      </w:r>
      <w:r>
        <w:rPr>
          <w:b w:val="0"/>
          <w:u w:val="none"/>
        </w:rPr>
        <w:t>. Similarly, the trend in Italy</w:t>
      </w:r>
      <w:r w:rsidRPr="00A64439">
        <w:rPr>
          <w:b w:val="0"/>
          <w:u w:val="none"/>
        </w:rPr>
        <w:t xml:space="preserve"> </w:t>
      </w:r>
      <w:r>
        <w:rPr>
          <w:b w:val="0"/>
          <w:u w:val="none"/>
        </w:rPr>
        <w:t xml:space="preserve">from 2007 to 2014 showed overall there is a decline in incidence rate of hip fractures in older women </w:t>
      </w:r>
      <w:r>
        <w:rPr>
          <w:b w:val="0"/>
          <w:noProof/>
          <w:u w:val="none"/>
        </w:rPr>
        <w:t>[21]</w:t>
      </w:r>
      <w:r>
        <w:rPr>
          <w:b w:val="0"/>
          <w:u w:val="none"/>
        </w:rPr>
        <w:t xml:space="preserve">. Data from </w:t>
      </w:r>
      <w:r w:rsidRPr="003812C1">
        <w:rPr>
          <w:b w:val="0"/>
          <w:u w:val="none"/>
        </w:rPr>
        <w:t xml:space="preserve">Lebanon </w:t>
      </w:r>
      <w:r>
        <w:rPr>
          <w:b w:val="0"/>
          <w:u w:val="none"/>
        </w:rPr>
        <w:t xml:space="preserve">between 2006 and </w:t>
      </w:r>
      <w:r w:rsidRPr="003812C1">
        <w:rPr>
          <w:b w:val="0"/>
          <w:u w:val="none"/>
        </w:rPr>
        <w:t>2017</w:t>
      </w:r>
      <w:r>
        <w:rPr>
          <w:b w:val="0"/>
          <w:u w:val="none"/>
        </w:rPr>
        <w:t xml:space="preserve"> revealed the overall annual incidence rate of fractures increased for both men (2015 to 2017) and women (2014 to </w:t>
      </w:r>
      <w:r>
        <w:rPr>
          <w:b w:val="0"/>
          <w:u w:val="none"/>
        </w:rPr>
        <w:lastRenderedPageBreak/>
        <w:t xml:space="preserve">2017) </w:t>
      </w:r>
      <w:r>
        <w:rPr>
          <w:b w:val="0"/>
          <w:noProof/>
          <w:u w:val="none"/>
        </w:rPr>
        <w:t>[22]</w:t>
      </w:r>
      <w:r>
        <w:rPr>
          <w:b w:val="0"/>
          <w:u w:val="none"/>
        </w:rPr>
        <w:t>. Like Italy, there is a general decline in incidence rate of hip fractures from 2006 in women and from 2009 in men but the trend reverses in both sexes after 2015</w:t>
      </w:r>
      <w:r>
        <w:rPr>
          <w:b w:val="0"/>
          <w:noProof/>
          <w:u w:val="none"/>
        </w:rPr>
        <w:t>[22]</w:t>
      </w:r>
      <w:r>
        <w:rPr>
          <w:b w:val="0"/>
          <w:u w:val="none"/>
        </w:rPr>
        <w:t xml:space="preserve">. Despite </w:t>
      </w:r>
      <w:r w:rsidR="00240DB8">
        <w:rPr>
          <w:b w:val="0"/>
          <w:u w:val="none"/>
        </w:rPr>
        <w:t xml:space="preserve">an </w:t>
      </w:r>
      <w:r>
        <w:rPr>
          <w:b w:val="0"/>
          <w:u w:val="none"/>
        </w:rPr>
        <w:t>observed decline in certain fracture types and regions, the overall incident rate of fragility fracture is predicted to increase by 23% from 2017 to 2030</w:t>
      </w:r>
      <w:r>
        <w:rPr>
          <w:b w:val="0"/>
          <w:noProof/>
          <w:u w:val="none"/>
        </w:rPr>
        <w:t>[2]</w:t>
      </w:r>
      <w:r>
        <w:rPr>
          <w:b w:val="0"/>
          <w:u w:val="none"/>
        </w:rPr>
        <w:t xml:space="preserve">, which will impact on the overall </w:t>
      </w:r>
      <w:r w:rsidR="00240DB8">
        <w:rPr>
          <w:b w:val="0"/>
          <w:u w:val="none"/>
        </w:rPr>
        <w:t xml:space="preserve">global </w:t>
      </w:r>
      <w:r>
        <w:rPr>
          <w:b w:val="0"/>
          <w:u w:val="none"/>
        </w:rPr>
        <w:t xml:space="preserve">fracture related burden. </w:t>
      </w:r>
    </w:p>
    <w:p w14:paraId="4D23CFEF" w14:textId="77777777" w:rsidR="007A40C5" w:rsidRDefault="007A40C5" w:rsidP="00240DB8">
      <w:pPr>
        <w:pStyle w:val="doublespaced"/>
        <w:spacing w:line="360" w:lineRule="auto"/>
        <w:jc w:val="both"/>
        <w:rPr>
          <w:b w:val="0"/>
          <w:u w:val="none"/>
        </w:rPr>
      </w:pPr>
    </w:p>
    <w:p w14:paraId="71ECE6CD" w14:textId="77777777" w:rsidR="007A40C5" w:rsidRPr="00887396" w:rsidRDefault="007A40C5" w:rsidP="00240DB8">
      <w:pPr>
        <w:spacing w:line="360" w:lineRule="auto"/>
        <w:jc w:val="both"/>
        <w:rPr>
          <w:b/>
          <w:sz w:val="24"/>
          <w:szCs w:val="24"/>
          <w:u w:val="single"/>
        </w:rPr>
      </w:pPr>
      <w:r w:rsidRPr="00887396">
        <w:rPr>
          <w:b/>
          <w:sz w:val="24"/>
          <w:szCs w:val="24"/>
          <w:u w:val="single"/>
        </w:rPr>
        <w:t xml:space="preserve">Fracture Risk Assessment </w:t>
      </w:r>
    </w:p>
    <w:p w14:paraId="285F44A7" w14:textId="5C330FA5" w:rsidR="007A40C5" w:rsidRPr="00DC4EEE" w:rsidRDefault="007A40C5" w:rsidP="00240DB8">
      <w:pPr>
        <w:pStyle w:val="doublespaced"/>
        <w:spacing w:line="360" w:lineRule="auto"/>
        <w:jc w:val="both"/>
        <w:rPr>
          <w:b w:val="0"/>
          <w:u w:val="none"/>
        </w:rPr>
      </w:pPr>
      <w:r w:rsidRPr="00A074C8">
        <w:rPr>
          <w:b w:val="0"/>
          <w:u w:val="none"/>
        </w:rPr>
        <w:t>The diagnosis of osteoporosis alone does not fully capture all risk factors contributable to a person’s fracture risk and fracture risk scores have been developed to attempt address this complex issue. The most commonly used score is the Fracture Risk Assessment Tool (FRAX), which has been incorporated in 120 guidelines worl</w:t>
      </w:r>
      <w:r>
        <w:rPr>
          <w:b w:val="0"/>
          <w:u w:val="none"/>
        </w:rPr>
        <w:t xml:space="preserve">dwide </w:t>
      </w:r>
      <w:r>
        <w:rPr>
          <w:b w:val="0"/>
          <w:noProof/>
          <w:u w:val="none"/>
        </w:rPr>
        <w:t>[23]</w:t>
      </w:r>
      <w:r w:rsidRPr="00A074C8">
        <w:rPr>
          <w:b w:val="0"/>
          <w:u w:val="none"/>
        </w:rPr>
        <w:t xml:space="preserve"> and has the advantage of been calibrated for target population</w:t>
      </w:r>
      <w:r>
        <w:rPr>
          <w:b w:val="0"/>
          <w:u w:val="none"/>
        </w:rPr>
        <w:t>s</w:t>
      </w:r>
      <w:r w:rsidRPr="00A074C8">
        <w:rPr>
          <w:b w:val="0"/>
          <w:u w:val="none"/>
        </w:rPr>
        <w:t xml:space="preserve"> if the epidemiology of fracture and death is </w:t>
      </w:r>
      <w:r>
        <w:rPr>
          <w:b w:val="0"/>
          <w:u w:val="none"/>
        </w:rPr>
        <w:t>available from studies conducted in that population</w:t>
      </w:r>
      <w:r w:rsidRPr="00A074C8">
        <w:rPr>
          <w:b w:val="0"/>
          <w:u w:val="none"/>
        </w:rPr>
        <w:t xml:space="preserve">. FRAX currently incorporates risk factors including age, gender, body mass index, previous fracture, parental hip fracture, smoking status, rheumatoid arthritis, glucocorticoid use </w:t>
      </w:r>
      <w:r w:rsidRPr="00A074C8">
        <w:rPr>
          <w:rFonts w:cstheme="minorHAnsi"/>
          <w:b w:val="0"/>
          <w:u w:val="none"/>
        </w:rPr>
        <w:t>≥</w:t>
      </w:r>
      <w:r w:rsidRPr="00A074C8">
        <w:rPr>
          <w:b w:val="0"/>
          <w:u w:val="none"/>
        </w:rPr>
        <w:t xml:space="preserve">3 months, secondary osteoporosis, alcohol intake of </w:t>
      </w:r>
      <w:r w:rsidRPr="00A074C8">
        <w:rPr>
          <w:rFonts w:cstheme="minorHAnsi"/>
          <w:b w:val="0"/>
          <w:u w:val="none"/>
        </w:rPr>
        <w:t>≥</w:t>
      </w:r>
      <w:r w:rsidRPr="00A074C8">
        <w:rPr>
          <w:b w:val="0"/>
          <w:u w:val="none"/>
        </w:rPr>
        <w:t>3 units per day, and optional femoral neck BMD or T score</w:t>
      </w:r>
      <w:r>
        <w:rPr>
          <w:b w:val="0"/>
          <w:u w:val="none"/>
        </w:rPr>
        <w:t xml:space="preserve"> </w:t>
      </w:r>
      <w:r>
        <w:rPr>
          <w:b w:val="0"/>
          <w:noProof/>
          <w:u w:val="none"/>
        </w:rPr>
        <w:t>[24]</w:t>
      </w:r>
      <w:r w:rsidRPr="00A074C8">
        <w:rPr>
          <w:b w:val="0"/>
          <w:u w:val="none"/>
        </w:rPr>
        <w:t>. Emerging evidence has shown the ris</w:t>
      </w:r>
      <w:r>
        <w:rPr>
          <w:b w:val="0"/>
          <w:u w:val="none"/>
        </w:rPr>
        <w:t xml:space="preserve">k of further fracture after a </w:t>
      </w:r>
      <w:r w:rsidRPr="00A074C8">
        <w:rPr>
          <w:b w:val="0"/>
          <w:u w:val="none"/>
        </w:rPr>
        <w:t>sentinel fracture is markedly increased within the next 12-24 months</w:t>
      </w:r>
      <w:r>
        <w:rPr>
          <w:b w:val="0"/>
          <w:u w:val="none"/>
        </w:rPr>
        <w:t>, a phenomenon</w:t>
      </w:r>
      <w:r w:rsidRPr="00A074C8">
        <w:rPr>
          <w:b w:val="0"/>
          <w:u w:val="none"/>
        </w:rPr>
        <w:t xml:space="preserve"> known as</w:t>
      </w:r>
      <w:r>
        <w:rPr>
          <w:b w:val="0"/>
          <w:u w:val="none"/>
        </w:rPr>
        <w:t xml:space="preserve"> the</w:t>
      </w:r>
      <w:r w:rsidRPr="00A074C8">
        <w:rPr>
          <w:b w:val="0"/>
          <w:u w:val="none"/>
        </w:rPr>
        <w:t xml:space="preserve"> imminent</w:t>
      </w:r>
      <w:r>
        <w:rPr>
          <w:b w:val="0"/>
          <w:u w:val="none"/>
        </w:rPr>
        <w:t xml:space="preserve"> risk of fracture, and as time elapses this risk decreases as illustrated in Figure 1 </w:t>
      </w:r>
      <w:r>
        <w:rPr>
          <w:b w:val="0"/>
          <w:noProof/>
          <w:u w:val="none"/>
        </w:rPr>
        <w:t>[12, 25</w:t>
      </w:r>
      <w:r w:rsidR="000B31C5">
        <w:rPr>
          <w:b w:val="0"/>
          <w:noProof/>
          <w:u w:val="none"/>
        </w:rPr>
        <w:t>*</w:t>
      </w:r>
      <w:r>
        <w:rPr>
          <w:b w:val="0"/>
          <w:noProof/>
          <w:u w:val="none"/>
        </w:rPr>
        <w:t>]</w:t>
      </w:r>
      <w:r>
        <w:rPr>
          <w:b w:val="0"/>
          <w:u w:val="none"/>
        </w:rPr>
        <w:t xml:space="preserve">. </w:t>
      </w:r>
      <w:r w:rsidRPr="00A074C8">
        <w:rPr>
          <w:b w:val="0"/>
          <w:u w:val="none"/>
        </w:rPr>
        <w:t>In a recent retrospective, observational cohort Swedish study of women aged ≥ 50 years with a fragility fracture, the rate of subsequent fracture was found to be highest in the first month follow</w:t>
      </w:r>
      <w:r>
        <w:rPr>
          <w:b w:val="0"/>
          <w:u w:val="none"/>
        </w:rPr>
        <w:t>ing</w:t>
      </w:r>
      <w:r w:rsidRPr="00A074C8">
        <w:rPr>
          <w:b w:val="0"/>
          <w:u w:val="none"/>
        </w:rPr>
        <w:t xml:space="preserve"> fracture (</w:t>
      </w:r>
      <w:r w:rsidRPr="00A074C8">
        <w:rPr>
          <w:rFonts w:cstheme="minorHAnsi"/>
          <w:b w:val="0"/>
          <w:u w:val="none"/>
          <w:lang w:eastAsia="en-GB"/>
        </w:rPr>
        <w:t xml:space="preserve">15 fractures per 1000patient-years) and </w:t>
      </w:r>
      <w:r>
        <w:rPr>
          <w:rFonts w:cstheme="minorHAnsi"/>
          <w:b w:val="0"/>
          <w:u w:val="none"/>
          <w:lang w:eastAsia="en-GB"/>
        </w:rPr>
        <w:t>remains consisten</w:t>
      </w:r>
      <w:r w:rsidRPr="00A074C8">
        <w:rPr>
          <w:rFonts w:cstheme="minorHAnsi"/>
          <w:b w:val="0"/>
          <w:u w:val="none"/>
          <w:lang w:eastAsia="en-GB"/>
        </w:rPr>
        <w:t>tly increased at 5 fractures/1000patient-</w:t>
      </w:r>
      <w:r w:rsidRPr="000321B3">
        <w:rPr>
          <w:rFonts w:cstheme="minorHAnsi"/>
          <w:b w:val="0"/>
          <w:u w:val="none"/>
          <w:lang w:eastAsia="en-GB"/>
        </w:rPr>
        <w:t xml:space="preserve">years between 4 to 24 months </w:t>
      </w:r>
      <w:r w:rsidRPr="000321B3">
        <w:rPr>
          <w:rFonts w:cstheme="minorHAnsi"/>
          <w:b w:val="0"/>
          <w:noProof/>
          <w:u w:val="none"/>
          <w:lang w:eastAsia="en-GB"/>
        </w:rPr>
        <w:t>[26]</w:t>
      </w:r>
      <w:r w:rsidRPr="000321B3">
        <w:rPr>
          <w:rFonts w:cstheme="minorHAnsi"/>
          <w:b w:val="0"/>
          <w:u w:val="none"/>
          <w:lang w:eastAsia="en-GB"/>
        </w:rPr>
        <w:t>. The overall cumulative incidence of fracture rate was 7.1% at 12 months and 12.0% at 24 months</w:t>
      </w:r>
      <w:r>
        <w:rPr>
          <w:rFonts w:cstheme="minorHAnsi"/>
          <w:b w:val="0"/>
          <w:u w:val="none"/>
          <w:lang w:eastAsia="en-GB"/>
        </w:rPr>
        <w:t xml:space="preserve"> </w:t>
      </w:r>
      <w:r w:rsidRPr="000321B3">
        <w:rPr>
          <w:rFonts w:cstheme="minorHAnsi"/>
          <w:b w:val="0"/>
          <w:noProof/>
          <w:u w:val="none"/>
          <w:lang w:eastAsia="en-GB"/>
        </w:rPr>
        <w:t>[26]</w:t>
      </w:r>
      <w:r w:rsidRPr="000321B3">
        <w:rPr>
          <w:rFonts w:cstheme="minorHAnsi"/>
          <w:b w:val="0"/>
          <w:u w:val="none"/>
          <w:lang w:eastAsia="en-GB"/>
        </w:rPr>
        <w:t xml:space="preserve">, which is comparable to an American retrospective cohort study of women ≥ 65 years, where the rate was 10% at 12 months, and 18% at 24 months </w:t>
      </w:r>
      <w:r w:rsidRPr="000321B3">
        <w:rPr>
          <w:rFonts w:cstheme="minorHAnsi"/>
          <w:b w:val="0"/>
          <w:noProof/>
          <w:u w:val="none"/>
          <w:lang w:eastAsia="en-GB"/>
        </w:rPr>
        <w:t>[27]</w:t>
      </w:r>
      <w:r w:rsidRPr="000321B3">
        <w:rPr>
          <w:rFonts w:cstheme="minorHAnsi"/>
          <w:b w:val="0"/>
          <w:u w:val="none"/>
          <w:lang w:eastAsia="en-GB"/>
        </w:rPr>
        <w:t xml:space="preserve">. However, the rate was much higher in an Icelandic study </w:t>
      </w:r>
      <w:r w:rsidRPr="000321B3">
        <w:rPr>
          <w:b w:val="0"/>
          <w:u w:val="none"/>
        </w:rPr>
        <w:t xml:space="preserve">with </w:t>
      </w:r>
      <w:r w:rsidRPr="000321B3">
        <w:rPr>
          <w:rFonts w:cstheme="minorHAnsi"/>
          <w:b w:val="0"/>
          <w:u w:val="none"/>
          <w:lang w:eastAsia="en-GB"/>
        </w:rPr>
        <w:t>31-45% sustaining another fracture within</w:t>
      </w:r>
      <w:r w:rsidRPr="00DF064B">
        <w:rPr>
          <w:rFonts w:cstheme="minorHAnsi"/>
          <w:b w:val="0"/>
          <w:u w:val="none"/>
          <w:lang w:eastAsia="en-GB"/>
        </w:rPr>
        <w:t xml:space="preserve"> 1 year of the sentinel fracture</w:t>
      </w:r>
      <w:r>
        <w:rPr>
          <w:rFonts w:cstheme="minorHAnsi"/>
          <w:b w:val="0"/>
          <w:u w:val="none"/>
          <w:lang w:eastAsia="en-GB"/>
        </w:rPr>
        <w:t xml:space="preserve"> </w:t>
      </w:r>
      <w:r>
        <w:rPr>
          <w:rFonts w:cstheme="minorHAnsi"/>
          <w:b w:val="0"/>
          <w:noProof/>
          <w:u w:val="none"/>
          <w:lang w:eastAsia="en-GB"/>
        </w:rPr>
        <w:t>[12]</w:t>
      </w:r>
      <w:r>
        <w:rPr>
          <w:rFonts w:cstheme="minorHAnsi"/>
          <w:b w:val="0"/>
          <w:u w:val="none"/>
          <w:lang w:eastAsia="en-GB"/>
        </w:rPr>
        <w:t>. Sentinel</w:t>
      </w:r>
      <w:r w:rsidRPr="00A074C8">
        <w:rPr>
          <w:rFonts w:cstheme="minorHAnsi"/>
          <w:b w:val="0"/>
          <w:u w:val="none"/>
          <w:lang w:eastAsia="en-GB"/>
        </w:rPr>
        <w:t xml:space="preserve"> </w:t>
      </w:r>
      <w:r>
        <w:rPr>
          <w:rFonts w:cstheme="minorHAnsi"/>
          <w:b w:val="0"/>
          <w:u w:val="none"/>
          <w:lang w:eastAsia="en-GB"/>
        </w:rPr>
        <w:t xml:space="preserve">vertebral fracture was associated with the highest imminent fracture risk </w:t>
      </w:r>
      <w:r>
        <w:rPr>
          <w:rFonts w:cstheme="minorHAnsi"/>
          <w:b w:val="0"/>
          <w:noProof/>
          <w:u w:val="none"/>
          <w:lang w:eastAsia="en-GB"/>
        </w:rPr>
        <w:t>[26, 27]</w:t>
      </w:r>
      <w:r>
        <w:rPr>
          <w:rFonts w:cstheme="minorHAnsi"/>
          <w:b w:val="0"/>
          <w:u w:val="none"/>
          <w:lang w:eastAsia="en-GB"/>
        </w:rPr>
        <w:t xml:space="preserve">, and has been identified as an independent </w:t>
      </w:r>
      <w:r w:rsidRPr="00120B55">
        <w:rPr>
          <w:rFonts w:cstheme="minorHAnsi"/>
          <w:b w:val="0"/>
          <w:u w:val="none"/>
          <w:lang w:eastAsia="en-GB"/>
        </w:rPr>
        <w:t>risk factor</w:t>
      </w:r>
      <w:r w:rsidRPr="00120B55">
        <w:rPr>
          <w:b w:val="0"/>
          <w:u w:val="none"/>
        </w:rPr>
        <w:t xml:space="preserve"> f</w:t>
      </w:r>
      <w:r w:rsidRPr="00120B55">
        <w:rPr>
          <w:rFonts w:cstheme="minorHAnsi"/>
          <w:b w:val="0"/>
          <w:u w:val="none"/>
          <w:lang w:eastAsia="en-GB"/>
        </w:rPr>
        <w:t xml:space="preserve">or imminent fracture risk relative to </w:t>
      </w:r>
      <w:r>
        <w:rPr>
          <w:rFonts w:cstheme="minorHAnsi"/>
          <w:b w:val="0"/>
          <w:u w:val="none"/>
          <w:lang w:eastAsia="en-GB"/>
        </w:rPr>
        <w:t xml:space="preserve">the </w:t>
      </w:r>
      <w:r w:rsidRPr="00120B55">
        <w:rPr>
          <w:rFonts w:cstheme="minorHAnsi"/>
          <w:b w:val="0"/>
          <w:u w:val="none"/>
          <w:lang w:eastAsia="en-GB"/>
        </w:rPr>
        <w:t>index hip fracture</w:t>
      </w:r>
      <w:r>
        <w:rPr>
          <w:rFonts w:cstheme="minorHAnsi"/>
          <w:b w:val="0"/>
          <w:u w:val="none"/>
          <w:lang w:eastAsia="en-GB"/>
        </w:rPr>
        <w:t xml:space="preserve"> </w:t>
      </w:r>
      <w:r>
        <w:rPr>
          <w:rFonts w:cstheme="minorHAnsi"/>
          <w:b w:val="0"/>
          <w:noProof/>
          <w:u w:val="none"/>
          <w:lang w:eastAsia="en-GB"/>
        </w:rPr>
        <w:t>[26]</w:t>
      </w:r>
      <w:r w:rsidRPr="00120B55">
        <w:rPr>
          <w:rFonts w:cstheme="minorHAnsi"/>
          <w:b w:val="0"/>
          <w:u w:val="none"/>
          <w:lang w:eastAsia="en-GB"/>
        </w:rPr>
        <w:t>.</w:t>
      </w:r>
      <w:r w:rsidRPr="00120B55">
        <w:rPr>
          <w:rFonts w:cstheme="minorHAnsi"/>
          <w:b w:val="0"/>
          <w:sz w:val="24"/>
          <w:szCs w:val="24"/>
          <w:u w:val="none"/>
          <w:lang w:eastAsia="en-GB"/>
        </w:rPr>
        <w:t xml:space="preserve"> </w:t>
      </w:r>
    </w:p>
    <w:p w14:paraId="69D99002" w14:textId="77777777" w:rsidR="007A40C5" w:rsidRDefault="007A40C5" w:rsidP="00240DB8">
      <w:pPr>
        <w:pStyle w:val="doublespaced"/>
        <w:spacing w:line="360" w:lineRule="auto"/>
        <w:jc w:val="both"/>
        <w:rPr>
          <w:rFonts w:cstheme="minorHAnsi"/>
          <w:b w:val="0"/>
          <w:u w:val="none"/>
          <w:lang w:eastAsia="en-GB"/>
        </w:rPr>
      </w:pPr>
    </w:p>
    <w:p w14:paraId="5A7698A8" w14:textId="37636EF1" w:rsidR="007A40C5" w:rsidRDefault="007A40C5" w:rsidP="00240DB8">
      <w:pPr>
        <w:pStyle w:val="doublespaced"/>
        <w:spacing w:line="360" w:lineRule="auto"/>
        <w:jc w:val="both"/>
        <w:rPr>
          <w:rFonts w:cstheme="minorHAnsi"/>
          <w:b w:val="0"/>
          <w:u w:val="none"/>
          <w:lang w:eastAsia="en-GB"/>
        </w:rPr>
      </w:pPr>
      <w:r w:rsidRPr="00DF064B">
        <w:rPr>
          <w:rFonts w:cstheme="minorHAnsi"/>
          <w:b w:val="0"/>
          <w:u w:val="none"/>
          <w:lang w:eastAsia="en-GB"/>
        </w:rPr>
        <w:t>Other independent risk factors for imminen</w:t>
      </w:r>
      <w:r>
        <w:rPr>
          <w:rFonts w:cstheme="minorHAnsi"/>
          <w:b w:val="0"/>
          <w:u w:val="none"/>
          <w:lang w:eastAsia="en-GB"/>
        </w:rPr>
        <w:t>t fracture risk for older women</w:t>
      </w:r>
      <w:r w:rsidRPr="00DF064B">
        <w:rPr>
          <w:rFonts w:cstheme="minorHAnsi"/>
          <w:b w:val="0"/>
          <w:u w:val="none"/>
          <w:lang w:eastAsia="en-GB"/>
        </w:rPr>
        <w:t xml:space="preserve"> include number of falls in </w:t>
      </w:r>
      <w:r>
        <w:rPr>
          <w:rFonts w:cstheme="minorHAnsi"/>
          <w:b w:val="0"/>
          <w:u w:val="none"/>
          <w:lang w:eastAsia="en-GB"/>
        </w:rPr>
        <w:t xml:space="preserve">the </w:t>
      </w:r>
      <w:r w:rsidRPr="00DF064B">
        <w:rPr>
          <w:rFonts w:cstheme="minorHAnsi"/>
          <w:b w:val="0"/>
          <w:u w:val="none"/>
          <w:lang w:eastAsia="en-GB"/>
        </w:rPr>
        <w:t>past 12 months, low physical function, and low total hip T score</w:t>
      </w:r>
      <w:r>
        <w:rPr>
          <w:rFonts w:cstheme="minorHAnsi"/>
          <w:b w:val="0"/>
          <w:u w:val="none"/>
          <w:lang w:eastAsia="en-GB"/>
        </w:rPr>
        <w:t xml:space="preserve"> </w:t>
      </w:r>
      <w:r>
        <w:rPr>
          <w:rFonts w:cstheme="minorHAnsi"/>
          <w:b w:val="0"/>
          <w:noProof/>
          <w:u w:val="none"/>
          <w:lang w:eastAsia="en-GB"/>
        </w:rPr>
        <w:t>[28]</w:t>
      </w:r>
      <w:r w:rsidRPr="00DF064B">
        <w:rPr>
          <w:rFonts w:cstheme="minorHAnsi"/>
          <w:b w:val="0"/>
          <w:u w:val="none"/>
          <w:lang w:eastAsia="en-GB"/>
        </w:rPr>
        <w:t>.</w:t>
      </w:r>
      <w:r>
        <w:rPr>
          <w:rFonts w:cstheme="minorHAnsi"/>
          <w:b w:val="0"/>
          <w:u w:val="none"/>
          <w:lang w:eastAsia="en-GB"/>
        </w:rPr>
        <w:t xml:space="preserve"> T</w:t>
      </w:r>
      <w:r w:rsidRPr="00DF064B">
        <w:rPr>
          <w:rFonts w:cstheme="minorHAnsi"/>
          <w:b w:val="0"/>
          <w:u w:val="none"/>
          <w:lang w:eastAsia="en-GB"/>
        </w:rPr>
        <w:t>he number of falls in the previous year was captured</w:t>
      </w:r>
      <w:r w:rsidRPr="003F7031">
        <w:rPr>
          <w:rFonts w:cstheme="minorHAnsi"/>
          <w:b w:val="0"/>
          <w:u w:val="none"/>
          <w:lang w:eastAsia="en-GB"/>
        </w:rPr>
        <w:t xml:space="preserve"> </w:t>
      </w:r>
      <w:r>
        <w:rPr>
          <w:rFonts w:cstheme="minorHAnsi"/>
          <w:b w:val="0"/>
          <w:u w:val="none"/>
          <w:lang w:eastAsia="en-GB"/>
        </w:rPr>
        <w:t>in a Canadian cohort study</w:t>
      </w:r>
      <w:r w:rsidRPr="00DF064B">
        <w:rPr>
          <w:rFonts w:cstheme="minorHAnsi"/>
          <w:b w:val="0"/>
          <w:u w:val="none"/>
          <w:lang w:eastAsia="en-GB"/>
        </w:rPr>
        <w:t xml:space="preserve">, and </w:t>
      </w:r>
      <w:r>
        <w:rPr>
          <w:rFonts w:cstheme="minorHAnsi"/>
          <w:b w:val="0"/>
          <w:u w:val="none"/>
          <w:lang w:eastAsia="en-GB"/>
        </w:rPr>
        <w:t xml:space="preserve">was </w:t>
      </w:r>
      <w:r w:rsidRPr="00DF064B">
        <w:rPr>
          <w:rFonts w:cstheme="minorHAnsi"/>
          <w:b w:val="0"/>
          <w:u w:val="none"/>
          <w:lang w:eastAsia="en-GB"/>
        </w:rPr>
        <w:t xml:space="preserve">found to be strongly associated with incident fracture risk, despite adjusting for age, gender, BMD, and baseline </w:t>
      </w:r>
      <w:r>
        <w:rPr>
          <w:rFonts w:cstheme="minorHAnsi"/>
          <w:b w:val="0"/>
          <w:u w:val="none"/>
          <w:lang w:eastAsia="en-GB"/>
        </w:rPr>
        <w:t xml:space="preserve">fracture probability </w:t>
      </w:r>
      <w:r>
        <w:rPr>
          <w:rFonts w:cstheme="minorHAnsi"/>
          <w:b w:val="0"/>
          <w:noProof/>
          <w:u w:val="none"/>
          <w:lang w:eastAsia="en-GB"/>
        </w:rPr>
        <w:t>[29]</w:t>
      </w:r>
      <w:r>
        <w:rPr>
          <w:rFonts w:cstheme="minorHAnsi"/>
          <w:b w:val="0"/>
          <w:u w:val="none"/>
          <w:lang w:eastAsia="en-GB"/>
        </w:rPr>
        <w:t xml:space="preserve">. </w:t>
      </w:r>
      <w:r>
        <w:rPr>
          <w:rFonts w:cstheme="minorHAnsi"/>
          <w:b w:val="0"/>
          <w:u w:val="none"/>
          <w:lang w:eastAsia="en-GB"/>
        </w:rPr>
        <w:lastRenderedPageBreak/>
        <w:t>This relationship showed a dose-response pattern</w:t>
      </w:r>
      <w:r w:rsidRPr="00DF064B">
        <w:rPr>
          <w:rFonts w:cstheme="minorHAnsi"/>
          <w:b w:val="0"/>
          <w:u w:val="none"/>
          <w:lang w:eastAsia="en-GB"/>
        </w:rPr>
        <w:t>, where up 3 falls leads to a higher risk than a single fall</w:t>
      </w:r>
      <w:r>
        <w:rPr>
          <w:rFonts w:cstheme="minorHAnsi"/>
          <w:b w:val="0"/>
          <w:u w:val="none"/>
          <w:lang w:eastAsia="en-GB"/>
        </w:rPr>
        <w:t xml:space="preserve">, but more than 3 falls was not found to contribute to the risk further </w:t>
      </w:r>
      <w:r>
        <w:rPr>
          <w:rFonts w:cstheme="minorHAnsi"/>
          <w:b w:val="0"/>
          <w:noProof/>
          <w:u w:val="none"/>
          <w:lang w:eastAsia="en-GB"/>
        </w:rPr>
        <w:t>[29]</w:t>
      </w:r>
      <w:r w:rsidRPr="00DF064B">
        <w:rPr>
          <w:rFonts w:cstheme="minorHAnsi"/>
          <w:b w:val="0"/>
          <w:u w:val="none"/>
          <w:lang w:eastAsia="en-GB"/>
        </w:rPr>
        <w:t xml:space="preserve">. </w:t>
      </w:r>
      <w:r w:rsidRPr="00373FB1">
        <w:rPr>
          <w:rFonts w:cstheme="minorHAnsi"/>
          <w:b w:val="0"/>
          <w:u w:val="none"/>
          <w:lang w:eastAsia="en-GB"/>
        </w:rPr>
        <w:t>Age and osteoporosis are well known independent risk factors, however recent data from the DOES</w:t>
      </w:r>
      <w:r>
        <w:rPr>
          <w:rFonts w:cstheme="minorHAnsi"/>
          <w:b w:val="0"/>
          <w:u w:val="none"/>
          <w:lang w:eastAsia="en-GB"/>
        </w:rPr>
        <w:t xml:space="preserve"> has shown only </w:t>
      </w:r>
      <w:r w:rsidRPr="00373FB1">
        <w:rPr>
          <w:rFonts w:cstheme="minorHAnsi"/>
          <w:b w:val="0"/>
          <w:u w:val="none"/>
          <w:lang w:eastAsia="en-GB"/>
        </w:rPr>
        <w:t>34% of total fractures in women and 35%</w:t>
      </w:r>
      <w:r>
        <w:rPr>
          <w:rFonts w:cstheme="minorHAnsi"/>
          <w:b w:val="0"/>
          <w:u w:val="none"/>
          <w:lang w:eastAsia="en-GB"/>
        </w:rPr>
        <w:t xml:space="preserve"> in men were due to</w:t>
      </w:r>
      <w:r w:rsidRPr="00373FB1">
        <w:rPr>
          <w:rFonts w:cstheme="minorHAnsi"/>
          <w:b w:val="0"/>
          <w:u w:val="none"/>
          <w:lang w:eastAsia="en-GB"/>
        </w:rPr>
        <w:t xml:space="preserve"> advancing age or low BMD, with similar trend</w:t>
      </w:r>
      <w:r>
        <w:rPr>
          <w:rFonts w:cstheme="minorHAnsi"/>
          <w:b w:val="0"/>
          <w:u w:val="none"/>
          <w:lang w:eastAsia="en-GB"/>
        </w:rPr>
        <w:t>s</w:t>
      </w:r>
      <w:r w:rsidRPr="00373FB1">
        <w:rPr>
          <w:rFonts w:cstheme="minorHAnsi"/>
          <w:b w:val="0"/>
          <w:u w:val="none"/>
          <w:lang w:eastAsia="en-GB"/>
        </w:rPr>
        <w:t xml:space="preserve"> observed in each different fracture site</w:t>
      </w:r>
      <w:r>
        <w:rPr>
          <w:rFonts w:cstheme="minorHAnsi"/>
          <w:b w:val="0"/>
          <w:u w:val="none"/>
          <w:lang w:eastAsia="en-GB"/>
        </w:rPr>
        <w:t xml:space="preserve"> </w:t>
      </w:r>
      <w:r>
        <w:rPr>
          <w:rFonts w:cstheme="minorHAnsi"/>
          <w:b w:val="0"/>
          <w:noProof/>
          <w:u w:val="none"/>
          <w:lang w:eastAsia="en-GB"/>
        </w:rPr>
        <w:t>[30</w:t>
      </w:r>
      <w:r w:rsidR="008C17F8">
        <w:rPr>
          <w:rFonts w:cstheme="minorHAnsi"/>
          <w:b w:val="0"/>
          <w:noProof/>
          <w:u w:val="none"/>
          <w:lang w:eastAsia="en-GB"/>
        </w:rPr>
        <w:t>*</w:t>
      </w:r>
      <w:r>
        <w:rPr>
          <w:rFonts w:cstheme="minorHAnsi"/>
          <w:b w:val="0"/>
          <w:noProof/>
          <w:u w:val="none"/>
          <w:lang w:eastAsia="en-GB"/>
        </w:rPr>
        <w:t>]</w:t>
      </w:r>
      <w:r w:rsidRPr="00373FB1">
        <w:rPr>
          <w:rFonts w:cstheme="minorHAnsi"/>
          <w:b w:val="0"/>
          <w:u w:val="none"/>
          <w:lang w:eastAsia="en-GB"/>
        </w:rPr>
        <w:t xml:space="preserve">. </w:t>
      </w:r>
      <w:r>
        <w:rPr>
          <w:rFonts w:cstheme="minorHAnsi"/>
          <w:b w:val="0"/>
          <w:u w:val="none"/>
          <w:lang w:eastAsia="en-GB"/>
        </w:rPr>
        <w:t xml:space="preserve">In fact, advancing age has been demonstrated to contribute a higher proportion of the risk than low BMD </w:t>
      </w:r>
      <w:r>
        <w:rPr>
          <w:rFonts w:cstheme="minorHAnsi"/>
          <w:b w:val="0"/>
          <w:noProof/>
          <w:u w:val="none"/>
          <w:lang w:eastAsia="en-GB"/>
        </w:rPr>
        <w:t>[30]</w:t>
      </w:r>
      <w:r>
        <w:rPr>
          <w:rFonts w:cstheme="minorHAnsi"/>
          <w:b w:val="0"/>
          <w:u w:val="none"/>
          <w:lang w:eastAsia="en-GB"/>
        </w:rPr>
        <w:t>, which points towards a temporal aspect to the relationship between BMD and fracture where t</w:t>
      </w:r>
      <w:r w:rsidRPr="007F75FC">
        <w:rPr>
          <w:rFonts w:cstheme="minorHAnsi"/>
          <w:b w:val="0"/>
          <w:u w:val="none"/>
          <w:lang w:eastAsia="en-GB"/>
        </w:rPr>
        <w:t>he strength of association between low BMD an</w:t>
      </w:r>
      <w:r>
        <w:rPr>
          <w:rFonts w:cstheme="minorHAnsi"/>
          <w:b w:val="0"/>
          <w:u w:val="none"/>
          <w:lang w:eastAsia="en-GB"/>
        </w:rPr>
        <w:t xml:space="preserve">d fracture is highest at time of fracture and gradually decreases with time. </w:t>
      </w:r>
    </w:p>
    <w:p w14:paraId="12CB4F82" w14:textId="77777777" w:rsidR="007A40C5" w:rsidRPr="00887396" w:rsidRDefault="007A40C5" w:rsidP="00240DB8">
      <w:pPr>
        <w:pStyle w:val="doublespaced"/>
        <w:spacing w:line="360" w:lineRule="auto"/>
        <w:jc w:val="both"/>
        <w:rPr>
          <w:rFonts w:cstheme="minorHAnsi"/>
          <w:sz w:val="24"/>
          <w:szCs w:val="24"/>
          <w:lang w:eastAsia="en-GB"/>
        </w:rPr>
      </w:pPr>
      <w:r w:rsidRPr="00887396">
        <w:rPr>
          <w:rFonts w:cstheme="minorHAnsi"/>
          <w:sz w:val="24"/>
          <w:szCs w:val="24"/>
          <w:lang w:eastAsia="en-GB"/>
        </w:rPr>
        <w:t>Osteoporosis and Co-morbidities</w:t>
      </w:r>
    </w:p>
    <w:p w14:paraId="1CB5E5FA" w14:textId="77777777" w:rsidR="007A40C5" w:rsidRPr="005A1888" w:rsidRDefault="007A40C5" w:rsidP="00240DB8">
      <w:pPr>
        <w:spacing w:after="0" w:line="360" w:lineRule="auto"/>
        <w:jc w:val="both"/>
        <w:rPr>
          <w:rFonts w:cstheme="minorHAnsi"/>
          <w:lang w:eastAsia="en-GB"/>
        </w:rPr>
      </w:pPr>
      <w:r>
        <w:rPr>
          <w:rFonts w:cstheme="minorHAnsi"/>
          <w:lang w:eastAsia="en-GB"/>
        </w:rPr>
        <w:t>FRAX incorporates some co-morbidities either considered independently (such as Rheumatoid Arthritis) or under the heading of secondary osteoporosis, to take into account associated increased risk of fractures in sufferers with that condition. However, currently fracture prediction algorithms are not inclusive of all the major co-morbidities that may impact osteoporosis risk</w:t>
      </w:r>
      <w:r w:rsidRPr="005A1888">
        <w:rPr>
          <w:rFonts w:cstheme="minorHAnsi"/>
          <w:lang w:eastAsia="en-GB"/>
        </w:rPr>
        <w:t xml:space="preserve">. </w:t>
      </w:r>
      <w:r>
        <w:rPr>
          <w:rFonts w:cstheme="minorHAnsi"/>
          <w:lang w:eastAsia="en-GB"/>
        </w:rPr>
        <w:t>A r</w:t>
      </w:r>
      <w:r w:rsidRPr="005A1888">
        <w:rPr>
          <w:rFonts w:cstheme="minorHAnsi"/>
          <w:lang w:eastAsia="en-GB"/>
        </w:rPr>
        <w:t xml:space="preserve">ecent Swedish study looking at imminent fracture risk indicated chronic diseases such as cerebrovascular disease, congestive heart failure, dementia, diabetes without chronic complications, mild liver disease, renal disease, and rheumatic disease </w:t>
      </w:r>
      <w:r>
        <w:rPr>
          <w:rFonts w:cstheme="minorHAnsi"/>
          <w:lang w:eastAsia="en-GB"/>
        </w:rPr>
        <w:t>we</w:t>
      </w:r>
      <w:r w:rsidRPr="005A1888">
        <w:rPr>
          <w:rFonts w:cstheme="minorHAnsi"/>
          <w:lang w:eastAsia="en-GB"/>
        </w:rPr>
        <w:t>re predictors of subsequent fracture at 12 and 24 months</w:t>
      </w:r>
      <w:r>
        <w:rPr>
          <w:rFonts w:cstheme="minorHAnsi"/>
          <w:lang w:eastAsia="en-GB"/>
        </w:rPr>
        <w:t xml:space="preserve"> </w:t>
      </w:r>
      <w:r>
        <w:rPr>
          <w:rFonts w:cstheme="minorHAnsi"/>
          <w:noProof/>
          <w:lang w:eastAsia="en-GB"/>
        </w:rPr>
        <w:t>[26]</w:t>
      </w:r>
      <w:r w:rsidRPr="005A1888">
        <w:rPr>
          <w:rFonts w:cstheme="minorHAnsi"/>
          <w:lang w:eastAsia="en-GB"/>
        </w:rPr>
        <w:t xml:space="preserve">. </w:t>
      </w:r>
      <w:r>
        <w:rPr>
          <w:rFonts w:cstheme="minorHAnsi"/>
          <w:lang w:eastAsia="en-GB"/>
        </w:rPr>
        <w:t>The e</w:t>
      </w:r>
      <w:r w:rsidRPr="005A1888">
        <w:rPr>
          <w:rFonts w:cstheme="minorHAnsi"/>
          <w:lang w:eastAsia="en-GB"/>
        </w:rPr>
        <w:t>pidemiology of osteoporosis and fracture incidence in select</w:t>
      </w:r>
      <w:r>
        <w:rPr>
          <w:rFonts w:cstheme="minorHAnsi"/>
          <w:lang w:eastAsia="en-GB"/>
        </w:rPr>
        <w:t>ed</w:t>
      </w:r>
      <w:r w:rsidRPr="005A1888">
        <w:rPr>
          <w:rFonts w:cstheme="minorHAnsi"/>
          <w:lang w:eastAsia="en-GB"/>
        </w:rPr>
        <w:t xml:space="preserve"> population with particular co-morbidities is less well established. </w:t>
      </w:r>
    </w:p>
    <w:p w14:paraId="094460B2" w14:textId="77777777" w:rsidR="007A40C5" w:rsidRDefault="007A40C5" w:rsidP="00240DB8">
      <w:pPr>
        <w:spacing w:after="0" w:line="360" w:lineRule="auto"/>
        <w:jc w:val="both"/>
        <w:rPr>
          <w:rFonts w:cstheme="minorHAnsi"/>
          <w:lang w:eastAsia="en-GB"/>
        </w:rPr>
      </w:pPr>
    </w:p>
    <w:p w14:paraId="1F3E3AF9" w14:textId="77777777" w:rsidR="007A40C5" w:rsidRPr="00B82D7F" w:rsidRDefault="007A40C5" w:rsidP="00240DB8">
      <w:pPr>
        <w:spacing w:after="0" w:line="360" w:lineRule="auto"/>
        <w:jc w:val="both"/>
        <w:rPr>
          <w:rFonts w:cstheme="minorHAnsi"/>
          <w:b/>
          <w:lang w:eastAsia="en-GB"/>
        </w:rPr>
      </w:pPr>
      <w:r w:rsidRPr="00B82D7F">
        <w:rPr>
          <w:rFonts w:cstheme="minorHAnsi"/>
          <w:b/>
          <w:lang w:eastAsia="en-GB"/>
        </w:rPr>
        <w:t>Osteoporosis and Chronic Obstructive Pulmonary Disease</w:t>
      </w:r>
    </w:p>
    <w:p w14:paraId="31691FAD" w14:textId="4B23F336" w:rsidR="007A40C5" w:rsidRPr="00730216" w:rsidRDefault="007A40C5" w:rsidP="00240DB8">
      <w:pPr>
        <w:spacing w:after="0" w:line="360" w:lineRule="auto"/>
        <w:jc w:val="both"/>
        <w:rPr>
          <w:rFonts w:cstheme="minorHAnsi"/>
          <w:lang w:eastAsia="en-GB"/>
        </w:rPr>
      </w:pPr>
      <w:r>
        <w:rPr>
          <w:rFonts w:cstheme="minorHAnsi"/>
          <w:lang w:eastAsia="en-GB"/>
        </w:rPr>
        <w:t>C</w:t>
      </w:r>
      <w:r w:rsidRPr="006C5344">
        <w:rPr>
          <w:rFonts w:cstheme="minorHAnsi"/>
          <w:lang w:eastAsia="en-GB"/>
        </w:rPr>
        <w:t>hronic obstructive pulmonary disease</w:t>
      </w:r>
      <w:r>
        <w:rPr>
          <w:rFonts w:cstheme="minorHAnsi"/>
          <w:lang w:eastAsia="en-GB"/>
        </w:rPr>
        <w:t xml:space="preserve"> (COPD) is known to increase the risk of osteoporosis.</w:t>
      </w:r>
      <w:r w:rsidRPr="006C5344">
        <w:rPr>
          <w:rFonts w:cstheme="minorHAnsi"/>
          <w:lang w:eastAsia="en-GB"/>
        </w:rPr>
        <w:t xml:space="preserve"> A recent population-based </w:t>
      </w:r>
      <w:r>
        <w:rPr>
          <w:rFonts w:cstheme="minorHAnsi"/>
          <w:lang w:eastAsia="en-GB"/>
        </w:rPr>
        <w:t xml:space="preserve">UK </w:t>
      </w:r>
      <w:r w:rsidRPr="006C5344">
        <w:rPr>
          <w:rFonts w:cstheme="minorHAnsi"/>
          <w:lang w:eastAsia="en-GB"/>
        </w:rPr>
        <w:t xml:space="preserve">cohort study revealed </w:t>
      </w:r>
      <w:r>
        <w:rPr>
          <w:rFonts w:cstheme="minorHAnsi"/>
          <w:lang w:eastAsia="en-GB"/>
        </w:rPr>
        <w:t xml:space="preserve">a </w:t>
      </w:r>
      <w:r w:rsidRPr="006C5344">
        <w:rPr>
          <w:rFonts w:cstheme="minorHAnsi"/>
          <w:lang w:eastAsia="en-GB"/>
        </w:rPr>
        <w:t xml:space="preserve">higher prevalence of osteoporosis diagnosis in COPD patients </w:t>
      </w:r>
      <w:r w:rsidRPr="007D376C">
        <w:rPr>
          <w:rFonts w:cstheme="minorHAnsi"/>
          <w:lang w:eastAsia="en-GB"/>
        </w:rPr>
        <w:t xml:space="preserve">(5.7%) </w:t>
      </w:r>
      <w:r w:rsidRPr="006C5344">
        <w:rPr>
          <w:rFonts w:cstheme="minorHAnsi"/>
          <w:lang w:eastAsia="en-GB"/>
        </w:rPr>
        <w:t xml:space="preserve">compared with matched </w:t>
      </w:r>
      <w:r>
        <w:rPr>
          <w:rFonts w:cstheme="minorHAnsi"/>
          <w:lang w:eastAsia="en-GB"/>
        </w:rPr>
        <w:t xml:space="preserve">controls </w:t>
      </w:r>
      <w:r w:rsidRPr="007D376C">
        <w:rPr>
          <w:rFonts w:cstheme="minorHAnsi"/>
          <w:lang w:eastAsia="en-GB"/>
        </w:rPr>
        <w:t>(3.9%)</w:t>
      </w:r>
      <w:r>
        <w:rPr>
          <w:rFonts w:cstheme="minorHAnsi"/>
          <w:lang w:eastAsia="en-GB"/>
        </w:rPr>
        <w:t xml:space="preserve"> at an index date using </w:t>
      </w:r>
      <w:r w:rsidRPr="00160DD9">
        <w:rPr>
          <w:rFonts w:cstheme="minorHAnsi"/>
          <w:lang w:eastAsia="en-GB"/>
        </w:rPr>
        <w:t>The Health Improvement Network (THIN)</w:t>
      </w:r>
      <w:r w:rsidRPr="007D376C">
        <w:rPr>
          <w:rFonts w:cstheme="minorHAnsi"/>
          <w:lang w:eastAsia="en-GB"/>
        </w:rPr>
        <w:t xml:space="preserve">, </w:t>
      </w:r>
      <w:r>
        <w:rPr>
          <w:rFonts w:cstheme="minorHAnsi"/>
          <w:lang w:eastAsia="en-GB"/>
        </w:rPr>
        <w:t>which represents</w:t>
      </w:r>
      <w:r w:rsidRPr="007D376C">
        <w:rPr>
          <w:rFonts w:cstheme="minorHAnsi"/>
          <w:lang w:eastAsia="en-GB"/>
        </w:rPr>
        <w:t xml:space="preserve"> 6.2% of the total UK population</w:t>
      </w:r>
      <w:r>
        <w:rPr>
          <w:rFonts w:cstheme="minorHAnsi"/>
          <w:lang w:eastAsia="en-GB"/>
        </w:rPr>
        <w:t xml:space="preserve"> </w:t>
      </w:r>
      <w:r>
        <w:rPr>
          <w:rFonts w:cstheme="minorHAnsi"/>
          <w:noProof/>
          <w:lang w:eastAsia="en-GB"/>
        </w:rPr>
        <w:t>[31]</w:t>
      </w:r>
      <w:r>
        <w:rPr>
          <w:rFonts w:cstheme="minorHAnsi"/>
          <w:lang w:eastAsia="en-GB"/>
        </w:rPr>
        <w:t xml:space="preserve">. However, the global prevalence of osteoporosis in </w:t>
      </w:r>
      <w:r w:rsidR="00240DB8">
        <w:rPr>
          <w:rFonts w:cstheme="minorHAnsi"/>
          <w:lang w:eastAsia="en-GB"/>
        </w:rPr>
        <w:t xml:space="preserve">the </w:t>
      </w:r>
      <w:r>
        <w:rPr>
          <w:rFonts w:cstheme="minorHAnsi"/>
          <w:lang w:eastAsia="en-GB"/>
        </w:rPr>
        <w:t xml:space="preserve">COPD population reported by a recent systematic review was much higher at 38% from 58 studies, with very similar trend in many of the countries </w:t>
      </w:r>
      <w:r>
        <w:rPr>
          <w:rFonts w:cstheme="minorHAnsi"/>
          <w:noProof/>
          <w:lang w:eastAsia="en-GB"/>
        </w:rPr>
        <w:t>[32</w:t>
      </w:r>
      <w:r w:rsidR="002B13E2">
        <w:rPr>
          <w:rFonts w:cstheme="minorHAnsi"/>
          <w:noProof/>
          <w:lang w:eastAsia="en-GB"/>
        </w:rPr>
        <w:t>**</w:t>
      </w:r>
      <w:r>
        <w:rPr>
          <w:rFonts w:cstheme="minorHAnsi"/>
          <w:noProof/>
          <w:lang w:eastAsia="en-GB"/>
        </w:rPr>
        <w:t>]</w:t>
      </w:r>
      <w:r>
        <w:rPr>
          <w:rFonts w:cstheme="minorHAnsi"/>
          <w:lang w:eastAsia="en-GB"/>
        </w:rPr>
        <w:t>. Cumulative i</w:t>
      </w:r>
      <w:r w:rsidRPr="006C5344">
        <w:rPr>
          <w:rFonts w:cstheme="minorHAnsi"/>
          <w:lang w:eastAsia="en-GB"/>
        </w:rPr>
        <w:t>ncidence of VF</w:t>
      </w:r>
      <w:r>
        <w:rPr>
          <w:rFonts w:cstheme="minorHAnsi"/>
          <w:lang w:eastAsia="en-GB"/>
        </w:rPr>
        <w:t xml:space="preserve"> in this select population group</w:t>
      </w:r>
      <w:r w:rsidRPr="006C5344">
        <w:rPr>
          <w:rFonts w:cstheme="minorHAnsi"/>
          <w:lang w:eastAsia="en-GB"/>
        </w:rPr>
        <w:t xml:space="preserve"> was recently found to be </w:t>
      </w:r>
      <w:r w:rsidRPr="006C5344">
        <w:t xml:space="preserve">10.1% within 1 year and 24.0% within 3 years in </w:t>
      </w:r>
      <w:r w:rsidRPr="006C5344">
        <w:rPr>
          <w:rFonts w:cstheme="minorHAnsi"/>
          <w:lang w:eastAsia="en-GB"/>
        </w:rPr>
        <w:t>a</w:t>
      </w:r>
      <w:r>
        <w:rPr>
          <w:rFonts w:cstheme="minorHAnsi"/>
          <w:lang w:eastAsia="en-GB"/>
        </w:rPr>
        <w:t xml:space="preserve"> Dutch study </w:t>
      </w:r>
      <w:r>
        <w:rPr>
          <w:rFonts w:cstheme="minorHAnsi"/>
          <w:noProof/>
          <w:lang w:eastAsia="en-GB"/>
        </w:rPr>
        <w:t>[33]</w:t>
      </w:r>
      <w:r>
        <w:rPr>
          <w:rFonts w:cstheme="minorHAnsi"/>
          <w:lang w:eastAsia="en-GB"/>
        </w:rPr>
        <w:t xml:space="preserve">. Similar to the general population, the </w:t>
      </w:r>
      <w:r w:rsidRPr="003956D8">
        <w:rPr>
          <w:rFonts w:cstheme="minorHAnsi"/>
          <w:lang w:eastAsia="en-GB"/>
        </w:rPr>
        <w:t>risk of further VF is increased</w:t>
      </w:r>
      <w:r>
        <w:rPr>
          <w:rFonts w:cstheme="minorHAnsi"/>
          <w:lang w:eastAsia="en-GB"/>
        </w:rPr>
        <w:t xml:space="preserve"> with the presence of prevalent vertebral fracture</w:t>
      </w:r>
      <w:r w:rsidRPr="00BC4C36">
        <w:rPr>
          <w:rFonts w:cstheme="minorHAnsi"/>
          <w:lang w:eastAsia="en-GB"/>
        </w:rPr>
        <w:t>;</w:t>
      </w:r>
      <w:r>
        <w:rPr>
          <w:rFonts w:cstheme="minorHAnsi"/>
          <w:lang w:eastAsia="en-GB"/>
        </w:rPr>
        <w:t xml:space="preserve"> of</w:t>
      </w:r>
      <w:r w:rsidRPr="00BC4C36">
        <w:rPr>
          <w:rFonts w:cstheme="minorHAnsi"/>
          <w:lang w:eastAsia="en-GB"/>
        </w:rPr>
        <w:t xml:space="preserve"> </w:t>
      </w:r>
      <w:r w:rsidRPr="005A1A2C">
        <w:rPr>
          <w:rFonts w:cstheme="minorHAnsi"/>
          <w:lang w:eastAsia="en-GB"/>
        </w:rPr>
        <w:t>those patients with COPD</w:t>
      </w:r>
      <w:r>
        <w:rPr>
          <w:rFonts w:cstheme="minorHAnsi"/>
          <w:lang w:eastAsia="en-GB"/>
        </w:rPr>
        <w:t xml:space="preserve"> </w:t>
      </w:r>
      <w:r w:rsidRPr="00BC4C36">
        <w:rPr>
          <w:rFonts w:cstheme="minorHAnsi"/>
          <w:lang w:eastAsia="en-GB"/>
        </w:rPr>
        <w:t xml:space="preserve">with a new VF within the first year, </w:t>
      </w:r>
      <w:r w:rsidRPr="00BC4C36">
        <w:t>57.3% had a subsequent VF within the next 2 years</w:t>
      </w:r>
      <w:r>
        <w:t xml:space="preserve"> </w:t>
      </w:r>
      <w:r>
        <w:rPr>
          <w:noProof/>
        </w:rPr>
        <w:t>[33]</w:t>
      </w:r>
      <w:r w:rsidRPr="00BC4C36">
        <w:t xml:space="preserve">. </w:t>
      </w:r>
      <w:r w:rsidRPr="00BC4C36">
        <w:rPr>
          <w:rFonts w:cstheme="minorHAnsi"/>
          <w:lang w:eastAsia="en-GB"/>
        </w:rPr>
        <w:t xml:space="preserve">There </w:t>
      </w:r>
      <w:r>
        <w:rPr>
          <w:rFonts w:cstheme="minorHAnsi"/>
          <w:lang w:eastAsia="en-GB"/>
        </w:rPr>
        <w:t xml:space="preserve">are conflicting data with regards to whether COPD itself increases the risk of </w:t>
      </w:r>
      <w:r w:rsidRPr="006C5344">
        <w:rPr>
          <w:rFonts w:cstheme="minorHAnsi"/>
          <w:lang w:eastAsia="en-GB"/>
        </w:rPr>
        <w:t>major osteoporotic fracture</w:t>
      </w:r>
      <w:r>
        <w:rPr>
          <w:rFonts w:cstheme="minorHAnsi"/>
          <w:lang w:eastAsia="en-GB"/>
        </w:rPr>
        <w:t>. Data from one UK study showed that increased risk seemed to be</w:t>
      </w:r>
      <w:r w:rsidRPr="006C5344">
        <w:rPr>
          <w:rFonts w:cstheme="minorHAnsi"/>
          <w:lang w:eastAsia="en-GB"/>
        </w:rPr>
        <w:t xml:space="preserve"> mediated by age, smoking status, BMI, inhaled corticosteroid use and cumulative oral corticosteroid use</w:t>
      </w:r>
      <w:r>
        <w:rPr>
          <w:rFonts w:cstheme="minorHAnsi"/>
          <w:lang w:eastAsia="en-GB"/>
        </w:rPr>
        <w:t xml:space="preserve"> </w:t>
      </w:r>
      <w:r>
        <w:rPr>
          <w:rFonts w:cstheme="minorHAnsi"/>
          <w:noProof/>
          <w:lang w:eastAsia="en-GB"/>
        </w:rPr>
        <w:t>[31]</w:t>
      </w:r>
      <w:r>
        <w:rPr>
          <w:rFonts w:cstheme="minorHAnsi"/>
          <w:lang w:eastAsia="en-GB"/>
        </w:rPr>
        <w:t xml:space="preserve">, whereas a Taiwanese study showed COPD remains as a risk factor for hip fracture, after adjusting for a slightly different set </w:t>
      </w:r>
      <w:r>
        <w:rPr>
          <w:rFonts w:cstheme="minorHAnsi"/>
          <w:lang w:eastAsia="en-GB"/>
        </w:rPr>
        <w:lastRenderedPageBreak/>
        <w:t xml:space="preserve">of confounders including </w:t>
      </w:r>
      <w:r w:rsidRPr="00C12892">
        <w:rPr>
          <w:rFonts w:cstheme="minorHAnsi"/>
          <w:lang w:eastAsia="en-GB"/>
        </w:rPr>
        <w:t>age, sex, hypertension, stroke, hyperlipid</w:t>
      </w:r>
      <w:r>
        <w:rPr>
          <w:rFonts w:cstheme="minorHAnsi"/>
          <w:lang w:eastAsia="en-GB"/>
        </w:rPr>
        <w:t>aemia and diabetes, a</w:t>
      </w:r>
      <w:r w:rsidRPr="00C12892">
        <w:rPr>
          <w:rFonts w:cstheme="minorHAnsi"/>
          <w:lang w:eastAsia="en-GB"/>
        </w:rPr>
        <w:t>utoimmune</w:t>
      </w:r>
      <w:r>
        <w:rPr>
          <w:rFonts w:cstheme="minorHAnsi"/>
          <w:lang w:eastAsia="en-GB"/>
        </w:rPr>
        <w:t xml:space="preserve"> disease and non-steroidal anti-inflammatory drugs </w:t>
      </w:r>
      <w:r>
        <w:rPr>
          <w:rFonts w:cstheme="minorHAnsi"/>
          <w:noProof/>
          <w:lang w:eastAsia="en-GB"/>
        </w:rPr>
        <w:t>[34]</w:t>
      </w:r>
      <w:r>
        <w:rPr>
          <w:rFonts w:cstheme="minorHAnsi"/>
          <w:lang w:eastAsia="en-GB"/>
        </w:rPr>
        <w:t>. Currently, COPD is not featured in the FRAX algorithm, but this tool remains a reasonable assessment for this select population. In a cohort of advanced COPD participants, using the FRAX tool</w:t>
      </w:r>
      <w:r w:rsidR="00240DB8">
        <w:rPr>
          <w:rFonts w:cstheme="minorHAnsi"/>
          <w:lang w:eastAsia="en-GB"/>
        </w:rPr>
        <w:t>,</w:t>
      </w:r>
      <w:r>
        <w:rPr>
          <w:rFonts w:cstheme="minorHAnsi"/>
          <w:lang w:eastAsia="en-GB"/>
        </w:rPr>
        <w:t xml:space="preserve"> </w:t>
      </w:r>
      <w:r w:rsidRPr="000D7EC9">
        <w:rPr>
          <w:rFonts w:cstheme="minorHAnsi"/>
          <w:lang w:eastAsia="en-GB"/>
        </w:rPr>
        <w:t>almost 40% of the cohort</w:t>
      </w:r>
      <w:r>
        <w:rPr>
          <w:rFonts w:cstheme="minorHAnsi"/>
          <w:lang w:eastAsia="en-GB"/>
        </w:rPr>
        <w:t xml:space="preserve"> were calculated to be at intermediate </w:t>
      </w:r>
      <w:r w:rsidRPr="000D7EC9">
        <w:rPr>
          <w:rFonts w:cstheme="minorHAnsi"/>
          <w:lang w:eastAsia="en-GB"/>
        </w:rPr>
        <w:t xml:space="preserve">or high risk of developing fragility </w:t>
      </w:r>
      <w:proofErr w:type="gramStart"/>
      <w:r w:rsidRPr="000D7EC9">
        <w:rPr>
          <w:rFonts w:cstheme="minorHAnsi"/>
          <w:lang w:eastAsia="en-GB"/>
        </w:rPr>
        <w:t>fractures</w:t>
      </w:r>
      <w:r>
        <w:rPr>
          <w:rFonts w:cstheme="minorHAnsi"/>
          <w:noProof/>
          <w:lang w:eastAsia="en-GB"/>
        </w:rPr>
        <w:t>[</w:t>
      </w:r>
      <w:proofErr w:type="gramEnd"/>
      <w:r>
        <w:rPr>
          <w:rFonts w:cstheme="minorHAnsi"/>
          <w:noProof/>
          <w:lang w:eastAsia="en-GB"/>
        </w:rPr>
        <w:t>35]</w:t>
      </w:r>
      <w:r>
        <w:rPr>
          <w:rFonts w:cstheme="minorHAnsi"/>
          <w:lang w:eastAsia="en-GB"/>
        </w:rPr>
        <w:t xml:space="preserve">. Certain markers of disease progression for COPD such as FEV1 were associated with an increased FRAX calculated fracture risk </w:t>
      </w:r>
      <w:r>
        <w:rPr>
          <w:rFonts w:cstheme="minorHAnsi"/>
          <w:noProof/>
          <w:lang w:eastAsia="en-GB"/>
        </w:rPr>
        <w:t>[35]</w:t>
      </w:r>
      <w:r>
        <w:rPr>
          <w:rFonts w:cstheme="minorHAnsi"/>
          <w:lang w:eastAsia="en-GB"/>
        </w:rPr>
        <w:t xml:space="preserve">. </w:t>
      </w:r>
    </w:p>
    <w:p w14:paraId="28F0F2AF" w14:textId="77777777" w:rsidR="007A40C5" w:rsidRPr="00730216" w:rsidRDefault="007A40C5" w:rsidP="00240DB8">
      <w:pPr>
        <w:spacing w:after="0" w:line="360" w:lineRule="auto"/>
        <w:jc w:val="both"/>
        <w:rPr>
          <w:rFonts w:cstheme="minorHAnsi"/>
          <w:lang w:eastAsia="en-GB"/>
        </w:rPr>
      </w:pPr>
    </w:p>
    <w:p w14:paraId="3E9AFE50" w14:textId="77777777" w:rsidR="007A40C5" w:rsidRPr="00B82D7F" w:rsidRDefault="007A40C5" w:rsidP="00240DB8">
      <w:pPr>
        <w:spacing w:after="0" w:line="360" w:lineRule="auto"/>
        <w:jc w:val="both"/>
        <w:rPr>
          <w:rFonts w:cstheme="minorHAnsi"/>
          <w:b/>
          <w:lang w:eastAsia="en-GB"/>
        </w:rPr>
      </w:pPr>
      <w:r w:rsidRPr="00B82D7F">
        <w:rPr>
          <w:rFonts w:cstheme="minorHAnsi"/>
          <w:b/>
          <w:lang w:eastAsia="en-GB"/>
        </w:rPr>
        <w:t>Osteoporosis and Aromatase Inhibitor Therapy</w:t>
      </w:r>
    </w:p>
    <w:p w14:paraId="5B1B1BA0" w14:textId="2C0775C8" w:rsidR="007A40C5" w:rsidRDefault="007A40C5" w:rsidP="00240DB8">
      <w:pPr>
        <w:pStyle w:val="doublespaced"/>
        <w:spacing w:line="360" w:lineRule="auto"/>
        <w:jc w:val="both"/>
        <w:rPr>
          <w:b w:val="0"/>
          <w:u w:val="none"/>
        </w:rPr>
      </w:pPr>
      <w:r>
        <w:rPr>
          <w:b w:val="0"/>
          <w:u w:val="none"/>
        </w:rPr>
        <w:t>Aromatase inhibitor (AI) t</w:t>
      </w:r>
      <w:r w:rsidRPr="0090148A">
        <w:rPr>
          <w:b w:val="0"/>
          <w:u w:val="none"/>
        </w:rPr>
        <w:t>herapy</w:t>
      </w:r>
      <w:r>
        <w:rPr>
          <w:b w:val="0"/>
          <w:u w:val="none"/>
        </w:rPr>
        <w:t xml:space="preserve"> is part of the mainstream management in oestrogen receptor</w:t>
      </w:r>
      <w:r w:rsidRPr="00B67F42">
        <w:rPr>
          <w:b w:val="0"/>
          <w:u w:val="none"/>
        </w:rPr>
        <w:t xml:space="preserve"> positive</w:t>
      </w:r>
      <w:r>
        <w:rPr>
          <w:b w:val="0"/>
          <w:u w:val="none"/>
        </w:rPr>
        <w:t xml:space="preserve"> breast cancer, and through its physiological effect, can be associated with accelerated bone loss, therefore negatively impacting BMD and increasing fracture risk for the users </w:t>
      </w:r>
      <w:r>
        <w:rPr>
          <w:b w:val="0"/>
          <w:noProof/>
          <w:u w:val="none"/>
        </w:rPr>
        <w:t>[36]</w:t>
      </w:r>
      <w:r>
        <w:rPr>
          <w:b w:val="0"/>
          <w:u w:val="none"/>
        </w:rPr>
        <w:t xml:space="preserve">. BMD has been demonstrated to decrease at femoral neck and total hip after use of aromatase inhibitor without anti-resorptive medication </w:t>
      </w:r>
      <w:r>
        <w:rPr>
          <w:b w:val="0"/>
          <w:noProof/>
          <w:u w:val="none"/>
        </w:rPr>
        <w:t>[37, 38]</w:t>
      </w:r>
      <w:r>
        <w:rPr>
          <w:b w:val="0"/>
          <w:u w:val="none"/>
        </w:rPr>
        <w:t xml:space="preserve">, and rate of osteoporosis ranges from 6.5% </w:t>
      </w:r>
      <w:r>
        <w:rPr>
          <w:b w:val="0"/>
          <w:noProof/>
          <w:u w:val="none"/>
        </w:rPr>
        <w:t>[39]</w:t>
      </w:r>
      <w:r>
        <w:rPr>
          <w:b w:val="0"/>
          <w:u w:val="none"/>
        </w:rPr>
        <w:t xml:space="preserve"> with up to 5 years of AI exposure to 11% with 10 years of exposure </w:t>
      </w:r>
      <w:r>
        <w:rPr>
          <w:b w:val="0"/>
          <w:noProof/>
          <w:u w:val="none"/>
        </w:rPr>
        <w:t>[40]</w:t>
      </w:r>
      <w:r>
        <w:rPr>
          <w:b w:val="0"/>
          <w:u w:val="none"/>
        </w:rPr>
        <w:t xml:space="preserve">. In contrast a recent study using a </w:t>
      </w:r>
      <w:r w:rsidRPr="001245CF">
        <w:rPr>
          <w:b w:val="0"/>
          <w:u w:val="none"/>
        </w:rPr>
        <w:t>population-based BMD registry,</w:t>
      </w:r>
      <w:r>
        <w:rPr>
          <w:b w:val="0"/>
          <w:u w:val="none"/>
        </w:rPr>
        <w:t xml:space="preserve"> showed</w:t>
      </w:r>
      <w:r w:rsidRPr="001245CF">
        <w:rPr>
          <w:b w:val="0"/>
          <w:u w:val="none"/>
        </w:rPr>
        <w:t xml:space="preserve"> AI </w:t>
      </w:r>
      <w:r>
        <w:rPr>
          <w:b w:val="0"/>
          <w:u w:val="none"/>
        </w:rPr>
        <w:t xml:space="preserve">users were not at </w:t>
      </w:r>
      <w:r w:rsidRPr="001245CF">
        <w:rPr>
          <w:b w:val="0"/>
          <w:u w:val="none"/>
        </w:rPr>
        <w:t xml:space="preserve">greater risk </w:t>
      </w:r>
      <w:r>
        <w:rPr>
          <w:b w:val="0"/>
          <w:u w:val="none"/>
        </w:rPr>
        <w:t xml:space="preserve">for </w:t>
      </w:r>
      <w:r w:rsidRPr="001245CF">
        <w:rPr>
          <w:b w:val="0"/>
          <w:u w:val="none"/>
        </w:rPr>
        <w:t>hip fracture (HR,</w:t>
      </w:r>
      <w:r>
        <w:rPr>
          <w:b w:val="0"/>
          <w:u w:val="none"/>
        </w:rPr>
        <w:t xml:space="preserve"> 0.90) </w:t>
      </w:r>
      <w:r w:rsidRPr="001245CF">
        <w:rPr>
          <w:b w:val="0"/>
          <w:u w:val="none"/>
        </w:rPr>
        <w:t>compa</w:t>
      </w:r>
      <w:r>
        <w:rPr>
          <w:b w:val="0"/>
          <w:u w:val="none"/>
        </w:rPr>
        <w:t xml:space="preserve">red with the general population </w:t>
      </w:r>
      <w:r>
        <w:rPr>
          <w:b w:val="0"/>
          <w:noProof/>
          <w:u w:val="none"/>
        </w:rPr>
        <w:t>[41</w:t>
      </w:r>
      <w:r w:rsidR="00C458B0">
        <w:rPr>
          <w:b w:val="0"/>
          <w:noProof/>
          <w:u w:val="none"/>
        </w:rPr>
        <w:t>*</w:t>
      </w:r>
      <w:r>
        <w:rPr>
          <w:b w:val="0"/>
          <w:noProof/>
          <w:u w:val="none"/>
        </w:rPr>
        <w:t>]</w:t>
      </w:r>
      <w:r>
        <w:rPr>
          <w:b w:val="0"/>
          <w:u w:val="none"/>
        </w:rPr>
        <w:t xml:space="preserve">. The AI users in this particular study cohort at baseline had a higher average body mass index, BMD and a lower prevalence of prior fracture </w:t>
      </w:r>
      <w:r>
        <w:rPr>
          <w:b w:val="0"/>
          <w:noProof/>
          <w:u w:val="none"/>
        </w:rPr>
        <w:t>[41]</w:t>
      </w:r>
      <w:r>
        <w:rPr>
          <w:b w:val="0"/>
          <w:u w:val="none"/>
        </w:rPr>
        <w:t xml:space="preserve">. In the same group there was no significant difference between observed and predicted fracture risk using FRAX, when BMD was included </w:t>
      </w:r>
      <w:r>
        <w:rPr>
          <w:b w:val="0"/>
          <w:noProof/>
          <w:u w:val="none"/>
        </w:rPr>
        <w:t>[42]</w:t>
      </w:r>
      <w:r>
        <w:rPr>
          <w:b w:val="0"/>
          <w:u w:val="none"/>
        </w:rPr>
        <w:t xml:space="preserve">. </w:t>
      </w:r>
    </w:p>
    <w:p w14:paraId="39FFBDCA" w14:textId="77777777" w:rsidR="007A40C5" w:rsidRDefault="007A40C5" w:rsidP="00240DB8">
      <w:pPr>
        <w:pStyle w:val="doublespaced"/>
        <w:spacing w:line="360" w:lineRule="auto"/>
        <w:jc w:val="both"/>
        <w:rPr>
          <w:b w:val="0"/>
          <w:u w:val="none"/>
        </w:rPr>
      </w:pPr>
    </w:p>
    <w:p w14:paraId="2320C11B" w14:textId="77777777" w:rsidR="007A40C5" w:rsidRPr="00887396" w:rsidRDefault="007A40C5" w:rsidP="00240DB8">
      <w:pPr>
        <w:pStyle w:val="doublespaced"/>
        <w:spacing w:line="360" w:lineRule="auto"/>
        <w:jc w:val="both"/>
        <w:rPr>
          <w:sz w:val="24"/>
          <w:szCs w:val="24"/>
        </w:rPr>
      </w:pPr>
      <w:r w:rsidRPr="00887396">
        <w:rPr>
          <w:sz w:val="24"/>
          <w:szCs w:val="24"/>
        </w:rPr>
        <w:t>Osteoporosis and Economic Burden</w:t>
      </w:r>
    </w:p>
    <w:p w14:paraId="3A9CF0AA" w14:textId="045C680A" w:rsidR="007A40C5" w:rsidRDefault="007A40C5" w:rsidP="00240DB8">
      <w:pPr>
        <w:pStyle w:val="doublespaced"/>
        <w:spacing w:line="360" w:lineRule="auto"/>
        <w:jc w:val="both"/>
        <w:rPr>
          <w:b w:val="0"/>
          <w:u w:val="none"/>
        </w:rPr>
      </w:pPr>
      <w:r>
        <w:rPr>
          <w:b w:val="0"/>
          <w:u w:val="none"/>
        </w:rPr>
        <w:t xml:space="preserve">The burden of osteoporosis is substantial and wide-ranging. Economically, the estimated fracture related cost in 2017 for EU6 countries was €37.5 billion </w:t>
      </w:r>
      <w:r>
        <w:rPr>
          <w:b w:val="0"/>
          <w:noProof/>
          <w:u w:val="none"/>
        </w:rPr>
        <w:t>[2]</w:t>
      </w:r>
      <w:r>
        <w:rPr>
          <w:b w:val="0"/>
          <w:u w:val="none"/>
        </w:rPr>
        <w:t>, for Latin American Countries (</w:t>
      </w:r>
      <w:r w:rsidRPr="007A7D67">
        <w:rPr>
          <w:b w:val="0"/>
          <w:u w:val="none"/>
        </w:rPr>
        <w:t>Brazil, Mexico, Colombia, and Argentina</w:t>
      </w:r>
      <w:r>
        <w:rPr>
          <w:b w:val="0"/>
          <w:u w:val="none"/>
        </w:rPr>
        <w:t>) the total cost was US$ 1.7 billion in 2018</w:t>
      </w:r>
      <w:r>
        <w:rPr>
          <w:b w:val="0"/>
          <w:noProof/>
          <w:u w:val="none"/>
        </w:rPr>
        <w:t>[43]</w:t>
      </w:r>
      <w:r>
        <w:rPr>
          <w:b w:val="0"/>
          <w:u w:val="none"/>
        </w:rPr>
        <w:t xml:space="preserve">, and in Australia, the estimate of total direct cost from osteoporosis was US$ 2.77 billion in 2017, which was three times higher than the 2007 estimate </w:t>
      </w:r>
      <w:r>
        <w:rPr>
          <w:b w:val="0"/>
          <w:noProof/>
          <w:u w:val="none"/>
        </w:rPr>
        <w:t>[44]</w:t>
      </w:r>
      <w:r>
        <w:rPr>
          <w:b w:val="0"/>
          <w:u w:val="none"/>
        </w:rPr>
        <w:t>. A systematic review of US health care related costs estimated the hospitalisation cost for hip fractures ranged from US$ 8,358–32,</w:t>
      </w:r>
      <w:r w:rsidRPr="001436A6">
        <w:rPr>
          <w:b w:val="0"/>
          <w:u w:val="none"/>
        </w:rPr>
        <w:t>195</w:t>
      </w:r>
      <w:r>
        <w:rPr>
          <w:b w:val="0"/>
          <w:u w:val="none"/>
        </w:rPr>
        <w:t xml:space="preserve"> per encounter </w:t>
      </w:r>
      <w:r>
        <w:rPr>
          <w:b w:val="0"/>
          <w:noProof/>
          <w:u w:val="none"/>
        </w:rPr>
        <w:t>[45]</w:t>
      </w:r>
      <w:r>
        <w:rPr>
          <w:b w:val="0"/>
          <w:u w:val="none"/>
        </w:rPr>
        <w:t>. In Asia, the median hospitalisation cost for hip fracture</w:t>
      </w:r>
      <w:r w:rsidRPr="007D17FB">
        <w:rPr>
          <w:b w:val="0"/>
          <w:u w:val="none"/>
        </w:rPr>
        <w:t xml:space="preserve"> was </w:t>
      </w:r>
      <w:r>
        <w:rPr>
          <w:b w:val="0"/>
          <w:u w:val="none"/>
        </w:rPr>
        <w:t xml:space="preserve">found to be </w:t>
      </w:r>
      <w:r w:rsidRPr="007D17FB">
        <w:rPr>
          <w:b w:val="0"/>
          <w:u w:val="none"/>
        </w:rPr>
        <w:t>US$</w:t>
      </w:r>
      <w:r>
        <w:rPr>
          <w:b w:val="0"/>
          <w:u w:val="none"/>
        </w:rPr>
        <w:t xml:space="preserve"> </w:t>
      </w:r>
      <w:r w:rsidRPr="007D17FB">
        <w:rPr>
          <w:b w:val="0"/>
          <w:u w:val="none"/>
        </w:rPr>
        <w:t>2</w:t>
      </w:r>
      <w:r>
        <w:rPr>
          <w:b w:val="0"/>
          <w:u w:val="none"/>
        </w:rPr>
        <w:t>,</w:t>
      </w:r>
      <w:r w:rsidRPr="007D17FB">
        <w:rPr>
          <w:b w:val="0"/>
          <w:u w:val="none"/>
        </w:rPr>
        <w:t>943.74 (range US$774–US$14,198.90)</w:t>
      </w:r>
      <w:r>
        <w:rPr>
          <w:b w:val="0"/>
          <w:u w:val="none"/>
        </w:rPr>
        <w:t xml:space="preserve">, and on average this represents 18.95% of the </w:t>
      </w:r>
      <w:r w:rsidRPr="007D17FB">
        <w:rPr>
          <w:b w:val="0"/>
          <w:u w:val="none"/>
        </w:rPr>
        <w:t>countries</w:t>
      </w:r>
      <w:r>
        <w:rPr>
          <w:b w:val="0"/>
          <w:u w:val="none"/>
        </w:rPr>
        <w:t>’ GDP per capita in 2014</w:t>
      </w:r>
      <w:r w:rsidR="007B3EC8">
        <w:rPr>
          <w:b w:val="0"/>
          <w:u w:val="none"/>
        </w:rPr>
        <w:t xml:space="preserve"> </w:t>
      </w:r>
      <w:r>
        <w:rPr>
          <w:b w:val="0"/>
          <w:noProof/>
          <w:u w:val="none"/>
        </w:rPr>
        <w:t>[46</w:t>
      </w:r>
      <w:r w:rsidR="007B3EC8">
        <w:rPr>
          <w:b w:val="0"/>
          <w:noProof/>
          <w:u w:val="none"/>
        </w:rPr>
        <w:t>**</w:t>
      </w:r>
      <w:r>
        <w:rPr>
          <w:b w:val="0"/>
          <w:noProof/>
          <w:u w:val="none"/>
        </w:rPr>
        <w:t>]</w:t>
      </w:r>
      <w:r>
        <w:rPr>
          <w:b w:val="0"/>
          <w:u w:val="none"/>
        </w:rPr>
        <w:t xml:space="preserve">. </w:t>
      </w:r>
    </w:p>
    <w:p w14:paraId="31C98B04" w14:textId="77777777" w:rsidR="007A40C5" w:rsidRDefault="007A40C5" w:rsidP="00240DB8">
      <w:pPr>
        <w:pStyle w:val="doublespaced"/>
        <w:spacing w:line="360" w:lineRule="auto"/>
        <w:jc w:val="both"/>
        <w:rPr>
          <w:b w:val="0"/>
          <w:u w:val="none"/>
        </w:rPr>
      </w:pPr>
      <w:r>
        <w:rPr>
          <w:b w:val="0"/>
          <w:u w:val="none"/>
        </w:rPr>
        <w:t>The burden from osteoporosis related fractures is long lasting</w:t>
      </w:r>
      <w:r w:rsidRPr="00E51406">
        <w:rPr>
          <w:b w:val="0"/>
          <w:u w:val="none"/>
        </w:rPr>
        <w:t>. The annual loss of quality-adjusted life years (QALYs) for EU6 countries totalled more than 2.6million and within EU6 countries it is the 4</w:t>
      </w:r>
      <w:r w:rsidRPr="00E51406">
        <w:rPr>
          <w:b w:val="0"/>
          <w:u w:val="none"/>
          <w:vertAlign w:val="superscript"/>
        </w:rPr>
        <w:t>th</w:t>
      </w:r>
      <w:r w:rsidRPr="00E51406">
        <w:rPr>
          <w:b w:val="0"/>
          <w:u w:val="none"/>
        </w:rPr>
        <w:t xml:space="preserve"> leading cause of chronic disease morbidity</w:t>
      </w:r>
      <w:r>
        <w:rPr>
          <w:b w:val="0"/>
          <w:u w:val="none"/>
        </w:rPr>
        <w:t xml:space="preserve"> as shown in Figure 2</w:t>
      </w:r>
      <w:r w:rsidRPr="00E51406">
        <w:rPr>
          <w:b w:val="0"/>
          <w:u w:val="none"/>
        </w:rPr>
        <w:t xml:space="preserve"> </w:t>
      </w:r>
      <w:r>
        <w:rPr>
          <w:b w:val="0"/>
          <w:noProof/>
          <w:u w:val="none"/>
        </w:rPr>
        <w:t>[2]</w:t>
      </w:r>
      <w:r>
        <w:rPr>
          <w:b w:val="0"/>
          <w:u w:val="none"/>
        </w:rPr>
        <w:t xml:space="preserve">. This will impact on one’s independence, well-being and number of sick days taken in the affected working age population. One </w:t>
      </w:r>
      <w:r>
        <w:rPr>
          <w:b w:val="0"/>
          <w:u w:val="none"/>
        </w:rPr>
        <w:lastRenderedPageBreak/>
        <w:t xml:space="preserve">year after hip fractures, </w:t>
      </w:r>
      <w:r w:rsidRPr="00685898">
        <w:rPr>
          <w:b w:val="0"/>
          <w:u w:val="none"/>
        </w:rPr>
        <w:t xml:space="preserve">60% </w:t>
      </w:r>
      <w:r>
        <w:rPr>
          <w:b w:val="0"/>
          <w:u w:val="none"/>
        </w:rPr>
        <w:t xml:space="preserve">were found to </w:t>
      </w:r>
      <w:r w:rsidRPr="00685898">
        <w:rPr>
          <w:b w:val="0"/>
          <w:u w:val="none"/>
        </w:rPr>
        <w:t>have difficulty with at least one essential activity of daily living,</w:t>
      </w:r>
      <w:r>
        <w:rPr>
          <w:b w:val="0"/>
          <w:u w:val="none"/>
        </w:rPr>
        <w:t xml:space="preserve"> and 27%</w:t>
      </w:r>
      <w:r w:rsidRPr="00685898">
        <w:rPr>
          <w:b w:val="0"/>
          <w:u w:val="none"/>
        </w:rPr>
        <w:t xml:space="preserve"> enter</w:t>
      </w:r>
      <w:r>
        <w:rPr>
          <w:b w:val="0"/>
          <w:u w:val="none"/>
        </w:rPr>
        <w:t>ed</w:t>
      </w:r>
      <w:r w:rsidRPr="00685898">
        <w:rPr>
          <w:b w:val="0"/>
          <w:u w:val="none"/>
        </w:rPr>
        <w:t xml:space="preserve"> a nursing home for the first time</w:t>
      </w:r>
      <w:r>
        <w:rPr>
          <w:b w:val="0"/>
          <w:u w:val="none"/>
        </w:rPr>
        <w:t xml:space="preserve"> </w:t>
      </w:r>
      <w:r>
        <w:rPr>
          <w:b w:val="0"/>
          <w:noProof/>
          <w:u w:val="none"/>
        </w:rPr>
        <w:t>[47]</w:t>
      </w:r>
      <w:r w:rsidRPr="00685898">
        <w:rPr>
          <w:b w:val="0"/>
          <w:u w:val="none"/>
        </w:rPr>
        <w:t>.</w:t>
      </w:r>
      <w:r>
        <w:rPr>
          <w:b w:val="0"/>
          <w:u w:val="none"/>
        </w:rPr>
        <w:t xml:space="preserve"> This is likely as a result of reduced mobility, lingering side effects such as pain and an increased need for care support </w:t>
      </w:r>
      <w:r>
        <w:rPr>
          <w:b w:val="0"/>
          <w:noProof/>
          <w:u w:val="none"/>
        </w:rPr>
        <w:t>[47]</w:t>
      </w:r>
      <w:r>
        <w:rPr>
          <w:b w:val="0"/>
          <w:u w:val="none"/>
        </w:rPr>
        <w:t xml:space="preserve">. </w:t>
      </w:r>
    </w:p>
    <w:p w14:paraId="1BE6E974" w14:textId="77777777" w:rsidR="007A40C5" w:rsidRPr="007D17FB" w:rsidRDefault="007A40C5" w:rsidP="00240DB8">
      <w:pPr>
        <w:pStyle w:val="doublespaced"/>
        <w:spacing w:line="360" w:lineRule="auto"/>
        <w:jc w:val="both"/>
        <w:rPr>
          <w:b w:val="0"/>
          <w:u w:val="none"/>
        </w:rPr>
      </w:pPr>
    </w:p>
    <w:p w14:paraId="0496C82F" w14:textId="77777777" w:rsidR="007A40C5" w:rsidRPr="00C76D22" w:rsidRDefault="007A40C5" w:rsidP="00240DB8">
      <w:pPr>
        <w:pStyle w:val="doublespaced"/>
        <w:spacing w:line="360" w:lineRule="auto"/>
        <w:jc w:val="both"/>
        <w:rPr>
          <w:sz w:val="24"/>
          <w:szCs w:val="24"/>
        </w:rPr>
      </w:pPr>
      <w:r w:rsidRPr="00C76D22">
        <w:rPr>
          <w:sz w:val="24"/>
          <w:szCs w:val="24"/>
        </w:rPr>
        <w:t>Conclusion</w:t>
      </w:r>
    </w:p>
    <w:p w14:paraId="278A59AA" w14:textId="77777777" w:rsidR="007A40C5" w:rsidRDefault="007A40C5" w:rsidP="00240DB8">
      <w:pPr>
        <w:pStyle w:val="doublespaced"/>
        <w:spacing w:line="360" w:lineRule="auto"/>
        <w:jc w:val="both"/>
        <w:rPr>
          <w:b w:val="0"/>
          <w:u w:val="none"/>
        </w:rPr>
      </w:pPr>
      <w:r>
        <w:rPr>
          <w:b w:val="0"/>
          <w:u w:val="none"/>
        </w:rPr>
        <w:t xml:space="preserve">Osteoporosis is a chronic condition that has far reaching consequence on those affected. Our increasing understanding about factors affecting fracture risk will enhance our current tools in targeting individualised fracture risk assessment. However, despite reports of decline in hip fracture incidence in parts of world, in the ageing society that we live in, the burden from osteoporosis and its related sequelae will continue to increase. Further research is warranted to close the remaining knowledge gaps. </w:t>
      </w:r>
    </w:p>
    <w:p w14:paraId="019E9725" w14:textId="77777777" w:rsidR="007A40C5" w:rsidRDefault="007A40C5" w:rsidP="00240DB8">
      <w:pPr>
        <w:spacing w:line="360" w:lineRule="auto"/>
        <w:jc w:val="both"/>
      </w:pPr>
      <w:r>
        <w:rPr>
          <w:b/>
        </w:rPr>
        <w:br w:type="page"/>
      </w:r>
    </w:p>
    <w:p w14:paraId="3C190563" w14:textId="77777777" w:rsidR="007A40C5" w:rsidRDefault="007A40C5" w:rsidP="00C76D22">
      <w:pPr>
        <w:pStyle w:val="doublespaced"/>
        <w:rPr>
          <w:b w:val="0"/>
          <w:i/>
          <w:u w:val="none"/>
        </w:rPr>
      </w:pPr>
      <w:r w:rsidRPr="00C76D22">
        <w:rPr>
          <w:sz w:val="24"/>
          <w:szCs w:val="24"/>
        </w:rPr>
        <w:lastRenderedPageBreak/>
        <w:t>Key points</w:t>
      </w:r>
      <w:r w:rsidRPr="00C76D22">
        <w:rPr>
          <w:b w:val="0"/>
          <w:i/>
          <w:u w:val="none"/>
        </w:rPr>
        <w:t>: 3-5 key bullet points that summarise your article after the main text. Each bullet is to be no longer than one sentence.</w:t>
      </w:r>
    </w:p>
    <w:p w14:paraId="26F0817B" w14:textId="77777777" w:rsidR="007A40C5" w:rsidRPr="00062971" w:rsidRDefault="007A40C5" w:rsidP="005C687A">
      <w:pPr>
        <w:pStyle w:val="doublespaced"/>
        <w:numPr>
          <w:ilvl w:val="0"/>
          <w:numId w:val="4"/>
        </w:numPr>
        <w:rPr>
          <w:b w:val="0"/>
          <w:u w:val="none"/>
        </w:rPr>
      </w:pPr>
      <w:r w:rsidRPr="00062971">
        <w:rPr>
          <w:b w:val="0"/>
          <w:u w:val="none"/>
        </w:rPr>
        <w:t xml:space="preserve">Osteoporosis is defined as BMD value at ≤ 2.5 standard deviation (SD) measured at femoral neck or spine. </w:t>
      </w:r>
    </w:p>
    <w:p w14:paraId="73A41ACE" w14:textId="77777777" w:rsidR="007A40C5" w:rsidRPr="00062971" w:rsidRDefault="007A40C5" w:rsidP="005C687A">
      <w:pPr>
        <w:pStyle w:val="doublespaced"/>
        <w:numPr>
          <w:ilvl w:val="0"/>
          <w:numId w:val="4"/>
        </w:numPr>
        <w:rPr>
          <w:b w:val="0"/>
          <w:u w:val="none"/>
        </w:rPr>
      </w:pPr>
      <w:r w:rsidRPr="00062971">
        <w:rPr>
          <w:b w:val="0"/>
          <w:u w:val="none"/>
        </w:rPr>
        <w:t xml:space="preserve">Vertebral fracture is often clinically silent, but associated with significant disease burden. </w:t>
      </w:r>
    </w:p>
    <w:p w14:paraId="79A549D8" w14:textId="77777777" w:rsidR="007A40C5" w:rsidRPr="00062971" w:rsidRDefault="007A40C5" w:rsidP="005C687A">
      <w:pPr>
        <w:pStyle w:val="doublespaced"/>
        <w:numPr>
          <w:ilvl w:val="0"/>
          <w:numId w:val="4"/>
        </w:numPr>
        <w:rPr>
          <w:b w:val="0"/>
          <w:u w:val="none"/>
        </w:rPr>
      </w:pPr>
      <w:r w:rsidRPr="00062971">
        <w:rPr>
          <w:b w:val="0"/>
          <w:u w:val="none"/>
        </w:rPr>
        <w:t>Imminent fracture risk is an important factor contributing to subsequent fractures.</w:t>
      </w:r>
    </w:p>
    <w:p w14:paraId="550ECACB" w14:textId="77777777" w:rsidR="007A40C5" w:rsidRPr="007A2D07" w:rsidRDefault="007A40C5" w:rsidP="00C76D22">
      <w:pPr>
        <w:pStyle w:val="doublespaced"/>
        <w:numPr>
          <w:ilvl w:val="0"/>
          <w:numId w:val="4"/>
        </w:numPr>
        <w:rPr>
          <w:b w:val="0"/>
          <w:u w:val="none"/>
        </w:rPr>
      </w:pPr>
      <w:r w:rsidRPr="00062971">
        <w:rPr>
          <w:b w:val="0"/>
          <w:u w:val="none"/>
        </w:rPr>
        <w:t>Osteoporosis can co-exist with multiple co-morbidities such as COPD and cancer therefore require careful assessment of bone protection i</w:t>
      </w:r>
      <w:r>
        <w:rPr>
          <w:b w:val="0"/>
          <w:u w:val="none"/>
        </w:rPr>
        <w:t>f</w:t>
      </w:r>
      <w:r w:rsidRPr="00062971">
        <w:rPr>
          <w:b w:val="0"/>
          <w:u w:val="none"/>
        </w:rPr>
        <w:t xml:space="preserve"> co-morbidit</w:t>
      </w:r>
      <w:r>
        <w:rPr>
          <w:b w:val="0"/>
          <w:u w:val="none"/>
        </w:rPr>
        <w:t>ies are present</w:t>
      </w:r>
      <w:r w:rsidRPr="00062971">
        <w:rPr>
          <w:b w:val="0"/>
          <w:u w:val="none"/>
        </w:rPr>
        <w:t xml:space="preserve">. </w:t>
      </w:r>
    </w:p>
    <w:p w14:paraId="3386BA2B" w14:textId="77777777" w:rsidR="007A40C5" w:rsidRPr="00C76D22" w:rsidRDefault="007A40C5" w:rsidP="00C76D22">
      <w:pPr>
        <w:pStyle w:val="doublespaced"/>
        <w:rPr>
          <w:sz w:val="24"/>
          <w:szCs w:val="24"/>
        </w:rPr>
      </w:pPr>
      <w:r w:rsidRPr="00C76D22">
        <w:rPr>
          <w:sz w:val="24"/>
          <w:szCs w:val="24"/>
        </w:rPr>
        <w:t>Acknowledgements</w:t>
      </w:r>
    </w:p>
    <w:p w14:paraId="52A0D717" w14:textId="77777777" w:rsidR="007A40C5" w:rsidRPr="00C76D22" w:rsidRDefault="007A40C5" w:rsidP="00C76D22">
      <w:pPr>
        <w:pStyle w:val="doublespaced"/>
        <w:rPr>
          <w:b w:val="0"/>
          <w:u w:val="none"/>
        </w:rPr>
      </w:pPr>
      <w:r w:rsidRPr="00C76D22">
        <w:rPr>
          <w:b w:val="0"/>
          <w:u w:val="none"/>
        </w:rPr>
        <w:t xml:space="preserve">JZ’s work is supported by a BRC-NIHR grant. </w:t>
      </w:r>
    </w:p>
    <w:p w14:paraId="7F687487" w14:textId="77777777" w:rsidR="007A40C5" w:rsidRPr="00C76D22" w:rsidRDefault="007A40C5" w:rsidP="00C76D22">
      <w:pPr>
        <w:pStyle w:val="doublespaced"/>
        <w:rPr>
          <w:sz w:val="24"/>
          <w:szCs w:val="24"/>
        </w:rPr>
      </w:pPr>
      <w:r w:rsidRPr="00C76D22">
        <w:rPr>
          <w:sz w:val="24"/>
          <w:szCs w:val="24"/>
        </w:rPr>
        <w:t>Financial Support and Sponsorship</w:t>
      </w:r>
    </w:p>
    <w:p w14:paraId="654B63D0" w14:textId="77777777" w:rsidR="007A40C5" w:rsidRPr="00C76D22" w:rsidRDefault="007A40C5" w:rsidP="00C76D22">
      <w:pPr>
        <w:pStyle w:val="doublespaced"/>
        <w:rPr>
          <w:b w:val="0"/>
          <w:u w:val="none"/>
        </w:rPr>
      </w:pPr>
      <w:r w:rsidRPr="00C76D22">
        <w:rPr>
          <w:b w:val="0"/>
          <w:u w:val="none"/>
        </w:rPr>
        <w:t>None</w:t>
      </w:r>
    </w:p>
    <w:p w14:paraId="18411DAC" w14:textId="77777777" w:rsidR="007A40C5" w:rsidRPr="00C76D22" w:rsidRDefault="007A40C5" w:rsidP="00C76D22">
      <w:pPr>
        <w:pStyle w:val="doublespaced"/>
        <w:rPr>
          <w:sz w:val="24"/>
          <w:szCs w:val="24"/>
        </w:rPr>
      </w:pPr>
      <w:r w:rsidRPr="00C76D22">
        <w:rPr>
          <w:sz w:val="24"/>
          <w:szCs w:val="24"/>
        </w:rPr>
        <w:t>Conflicts of Interest</w:t>
      </w:r>
    </w:p>
    <w:p w14:paraId="151C13AC" w14:textId="798CC2D3" w:rsidR="007A40C5" w:rsidRDefault="006C1A2F" w:rsidP="00C76D22">
      <w:pPr>
        <w:pStyle w:val="doublespaced"/>
        <w:rPr>
          <w:b w:val="0"/>
          <w:u w:val="none"/>
        </w:rPr>
      </w:pPr>
      <w:r>
        <w:rPr>
          <w:b w:val="0"/>
          <w:u w:val="none"/>
        </w:rPr>
        <w:t>JZ: none</w:t>
      </w:r>
    </w:p>
    <w:p w14:paraId="281B017B" w14:textId="4E875D5E" w:rsidR="006C1A2F" w:rsidRDefault="006C1A2F" w:rsidP="00C76D22">
      <w:pPr>
        <w:pStyle w:val="doublespaced"/>
        <w:rPr>
          <w:b w:val="0"/>
          <w:u w:val="none"/>
        </w:rPr>
      </w:pPr>
      <w:r>
        <w:rPr>
          <w:b w:val="0"/>
          <w:u w:val="none"/>
        </w:rPr>
        <w:t>EMD: none</w:t>
      </w:r>
    </w:p>
    <w:p w14:paraId="3953CC86" w14:textId="3F88AB60" w:rsidR="006C1A2F" w:rsidRDefault="006C1A2F" w:rsidP="00C76D22">
      <w:pPr>
        <w:pStyle w:val="doublespaced"/>
        <w:rPr>
          <w:b w:val="0"/>
          <w:u w:val="none"/>
        </w:rPr>
      </w:pPr>
      <w:r>
        <w:rPr>
          <w:b w:val="0"/>
          <w:u w:val="none"/>
        </w:rPr>
        <w:t>DPA: none</w:t>
      </w:r>
    </w:p>
    <w:p w14:paraId="6515072E" w14:textId="72C16A71" w:rsidR="00240DB8" w:rsidRDefault="00240DB8" w:rsidP="00C76D22">
      <w:pPr>
        <w:pStyle w:val="doublespaced"/>
        <w:rPr>
          <w:b w:val="0"/>
          <w:u w:val="none"/>
        </w:rPr>
      </w:pPr>
    </w:p>
    <w:p w14:paraId="011D5F20" w14:textId="5ED6FBA8" w:rsidR="00240DB8" w:rsidRDefault="00240DB8">
      <w:r>
        <w:rPr>
          <w:b/>
        </w:rPr>
        <w:br w:type="page"/>
      </w:r>
    </w:p>
    <w:p w14:paraId="46DE5474" w14:textId="77777777" w:rsidR="007A40C5" w:rsidRPr="006F4049" w:rsidRDefault="007A40C5" w:rsidP="00C76D22">
      <w:pPr>
        <w:pStyle w:val="doublespaced"/>
      </w:pPr>
      <w:r w:rsidRPr="006F4049">
        <w:lastRenderedPageBreak/>
        <w:t>References</w:t>
      </w:r>
    </w:p>
    <w:p w14:paraId="5A5ACB38" w14:textId="77777777" w:rsidR="007A40C5" w:rsidRPr="00B30800" w:rsidRDefault="007A40C5" w:rsidP="006E6A9E">
      <w:pPr>
        <w:pStyle w:val="EndNoteBibliography"/>
        <w:spacing w:after="0"/>
        <w:rPr>
          <w:u w:val="none"/>
        </w:rPr>
      </w:pPr>
      <w:r w:rsidRPr="00B30800">
        <w:rPr>
          <w:u w:val="none"/>
        </w:rPr>
        <w:t>1.</w:t>
      </w:r>
      <w:r w:rsidRPr="00B30800">
        <w:rPr>
          <w:u w:val="none"/>
        </w:rPr>
        <w:tab/>
        <w:t>WHO. World report on ageing and health 2015 [Available from: https://www.who.int/ageing/events/world-report-2015-launch/en/.</w:t>
      </w:r>
    </w:p>
    <w:p w14:paraId="6832FE74" w14:textId="66D24774" w:rsidR="007A40C5" w:rsidRPr="00B30800" w:rsidRDefault="007A40C5" w:rsidP="006E6A9E">
      <w:pPr>
        <w:pStyle w:val="EndNoteBibliography"/>
        <w:spacing w:after="0"/>
        <w:rPr>
          <w:u w:val="none"/>
        </w:rPr>
      </w:pPr>
      <w:r w:rsidRPr="00B30800">
        <w:rPr>
          <w:u w:val="none"/>
        </w:rPr>
        <w:t>2.</w:t>
      </w:r>
      <w:r w:rsidR="00B30800">
        <w:rPr>
          <w:u w:val="none"/>
        </w:rPr>
        <w:t>**</w:t>
      </w:r>
      <w:r w:rsidRPr="00B30800">
        <w:rPr>
          <w:u w:val="none"/>
        </w:rPr>
        <w:tab/>
        <w:t xml:space="preserve">IOF. Broken bones, broken lives: A roadmap to solve the fragility fracture crisis in the United Kingdom 2019 [Available from: </w:t>
      </w:r>
      <w:hyperlink r:id="rId6" w:history="1">
        <w:r w:rsidR="00B30800" w:rsidRPr="00B30800">
          <w:rPr>
            <w:rStyle w:val="Hyperlink"/>
            <w:u w:val="none"/>
          </w:rPr>
          <w:t>http://share.iofbonehealth.org/EU-6-Material/Reports/IOF%20Report_EU.pdf</w:t>
        </w:r>
      </w:hyperlink>
      <w:r w:rsidRPr="00B30800">
        <w:rPr>
          <w:u w:val="none"/>
        </w:rPr>
        <w:t>.</w:t>
      </w:r>
    </w:p>
    <w:p w14:paraId="5821464E" w14:textId="2C4608AC" w:rsidR="00B30800" w:rsidRDefault="00B30800" w:rsidP="006E6A9E">
      <w:pPr>
        <w:pStyle w:val="EndNoteBibliography"/>
        <w:spacing w:after="0"/>
        <w:rPr>
          <w:b/>
          <w:u w:val="none"/>
        </w:rPr>
      </w:pPr>
      <w:r w:rsidRPr="00B30800">
        <w:rPr>
          <w:b/>
          <w:u w:val="none"/>
        </w:rPr>
        <w:t>This is the latest report from IOF of an overview of osteoporosis, fractures and related impact</w:t>
      </w:r>
    </w:p>
    <w:p w14:paraId="0758A38D" w14:textId="77777777" w:rsidR="007A40C5" w:rsidRPr="00B30800" w:rsidRDefault="007A40C5" w:rsidP="006E6A9E">
      <w:pPr>
        <w:pStyle w:val="EndNoteBibliography"/>
        <w:spacing w:after="0"/>
        <w:rPr>
          <w:u w:val="none"/>
        </w:rPr>
      </w:pPr>
      <w:r w:rsidRPr="00B30800">
        <w:rPr>
          <w:u w:val="none"/>
        </w:rPr>
        <w:t>3.</w:t>
      </w:r>
      <w:r w:rsidRPr="00B30800">
        <w:rPr>
          <w:u w:val="none"/>
        </w:rPr>
        <w:tab/>
        <w:t xml:space="preserve">Organization WH. Assessment of fracture risk and its application to screening for postmenopausal osteoporosis : report of a WHO study group [‎‎‎‎meeting held in Rome from 22 to 25 June 1992]‎‎‎. 1994 </w:t>
      </w:r>
    </w:p>
    <w:p w14:paraId="6E8711EA" w14:textId="3C208562" w:rsidR="007A40C5" w:rsidRDefault="007A40C5" w:rsidP="006E6A9E">
      <w:pPr>
        <w:pStyle w:val="EndNoteBibliography"/>
        <w:spacing w:after="0"/>
        <w:rPr>
          <w:u w:val="none"/>
        </w:rPr>
      </w:pPr>
      <w:r w:rsidRPr="00B30800">
        <w:rPr>
          <w:u w:val="none"/>
        </w:rPr>
        <w:t>4.</w:t>
      </w:r>
      <w:r w:rsidR="00702843">
        <w:rPr>
          <w:u w:val="none"/>
        </w:rPr>
        <w:t>**</w:t>
      </w:r>
      <w:r w:rsidRPr="00B30800">
        <w:rPr>
          <w:u w:val="none"/>
        </w:rPr>
        <w:tab/>
        <w:t>Compston JE, McClung MR, Leslie WD. Osteoporosis. Lancet (London, England). 2019;393(10169):364-76.</w:t>
      </w:r>
    </w:p>
    <w:p w14:paraId="46A9E5AE" w14:textId="46D313AC" w:rsidR="00702843" w:rsidRPr="00DB4ED6" w:rsidRDefault="00702843" w:rsidP="006E6A9E">
      <w:pPr>
        <w:pStyle w:val="EndNoteBibliography"/>
        <w:spacing w:after="0"/>
        <w:rPr>
          <w:b/>
          <w:u w:val="none"/>
        </w:rPr>
      </w:pPr>
      <w:r w:rsidRPr="00DB4ED6">
        <w:rPr>
          <w:b/>
          <w:u w:val="none"/>
        </w:rPr>
        <w:t xml:space="preserve">This paper gives an up to date overview of osteoporosis </w:t>
      </w:r>
      <w:r w:rsidR="00DB4ED6" w:rsidRPr="00DB4ED6">
        <w:rPr>
          <w:b/>
          <w:u w:val="none"/>
        </w:rPr>
        <w:t xml:space="preserve">pathophysiology and </w:t>
      </w:r>
      <w:r w:rsidRPr="00DB4ED6">
        <w:rPr>
          <w:b/>
          <w:u w:val="none"/>
        </w:rPr>
        <w:t xml:space="preserve">epidemiology, fracture </w:t>
      </w:r>
      <w:r w:rsidR="00DB4ED6" w:rsidRPr="00DB4ED6">
        <w:rPr>
          <w:b/>
          <w:u w:val="none"/>
        </w:rPr>
        <w:t>assessment, and osteoporosis management.</w:t>
      </w:r>
    </w:p>
    <w:p w14:paraId="4EC738F7" w14:textId="77777777" w:rsidR="007A40C5" w:rsidRPr="00B30800" w:rsidRDefault="007A40C5" w:rsidP="006E6A9E">
      <w:pPr>
        <w:pStyle w:val="EndNoteBibliography"/>
        <w:spacing w:after="0"/>
        <w:rPr>
          <w:u w:val="none"/>
        </w:rPr>
      </w:pPr>
      <w:r w:rsidRPr="00B30800">
        <w:rPr>
          <w:u w:val="none"/>
        </w:rPr>
        <w:t>5.</w:t>
      </w:r>
      <w:r w:rsidRPr="00B30800">
        <w:rPr>
          <w:u w:val="none"/>
        </w:rPr>
        <w:tab/>
        <w:t>WHO. Assessment of fracture risk and its application to screening for postmenopausal osteoporosis : report of a WHO study group (‎meeting held in Rome from 22 to 25 June 1992)‎‎‎‎. 1994.</w:t>
      </w:r>
    </w:p>
    <w:p w14:paraId="4BE1386B" w14:textId="77777777" w:rsidR="007A40C5" w:rsidRPr="00B30800" w:rsidRDefault="007A40C5" w:rsidP="006E6A9E">
      <w:pPr>
        <w:pStyle w:val="EndNoteBibliography"/>
        <w:spacing w:after="0"/>
        <w:rPr>
          <w:u w:val="none"/>
        </w:rPr>
      </w:pPr>
      <w:r w:rsidRPr="00B30800">
        <w:rPr>
          <w:u w:val="none"/>
        </w:rPr>
        <w:t>6.</w:t>
      </w:r>
      <w:r w:rsidRPr="00B30800">
        <w:rPr>
          <w:u w:val="none"/>
        </w:rPr>
        <w:tab/>
        <w:t>Marshall D, Johnell O, Wedel H. Meta-analysis of how well measures of bone mineral density predict occurrence of osteoporotic fractures. BMJ (Clinical research ed). 1996;312(7041):1254-9.</w:t>
      </w:r>
    </w:p>
    <w:p w14:paraId="1A3E2ECD" w14:textId="09F23457" w:rsidR="007A40C5" w:rsidRDefault="007A40C5" w:rsidP="006E6A9E">
      <w:pPr>
        <w:pStyle w:val="EndNoteBibliography"/>
        <w:spacing w:after="0"/>
        <w:rPr>
          <w:u w:val="none"/>
        </w:rPr>
      </w:pPr>
      <w:r w:rsidRPr="00B30800">
        <w:rPr>
          <w:u w:val="none"/>
        </w:rPr>
        <w:t>7.</w:t>
      </w:r>
      <w:r w:rsidR="00081009">
        <w:rPr>
          <w:u w:val="none"/>
        </w:rPr>
        <w:t>**</w:t>
      </w:r>
      <w:r w:rsidRPr="00B30800">
        <w:rPr>
          <w:u w:val="none"/>
        </w:rPr>
        <w:tab/>
        <w:t>Kanis JA, Cooper C, Rizzoli R, Reginster JY. European guidance for the diagnosis and management of osteoporosis in postmenopausal women. Osteoporosis internatio</w:t>
      </w:r>
      <w:r w:rsidR="003A1D7B">
        <w:rPr>
          <w:u w:val="none"/>
        </w:rPr>
        <w:t xml:space="preserve">nal </w:t>
      </w:r>
      <w:r w:rsidRPr="00B30800">
        <w:rPr>
          <w:u w:val="none"/>
        </w:rPr>
        <w:t>2019;30(1):3-44.</w:t>
      </w:r>
    </w:p>
    <w:p w14:paraId="201DA233" w14:textId="3BAB0E07" w:rsidR="00081009" w:rsidRPr="00081009" w:rsidRDefault="00081009" w:rsidP="006E6A9E">
      <w:pPr>
        <w:pStyle w:val="EndNoteBibliography"/>
        <w:spacing w:after="0"/>
        <w:rPr>
          <w:b/>
          <w:u w:val="none"/>
        </w:rPr>
      </w:pPr>
      <w:r w:rsidRPr="00081009">
        <w:rPr>
          <w:b/>
          <w:u w:val="none"/>
        </w:rPr>
        <w:t xml:space="preserve">This is the most up-to-date guideline for the management of osteoporosis in postmenopausal women. </w:t>
      </w:r>
    </w:p>
    <w:p w14:paraId="5E961E5A" w14:textId="3D22372B" w:rsidR="007A40C5" w:rsidRPr="00B30800" w:rsidRDefault="007A40C5" w:rsidP="006E6A9E">
      <w:pPr>
        <w:pStyle w:val="EndNoteBibliography"/>
        <w:spacing w:after="0"/>
        <w:rPr>
          <w:u w:val="none"/>
        </w:rPr>
      </w:pPr>
      <w:r w:rsidRPr="00B30800">
        <w:rPr>
          <w:u w:val="none"/>
        </w:rPr>
        <w:t>8.</w:t>
      </w:r>
      <w:r w:rsidRPr="00B30800">
        <w:rPr>
          <w:u w:val="none"/>
        </w:rPr>
        <w:tab/>
        <w:t>Cosman F, de Beur SJ, LeBoff MS, et al. Clinician's Guide to Prevention and Treatment of Osteoporos</w:t>
      </w:r>
      <w:r w:rsidR="003A1D7B">
        <w:rPr>
          <w:u w:val="none"/>
        </w:rPr>
        <w:t>is. Osteoporosis international</w:t>
      </w:r>
      <w:r w:rsidRPr="00B30800">
        <w:rPr>
          <w:u w:val="none"/>
        </w:rPr>
        <w:t>. 2014;25(10):2359-81.</w:t>
      </w:r>
    </w:p>
    <w:p w14:paraId="40173F28" w14:textId="77777777" w:rsidR="007A40C5" w:rsidRPr="00B30800" w:rsidRDefault="007A40C5" w:rsidP="006E6A9E">
      <w:pPr>
        <w:pStyle w:val="EndNoteBibliography"/>
        <w:spacing w:after="0"/>
        <w:rPr>
          <w:u w:val="none"/>
        </w:rPr>
      </w:pPr>
      <w:r w:rsidRPr="00B30800">
        <w:rPr>
          <w:u w:val="none"/>
        </w:rPr>
        <w:t>9.</w:t>
      </w:r>
      <w:r w:rsidRPr="00B30800">
        <w:rPr>
          <w:u w:val="none"/>
        </w:rPr>
        <w:tab/>
        <w:t>Compston J, Cooper A, Cooper C, et al. UK clinical guideline for the prevention and treatment of osteoporosis. Arch Osteoporos. 2017;12(1):43.</w:t>
      </w:r>
    </w:p>
    <w:p w14:paraId="56DEC0EA" w14:textId="77777777" w:rsidR="007A40C5" w:rsidRPr="00B30800" w:rsidRDefault="007A40C5" w:rsidP="006E6A9E">
      <w:pPr>
        <w:pStyle w:val="EndNoteBibliography"/>
        <w:spacing w:after="0"/>
        <w:rPr>
          <w:u w:val="none"/>
        </w:rPr>
      </w:pPr>
      <w:r w:rsidRPr="00B30800">
        <w:rPr>
          <w:u w:val="none"/>
        </w:rPr>
        <w:t>10.</w:t>
      </w:r>
      <w:r w:rsidRPr="00B30800">
        <w:rPr>
          <w:u w:val="none"/>
        </w:rPr>
        <w:tab/>
        <w:t>Kanis JA, McCloskey EV, Johansson H, et al. A reference standard for the description of osteoporosis. Bone. 2008;42(3):467-75.</w:t>
      </w:r>
    </w:p>
    <w:p w14:paraId="3A9BB39D" w14:textId="77777777" w:rsidR="007A40C5" w:rsidRPr="00B30800" w:rsidRDefault="007A40C5" w:rsidP="006E6A9E">
      <w:pPr>
        <w:pStyle w:val="EndNoteBibliography"/>
        <w:spacing w:after="0"/>
        <w:rPr>
          <w:u w:val="none"/>
        </w:rPr>
      </w:pPr>
      <w:r w:rsidRPr="00B30800">
        <w:rPr>
          <w:u w:val="none"/>
        </w:rPr>
        <w:t>11.</w:t>
      </w:r>
      <w:r w:rsidRPr="00B30800">
        <w:rPr>
          <w:u w:val="none"/>
        </w:rPr>
        <w:tab/>
        <w:t>Edidin AA, Ong KL, Lau E, Kurtz SM. Morbidity and Mortality After Vertebral Fractures: Comparison of Vertebral Augmentation and Nonoperative Management in the Medicare Population. Spine. 2015;40(15):1228-41.</w:t>
      </w:r>
    </w:p>
    <w:p w14:paraId="02466960" w14:textId="72A8C5B4" w:rsidR="007A40C5" w:rsidRDefault="007A40C5" w:rsidP="006E6A9E">
      <w:pPr>
        <w:pStyle w:val="EndNoteBibliography"/>
        <w:spacing w:after="0"/>
        <w:rPr>
          <w:u w:val="none"/>
        </w:rPr>
      </w:pPr>
      <w:r w:rsidRPr="00B30800">
        <w:rPr>
          <w:u w:val="none"/>
        </w:rPr>
        <w:t>12.</w:t>
      </w:r>
      <w:r w:rsidR="00081009">
        <w:rPr>
          <w:u w:val="none"/>
        </w:rPr>
        <w:t>*</w:t>
      </w:r>
      <w:r w:rsidRPr="00B30800">
        <w:rPr>
          <w:u w:val="none"/>
        </w:rPr>
        <w:tab/>
        <w:t>Kanis JA, Johansson H, Oden A, et al. Characteristics of recurrent fractu</w:t>
      </w:r>
      <w:r w:rsidR="003A1D7B">
        <w:rPr>
          <w:u w:val="none"/>
        </w:rPr>
        <w:t>res. Osteoporosis international</w:t>
      </w:r>
      <w:r w:rsidRPr="00B30800">
        <w:rPr>
          <w:u w:val="none"/>
        </w:rPr>
        <w:t xml:space="preserve"> 2018;29(8):1747-57.</w:t>
      </w:r>
    </w:p>
    <w:p w14:paraId="46A9BE7F" w14:textId="2A0601B6" w:rsidR="00081009" w:rsidRPr="00265824" w:rsidRDefault="00081009" w:rsidP="006E6A9E">
      <w:pPr>
        <w:pStyle w:val="EndNoteBibliography"/>
        <w:spacing w:after="0"/>
        <w:rPr>
          <w:b/>
          <w:u w:val="none"/>
        </w:rPr>
      </w:pPr>
      <w:r w:rsidRPr="00265824">
        <w:rPr>
          <w:b/>
          <w:u w:val="none"/>
        </w:rPr>
        <w:t xml:space="preserve">This paper </w:t>
      </w:r>
      <w:r w:rsidR="00265824" w:rsidRPr="00265824">
        <w:rPr>
          <w:b/>
          <w:u w:val="none"/>
        </w:rPr>
        <w:t xml:space="preserve">quantifies immediate risk post sentinel fracture. </w:t>
      </w:r>
    </w:p>
    <w:p w14:paraId="176CC191" w14:textId="4FB56DE5" w:rsidR="007A40C5" w:rsidRPr="00B30800" w:rsidRDefault="007A40C5" w:rsidP="006E6A9E">
      <w:pPr>
        <w:pStyle w:val="EndNoteBibliography"/>
        <w:spacing w:after="0"/>
        <w:rPr>
          <w:u w:val="none"/>
        </w:rPr>
      </w:pPr>
      <w:r w:rsidRPr="00B30800">
        <w:rPr>
          <w:u w:val="none"/>
        </w:rPr>
        <w:t>13.</w:t>
      </w:r>
      <w:r w:rsidRPr="00B30800">
        <w:rPr>
          <w:u w:val="none"/>
        </w:rPr>
        <w:tab/>
        <w:t>Genant HK, Wu CY, van Kuijk C, Nevitt MC. Vertebral fracture assessment using a semiquantitative technique. Journal of bone and mineral research. 1993;8(9):1137-48.</w:t>
      </w:r>
    </w:p>
    <w:p w14:paraId="424A9E09" w14:textId="77777777" w:rsidR="007A40C5" w:rsidRPr="00B30800" w:rsidRDefault="007A40C5" w:rsidP="006E6A9E">
      <w:pPr>
        <w:pStyle w:val="EndNoteBibliography"/>
        <w:spacing w:after="0"/>
        <w:rPr>
          <w:u w:val="none"/>
        </w:rPr>
      </w:pPr>
      <w:r w:rsidRPr="00B30800">
        <w:rPr>
          <w:u w:val="none"/>
        </w:rPr>
        <w:t>14.</w:t>
      </w:r>
      <w:r w:rsidRPr="00B30800">
        <w:rPr>
          <w:u w:val="none"/>
        </w:rPr>
        <w:tab/>
        <w:t>Adams Judith E LL, Roux Christian and Genant Harry K. . Radiological assessment of vertebral fracture. international osteoporosis foundation vertebral fracture initiative resource document Part II. 2010.</w:t>
      </w:r>
    </w:p>
    <w:p w14:paraId="439D8840" w14:textId="77777777" w:rsidR="007A40C5" w:rsidRPr="00B30800" w:rsidRDefault="007A40C5" w:rsidP="006E6A9E">
      <w:pPr>
        <w:pStyle w:val="EndNoteBibliography"/>
        <w:spacing w:after="0"/>
        <w:rPr>
          <w:u w:val="none"/>
        </w:rPr>
      </w:pPr>
      <w:r w:rsidRPr="00B30800">
        <w:rPr>
          <w:u w:val="none"/>
        </w:rPr>
        <w:t>15.</w:t>
      </w:r>
      <w:r w:rsidRPr="00B30800">
        <w:rPr>
          <w:u w:val="none"/>
        </w:rPr>
        <w:tab/>
        <w:t>Densitometry ISfC. 2015 ISCD official positions—adult. 2015.</w:t>
      </w:r>
    </w:p>
    <w:p w14:paraId="0D80D5F2" w14:textId="7E45CC6B" w:rsidR="007A40C5" w:rsidRPr="00B30800" w:rsidRDefault="007A40C5" w:rsidP="006E6A9E">
      <w:pPr>
        <w:pStyle w:val="EndNoteBibliography"/>
        <w:spacing w:after="0"/>
        <w:rPr>
          <w:u w:val="none"/>
        </w:rPr>
      </w:pPr>
      <w:r w:rsidRPr="00B30800">
        <w:rPr>
          <w:u w:val="none"/>
        </w:rPr>
        <w:t>16.</w:t>
      </w:r>
      <w:r w:rsidRPr="00B30800">
        <w:rPr>
          <w:u w:val="none"/>
        </w:rPr>
        <w:tab/>
        <w:t>Ballane G, Cauley JA, Luckey MM, El-Hajj Fuleihan G. Worldwide prevalence and incidence of osteoporotic vertebral fractures. Osteoporosis 2017;28(5):1531-42.</w:t>
      </w:r>
    </w:p>
    <w:p w14:paraId="229C5E76" w14:textId="78AE3656" w:rsidR="007A40C5" w:rsidRPr="00B30800" w:rsidRDefault="007A40C5" w:rsidP="006E6A9E">
      <w:pPr>
        <w:pStyle w:val="EndNoteBibliography"/>
        <w:spacing w:after="0"/>
        <w:rPr>
          <w:u w:val="none"/>
        </w:rPr>
      </w:pPr>
      <w:r w:rsidRPr="00B30800">
        <w:rPr>
          <w:u w:val="none"/>
        </w:rPr>
        <w:t>17.</w:t>
      </w:r>
      <w:r w:rsidRPr="00B30800">
        <w:rPr>
          <w:u w:val="none"/>
        </w:rPr>
        <w:tab/>
        <w:t>Kanterewicz E, Puigoriol E, Rodriguez Cros JR, Peris P. Prevalent vertebral fractures and minor vertebral deformities analyzed by vertebral fracture assessment (VFA) increases the risk of incident fractures in postmenopausal women: the FRODOS st</w:t>
      </w:r>
      <w:r w:rsidR="003A1D7B">
        <w:rPr>
          <w:u w:val="none"/>
        </w:rPr>
        <w:t>udy. Osteoporosis international.</w:t>
      </w:r>
      <w:r w:rsidRPr="00B30800">
        <w:rPr>
          <w:u w:val="none"/>
        </w:rPr>
        <w:t xml:space="preserve"> 2019;30(9):1901-2.</w:t>
      </w:r>
    </w:p>
    <w:p w14:paraId="63E09B86" w14:textId="77777777" w:rsidR="007A40C5" w:rsidRPr="00B30800" w:rsidRDefault="007A40C5" w:rsidP="006E6A9E">
      <w:pPr>
        <w:pStyle w:val="EndNoteBibliography"/>
        <w:spacing w:after="0"/>
        <w:rPr>
          <w:u w:val="none"/>
        </w:rPr>
      </w:pPr>
      <w:r w:rsidRPr="00B30800">
        <w:rPr>
          <w:u w:val="none"/>
        </w:rPr>
        <w:t>18.</w:t>
      </w:r>
      <w:r w:rsidRPr="00B30800">
        <w:rPr>
          <w:u w:val="none"/>
        </w:rPr>
        <w:tab/>
        <w:t>Horii C, Asai Y, Iidaka T, et al. Differences in prevalence and associated factors between mild and severe vertebral fractures in Japanese men and women: the third survey of the ROAD study. Journal of bone and mineral metabolism. 2019;37(5):844-53.</w:t>
      </w:r>
    </w:p>
    <w:p w14:paraId="3ABB4889" w14:textId="72EAB6FD" w:rsidR="007A40C5" w:rsidRDefault="007A40C5" w:rsidP="006E6A9E">
      <w:pPr>
        <w:pStyle w:val="EndNoteBibliography"/>
        <w:spacing w:after="0"/>
        <w:rPr>
          <w:u w:val="none"/>
        </w:rPr>
      </w:pPr>
      <w:r w:rsidRPr="00B30800">
        <w:rPr>
          <w:u w:val="none"/>
        </w:rPr>
        <w:lastRenderedPageBreak/>
        <w:t>19.</w:t>
      </w:r>
      <w:r w:rsidR="003A1D7B">
        <w:rPr>
          <w:u w:val="none"/>
        </w:rPr>
        <w:t>*</w:t>
      </w:r>
      <w:r w:rsidRPr="00B30800">
        <w:rPr>
          <w:u w:val="none"/>
        </w:rPr>
        <w:tab/>
        <w:t>Center JR. Fracture Burden: What Two and a Half Decades of Dubbo Osteoporosis Epidemiology Study Data Reveal About Clinical Outcomes of Osteoporosis. Current osteoporosis reports. 2017;15(2):88-95.</w:t>
      </w:r>
    </w:p>
    <w:p w14:paraId="317B05B7" w14:textId="3B0E619A" w:rsidR="003A1D7B" w:rsidRPr="003A1D7B" w:rsidRDefault="003A1D7B" w:rsidP="006E6A9E">
      <w:pPr>
        <w:pStyle w:val="EndNoteBibliography"/>
        <w:spacing w:after="0"/>
        <w:rPr>
          <w:b/>
          <w:u w:val="none"/>
        </w:rPr>
      </w:pPr>
      <w:r w:rsidRPr="003A1D7B">
        <w:rPr>
          <w:b/>
          <w:u w:val="none"/>
        </w:rPr>
        <w:t>This is a summary of learning points from the long running Dubbo Osteoporosis Epidemiology Study cohort.</w:t>
      </w:r>
    </w:p>
    <w:p w14:paraId="3DDA75FA" w14:textId="77777777" w:rsidR="007A40C5" w:rsidRPr="00B30800" w:rsidRDefault="007A40C5" w:rsidP="006E6A9E">
      <w:pPr>
        <w:pStyle w:val="EndNoteBibliography"/>
        <w:spacing w:after="0"/>
        <w:rPr>
          <w:u w:val="none"/>
        </w:rPr>
      </w:pPr>
      <w:r w:rsidRPr="00B30800">
        <w:rPr>
          <w:u w:val="none"/>
        </w:rPr>
        <w:t>20.</w:t>
      </w:r>
      <w:r w:rsidRPr="00B30800">
        <w:rPr>
          <w:u w:val="none"/>
        </w:rPr>
        <w:tab/>
        <w:t>Abtahi S, Driessen JHM, Vestergaard P, et al. Secular trends in major osteoporotic fractures among 50+ adults in Denmark between 1995 and 2010. Arch Osteoporos. 2018;13(1):91.</w:t>
      </w:r>
    </w:p>
    <w:p w14:paraId="00ECD93B" w14:textId="77777777" w:rsidR="007A40C5" w:rsidRPr="00B30800" w:rsidRDefault="007A40C5" w:rsidP="006E6A9E">
      <w:pPr>
        <w:pStyle w:val="EndNoteBibliography"/>
        <w:spacing w:after="0"/>
        <w:rPr>
          <w:u w:val="none"/>
        </w:rPr>
      </w:pPr>
      <w:r w:rsidRPr="00B30800">
        <w:rPr>
          <w:u w:val="none"/>
        </w:rPr>
        <w:t>21.</w:t>
      </w:r>
      <w:r w:rsidRPr="00B30800">
        <w:rPr>
          <w:u w:val="none"/>
        </w:rPr>
        <w:tab/>
        <w:t>Tarantino U, Piscitelli P, Feola M, et al. Decreasing trend of hip fractures incidence in Italy between 2007 and 2014: epidemiological changes due to population aging. Arch Osteoporos. 2018;13(1):23.</w:t>
      </w:r>
    </w:p>
    <w:p w14:paraId="19566502" w14:textId="4824ACCA" w:rsidR="007A40C5" w:rsidRPr="00B30800" w:rsidRDefault="007A40C5" w:rsidP="006E6A9E">
      <w:pPr>
        <w:pStyle w:val="EndNoteBibliography"/>
        <w:spacing w:after="0"/>
        <w:rPr>
          <w:u w:val="none"/>
        </w:rPr>
      </w:pPr>
      <w:r w:rsidRPr="00B30800">
        <w:rPr>
          <w:u w:val="none"/>
        </w:rPr>
        <w:t>22.</w:t>
      </w:r>
      <w:r w:rsidRPr="00B30800">
        <w:rPr>
          <w:u w:val="none"/>
        </w:rPr>
        <w:tab/>
        <w:t>Saad RK, Harb H, Bou-Orm IR, et al. Secular Trends of Hip Fractures in Lebanon 2006-2017: Implications for Clinical Practice and Public Health Policy in the Middle East Region. Journal of bone and mineral research. 2019.</w:t>
      </w:r>
    </w:p>
    <w:p w14:paraId="226DB687" w14:textId="77777777" w:rsidR="007A40C5" w:rsidRPr="00B30800" w:rsidRDefault="007A40C5" w:rsidP="006E6A9E">
      <w:pPr>
        <w:pStyle w:val="EndNoteBibliography"/>
        <w:spacing w:after="0"/>
        <w:rPr>
          <w:u w:val="none"/>
        </w:rPr>
      </w:pPr>
      <w:r w:rsidRPr="00B30800">
        <w:rPr>
          <w:u w:val="none"/>
        </w:rPr>
        <w:t>23.</w:t>
      </w:r>
      <w:r w:rsidRPr="00B30800">
        <w:rPr>
          <w:u w:val="none"/>
        </w:rPr>
        <w:tab/>
        <w:t>Kanis JA, Harvey NC, Cooper C, et al. A systematic review of intervention thresholds based on FRAX : A report prepared for the National Osteoporosis Guideline Group and the International Osteoporosis Foundation. Arch Osteoporos. 2016;11(1):25.</w:t>
      </w:r>
    </w:p>
    <w:p w14:paraId="66000BE1" w14:textId="158482E8" w:rsidR="007A40C5" w:rsidRPr="00B30800" w:rsidRDefault="007A40C5" w:rsidP="006E6A9E">
      <w:pPr>
        <w:pStyle w:val="EndNoteBibliography"/>
        <w:spacing w:after="0"/>
        <w:rPr>
          <w:u w:val="none"/>
        </w:rPr>
      </w:pPr>
      <w:r w:rsidRPr="00B30800">
        <w:rPr>
          <w:u w:val="none"/>
        </w:rPr>
        <w:t>24.</w:t>
      </w:r>
      <w:r w:rsidRPr="00B30800">
        <w:rPr>
          <w:u w:val="none"/>
        </w:rPr>
        <w:tab/>
        <w:t>Kanis JA, McCloskey EV, Johansson H, et al. Development and use of FRAX in osteoporo</w:t>
      </w:r>
      <w:r w:rsidR="00AA0B04">
        <w:rPr>
          <w:u w:val="none"/>
        </w:rPr>
        <w:t>sis. Osteoporosis international.</w:t>
      </w:r>
      <w:r w:rsidRPr="00B30800">
        <w:rPr>
          <w:u w:val="none"/>
        </w:rPr>
        <w:t xml:space="preserve"> 2010;21 Suppl 2:S407-13.</w:t>
      </w:r>
    </w:p>
    <w:p w14:paraId="2AD4AD17" w14:textId="07356CB8" w:rsidR="007A40C5" w:rsidRDefault="007A40C5" w:rsidP="006E6A9E">
      <w:pPr>
        <w:pStyle w:val="EndNoteBibliography"/>
        <w:spacing w:after="0"/>
        <w:rPr>
          <w:u w:val="none"/>
        </w:rPr>
      </w:pPr>
      <w:r w:rsidRPr="00B30800">
        <w:rPr>
          <w:u w:val="none"/>
        </w:rPr>
        <w:t>25.</w:t>
      </w:r>
      <w:r w:rsidR="00E46A6A">
        <w:rPr>
          <w:u w:val="none"/>
        </w:rPr>
        <w:t>*</w:t>
      </w:r>
      <w:r w:rsidRPr="00B30800">
        <w:rPr>
          <w:u w:val="none"/>
        </w:rPr>
        <w:tab/>
        <w:t>Schnell AD, Curtis JR, Saag KG. Importance of Recent Fracture as Predictor of Imminent Fracture Risk. Current osteoporosis reports. 2018;16(6):738-45.</w:t>
      </w:r>
    </w:p>
    <w:p w14:paraId="27987E80" w14:textId="40D6F90A" w:rsidR="00E46A6A" w:rsidRPr="00E46A6A" w:rsidRDefault="00277C03" w:rsidP="006E6A9E">
      <w:pPr>
        <w:pStyle w:val="EndNoteBibliography"/>
        <w:spacing w:after="0"/>
        <w:rPr>
          <w:b/>
          <w:u w:val="none"/>
        </w:rPr>
      </w:pPr>
      <w:r>
        <w:rPr>
          <w:b/>
          <w:u w:val="none"/>
        </w:rPr>
        <w:t>This is a review of re</w:t>
      </w:r>
      <w:r w:rsidRPr="00277C03">
        <w:rPr>
          <w:b/>
          <w:u w:val="none"/>
        </w:rPr>
        <w:t>cent fracture as a predictor of imminent fracture risk</w:t>
      </w:r>
      <w:r w:rsidR="009013B2">
        <w:rPr>
          <w:b/>
          <w:u w:val="none"/>
        </w:rPr>
        <w:t>.</w:t>
      </w:r>
    </w:p>
    <w:p w14:paraId="3C010E31" w14:textId="652BC3F3" w:rsidR="007A40C5" w:rsidRDefault="007A40C5" w:rsidP="006E6A9E">
      <w:pPr>
        <w:pStyle w:val="EndNoteBibliography"/>
        <w:spacing w:after="0"/>
        <w:rPr>
          <w:u w:val="none"/>
        </w:rPr>
      </w:pPr>
      <w:r w:rsidRPr="00B30800">
        <w:rPr>
          <w:u w:val="none"/>
        </w:rPr>
        <w:t>26.</w:t>
      </w:r>
      <w:r w:rsidRPr="00B30800">
        <w:rPr>
          <w:u w:val="none"/>
        </w:rPr>
        <w:tab/>
        <w:t>Banefelt J, Åkesson KE, Spångéus A, et al. Risk of imminent fracture following a previous fracture in a Swedish database study. Osteoporosis International. 2019;30(3):601-9.</w:t>
      </w:r>
    </w:p>
    <w:p w14:paraId="0F8A488B" w14:textId="7CA3F15C" w:rsidR="007A40C5" w:rsidRDefault="007A40C5" w:rsidP="006E6A9E">
      <w:pPr>
        <w:pStyle w:val="EndNoteBibliography"/>
        <w:spacing w:after="0"/>
        <w:rPr>
          <w:u w:val="none"/>
        </w:rPr>
      </w:pPr>
      <w:r w:rsidRPr="00B30800">
        <w:rPr>
          <w:u w:val="none"/>
        </w:rPr>
        <w:t>27.</w:t>
      </w:r>
      <w:r w:rsidRPr="00B30800">
        <w:rPr>
          <w:u w:val="none"/>
        </w:rPr>
        <w:tab/>
        <w:t>Balasubramanian A, Zhang J, Chen L, et al. Risk of subsequent fracture after prior fracture among older women. Osteoporosis international. 2019;30(1):79-92.</w:t>
      </w:r>
    </w:p>
    <w:p w14:paraId="470DAEB3" w14:textId="386F4026" w:rsidR="007A40C5" w:rsidRPr="00B30800" w:rsidRDefault="007A40C5" w:rsidP="006E6A9E">
      <w:pPr>
        <w:pStyle w:val="EndNoteBibliography"/>
        <w:spacing w:after="0"/>
        <w:rPr>
          <w:u w:val="none"/>
        </w:rPr>
      </w:pPr>
      <w:r w:rsidRPr="00B30800">
        <w:rPr>
          <w:u w:val="none"/>
        </w:rPr>
        <w:t>28.</w:t>
      </w:r>
      <w:r w:rsidRPr="00B30800">
        <w:rPr>
          <w:u w:val="none"/>
        </w:rPr>
        <w:tab/>
        <w:t>Adachi JD, Berger C, Barron R, et al. Predictors of imminent non-vertebral fracture in elderly women with osteoporosis, low bone mass, or a history of fracture, based on data from the population-based Canadian Multicentre Osteoporosis Study (CaMos). Arch Osteoporos. 2019;14(1):53.</w:t>
      </w:r>
    </w:p>
    <w:p w14:paraId="72F3D753" w14:textId="4018BA00" w:rsidR="007A40C5" w:rsidRPr="00B30800" w:rsidRDefault="007A40C5" w:rsidP="006E6A9E">
      <w:pPr>
        <w:pStyle w:val="EndNoteBibliography"/>
        <w:spacing w:after="0"/>
        <w:rPr>
          <w:u w:val="none"/>
        </w:rPr>
      </w:pPr>
      <w:r w:rsidRPr="00B30800">
        <w:rPr>
          <w:u w:val="none"/>
        </w:rPr>
        <w:t>29.</w:t>
      </w:r>
      <w:r w:rsidRPr="00B30800">
        <w:rPr>
          <w:u w:val="none"/>
        </w:rPr>
        <w:tab/>
        <w:t>Leslie WD, Morin SN, Lix LM, et al. Fracture prediction from self-reported falls in routine clinical practice: a registry-based cohort study. Osteoporosis international. 2019.</w:t>
      </w:r>
    </w:p>
    <w:p w14:paraId="0F98843D" w14:textId="5F12792B" w:rsidR="007A40C5" w:rsidRDefault="007A40C5" w:rsidP="006E6A9E">
      <w:pPr>
        <w:pStyle w:val="EndNoteBibliography"/>
        <w:spacing w:after="0"/>
        <w:rPr>
          <w:u w:val="none"/>
        </w:rPr>
      </w:pPr>
      <w:r w:rsidRPr="00B30800">
        <w:rPr>
          <w:u w:val="none"/>
        </w:rPr>
        <w:t>30.</w:t>
      </w:r>
      <w:r w:rsidR="008C17F8">
        <w:rPr>
          <w:u w:val="none"/>
        </w:rPr>
        <w:t>*</w:t>
      </w:r>
      <w:r w:rsidRPr="00B30800">
        <w:rPr>
          <w:u w:val="none"/>
        </w:rPr>
        <w:tab/>
        <w:t>Mai HT, Tran TS, Ho-Le TP, et al. Two-Thirds of All Fractures Are Not Attributable to Osteoporosis and Advancing Age: Implications for Fracture Prevention. The Journal of clinical endocrinology and metabolism. 2019;104(8):3514-20.</w:t>
      </w:r>
    </w:p>
    <w:p w14:paraId="5B6D7901" w14:textId="42A8B470" w:rsidR="008C17F8" w:rsidRPr="008C17F8" w:rsidRDefault="008C17F8" w:rsidP="006E6A9E">
      <w:pPr>
        <w:pStyle w:val="EndNoteBibliography"/>
        <w:spacing w:after="0"/>
        <w:rPr>
          <w:b/>
          <w:u w:val="none"/>
        </w:rPr>
      </w:pPr>
      <w:r w:rsidRPr="008C17F8">
        <w:rPr>
          <w:b/>
          <w:u w:val="none"/>
        </w:rPr>
        <w:t>This paper found only a third of total fractures are attributable to low BMD and advancing age.</w:t>
      </w:r>
    </w:p>
    <w:p w14:paraId="6915E004" w14:textId="77777777" w:rsidR="007A40C5" w:rsidRPr="00B30800" w:rsidRDefault="007A40C5" w:rsidP="006E6A9E">
      <w:pPr>
        <w:pStyle w:val="EndNoteBibliography"/>
        <w:spacing w:after="0"/>
        <w:rPr>
          <w:u w:val="none"/>
        </w:rPr>
      </w:pPr>
      <w:r w:rsidRPr="00B30800">
        <w:rPr>
          <w:u w:val="none"/>
        </w:rPr>
        <w:t>31.</w:t>
      </w:r>
      <w:r w:rsidRPr="00B30800">
        <w:rPr>
          <w:u w:val="none"/>
        </w:rPr>
        <w:tab/>
        <w:t>Akyea RK, McKeever TM, Gibson J, et al. Predicting fracture risk in patients with chronic obstructive pulmonary disease: a UK-based population-based cohort study. BMJ Open. 2019;9(4):e024951.</w:t>
      </w:r>
    </w:p>
    <w:p w14:paraId="073FDAB7" w14:textId="145488C4" w:rsidR="007A40C5" w:rsidRDefault="007A40C5" w:rsidP="006E6A9E">
      <w:pPr>
        <w:pStyle w:val="EndNoteBibliography"/>
        <w:spacing w:after="0"/>
        <w:rPr>
          <w:u w:val="none"/>
        </w:rPr>
      </w:pPr>
      <w:r w:rsidRPr="00B30800">
        <w:rPr>
          <w:u w:val="none"/>
        </w:rPr>
        <w:t>32.</w:t>
      </w:r>
      <w:r w:rsidR="008C17F8">
        <w:rPr>
          <w:u w:val="none"/>
        </w:rPr>
        <w:t>*</w:t>
      </w:r>
      <w:r w:rsidR="005E116B">
        <w:rPr>
          <w:u w:val="none"/>
        </w:rPr>
        <w:t>*</w:t>
      </w:r>
      <w:r w:rsidRPr="00B30800">
        <w:rPr>
          <w:u w:val="none"/>
        </w:rPr>
        <w:tab/>
        <w:t>Chen YW, Ramsook AH, Coxson HO, et al. Prevalence and Risk Factors for Osteoporosis in Individuals With COPD: A Systematic Review and Meta-analysis. Chest. 2019.</w:t>
      </w:r>
    </w:p>
    <w:p w14:paraId="0A0F7570" w14:textId="21E31AE6" w:rsidR="005E116B" w:rsidRPr="005E116B" w:rsidRDefault="005E116B" w:rsidP="006E6A9E">
      <w:pPr>
        <w:pStyle w:val="EndNoteBibliography"/>
        <w:spacing w:after="0"/>
        <w:rPr>
          <w:b/>
          <w:u w:val="none"/>
        </w:rPr>
      </w:pPr>
      <w:r w:rsidRPr="005E116B">
        <w:rPr>
          <w:b/>
          <w:u w:val="none"/>
        </w:rPr>
        <w:t xml:space="preserve">This is a systematic review of osteoporosis in COPD cohorts. </w:t>
      </w:r>
    </w:p>
    <w:p w14:paraId="37B6491E" w14:textId="094D4619" w:rsidR="007A40C5" w:rsidRPr="00B30800" w:rsidRDefault="007A40C5" w:rsidP="006E6A9E">
      <w:pPr>
        <w:pStyle w:val="EndNoteBibliography"/>
        <w:spacing w:after="0"/>
        <w:rPr>
          <w:u w:val="none"/>
        </w:rPr>
      </w:pPr>
      <w:r w:rsidRPr="00B30800">
        <w:rPr>
          <w:u w:val="none"/>
        </w:rPr>
        <w:t>33.</w:t>
      </w:r>
      <w:r w:rsidRPr="00B30800">
        <w:rPr>
          <w:u w:val="none"/>
        </w:rPr>
        <w:tab/>
        <w:t>van Dort MJ, Geusens P, Driessen JH, et al. High Imminent Vertebral Fracture Risk in Subjects With COPD With a Prevalent or Incident Vertebral Fracture. Journal of bone and mineral research. 2018;33(7):1233-41.</w:t>
      </w:r>
    </w:p>
    <w:p w14:paraId="671FC4EF" w14:textId="77777777" w:rsidR="007A40C5" w:rsidRPr="00B30800" w:rsidRDefault="007A40C5" w:rsidP="006E6A9E">
      <w:pPr>
        <w:pStyle w:val="EndNoteBibliography"/>
        <w:spacing w:after="0"/>
        <w:rPr>
          <w:u w:val="none"/>
        </w:rPr>
      </w:pPr>
      <w:r w:rsidRPr="00B30800">
        <w:rPr>
          <w:u w:val="none"/>
        </w:rPr>
        <w:t>34.</w:t>
      </w:r>
      <w:r w:rsidRPr="00B30800">
        <w:rPr>
          <w:u w:val="none"/>
        </w:rPr>
        <w:tab/>
        <w:t>Huang S-W, Wang W-T, Chou L-C, et al. Chronic Obstructive Pulmonary Disease Increases the Risk of Hip Fracture: A Nationwide Population-Based Cohort Study. Scientific reports. 2016;6:23360-.</w:t>
      </w:r>
    </w:p>
    <w:p w14:paraId="48D2F823" w14:textId="77777777" w:rsidR="007A40C5" w:rsidRPr="00B30800" w:rsidRDefault="007A40C5" w:rsidP="006E6A9E">
      <w:pPr>
        <w:pStyle w:val="EndNoteBibliography"/>
        <w:spacing w:after="0"/>
        <w:rPr>
          <w:u w:val="none"/>
        </w:rPr>
      </w:pPr>
      <w:r w:rsidRPr="00B30800">
        <w:rPr>
          <w:u w:val="none"/>
        </w:rPr>
        <w:t>35.</w:t>
      </w:r>
      <w:r w:rsidRPr="00B30800">
        <w:rPr>
          <w:u w:val="none"/>
        </w:rPr>
        <w:tab/>
        <w:t>Gupta A, Greening NJ, Evans RA, et al. Prospective risk of osteoporotic fractures in patients with advanced chronic obstructive pulmonary disease. Chronic respiratory disease. 2019;16:1479972318769763.</w:t>
      </w:r>
    </w:p>
    <w:p w14:paraId="60864575" w14:textId="77777777" w:rsidR="007A40C5" w:rsidRPr="00B30800" w:rsidRDefault="007A40C5" w:rsidP="006E6A9E">
      <w:pPr>
        <w:pStyle w:val="EndNoteBibliography"/>
        <w:spacing w:after="0"/>
        <w:rPr>
          <w:u w:val="none"/>
        </w:rPr>
      </w:pPr>
      <w:r w:rsidRPr="00B30800">
        <w:rPr>
          <w:u w:val="none"/>
        </w:rPr>
        <w:t>36.</w:t>
      </w:r>
      <w:r w:rsidRPr="00B30800">
        <w:rPr>
          <w:u w:val="none"/>
        </w:rPr>
        <w:tab/>
        <w:t>Suskin J, Shapiro CL. Osteoporosis and musculoskeletal complications related to therapy of breast cancer. Gland Surg. 2018;7(4):411-23.</w:t>
      </w:r>
    </w:p>
    <w:p w14:paraId="1A23852E" w14:textId="77777777" w:rsidR="007A40C5" w:rsidRPr="00B30800" w:rsidRDefault="007A40C5" w:rsidP="006E6A9E">
      <w:pPr>
        <w:pStyle w:val="EndNoteBibliography"/>
        <w:spacing w:after="0"/>
        <w:rPr>
          <w:u w:val="none"/>
        </w:rPr>
      </w:pPr>
      <w:r w:rsidRPr="00B30800">
        <w:rPr>
          <w:u w:val="none"/>
        </w:rPr>
        <w:lastRenderedPageBreak/>
        <w:t>37.</w:t>
      </w:r>
      <w:r w:rsidRPr="00B30800">
        <w:rPr>
          <w:u w:val="none"/>
        </w:rPr>
        <w:tab/>
        <w:t>Pineda-Moncusi M, Servitja S, Casamayor G, et al. Bone health evaluation one year after aromatase inhibitors completion. Bone. 2018;117:54-9.</w:t>
      </w:r>
    </w:p>
    <w:p w14:paraId="5FB8E9DC" w14:textId="31926605" w:rsidR="007A40C5" w:rsidRPr="00B30800" w:rsidRDefault="007A40C5" w:rsidP="006E6A9E">
      <w:pPr>
        <w:pStyle w:val="EndNoteBibliography"/>
        <w:spacing w:after="0"/>
        <w:rPr>
          <w:u w:val="none"/>
        </w:rPr>
      </w:pPr>
      <w:r w:rsidRPr="00B30800">
        <w:rPr>
          <w:u w:val="none"/>
        </w:rPr>
        <w:t>38.</w:t>
      </w:r>
      <w:r w:rsidRPr="00B30800">
        <w:rPr>
          <w:u w:val="none"/>
        </w:rPr>
        <w:tab/>
        <w:t>Hong AR, Kim JH, Lee KH, et al. Long-term effect of aromatase inhibitors on bone microarchitecture and macroarchitecture in non-osteoporotic postmenopausal women with breast canc</w:t>
      </w:r>
      <w:r w:rsidR="00FD75B4">
        <w:rPr>
          <w:u w:val="none"/>
        </w:rPr>
        <w:t>er. Osteoporosis international</w:t>
      </w:r>
      <w:r w:rsidRPr="00B30800">
        <w:rPr>
          <w:u w:val="none"/>
        </w:rPr>
        <w:t>. 2017;28(4):1413-22.</w:t>
      </w:r>
    </w:p>
    <w:p w14:paraId="53F086F2" w14:textId="77777777" w:rsidR="007A40C5" w:rsidRPr="00B30800" w:rsidRDefault="007A40C5" w:rsidP="006E6A9E">
      <w:pPr>
        <w:pStyle w:val="EndNoteBibliography"/>
        <w:spacing w:after="0"/>
        <w:rPr>
          <w:u w:val="none"/>
        </w:rPr>
      </w:pPr>
      <w:r w:rsidRPr="00B30800">
        <w:rPr>
          <w:u w:val="none"/>
        </w:rPr>
        <w:t>39.</w:t>
      </w:r>
      <w:r w:rsidRPr="00B30800">
        <w:rPr>
          <w:u w:val="none"/>
        </w:rPr>
        <w:tab/>
        <w:t>Kwan ML, Yao S, Laurent CA, et al. Changes in bone mineral density in women with breast cancer receiving aromatase inhibitor therapy. Breast cancer research and treatment. 2018;168(2):523-30.</w:t>
      </w:r>
    </w:p>
    <w:p w14:paraId="4D75CC94" w14:textId="77777777" w:rsidR="007A40C5" w:rsidRPr="00B30800" w:rsidRDefault="007A40C5" w:rsidP="006E6A9E">
      <w:pPr>
        <w:pStyle w:val="EndNoteBibliography"/>
        <w:spacing w:after="0"/>
        <w:rPr>
          <w:u w:val="none"/>
        </w:rPr>
      </w:pPr>
      <w:r w:rsidRPr="00B30800">
        <w:rPr>
          <w:u w:val="none"/>
        </w:rPr>
        <w:t>40.</w:t>
      </w:r>
      <w:r w:rsidRPr="00B30800">
        <w:rPr>
          <w:u w:val="none"/>
        </w:rPr>
        <w:tab/>
        <w:t>Goss PE, Ingle JN, Pritchard KI, et al. Extending Aromatase-Inhibitor Adjuvant Therapy to 10 Years. N Engl J Med. 2016;375(3):209-19.</w:t>
      </w:r>
    </w:p>
    <w:p w14:paraId="3B361B5D" w14:textId="7F218192" w:rsidR="007A40C5" w:rsidRDefault="007A40C5" w:rsidP="006E6A9E">
      <w:pPr>
        <w:pStyle w:val="EndNoteBibliography"/>
        <w:spacing w:after="0"/>
        <w:rPr>
          <w:u w:val="none"/>
        </w:rPr>
      </w:pPr>
      <w:r w:rsidRPr="00B30800">
        <w:rPr>
          <w:u w:val="none"/>
        </w:rPr>
        <w:t>41.</w:t>
      </w:r>
      <w:r w:rsidR="00CF4685">
        <w:rPr>
          <w:u w:val="none"/>
        </w:rPr>
        <w:t>*</w:t>
      </w:r>
      <w:r w:rsidRPr="00B30800">
        <w:rPr>
          <w:u w:val="none"/>
        </w:rPr>
        <w:tab/>
        <w:t>Leslie WD, Morin SN, Lix LM, et al. Fracture Risk in Women with Breast Cancer Initiating Aromatase Inhibitor Therapy: A Registry-Based Cohort Study. The oncologist. 2019.</w:t>
      </w:r>
    </w:p>
    <w:p w14:paraId="4374BD7E" w14:textId="473148AC" w:rsidR="00CF4685" w:rsidRPr="00CF4685" w:rsidRDefault="00CF4685" w:rsidP="00CF4685">
      <w:pPr>
        <w:pStyle w:val="EndNoteBibliography"/>
        <w:spacing w:after="0"/>
        <w:ind w:left="720" w:hanging="720"/>
        <w:rPr>
          <w:b/>
          <w:u w:val="none"/>
        </w:rPr>
      </w:pPr>
      <w:r w:rsidRPr="00CF4685">
        <w:rPr>
          <w:b/>
          <w:u w:val="none"/>
        </w:rPr>
        <w:t xml:space="preserve">This study provided interesting observation AI users were not at higher risk of fracture as previously seen. </w:t>
      </w:r>
    </w:p>
    <w:p w14:paraId="25C49135" w14:textId="58608C75" w:rsidR="007A40C5" w:rsidRPr="00B30800" w:rsidRDefault="007A40C5" w:rsidP="006E6A9E">
      <w:pPr>
        <w:pStyle w:val="EndNoteBibliography"/>
        <w:spacing w:after="0"/>
        <w:rPr>
          <w:u w:val="none"/>
        </w:rPr>
      </w:pPr>
      <w:r w:rsidRPr="00B30800">
        <w:rPr>
          <w:u w:val="none"/>
        </w:rPr>
        <w:t>42.</w:t>
      </w:r>
      <w:r w:rsidRPr="00B30800">
        <w:rPr>
          <w:u w:val="none"/>
        </w:rPr>
        <w:tab/>
        <w:t>Leslie WD, Morin SN, Lix LM, et al. Performance of FRAX in Women with Breast Cancer Initiating Aromatase Inhibitor Therapy: A Registry-Based Cohort Study. Journal of bone and mineral research. 2019;34(8):1428-35.</w:t>
      </w:r>
    </w:p>
    <w:p w14:paraId="7C038F52" w14:textId="076777B0" w:rsidR="007A40C5" w:rsidRPr="00B30800" w:rsidRDefault="007A40C5" w:rsidP="006E6A9E">
      <w:pPr>
        <w:pStyle w:val="EndNoteBibliography"/>
        <w:spacing w:after="0"/>
        <w:rPr>
          <w:u w:val="none"/>
        </w:rPr>
      </w:pPr>
      <w:r w:rsidRPr="00B30800">
        <w:rPr>
          <w:u w:val="none"/>
        </w:rPr>
        <w:t>43.</w:t>
      </w:r>
      <w:r w:rsidRPr="00B30800">
        <w:rPr>
          <w:u w:val="none"/>
        </w:rPr>
        <w:tab/>
        <w:t>Aziziyeh R, Amin M, Habib M, et al. The burden of osteoporosis in four Latin American countries: Brazil, Mexico, Colombia, and Argentina. Journal of Medical Economics. 2019;22(7):638-44.</w:t>
      </w:r>
      <w:r w:rsidRPr="00B30800">
        <w:rPr>
          <w:u w:val="none"/>
        </w:rPr>
        <w:tab/>
        <w:t>Tatangelo G, Watts J, Lim K, et al. The Cost of Osteoporosis, Osteopenia, and Associated Fractures in Australia in 2017. Journa</w:t>
      </w:r>
      <w:r w:rsidR="00FD75B4">
        <w:rPr>
          <w:u w:val="none"/>
        </w:rPr>
        <w:t>l of bone and mineral research</w:t>
      </w:r>
      <w:r w:rsidRPr="00B30800">
        <w:rPr>
          <w:u w:val="none"/>
        </w:rPr>
        <w:t>. 2019;34(4):616-25.</w:t>
      </w:r>
    </w:p>
    <w:p w14:paraId="2F9E32A7" w14:textId="77777777" w:rsidR="007A40C5" w:rsidRPr="00B30800" w:rsidRDefault="007A40C5" w:rsidP="006E6A9E">
      <w:pPr>
        <w:pStyle w:val="EndNoteBibliography"/>
        <w:spacing w:after="0"/>
        <w:rPr>
          <w:u w:val="none"/>
        </w:rPr>
      </w:pPr>
      <w:r w:rsidRPr="00B30800">
        <w:rPr>
          <w:u w:val="none"/>
        </w:rPr>
        <w:t>45.</w:t>
      </w:r>
      <w:r w:rsidRPr="00B30800">
        <w:rPr>
          <w:u w:val="none"/>
        </w:rPr>
        <w:tab/>
        <w:t>Budhia S, Mikyas Y, Tang M, Badamgarav E. Osteoporotic fractures: a systematic review of U.S. healthcare costs and resource utilization. PharmacoEconomics. 2012;30(2):147-70.</w:t>
      </w:r>
    </w:p>
    <w:p w14:paraId="630A0B68" w14:textId="25104DD6" w:rsidR="007A40C5" w:rsidRDefault="007A40C5" w:rsidP="006E6A9E">
      <w:pPr>
        <w:pStyle w:val="EndNoteBibliography"/>
        <w:spacing w:after="0"/>
        <w:rPr>
          <w:u w:val="none"/>
        </w:rPr>
      </w:pPr>
      <w:r w:rsidRPr="00B30800">
        <w:rPr>
          <w:u w:val="none"/>
        </w:rPr>
        <w:t>46.</w:t>
      </w:r>
      <w:r w:rsidR="008901FE">
        <w:rPr>
          <w:u w:val="none"/>
        </w:rPr>
        <w:t>**</w:t>
      </w:r>
      <w:r w:rsidRPr="00B30800">
        <w:rPr>
          <w:u w:val="none"/>
        </w:rPr>
        <w:tab/>
        <w:t>Mohd-Tahir NA, Li SC. Economic burden of osteoporosis-related hip fracture in Asia: a systematic review. Osteoporosis international. 2017;28(7):2035-44.</w:t>
      </w:r>
    </w:p>
    <w:p w14:paraId="7D86D61E" w14:textId="2BA0BBEF" w:rsidR="008901FE" w:rsidRDefault="008901FE" w:rsidP="006E6A9E">
      <w:pPr>
        <w:pStyle w:val="EndNoteBibliography"/>
        <w:spacing w:after="0"/>
        <w:rPr>
          <w:b/>
          <w:u w:val="none"/>
        </w:rPr>
      </w:pPr>
      <w:r w:rsidRPr="00AB169F">
        <w:rPr>
          <w:b/>
          <w:u w:val="none"/>
        </w:rPr>
        <w:t xml:space="preserve">This is a systematic review </w:t>
      </w:r>
      <w:r w:rsidR="00884522">
        <w:rPr>
          <w:b/>
          <w:u w:val="none"/>
        </w:rPr>
        <w:t>of economic costs of hip fractures in Asia.</w:t>
      </w:r>
    </w:p>
    <w:p w14:paraId="13646D59" w14:textId="77777777" w:rsidR="007A40C5" w:rsidRPr="00B30800" w:rsidRDefault="007A40C5" w:rsidP="006E6A9E">
      <w:pPr>
        <w:pStyle w:val="EndNoteBibliography"/>
        <w:rPr>
          <w:u w:val="none"/>
        </w:rPr>
      </w:pPr>
      <w:r w:rsidRPr="00B30800">
        <w:rPr>
          <w:u w:val="none"/>
        </w:rPr>
        <w:t>47.</w:t>
      </w:r>
      <w:r w:rsidRPr="00B30800">
        <w:rPr>
          <w:u w:val="none"/>
        </w:rPr>
        <w:tab/>
        <w:t>Cooper C. The crippling consequences of fractures and their impact on quality of life. The American journal of medicine. 1997;103(2a):12S-7S; discussion 7S-9S.</w:t>
      </w:r>
    </w:p>
    <w:p w14:paraId="0EC3BDA3" w14:textId="77777777" w:rsidR="007A40C5" w:rsidRPr="00C76D22" w:rsidRDefault="007A40C5" w:rsidP="00C76D22">
      <w:pPr>
        <w:pStyle w:val="doublespaced"/>
        <w:rPr>
          <w:b w:val="0"/>
          <w:u w:val="none"/>
        </w:rPr>
      </w:pPr>
    </w:p>
    <w:p w14:paraId="064EC294" w14:textId="77777777" w:rsidR="004D5427" w:rsidRDefault="004D5427"/>
    <w:sectPr w:rsidR="004D54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B23B87"/>
    <w:multiLevelType w:val="hybridMultilevel"/>
    <w:tmpl w:val="ADE24A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BA240E"/>
    <w:multiLevelType w:val="hybridMultilevel"/>
    <w:tmpl w:val="51AE0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0311BB"/>
    <w:multiLevelType w:val="hybridMultilevel"/>
    <w:tmpl w:val="DE40E8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960E66"/>
    <w:multiLevelType w:val="hybridMultilevel"/>
    <w:tmpl w:val="237461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A40C5"/>
    <w:rsid w:val="00081009"/>
    <w:rsid w:val="000B31C5"/>
    <w:rsid w:val="000D170F"/>
    <w:rsid w:val="00240DB8"/>
    <w:rsid w:val="00265824"/>
    <w:rsid w:val="00277C03"/>
    <w:rsid w:val="002B13E2"/>
    <w:rsid w:val="002B7163"/>
    <w:rsid w:val="00343CC8"/>
    <w:rsid w:val="003A1D7B"/>
    <w:rsid w:val="004D5427"/>
    <w:rsid w:val="005E116B"/>
    <w:rsid w:val="006C1A2F"/>
    <w:rsid w:val="00702843"/>
    <w:rsid w:val="00703C2B"/>
    <w:rsid w:val="00735B3F"/>
    <w:rsid w:val="007A40C5"/>
    <w:rsid w:val="007B3EC8"/>
    <w:rsid w:val="00884522"/>
    <w:rsid w:val="008901FE"/>
    <w:rsid w:val="008C17F8"/>
    <w:rsid w:val="009013B2"/>
    <w:rsid w:val="00A7402B"/>
    <w:rsid w:val="00AA0B04"/>
    <w:rsid w:val="00AB169F"/>
    <w:rsid w:val="00B30800"/>
    <w:rsid w:val="00C458B0"/>
    <w:rsid w:val="00CC708E"/>
    <w:rsid w:val="00CF4685"/>
    <w:rsid w:val="00DB4ED6"/>
    <w:rsid w:val="00E46A6A"/>
    <w:rsid w:val="00FD7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EDD4"/>
  <w15:chartTrackingRefBased/>
  <w15:docId w15:val="{A4AD2FF9-B071-4622-8A01-F2BCE02E7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A40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0C5"/>
    <w:pPr>
      <w:spacing w:after="0" w:line="240" w:lineRule="auto"/>
      <w:ind w:left="720"/>
      <w:contextualSpacing/>
    </w:pPr>
    <w:rPr>
      <w:rFonts w:ascii="Times New Roman" w:hAnsi="Times New Roman" w:cs="Times New Roman"/>
      <w:sz w:val="24"/>
      <w:szCs w:val="24"/>
      <w:lang w:eastAsia="en-GB"/>
    </w:rPr>
  </w:style>
  <w:style w:type="character" w:styleId="PlaceholderText">
    <w:name w:val="Placeholder Text"/>
    <w:basedOn w:val="DefaultParagraphFont"/>
    <w:uiPriority w:val="99"/>
    <w:semiHidden/>
    <w:rsid w:val="007A40C5"/>
    <w:rPr>
      <w:color w:val="808080"/>
    </w:rPr>
  </w:style>
  <w:style w:type="paragraph" w:styleId="FootnoteText">
    <w:name w:val="footnote text"/>
    <w:basedOn w:val="Normal"/>
    <w:link w:val="FootnoteTextChar"/>
    <w:uiPriority w:val="99"/>
    <w:semiHidden/>
    <w:unhideWhenUsed/>
    <w:rsid w:val="007A40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40C5"/>
    <w:rPr>
      <w:sz w:val="20"/>
      <w:szCs w:val="20"/>
    </w:rPr>
  </w:style>
  <w:style w:type="character" w:styleId="FootnoteReference">
    <w:name w:val="footnote reference"/>
    <w:basedOn w:val="DefaultParagraphFont"/>
    <w:uiPriority w:val="99"/>
    <w:semiHidden/>
    <w:unhideWhenUsed/>
    <w:rsid w:val="007A40C5"/>
    <w:rPr>
      <w:vertAlign w:val="superscript"/>
    </w:rPr>
  </w:style>
  <w:style w:type="character" w:styleId="Hyperlink">
    <w:name w:val="Hyperlink"/>
    <w:basedOn w:val="DefaultParagraphFont"/>
    <w:uiPriority w:val="99"/>
    <w:unhideWhenUsed/>
    <w:rsid w:val="007A40C5"/>
    <w:rPr>
      <w:color w:val="0563C1" w:themeColor="hyperlink"/>
      <w:u w:val="single"/>
    </w:rPr>
  </w:style>
  <w:style w:type="paragraph" w:customStyle="1" w:styleId="doublespace">
    <w:name w:val="double space"/>
    <w:basedOn w:val="Normal"/>
    <w:link w:val="doublespaceChar"/>
    <w:qFormat/>
    <w:rsid w:val="007A40C5"/>
    <w:rPr>
      <w:b/>
      <w:u w:val="single"/>
    </w:rPr>
  </w:style>
  <w:style w:type="paragraph" w:customStyle="1" w:styleId="doublespaced">
    <w:name w:val="double spaced"/>
    <w:basedOn w:val="doublespace"/>
    <w:link w:val="doublespacedChar"/>
    <w:qFormat/>
    <w:rsid w:val="007A40C5"/>
  </w:style>
  <w:style w:type="paragraph" w:customStyle="1" w:styleId="EndNoteBibliographyTitle">
    <w:name w:val="EndNote Bibliography Title"/>
    <w:basedOn w:val="Normal"/>
    <w:link w:val="EndNoteBibliographyTitleChar"/>
    <w:rsid w:val="007A40C5"/>
    <w:pPr>
      <w:spacing w:after="0"/>
      <w:jc w:val="center"/>
    </w:pPr>
    <w:rPr>
      <w:rFonts w:ascii="Calibri" w:hAnsi="Calibri" w:cs="Calibri"/>
      <w:noProof/>
      <w:u w:val="single"/>
      <w:lang w:val="en-US"/>
    </w:rPr>
  </w:style>
  <w:style w:type="character" w:customStyle="1" w:styleId="doublespaceChar">
    <w:name w:val="double space Char"/>
    <w:basedOn w:val="DefaultParagraphFont"/>
    <w:link w:val="doublespace"/>
    <w:rsid w:val="007A40C5"/>
    <w:rPr>
      <w:b/>
      <w:u w:val="single"/>
    </w:rPr>
  </w:style>
  <w:style w:type="character" w:customStyle="1" w:styleId="doublespacedChar">
    <w:name w:val="double spaced Char"/>
    <w:basedOn w:val="doublespaceChar"/>
    <w:link w:val="doublespaced"/>
    <w:rsid w:val="007A40C5"/>
    <w:rPr>
      <w:b/>
      <w:u w:val="single"/>
    </w:rPr>
  </w:style>
  <w:style w:type="character" w:customStyle="1" w:styleId="EndNoteBibliographyTitleChar">
    <w:name w:val="EndNote Bibliography Title Char"/>
    <w:basedOn w:val="doublespacedChar"/>
    <w:link w:val="EndNoteBibliographyTitle"/>
    <w:rsid w:val="007A40C5"/>
    <w:rPr>
      <w:rFonts w:ascii="Calibri" w:hAnsi="Calibri" w:cs="Calibri"/>
      <w:b w:val="0"/>
      <w:noProof/>
      <w:u w:val="single"/>
      <w:lang w:val="en-US"/>
    </w:rPr>
  </w:style>
  <w:style w:type="paragraph" w:customStyle="1" w:styleId="EndNoteBibliography">
    <w:name w:val="EndNote Bibliography"/>
    <w:basedOn w:val="Normal"/>
    <w:link w:val="EndNoteBibliographyChar"/>
    <w:rsid w:val="007A40C5"/>
    <w:pPr>
      <w:spacing w:line="240" w:lineRule="auto"/>
    </w:pPr>
    <w:rPr>
      <w:rFonts w:ascii="Calibri" w:hAnsi="Calibri" w:cs="Calibri"/>
      <w:noProof/>
      <w:u w:val="single"/>
      <w:lang w:val="en-US"/>
    </w:rPr>
  </w:style>
  <w:style w:type="character" w:customStyle="1" w:styleId="EndNoteBibliographyChar">
    <w:name w:val="EndNote Bibliography Char"/>
    <w:basedOn w:val="doublespacedChar"/>
    <w:link w:val="EndNoteBibliography"/>
    <w:rsid w:val="007A40C5"/>
    <w:rPr>
      <w:rFonts w:ascii="Calibri" w:hAnsi="Calibri" w:cs="Calibri"/>
      <w:b w:val="0"/>
      <w:noProof/>
      <w:u w:val="single"/>
      <w:lang w:val="en-US"/>
    </w:rPr>
  </w:style>
  <w:style w:type="paragraph" w:customStyle="1" w:styleId="EndNoteCategoryHeading">
    <w:name w:val="EndNote Category Heading"/>
    <w:basedOn w:val="Normal"/>
    <w:link w:val="EndNoteCategoryHeadingChar"/>
    <w:rsid w:val="007A40C5"/>
    <w:pPr>
      <w:spacing w:before="120" w:after="120"/>
    </w:pPr>
    <w:rPr>
      <w:b/>
      <w:noProof/>
      <w:u w:val="single"/>
      <w:lang w:val="en-US"/>
    </w:rPr>
  </w:style>
  <w:style w:type="character" w:customStyle="1" w:styleId="EndNoteCategoryHeadingChar">
    <w:name w:val="EndNote Category Heading Char"/>
    <w:basedOn w:val="doublespacedChar"/>
    <w:link w:val="EndNoteCategoryHeading"/>
    <w:rsid w:val="007A40C5"/>
    <w:rPr>
      <w:b/>
      <w:noProof/>
      <w:u w:val="single"/>
      <w:lang w:val="en-US"/>
    </w:rPr>
  </w:style>
  <w:style w:type="character" w:customStyle="1" w:styleId="highlight">
    <w:name w:val="highlight"/>
    <w:basedOn w:val="DefaultParagraphFont"/>
    <w:rsid w:val="007A40C5"/>
  </w:style>
  <w:style w:type="character" w:styleId="CommentReference">
    <w:name w:val="annotation reference"/>
    <w:basedOn w:val="DefaultParagraphFont"/>
    <w:uiPriority w:val="99"/>
    <w:semiHidden/>
    <w:unhideWhenUsed/>
    <w:rsid w:val="007A40C5"/>
    <w:rPr>
      <w:sz w:val="16"/>
      <w:szCs w:val="16"/>
    </w:rPr>
  </w:style>
  <w:style w:type="paragraph" w:styleId="CommentText">
    <w:name w:val="annotation text"/>
    <w:basedOn w:val="Normal"/>
    <w:link w:val="CommentTextChar"/>
    <w:uiPriority w:val="99"/>
    <w:semiHidden/>
    <w:unhideWhenUsed/>
    <w:rsid w:val="007A40C5"/>
    <w:pPr>
      <w:spacing w:line="240" w:lineRule="auto"/>
    </w:pPr>
    <w:rPr>
      <w:sz w:val="20"/>
      <w:szCs w:val="20"/>
    </w:rPr>
  </w:style>
  <w:style w:type="character" w:customStyle="1" w:styleId="CommentTextChar">
    <w:name w:val="Comment Text Char"/>
    <w:basedOn w:val="DefaultParagraphFont"/>
    <w:link w:val="CommentText"/>
    <w:uiPriority w:val="99"/>
    <w:semiHidden/>
    <w:rsid w:val="007A40C5"/>
    <w:rPr>
      <w:sz w:val="20"/>
      <w:szCs w:val="20"/>
    </w:rPr>
  </w:style>
  <w:style w:type="paragraph" w:styleId="CommentSubject">
    <w:name w:val="annotation subject"/>
    <w:basedOn w:val="CommentText"/>
    <w:next w:val="CommentText"/>
    <w:link w:val="CommentSubjectChar"/>
    <w:uiPriority w:val="99"/>
    <w:semiHidden/>
    <w:unhideWhenUsed/>
    <w:rsid w:val="007A40C5"/>
    <w:rPr>
      <w:b/>
      <w:bCs/>
    </w:rPr>
  </w:style>
  <w:style w:type="character" w:customStyle="1" w:styleId="CommentSubjectChar">
    <w:name w:val="Comment Subject Char"/>
    <w:basedOn w:val="CommentTextChar"/>
    <w:link w:val="CommentSubject"/>
    <w:uiPriority w:val="99"/>
    <w:semiHidden/>
    <w:rsid w:val="007A40C5"/>
    <w:rPr>
      <w:b/>
      <w:bCs/>
      <w:sz w:val="20"/>
      <w:szCs w:val="20"/>
    </w:rPr>
  </w:style>
  <w:style w:type="paragraph" w:styleId="BalloonText">
    <w:name w:val="Balloon Text"/>
    <w:basedOn w:val="Normal"/>
    <w:link w:val="BalloonTextChar"/>
    <w:uiPriority w:val="99"/>
    <w:semiHidden/>
    <w:unhideWhenUsed/>
    <w:rsid w:val="007A40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0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re.iofbonehealth.org/EU-6-Material/Reports/IOF%20Report_EU.pdf" TargetMode="External"/><Relationship Id="rId5" Type="http://schemas.openxmlformats.org/officeDocument/2006/relationships/hyperlink" Target="mailto:daniel.prietoalhambra@ndorms.ox.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4451</Words>
  <Characters>25372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Zhang</dc:creator>
  <cp:keywords/>
  <dc:description/>
  <cp:lastModifiedBy>Drake K.A.</cp:lastModifiedBy>
  <cp:revision>2</cp:revision>
  <dcterms:created xsi:type="dcterms:W3CDTF">2020-06-02T13:26:00Z</dcterms:created>
  <dcterms:modified xsi:type="dcterms:W3CDTF">2020-06-02T13:26:00Z</dcterms:modified>
</cp:coreProperties>
</file>