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EB9BF" w14:textId="48EF997F" w:rsidR="00112B5C" w:rsidRPr="000B5BEF" w:rsidRDefault="00112B5C" w:rsidP="00112B5C">
      <w:pPr>
        <w:autoSpaceDE w:val="0"/>
        <w:autoSpaceDN w:val="0"/>
        <w:adjustRightInd w:val="0"/>
        <w:spacing w:after="0" w:line="240" w:lineRule="auto"/>
        <w:rPr>
          <w:rFonts w:ascii="Garamond" w:hAnsi="Garamond" w:cs="Times New Roman"/>
          <w:color w:val="000000"/>
          <w:sz w:val="35"/>
          <w:szCs w:val="35"/>
        </w:rPr>
      </w:pPr>
      <w:r w:rsidRPr="000B5BEF">
        <w:rPr>
          <w:rFonts w:ascii="Garamond" w:hAnsi="Garamond" w:cs="Times New Roman"/>
          <w:color w:val="000000"/>
          <w:sz w:val="35"/>
          <w:szCs w:val="35"/>
        </w:rPr>
        <w:t>Sustainable environmental practices and financial performance: Evidence from listed small and medium-sized enterprise in the United Kingdom</w:t>
      </w:r>
    </w:p>
    <w:p w14:paraId="60C8D1DA"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35"/>
          <w:szCs w:val="35"/>
        </w:rPr>
      </w:pPr>
    </w:p>
    <w:p w14:paraId="70565B00"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35"/>
          <w:szCs w:val="35"/>
        </w:rPr>
      </w:pPr>
    </w:p>
    <w:p w14:paraId="29BC850A" w14:textId="1327939B" w:rsidR="00112B5C" w:rsidRPr="000B5BEF" w:rsidRDefault="00112B5C" w:rsidP="00112B5C">
      <w:pPr>
        <w:autoSpaceDE w:val="0"/>
        <w:autoSpaceDN w:val="0"/>
        <w:adjustRightInd w:val="0"/>
        <w:spacing w:after="0" w:line="240" w:lineRule="auto"/>
        <w:rPr>
          <w:rFonts w:ascii="Garamond" w:hAnsi="Garamond" w:cs="Times New Roman"/>
          <w:color w:val="000000"/>
          <w:sz w:val="35"/>
          <w:szCs w:val="35"/>
        </w:rPr>
      </w:pPr>
      <w:r w:rsidRPr="000B5BEF">
        <w:rPr>
          <w:rFonts w:ascii="Garamond" w:hAnsi="Garamond" w:cs="Times New Roman"/>
          <w:color w:val="000000"/>
          <w:sz w:val="35"/>
          <w:szCs w:val="35"/>
        </w:rPr>
        <w:t>Abstract</w:t>
      </w:r>
    </w:p>
    <w:p w14:paraId="40488708"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20"/>
          <w:szCs w:val="20"/>
        </w:rPr>
      </w:pPr>
      <w:r w:rsidRPr="000B5BEF">
        <w:rPr>
          <w:rFonts w:ascii="Garamond" w:hAnsi="Garamond" w:cs="Times New Roman"/>
          <w:color w:val="000000"/>
          <w:sz w:val="20"/>
          <w:szCs w:val="20"/>
        </w:rPr>
        <w:t>In this article, we investigate the financial implication of sustainable environmental practices on UK small and</w:t>
      </w:r>
    </w:p>
    <w:p w14:paraId="397112CD"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20"/>
          <w:szCs w:val="20"/>
        </w:rPr>
      </w:pPr>
      <w:r w:rsidRPr="000B5BEF">
        <w:rPr>
          <w:rFonts w:ascii="Garamond" w:hAnsi="Garamond" w:cs="Times New Roman"/>
          <w:color w:val="000000"/>
          <w:sz w:val="20"/>
          <w:szCs w:val="20"/>
        </w:rPr>
        <w:t>medium-sized enterprises (SMEs)–traded firms. Existing literature indicates that there is a direct relationship</w:t>
      </w:r>
    </w:p>
    <w:p w14:paraId="41EB1498"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20"/>
          <w:szCs w:val="20"/>
        </w:rPr>
      </w:pPr>
      <w:r w:rsidRPr="000B5BEF">
        <w:rPr>
          <w:rFonts w:ascii="Garamond" w:hAnsi="Garamond" w:cs="Times New Roman"/>
          <w:color w:val="000000"/>
          <w:sz w:val="20"/>
          <w:szCs w:val="20"/>
        </w:rPr>
        <w:t>between sustainable environmental practices and financial performance. However, studies looking at this</w:t>
      </w:r>
    </w:p>
    <w:p w14:paraId="7281E80D"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20"/>
          <w:szCs w:val="20"/>
        </w:rPr>
      </w:pPr>
      <w:r w:rsidRPr="000B5BEF">
        <w:rPr>
          <w:rFonts w:ascii="Garamond" w:hAnsi="Garamond" w:cs="Times New Roman"/>
          <w:color w:val="000000"/>
          <w:sz w:val="20"/>
          <w:szCs w:val="20"/>
        </w:rPr>
        <w:t>relationship have focused mainly on large firms with little attention paid to SMEs. Further, those looking at</w:t>
      </w:r>
    </w:p>
    <w:p w14:paraId="7CB03CF2"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20"/>
          <w:szCs w:val="20"/>
        </w:rPr>
      </w:pPr>
      <w:r w:rsidRPr="000B5BEF">
        <w:rPr>
          <w:rFonts w:ascii="Garamond" w:hAnsi="Garamond" w:cs="Times New Roman"/>
          <w:color w:val="000000"/>
          <w:sz w:val="20"/>
          <w:szCs w:val="20"/>
        </w:rPr>
        <w:t>environmental and financial performance relationships have often used a single measure of performance in</w:t>
      </w:r>
    </w:p>
    <w:p w14:paraId="101F046E"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20"/>
          <w:szCs w:val="20"/>
        </w:rPr>
      </w:pPr>
      <w:r w:rsidRPr="000B5BEF">
        <w:rPr>
          <w:rFonts w:ascii="Garamond" w:hAnsi="Garamond" w:cs="Times New Roman"/>
          <w:color w:val="000000"/>
          <w:sz w:val="20"/>
          <w:szCs w:val="20"/>
        </w:rPr>
        <w:t>their studies. This study bridges these research gaps by focusing on listed SMEs in the United Kingdom using</w:t>
      </w:r>
    </w:p>
    <w:p w14:paraId="10F9B4D3"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20"/>
          <w:szCs w:val="20"/>
        </w:rPr>
      </w:pPr>
      <w:r w:rsidRPr="000B5BEF">
        <w:rPr>
          <w:rFonts w:ascii="Garamond" w:hAnsi="Garamond" w:cs="Times New Roman"/>
          <w:color w:val="000000"/>
          <w:sz w:val="20"/>
          <w:szCs w:val="20"/>
        </w:rPr>
        <w:t>multiple measures of sustainable environmental policy indices on a panel of 201 SMEs on the Alternative</w:t>
      </w:r>
    </w:p>
    <w:p w14:paraId="569AB35B"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20"/>
          <w:szCs w:val="20"/>
        </w:rPr>
      </w:pPr>
      <w:r w:rsidRPr="000B5BEF">
        <w:rPr>
          <w:rFonts w:ascii="Garamond" w:hAnsi="Garamond" w:cs="Times New Roman"/>
          <w:color w:val="000000"/>
          <w:sz w:val="20"/>
          <w:szCs w:val="20"/>
        </w:rPr>
        <w:t>Investment Market from 2011 to 2016. Evidence from our panel data analysis suggests significant and a</w:t>
      </w:r>
    </w:p>
    <w:p w14:paraId="07DF8673"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20"/>
          <w:szCs w:val="20"/>
        </w:rPr>
      </w:pPr>
      <w:r w:rsidRPr="000B5BEF">
        <w:rPr>
          <w:rFonts w:ascii="Garamond" w:hAnsi="Garamond" w:cs="Times New Roman"/>
          <w:color w:val="000000"/>
          <w:sz w:val="20"/>
          <w:szCs w:val="20"/>
        </w:rPr>
        <w:t>nonlinear (concave) relationship between sustainable environmental practices and firms' financial</w:t>
      </w:r>
    </w:p>
    <w:p w14:paraId="25359BD5"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20"/>
          <w:szCs w:val="20"/>
        </w:rPr>
      </w:pPr>
      <w:r w:rsidRPr="000B5BEF">
        <w:rPr>
          <w:rFonts w:ascii="Garamond" w:hAnsi="Garamond" w:cs="Times New Roman"/>
          <w:color w:val="000000"/>
          <w:sz w:val="20"/>
          <w:szCs w:val="20"/>
        </w:rPr>
        <w:t>performance. Specifically, energy efficiency practices, greenhouse gases, material, and resource efficiency</w:t>
      </w:r>
    </w:p>
    <w:p w14:paraId="14A7FABF"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20"/>
          <w:szCs w:val="20"/>
        </w:rPr>
      </w:pPr>
      <w:r w:rsidRPr="000B5BEF">
        <w:rPr>
          <w:rFonts w:ascii="Garamond" w:hAnsi="Garamond" w:cs="Times New Roman"/>
          <w:color w:val="000000"/>
          <w:sz w:val="20"/>
          <w:szCs w:val="20"/>
        </w:rPr>
        <w:t>revealed an inverted U-shaped relationship with financial performance. The results will offer guidance to</w:t>
      </w:r>
    </w:p>
    <w:p w14:paraId="0B4B25FD"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20"/>
          <w:szCs w:val="20"/>
        </w:rPr>
      </w:pPr>
      <w:r w:rsidRPr="000B5BEF">
        <w:rPr>
          <w:rFonts w:ascii="Garamond" w:hAnsi="Garamond" w:cs="Times New Roman"/>
          <w:color w:val="000000"/>
          <w:sz w:val="20"/>
          <w:szCs w:val="20"/>
        </w:rPr>
        <w:t>management in terms of allocating resources to sustainable environmental practices investment.</w:t>
      </w:r>
    </w:p>
    <w:p w14:paraId="5CFD2204" w14:textId="77777777" w:rsidR="00112B5C" w:rsidRPr="000B5BEF" w:rsidRDefault="00112B5C" w:rsidP="00112B5C">
      <w:pPr>
        <w:autoSpaceDE w:val="0"/>
        <w:autoSpaceDN w:val="0"/>
        <w:adjustRightInd w:val="0"/>
        <w:spacing w:after="0" w:line="240" w:lineRule="auto"/>
        <w:rPr>
          <w:rFonts w:ascii="Garamond" w:hAnsi="Garamond" w:cs="Times New Roman"/>
          <w:color w:val="000000"/>
          <w:sz w:val="20"/>
          <w:szCs w:val="20"/>
        </w:rPr>
      </w:pPr>
      <w:r w:rsidRPr="000B5BEF">
        <w:rPr>
          <w:rFonts w:ascii="Garamond" w:hAnsi="Garamond" w:cs="Times New Roman"/>
          <w:b/>
          <w:bCs/>
          <w:color w:val="000000" w:themeColor="text1"/>
          <w:sz w:val="20"/>
          <w:szCs w:val="20"/>
        </w:rPr>
        <w:t>Keywords</w:t>
      </w:r>
      <w:r w:rsidRPr="000B5BEF">
        <w:rPr>
          <w:rFonts w:ascii="Garamond" w:hAnsi="Garamond" w:cs="Times New Roman"/>
          <w:b/>
          <w:bCs/>
          <w:color w:val="898989"/>
          <w:sz w:val="20"/>
          <w:szCs w:val="20"/>
        </w:rPr>
        <w:t>:</w:t>
      </w:r>
      <w:r w:rsidRPr="000B5BEF">
        <w:rPr>
          <w:rFonts w:ascii="Garamond" w:hAnsi="Garamond" w:cs="Times New Roman"/>
          <w:color w:val="898989"/>
          <w:sz w:val="20"/>
          <w:szCs w:val="20"/>
        </w:rPr>
        <w:t xml:space="preserve"> </w:t>
      </w:r>
      <w:r w:rsidRPr="000B5BEF">
        <w:rPr>
          <w:rFonts w:ascii="Garamond" w:hAnsi="Garamond" w:cs="Times New Roman"/>
          <w:color w:val="000000"/>
          <w:sz w:val="20"/>
          <w:szCs w:val="20"/>
        </w:rPr>
        <w:t>environmental practices</w:t>
      </w:r>
      <w:r w:rsidRPr="000B5BEF">
        <w:rPr>
          <w:rFonts w:ascii="Garamond" w:hAnsi="Garamond" w:cs="Times New Roman"/>
          <w:color w:val="898989"/>
          <w:sz w:val="20"/>
          <w:szCs w:val="20"/>
        </w:rPr>
        <w:t xml:space="preserve">; </w:t>
      </w:r>
      <w:r w:rsidRPr="000B5BEF">
        <w:rPr>
          <w:rFonts w:ascii="Garamond" w:hAnsi="Garamond" w:cs="Times New Roman"/>
          <w:color w:val="000000"/>
          <w:sz w:val="20"/>
          <w:szCs w:val="20"/>
        </w:rPr>
        <w:t>financial performance</w:t>
      </w:r>
      <w:r w:rsidRPr="000B5BEF">
        <w:rPr>
          <w:rFonts w:ascii="Garamond" w:hAnsi="Garamond" w:cs="Times New Roman"/>
          <w:color w:val="898989"/>
          <w:sz w:val="20"/>
          <w:szCs w:val="20"/>
        </w:rPr>
        <w:t xml:space="preserve">; </w:t>
      </w:r>
      <w:r w:rsidRPr="000B5BEF">
        <w:rPr>
          <w:rFonts w:ascii="Garamond" w:hAnsi="Garamond" w:cs="Times New Roman"/>
          <w:color w:val="000000"/>
          <w:sz w:val="20"/>
          <w:szCs w:val="20"/>
        </w:rPr>
        <w:t>sustainable</w:t>
      </w:r>
      <w:r w:rsidRPr="000B5BEF">
        <w:rPr>
          <w:rFonts w:ascii="Garamond" w:hAnsi="Garamond" w:cs="Times New Roman"/>
          <w:color w:val="898989"/>
          <w:sz w:val="20"/>
          <w:szCs w:val="20"/>
        </w:rPr>
        <w:t xml:space="preserve">; </w:t>
      </w:r>
      <w:r w:rsidRPr="000B5BEF">
        <w:rPr>
          <w:rFonts w:ascii="Garamond" w:hAnsi="Garamond" w:cs="Times New Roman"/>
          <w:color w:val="000000"/>
          <w:sz w:val="20"/>
          <w:szCs w:val="20"/>
        </w:rPr>
        <w:t>development</w:t>
      </w:r>
      <w:r w:rsidRPr="000B5BEF">
        <w:rPr>
          <w:rFonts w:ascii="Garamond" w:hAnsi="Garamond" w:cs="Times New Roman"/>
          <w:color w:val="898989"/>
          <w:sz w:val="20"/>
          <w:szCs w:val="20"/>
        </w:rPr>
        <w:t xml:space="preserve">; </w:t>
      </w:r>
      <w:r w:rsidRPr="000B5BEF">
        <w:rPr>
          <w:rFonts w:ascii="Garamond" w:hAnsi="Garamond" w:cs="Times New Roman"/>
          <w:color w:val="000000"/>
          <w:sz w:val="20"/>
          <w:szCs w:val="20"/>
        </w:rPr>
        <w:t>SMEs</w:t>
      </w:r>
      <w:r w:rsidRPr="000B5BEF">
        <w:rPr>
          <w:rFonts w:ascii="Garamond" w:hAnsi="Garamond" w:cs="Times New Roman"/>
          <w:color w:val="898989"/>
          <w:sz w:val="20"/>
          <w:szCs w:val="20"/>
        </w:rPr>
        <w:t xml:space="preserve">; </w:t>
      </w:r>
      <w:r w:rsidRPr="000B5BEF">
        <w:rPr>
          <w:rFonts w:ascii="Garamond" w:hAnsi="Garamond" w:cs="Times New Roman"/>
          <w:color w:val="000000"/>
          <w:sz w:val="20"/>
          <w:szCs w:val="20"/>
        </w:rPr>
        <w:t>stakeholder</w:t>
      </w:r>
    </w:p>
    <w:p w14:paraId="37C072CC" w14:textId="760EDBC0" w:rsidR="004E350A" w:rsidRPr="000B5BEF" w:rsidRDefault="00112B5C" w:rsidP="00112B5C">
      <w:pPr>
        <w:autoSpaceDE w:val="0"/>
        <w:autoSpaceDN w:val="0"/>
        <w:adjustRightInd w:val="0"/>
        <w:spacing w:after="0" w:line="480" w:lineRule="auto"/>
        <w:contextualSpacing/>
        <w:rPr>
          <w:rFonts w:ascii="Garamond" w:hAnsi="Garamond"/>
          <w:b/>
          <w:sz w:val="24"/>
          <w:szCs w:val="24"/>
        </w:rPr>
      </w:pPr>
      <w:r w:rsidRPr="000B5BEF">
        <w:rPr>
          <w:rFonts w:ascii="Garamond" w:hAnsi="Garamond" w:cs="Times New Roman"/>
          <w:color w:val="000000"/>
          <w:sz w:val="20"/>
          <w:szCs w:val="20"/>
        </w:rPr>
        <w:t>engagement</w:t>
      </w:r>
    </w:p>
    <w:p w14:paraId="7A68BF19" w14:textId="1F781134" w:rsidR="00112B5C" w:rsidRPr="000B5BEF" w:rsidRDefault="00112B5C" w:rsidP="005B6FD7">
      <w:pPr>
        <w:autoSpaceDE w:val="0"/>
        <w:autoSpaceDN w:val="0"/>
        <w:adjustRightInd w:val="0"/>
        <w:spacing w:after="0" w:line="480" w:lineRule="auto"/>
        <w:contextualSpacing/>
        <w:jc w:val="both"/>
        <w:rPr>
          <w:rFonts w:ascii="Garamond" w:hAnsi="Garamond"/>
          <w:b/>
          <w:sz w:val="24"/>
          <w:szCs w:val="24"/>
        </w:rPr>
      </w:pPr>
    </w:p>
    <w:p w14:paraId="071D2BB6" w14:textId="77777777" w:rsidR="00C3429E" w:rsidRPr="00055865" w:rsidRDefault="00C3429E" w:rsidP="005B6FD7">
      <w:pPr>
        <w:pStyle w:val="ListParagraph"/>
        <w:numPr>
          <w:ilvl w:val="0"/>
          <w:numId w:val="8"/>
        </w:numPr>
        <w:spacing w:after="0" w:line="480" w:lineRule="auto"/>
        <w:jc w:val="both"/>
        <w:rPr>
          <w:rFonts w:ascii="Garamond" w:hAnsi="Garamond"/>
          <w:b/>
          <w:sz w:val="24"/>
          <w:szCs w:val="24"/>
        </w:rPr>
      </w:pPr>
      <w:r w:rsidRPr="00055865">
        <w:rPr>
          <w:rFonts w:ascii="Garamond" w:hAnsi="Garamond"/>
          <w:b/>
          <w:sz w:val="24"/>
          <w:szCs w:val="24"/>
        </w:rPr>
        <w:t>Introduction</w:t>
      </w:r>
    </w:p>
    <w:p w14:paraId="0522AABB" w14:textId="3ADBF885" w:rsidR="00C3429E" w:rsidRPr="00055865" w:rsidRDefault="00C3429E" w:rsidP="005B6FD7">
      <w:pPr>
        <w:spacing w:after="0" w:line="480" w:lineRule="auto"/>
        <w:ind w:firstLine="720"/>
        <w:contextualSpacing/>
        <w:jc w:val="both"/>
        <w:rPr>
          <w:rFonts w:ascii="Garamond" w:hAnsi="Garamond"/>
          <w:sz w:val="24"/>
          <w:szCs w:val="24"/>
        </w:rPr>
      </w:pPr>
      <w:r w:rsidRPr="00055865">
        <w:rPr>
          <w:rFonts w:ascii="Garamond" w:hAnsi="Garamond"/>
          <w:sz w:val="24"/>
          <w:szCs w:val="24"/>
        </w:rPr>
        <w:t>The past</w:t>
      </w:r>
      <w:r w:rsidR="00465D73" w:rsidRPr="00055865">
        <w:rPr>
          <w:rFonts w:ascii="Garamond" w:hAnsi="Garamond"/>
          <w:sz w:val="24"/>
          <w:szCs w:val="24"/>
        </w:rPr>
        <w:t xml:space="preserve"> three</w:t>
      </w:r>
      <w:r w:rsidRPr="00055865">
        <w:rPr>
          <w:rFonts w:ascii="Garamond" w:hAnsi="Garamond"/>
          <w:sz w:val="24"/>
          <w:szCs w:val="24"/>
        </w:rPr>
        <w:t xml:space="preserve"> decade</w:t>
      </w:r>
      <w:r w:rsidR="00465D73" w:rsidRPr="00055865">
        <w:rPr>
          <w:rFonts w:ascii="Garamond" w:hAnsi="Garamond"/>
          <w:sz w:val="24"/>
          <w:szCs w:val="24"/>
        </w:rPr>
        <w:t>s</w:t>
      </w:r>
      <w:r w:rsidRPr="00055865">
        <w:rPr>
          <w:rFonts w:ascii="Garamond" w:hAnsi="Garamond"/>
          <w:sz w:val="24"/>
          <w:szCs w:val="24"/>
        </w:rPr>
        <w:t xml:space="preserve"> </w:t>
      </w:r>
      <w:r w:rsidR="00C971F2" w:rsidRPr="00055865">
        <w:rPr>
          <w:rFonts w:ascii="Garamond" w:hAnsi="Garamond"/>
          <w:sz w:val="24"/>
          <w:szCs w:val="24"/>
        </w:rPr>
        <w:t>ha</w:t>
      </w:r>
      <w:r w:rsidR="00465D73" w:rsidRPr="00055865">
        <w:rPr>
          <w:rFonts w:ascii="Garamond" w:hAnsi="Garamond"/>
          <w:sz w:val="24"/>
          <w:szCs w:val="24"/>
        </w:rPr>
        <w:t>ve</w:t>
      </w:r>
      <w:r w:rsidR="00C971F2" w:rsidRPr="00055865">
        <w:rPr>
          <w:rFonts w:ascii="Garamond" w:hAnsi="Garamond"/>
          <w:sz w:val="24"/>
          <w:szCs w:val="24"/>
        </w:rPr>
        <w:t xml:space="preserve"> witnessed</w:t>
      </w:r>
      <w:r w:rsidRPr="00055865">
        <w:rPr>
          <w:rFonts w:ascii="Garamond" w:hAnsi="Garamond"/>
          <w:sz w:val="24"/>
          <w:szCs w:val="24"/>
        </w:rPr>
        <w:t xml:space="preserve"> a widespread debate on the rising prominence of climate change and </w:t>
      </w:r>
      <w:r w:rsidR="00DE75A3" w:rsidRPr="00055865">
        <w:rPr>
          <w:rFonts w:ascii="Garamond" w:hAnsi="Garamond"/>
          <w:sz w:val="24"/>
          <w:szCs w:val="24"/>
        </w:rPr>
        <w:t xml:space="preserve">greenhouse gases (GHG) </w:t>
      </w:r>
      <w:r w:rsidR="000954E9">
        <w:rPr>
          <w:rFonts w:ascii="Garamond" w:hAnsi="Garamond"/>
          <w:sz w:val="24"/>
          <w:szCs w:val="24"/>
        </w:rPr>
        <w:t>emission</w:t>
      </w:r>
      <w:r w:rsidRPr="00055865">
        <w:rPr>
          <w:rFonts w:ascii="Garamond" w:hAnsi="Garamond"/>
          <w:sz w:val="24"/>
          <w:szCs w:val="24"/>
        </w:rPr>
        <w:t xml:space="preserve"> issues on the global environment. Consequently, the question of what leads corporations to provide climate </w:t>
      </w:r>
      <w:r w:rsidR="00C971F2" w:rsidRPr="00055865">
        <w:rPr>
          <w:rFonts w:ascii="Garamond" w:hAnsi="Garamond"/>
          <w:sz w:val="24"/>
          <w:szCs w:val="24"/>
        </w:rPr>
        <w:t>and</w:t>
      </w:r>
      <w:r w:rsidR="00465D73" w:rsidRPr="00055865">
        <w:rPr>
          <w:rFonts w:ascii="Garamond" w:hAnsi="Garamond"/>
          <w:sz w:val="24"/>
          <w:szCs w:val="24"/>
        </w:rPr>
        <w:t xml:space="preserve"> </w:t>
      </w:r>
      <w:r w:rsidR="00DE75A3" w:rsidRPr="00055865">
        <w:rPr>
          <w:rFonts w:ascii="Garamond" w:hAnsi="Garamond"/>
          <w:sz w:val="24"/>
          <w:szCs w:val="24"/>
        </w:rPr>
        <w:t xml:space="preserve">GHG </w:t>
      </w:r>
      <w:r w:rsidR="000954E9">
        <w:rPr>
          <w:rFonts w:ascii="Garamond" w:hAnsi="Garamond"/>
          <w:sz w:val="24"/>
          <w:szCs w:val="24"/>
        </w:rPr>
        <w:t>emission</w:t>
      </w:r>
      <w:r w:rsidRPr="00055865">
        <w:rPr>
          <w:rFonts w:ascii="Garamond" w:hAnsi="Garamond"/>
          <w:sz w:val="24"/>
          <w:szCs w:val="24"/>
        </w:rPr>
        <w:t xml:space="preserve"> information has emerged as a topic of considerable interest </w:t>
      </w:r>
      <w:r w:rsidR="00C971F2" w:rsidRPr="00055865">
        <w:rPr>
          <w:rFonts w:ascii="Garamond" w:hAnsi="Garamond"/>
          <w:sz w:val="24"/>
          <w:szCs w:val="24"/>
        </w:rPr>
        <w:t>among</w:t>
      </w:r>
      <w:r w:rsidRPr="00055865">
        <w:rPr>
          <w:rFonts w:ascii="Garamond" w:hAnsi="Garamond"/>
          <w:sz w:val="24"/>
          <w:szCs w:val="24"/>
        </w:rPr>
        <w:t xml:space="preserve"> </w:t>
      </w:r>
      <w:r w:rsidR="00C971F2" w:rsidRPr="00055865">
        <w:rPr>
          <w:rFonts w:ascii="Garamond" w:hAnsi="Garamond"/>
          <w:sz w:val="24"/>
          <w:szCs w:val="24"/>
        </w:rPr>
        <w:t>researcher</w:t>
      </w:r>
      <w:r w:rsidR="00DE75A3" w:rsidRPr="00055865">
        <w:rPr>
          <w:rFonts w:ascii="Garamond" w:hAnsi="Garamond"/>
          <w:sz w:val="24"/>
          <w:szCs w:val="24"/>
        </w:rPr>
        <w:t>s</w:t>
      </w:r>
      <w:r w:rsidR="00C971F2" w:rsidRPr="00055865">
        <w:rPr>
          <w:rFonts w:ascii="Garamond" w:hAnsi="Garamond"/>
          <w:sz w:val="24"/>
          <w:szCs w:val="24"/>
        </w:rPr>
        <w:t xml:space="preserve"> and practitioners alike</w:t>
      </w:r>
      <w:r w:rsidRPr="00055865">
        <w:rPr>
          <w:rFonts w:ascii="Garamond" w:hAnsi="Garamond"/>
          <w:sz w:val="24"/>
          <w:szCs w:val="24"/>
        </w:rPr>
        <w:t xml:space="preserve">  </w:t>
      </w:r>
      <w:r w:rsidRPr="00055865">
        <w:rPr>
          <w:rFonts w:ascii="Garamond" w:hAnsi="Garamond"/>
          <w:sz w:val="24"/>
          <w:szCs w:val="24"/>
        </w:rPr>
        <w:fldChar w:fldCharType="begin" w:fldLock="1"/>
      </w:r>
      <w:r w:rsidR="007122D5" w:rsidRPr="00055865">
        <w:rPr>
          <w:rFonts w:ascii="Garamond" w:hAnsi="Garamond"/>
          <w:sz w:val="24"/>
          <w:szCs w:val="24"/>
        </w:rPr>
        <w:instrText>ADDIN CSL_CITATION {"citationItems":[{"id":"ITEM-1","itemData":{"DOI":"10.1016/j.chemosphere.2014.09.011","ISSN":"18791298","abstract":"Due to the regulation on bisphenol A (BPA) in several industrialized countries, the demand for other bisphenol analogues (BPs) as substitutes for BPA is growing. Eight BPs were determined in sludge from 40 representative wastewater treatment plants (WWTPs) in Korea. Total concentrations of BPs (σBP) in sludge ranged from &lt;LOQ to 25700ngg-1. The highest concentrations of σBP were found in sludge collected from WWTPs that received discharges from the paper and textile industries. The profiles of BPs were dependent on the proportions of industrial wastewater treated at each of the WWTPs. The sludge from industrial WWTPs contained elevated proportions of BPA, whereas sludge from domestic WWTPs was dominated by bisphenol F (BPF), suggesting use of BPF in certain industrial products in Korea. No significant correlations were found between BPs and the WWTP characteristics. The average per-capita emissions of BPs ranged from 0.04 (BPP) to 886gcapita-1d (BPA) through WWTP discharges. The emission fluxes of σBP through industrial WWTPs were 2-3 orders of magnitudes higher than those calculated for domestic WWTPs, indicating that industrial discharges are the major source of BPs into the Korean environment. This is the first nationwide survey of BPs in sludge from Korean WWTPs.","author":[{"dropping-particle":"","family":"Lee","given":"Sunggyu","non-dropping-particle":"","parse-names":false,"suffix":""},{"dropping-particle":"","family":"Liao","given":"Chunyang","non-dropping-particle":"","parse-names":false,"suffix":""},{"dropping-particle":"","family":"Song","given":"Geum Ju","non-dropping-particle":"","parse-names":false,"suffix":""},{"dropping-particle":"","family":"Ra","given":"Kongtae","non-dropping-particle":"","parse-names":false,"suffix":""},{"dropping-particle":"","family":"Kannan","given":"Kurunthachalam","non-dropping-particle":"","parse-names":false,"suffix":""},{"dropping-particle":"","family":"Moon","given":"Hyo Bang","non-dropping-particle":"","parse-names":false,"suffix":""}],"container-title":"Chemosphere","id":"ITEM-1","issued":{"date-parts":[["2015"]]},"title":"Emission of bisphenol analogues including bisphenol A and bisphenol F from wastewater treatment plants in Korea","type":"article-journal"},"uris":["http://www.mendeley.com/documents/?uuid=6cfb06ed-2c3d-4d38-9960-ae2ab829a4c1"]},{"id":"ITEM-2","itemData":{"abstract":"While we don't know the exact nature of future change, it is only responsible for us to do our best to prepare both by reducing the level of GHG emissions, and by planning for the different climate that will result from our past emissions.","author":[{"dropping-particle":"","family":"Department for Farming and Rural Affairs","given":"","non-dropping-particle":"","parse-names":false,"suffix":""}],"container-title":"Integrated Assessment","id":"ITEM-2","issued":{"date-parts":[["2010"]]},"title":"Defra's Climate Change Plan 2010","type":"report"},"uris":["http://www.mendeley.com/documents/?uuid=1687a33c-a05e-4509-8d92-0dea630c4da0"]}],"mendeley":{"formattedCitation":"(Department for Farming and Rural Affairs, 2010; Lee et al., 2015)","plainTextFormattedCitation":"(Department for Farming and Rural Affairs, 2010; Lee et al., 2015)","previouslyFormattedCitation":"(Department for Farming and Rural Affairs, 2010; Lee et al., 2015)"},"properties":{"noteIndex":0},"schema":"https://github.com/citation-style-language/schema/raw/master/csl-citation.json"}</w:instrText>
      </w:r>
      <w:r w:rsidRPr="00055865">
        <w:rPr>
          <w:rFonts w:ascii="Garamond" w:hAnsi="Garamond"/>
          <w:sz w:val="24"/>
          <w:szCs w:val="24"/>
        </w:rPr>
        <w:fldChar w:fldCharType="separate"/>
      </w:r>
      <w:r w:rsidR="00465D73" w:rsidRPr="00055865">
        <w:rPr>
          <w:rFonts w:ascii="Garamond" w:hAnsi="Garamond"/>
          <w:noProof/>
          <w:sz w:val="24"/>
          <w:szCs w:val="24"/>
        </w:rPr>
        <w:t>(Department for Farming and Rural Affairs, 2010; Lee et al., 2015)</w:t>
      </w:r>
      <w:r w:rsidRPr="00055865">
        <w:rPr>
          <w:rFonts w:ascii="Garamond" w:hAnsi="Garamond"/>
          <w:sz w:val="24"/>
          <w:szCs w:val="24"/>
        </w:rPr>
        <w:fldChar w:fldCharType="end"/>
      </w:r>
      <w:r w:rsidRPr="00055865">
        <w:rPr>
          <w:rFonts w:ascii="Garamond" w:hAnsi="Garamond"/>
          <w:sz w:val="24"/>
          <w:szCs w:val="24"/>
        </w:rPr>
        <w:t xml:space="preserve">. </w:t>
      </w:r>
      <w:r w:rsidR="00C971F2" w:rsidRPr="00055865">
        <w:rPr>
          <w:rFonts w:ascii="Garamond" w:hAnsi="Garamond"/>
          <w:sz w:val="24"/>
          <w:szCs w:val="24"/>
        </w:rPr>
        <w:t xml:space="preserve">Hence, leading to significant literature devoted to various aspects of environmentally sustainable practices </w:t>
      </w:r>
      <w:r w:rsidR="00465D73" w:rsidRPr="00055865">
        <w:rPr>
          <w:rFonts w:ascii="Garamond" w:hAnsi="Garamond"/>
          <w:sz w:val="24"/>
          <w:szCs w:val="24"/>
        </w:rPr>
        <w:fldChar w:fldCharType="begin" w:fldLock="1"/>
      </w:r>
      <w:r w:rsidR="007122D5" w:rsidRPr="00055865">
        <w:rPr>
          <w:rFonts w:ascii="Garamond" w:hAnsi="Garamond"/>
          <w:sz w:val="24"/>
          <w:szCs w:val="24"/>
        </w:rPr>
        <w:instrText>ADDIN CSL_CITATION {"citationItems":[{"id":"ITEM-1","itemData":{"author":[{"dropping-particle":"","family":"Aiyub","given":"Kadaruddin","non-dropping-particle":"","parse-names":false,"suffix":""},{"dropping-particle":"","family":"Arifin","given":"KAdir","non-dropping-particle":"","parse-names":false,"suffix":""},{"dropping-particle":"","family":"Awang","given":"Azahan","non-dropping-particle":"","parse-names":false,"suffix":""},{"dropping-particle":"","family":"Jahi","given":"Jamaludin","non-dropping-particle":"","parse-names":false,"suffix":""}],"id":"ITEM-1","issued":{"date-parts":[["2009"]]},"title":"environmental performance in SMEs certified to ISO14001 in the UK.pdf","type":"article"},"uris":["http://www.mendeley.com/documents/?uuid=be026efd-b1e3-4fec-b445-181f7d1e758c"]},{"id":"ITEM-2","itemData":{"author":[{"dropping-particle":"","family":"Hillary","given":"Ruth","non-dropping-particle":"","parse-names":false,"suffix":""},{"dropping-particle":"","family":"Burr","given":"Paul","non-dropping-particle":"","parse-names":false,"suffix":""}],"container-title":"Final Report to the Department for Environment, Food and Rural Affairs","id":"ITEM-2","issue":"September","issued":{"date-parts":[["2011"]]},"page":"1-145","title":"Evidence-based Study into the Benefits of EMSs for SMEs (EV0440).","type":"article-journal"},"uris":["http://www.mendeley.com/documents/?uuid=6d5666c8-ea22-4348-abb9-c16cf066d06e"]},{"id":"ITEM-3","itemData":{"DOI":"10.1002/bse.1900","ISSN":"10990836","abstract":"Despite 40 years of research on the relationship between corporate environmental performance (CEP) and corporate financial performance (CFP), there is no generally accepted theoretical framework that explains the contradictory results that have emerged. This unsatisfactory status may be attributed to the fact that linear models dominate the research. Based on an international sample of 2361 firm</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years from 2008 to 2012, we find empirical evidence of a non</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linear, specifically a U</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shaped, relationship between carbon performance and profitability as well as between waste intensity and profitability. The same result holds for the relationship between carbon performance and stock market performance, but solely for manufacturing industries. Our empirical findings provide evidence for the theoretical framework of a ‘too</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little</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of</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a</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good</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thing</w:instrText>
      </w:r>
      <w:r w:rsidR="007122D5" w:rsidRPr="00055865">
        <w:rPr>
          <w:rFonts w:ascii="Garamond" w:hAnsi="Garamond" w:cs="Garamond"/>
          <w:sz w:val="24"/>
          <w:szCs w:val="24"/>
        </w:rPr>
        <w:instrText>’</w:instrText>
      </w:r>
      <w:r w:rsidR="007122D5" w:rsidRPr="00055865">
        <w:rPr>
          <w:rFonts w:ascii="Garamond" w:hAnsi="Garamond"/>
          <w:sz w:val="24"/>
          <w:szCs w:val="24"/>
        </w:rPr>
        <w:instrText xml:space="preserve"> (TLGT) effect, which indicates that the type of relationship (positive, negative) depends on the level of CEP. More precisely, there is a negative CEP</w:instrText>
      </w:r>
      <w:r w:rsidR="007122D5" w:rsidRPr="00055865">
        <w:rPr>
          <w:rFonts w:ascii="Garamond" w:hAnsi="Garamond" w:cs="Garamond"/>
          <w:sz w:val="24"/>
          <w:szCs w:val="24"/>
        </w:rPr>
        <w:instrText>–</w:instrText>
      </w:r>
      <w:r w:rsidR="007122D5" w:rsidRPr="00055865">
        <w:rPr>
          <w:rFonts w:ascii="Garamond" w:hAnsi="Garamond"/>
          <w:sz w:val="24"/>
          <w:szCs w:val="24"/>
        </w:rPr>
        <w:instrText>CFP relationship for companies with low CEP and a positive association for high CEP. Copyright © 2015 John Wiley &amp; Sons, Ltd and ERP Environment (PsycINFO Database Record (c) 2015 APA, all rights reserved). (journal abstract)","author":[{"dropping-particle":"","family":"Trumpp","given":"Christoph","non-dropping-particle":"","parse-names":false,"suffix":""},{"dropping-particle":"","family":"Guenther","given":"Thomas","non-dropping-particle":"","parse-names":false,"suffix":""}],"container-title":"Business Strategy and the Environment","id":"ITEM-3","issue":"1","issued":{"date-parts":[["2017"]]},"page":"49-68","title":"Too Little or too much? Exploring U-shaped Relationships between Corporate Environmental Performance and Corporate Financial Performance","type":"article-journal","volume":"26"},"uris":["http://www.mendeley.com/documents/?uuid=3dd93099-98aa-4420-a4ff-be056f9071bb"]}],"mendeley":{"formattedCitation":"(Aiyub, Arifin, Awang, &amp; Jahi, 2009; Hillary &amp; Burr, 2011; Trumpp &amp; Guenther, 2017)","plainTextFormattedCitation":"(Aiyub, Arifin, Awang, &amp; Jahi, 2009; Hillary &amp; Burr, 2011; Trumpp &amp; Guenther, 2017)","previouslyFormattedCitation":"(Aiyub, Arifin, Awang, &amp; Jahi, 2009; Hillary &amp; Burr, 2011; Trumpp &amp; Guenther, 2017)"},"properties":{"noteIndex":0},"schema":"https://github.com/citation-style-language/schema/raw/master/csl-citation.json"}</w:instrText>
      </w:r>
      <w:r w:rsidR="00465D73" w:rsidRPr="00055865">
        <w:rPr>
          <w:rFonts w:ascii="Garamond" w:hAnsi="Garamond"/>
          <w:sz w:val="24"/>
          <w:szCs w:val="24"/>
        </w:rPr>
        <w:fldChar w:fldCharType="separate"/>
      </w:r>
      <w:r w:rsidR="007122D5" w:rsidRPr="00055865">
        <w:rPr>
          <w:rFonts w:ascii="Garamond" w:hAnsi="Garamond"/>
          <w:noProof/>
          <w:sz w:val="24"/>
          <w:szCs w:val="24"/>
        </w:rPr>
        <w:t>(Aiyub, Arifin, Awang, &amp; Jahi, 2009; Hillary &amp; Burr, 2011; Trumpp &amp; Guenther, 2017)</w:t>
      </w:r>
      <w:r w:rsidR="00465D73" w:rsidRPr="00055865">
        <w:rPr>
          <w:rFonts w:ascii="Garamond" w:hAnsi="Garamond"/>
          <w:sz w:val="24"/>
          <w:szCs w:val="24"/>
        </w:rPr>
        <w:fldChar w:fldCharType="end"/>
      </w:r>
      <w:r w:rsidR="00C971F2" w:rsidRPr="00055865">
        <w:rPr>
          <w:rFonts w:ascii="Garamond" w:hAnsi="Garamond"/>
          <w:sz w:val="24"/>
          <w:szCs w:val="24"/>
        </w:rPr>
        <w:t xml:space="preserve">. </w:t>
      </w:r>
      <w:r w:rsidR="005A3B52" w:rsidRPr="00055865">
        <w:rPr>
          <w:rFonts w:ascii="Garamond" w:hAnsi="Garamond"/>
          <w:sz w:val="24"/>
          <w:szCs w:val="24"/>
        </w:rPr>
        <w:t xml:space="preserve">Existing evidence indicates that </w:t>
      </w:r>
      <w:r w:rsidRPr="00055865">
        <w:rPr>
          <w:rFonts w:ascii="Garamond" w:hAnsi="Garamond"/>
          <w:sz w:val="24"/>
          <w:szCs w:val="24"/>
        </w:rPr>
        <w:t xml:space="preserve">stakeholder groups </w:t>
      </w:r>
      <w:r w:rsidR="005A3B52" w:rsidRPr="00055865">
        <w:rPr>
          <w:rFonts w:ascii="Garamond" w:hAnsi="Garamond"/>
          <w:sz w:val="24"/>
          <w:szCs w:val="24"/>
        </w:rPr>
        <w:t>often</w:t>
      </w:r>
      <w:r w:rsidR="001E32BB">
        <w:rPr>
          <w:rFonts w:ascii="Garamond" w:hAnsi="Garamond"/>
          <w:sz w:val="24"/>
          <w:szCs w:val="24"/>
        </w:rPr>
        <w:t xml:space="preserve"> </w:t>
      </w:r>
      <w:r w:rsidRPr="00055865">
        <w:rPr>
          <w:rFonts w:ascii="Garamond" w:hAnsi="Garamond"/>
          <w:sz w:val="24"/>
          <w:szCs w:val="24"/>
        </w:rPr>
        <w:t>influence firm</w:t>
      </w:r>
      <w:r w:rsidR="005A3B52" w:rsidRPr="00055865">
        <w:rPr>
          <w:rFonts w:ascii="Garamond" w:hAnsi="Garamond"/>
          <w:sz w:val="24"/>
          <w:szCs w:val="24"/>
        </w:rPr>
        <w:t>s</w:t>
      </w:r>
      <w:r w:rsidRPr="00055865">
        <w:rPr>
          <w:rFonts w:ascii="Garamond" w:hAnsi="Garamond"/>
          <w:sz w:val="24"/>
          <w:szCs w:val="24"/>
        </w:rPr>
        <w:t xml:space="preserve"> to widen </w:t>
      </w:r>
      <w:r w:rsidR="005A3B52" w:rsidRPr="00055865">
        <w:rPr>
          <w:rFonts w:ascii="Garamond" w:hAnsi="Garamond"/>
          <w:sz w:val="24"/>
          <w:szCs w:val="24"/>
        </w:rPr>
        <w:t>their</w:t>
      </w:r>
      <w:r w:rsidRPr="00055865">
        <w:rPr>
          <w:rFonts w:ascii="Garamond" w:hAnsi="Garamond"/>
          <w:sz w:val="24"/>
          <w:szCs w:val="24"/>
        </w:rPr>
        <w:t xml:space="preserve"> disclosure </w:t>
      </w:r>
      <w:r w:rsidR="005A3B52" w:rsidRPr="00055865">
        <w:rPr>
          <w:rFonts w:ascii="Garamond" w:hAnsi="Garamond"/>
          <w:sz w:val="24"/>
          <w:szCs w:val="24"/>
        </w:rPr>
        <w:t xml:space="preserve">of sustainable environmental practices </w:t>
      </w:r>
      <w:r w:rsidRPr="00055865">
        <w:rPr>
          <w:rFonts w:ascii="Garamond" w:hAnsi="Garamond"/>
          <w:sz w:val="24"/>
          <w:szCs w:val="24"/>
        </w:rPr>
        <w:t>scope</w:t>
      </w:r>
      <w:r w:rsidR="001E32BB">
        <w:rPr>
          <w:rFonts w:ascii="Garamond" w:hAnsi="Garamond"/>
          <w:sz w:val="24"/>
          <w:szCs w:val="24"/>
        </w:rPr>
        <w:t>,</w:t>
      </w:r>
      <w:r w:rsidRPr="00055865">
        <w:rPr>
          <w:rFonts w:ascii="Garamond" w:hAnsi="Garamond"/>
          <w:sz w:val="24"/>
          <w:szCs w:val="24"/>
        </w:rPr>
        <w:t xml:space="preserve"> </w:t>
      </w:r>
      <w:r w:rsidR="005A3B52" w:rsidRPr="00055865">
        <w:rPr>
          <w:rFonts w:ascii="Garamond" w:hAnsi="Garamond"/>
          <w:sz w:val="24"/>
          <w:szCs w:val="24"/>
        </w:rPr>
        <w:t xml:space="preserve">with </w:t>
      </w:r>
      <w:r w:rsidR="00DD661A" w:rsidRPr="00055865">
        <w:rPr>
          <w:rFonts w:ascii="Garamond" w:hAnsi="Garamond"/>
          <w:sz w:val="24"/>
          <w:szCs w:val="24"/>
        </w:rPr>
        <w:t xml:space="preserve">an </w:t>
      </w:r>
      <w:r w:rsidR="005A3B52" w:rsidRPr="00055865">
        <w:rPr>
          <w:rFonts w:ascii="Garamond" w:hAnsi="Garamond"/>
          <w:sz w:val="24"/>
          <w:szCs w:val="24"/>
        </w:rPr>
        <w:t xml:space="preserve">emphasis on </w:t>
      </w:r>
      <w:r w:rsidRPr="00055865">
        <w:rPr>
          <w:rFonts w:ascii="Garamond" w:hAnsi="Garamond"/>
          <w:sz w:val="24"/>
          <w:szCs w:val="24"/>
        </w:rPr>
        <w:t xml:space="preserve">social and environmental information </w:t>
      </w:r>
      <w:r w:rsidRPr="00055865">
        <w:rPr>
          <w:rFonts w:ascii="Garamond" w:hAnsi="Garamond"/>
          <w:sz w:val="24"/>
          <w:szCs w:val="24"/>
        </w:rPr>
        <w:fldChar w:fldCharType="begin" w:fldLock="1"/>
      </w:r>
      <w:r w:rsidR="007122D5" w:rsidRPr="00055865">
        <w:rPr>
          <w:rFonts w:ascii="Garamond" w:hAnsi="Garamond"/>
          <w:sz w:val="24"/>
          <w:szCs w:val="24"/>
        </w:rPr>
        <w:instrText>ADDIN CSL_CITATION {"citationItems":[{"id":"ITEM-1","itemData":{"ISBN":"07374607","ISSN":"0737-4607","PMID":"12925870","abstract":"Global warning, the potential of ecological accidents, as well as the hysteria surrounding events such as Mad Cow disease, underlie society's awareness and concern about the quality of the environment, especially corporations' role and responsibility in that regard. One can define corporate environmental disclosure as the set of information items that relate to a firm's past, current and future environmental management activities and performances. Corporate environmental disclosure also comprises information about the past, current and future financial implications resulting from a firm's environmental management decisions or actions. This article examines the conceptual framework used to analyze literature related to environmental disclosure. It surveys the literature on voluntary environmental disclosure. This article also reviews the empirical research on external environmental information, and one section summarizes the literature on mandatory disclosure. Finally, the article provides a discussion of the results and their potential implications.","author":[{"dropping-particle":"","family":"Berthelot","given":"Sylvie","non-dropping-particle":"","parse-names":false,"suffix":""},{"dropping-particle":"","family":"Cormier","given":"Denis","non-dropping-particle":"","parse-names":false,"suffix":""},{"dropping-particle":"","family":"Magnan","given":"Michel","non-dropping-particle":"","parse-names":false,"suffix":""}],"container-title":"Journal of Accounting Literature","id":"ITEM-1","issued":{"date-parts":[["2003"]]},"title":"Environmental Disclosure Research: Review and Synthesis","type":"article-journal"},"uris":["http://www.mendeley.com/documents/?uuid=14586cc2-c192-42df-8cc5-d763d6c629b5"]},{"id":"ITEM-2","itemData":{"DOI":"10.1016/0361-3682(92)90042-Q","ISSN":"03613682","abstract":"According to the legitimacy theory arguments of Preston &amp; Post (Private Management and Public Policy, Prentice-Hall, 1975), social disclosures can be viewed as a method of responding to the changing perceptions of a corporation's relevant publics. Based on this theory, this paper examines the effect of the Exxon Valdez oil spill on the annual report environmental disclosures of petroleum firms other than Exxon. A significant increase in such disclosures is found. Furthermore, the amount of change is shown to be related to firm size and ownership in the Alyeska Pipeline Service Company. The results therefore support the legitimacy theory arguments. © 1992.","author":[{"dropping-particle":"","family":"Patten","given":"Dennis M.","non-dropping-particle":"","parse-names":false,"suffix":""}],"container-title":"Accounting, Organizations and Society","id":"ITEM-2","issued":{"date-parts":[["1992"]]},"title":"Intra-industry environmental disclosures in response to the Alaskan oil spill: A note on legitimacy theory","type":"article-journal"},"uris":["http://www.mendeley.com/documents/?uuid=dbcf1dc4-f275-495d-a297-1811f7d5e13e"]},{"id":"ITEM-3","itemData":{"DOI":"10.1177/0007650304267536","ISSN":"00076503","abstract":"Based on new survey evidence, this article analyzes the allocation of departmental responsibility for the management of corporate charitable giving within a sample of large U.K. companies. Several qualitatively different forms of management are identified, and a model of the determinants of the choice among these forms is estimated. The findings indicate that the allocation of internal responsibility for the management of corporate giving is significantly influenced by the extent and type of managerially perceived stakeholder pressures, organizational size, and industry characteristics. The evidence indicates that, given the firm is sufficiently large to delegate the management of its charitable contributions, the choice over the location of control is largely a function of the nature of the prevailing forms of stakeholder pressure experienced by the organization. © 2004, Sage Publications. All rights reserved.","author":[{"dropping-particle":"","family":"Brammer","given":"Stephen","non-dropping-particle":"","parse-names":false,"suffix":""},{"dropping-particle":"","family":"Millington","given":"Andrew","non-dropping-particle":"","parse-names":false,"suffix":""}],"container-title":"Business &amp; Society","id":"ITEM-3","issued":{"date-parts":[["2004"]]},"title":"Stakeholder Pressure, Organizational Size, and the Allocation of Departmental Responsibility for the Management of Corporate Charitable Giving","type":"article-journal"},"uris":["http://www.mendeley.com/documents/?uuid=f7f07c00-0c35-41fa-b2e9-9cb18d1c753f"]}],"mendeley":{"formattedCitation":"(Berthelot, Cormier, &amp; Magnan, 2003; Brammer &amp; Millington, 2004; Patten, 1992)","plainTextFormattedCitation":"(Berthelot, Cormier, &amp; Magnan, 2003; Brammer &amp; Millington, 2004; Patten, 1992)","previouslyFormattedCitation":"(Berthelot, Cormier, &amp; Magnan, 2003; Brammer &amp; Millington, 2004; Patten, 1992)"},"properties":{"noteIndex":0},"schema":"https://github.com/citation-style-language/schema/raw/master/csl-citation.json"}</w:instrText>
      </w:r>
      <w:r w:rsidRPr="00055865">
        <w:rPr>
          <w:rFonts w:ascii="Garamond" w:hAnsi="Garamond"/>
          <w:sz w:val="24"/>
          <w:szCs w:val="24"/>
        </w:rPr>
        <w:fldChar w:fldCharType="separate"/>
      </w:r>
      <w:r w:rsidR="007122D5" w:rsidRPr="00055865">
        <w:rPr>
          <w:rFonts w:ascii="Garamond" w:hAnsi="Garamond"/>
          <w:noProof/>
          <w:sz w:val="24"/>
          <w:szCs w:val="24"/>
        </w:rPr>
        <w:t>(Berthelot, Cormier, &amp; Magnan, 2003; Brammer &amp; Millington, 2004; Patten, 1992)</w:t>
      </w:r>
      <w:r w:rsidRPr="00055865">
        <w:rPr>
          <w:rFonts w:ascii="Garamond" w:hAnsi="Garamond"/>
          <w:sz w:val="24"/>
          <w:szCs w:val="24"/>
        </w:rPr>
        <w:fldChar w:fldCharType="end"/>
      </w:r>
      <w:r w:rsidRPr="00055865">
        <w:rPr>
          <w:rFonts w:ascii="Garamond" w:hAnsi="Garamond"/>
          <w:sz w:val="24"/>
          <w:szCs w:val="24"/>
        </w:rPr>
        <w:t>. Indeed</w:t>
      </w:r>
      <w:r w:rsidR="00A43459" w:rsidRPr="00055865">
        <w:rPr>
          <w:rFonts w:ascii="Garamond" w:hAnsi="Garamond"/>
          <w:sz w:val="24"/>
          <w:szCs w:val="24"/>
        </w:rPr>
        <w:t>,</w:t>
      </w:r>
      <w:r w:rsidRPr="00055865">
        <w:rPr>
          <w:rFonts w:ascii="Garamond" w:hAnsi="Garamond"/>
          <w:sz w:val="24"/>
          <w:szCs w:val="24"/>
        </w:rPr>
        <w:t xml:space="preserve"> there is growing evidence that </w:t>
      </w:r>
      <w:r w:rsidR="00A43459" w:rsidRPr="00055865">
        <w:rPr>
          <w:rFonts w:ascii="Garamond" w:hAnsi="Garamond"/>
          <w:sz w:val="24"/>
          <w:szCs w:val="24"/>
        </w:rPr>
        <w:t>suggest</w:t>
      </w:r>
      <w:r w:rsidR="00DD661A" w:rsidRPr="00055865">
        <w:rPr>
          <w:rFonts w:ascii="Garamond" w:hAnsi="Garamond"/>
          <w:sz w:val="24"/>
          <w:szCs w:val="24"/>
        </w:rPr>
        <w:t>s</w:t>
      </w:r>
      <w:r w:rsidR="00A43459" w:rsidRPr="00055865">
        <w:rPr>
          <w:rFonts w:ascii="Garamond" w:hAnsi="Garamond"/>
          <w:sz w:val="24"/>
          <w:szCs w:val="24"/>
        </w:rPr>
        <w:t xml:space="preserve"> that </w:t>
      </w:r>
      <w:r w:rsidRPr="00055865">
        <w:rPr>
          <w:rFonts w:ascii="Garamond" w:hAnsi="Garamond"/>
          <w:sz w:val="24"/>
          <w:szCs w:val="24"/>
        </w:rPr>
        <w:t>corporations have employed new environmental solutions in search of legitimacy</w:t>
      </w:r>
      <w:r w:rsidR="00A43459" w:rsidRPr="00055865">
        <w:rPr>
          <w:rFonts w:ascii="Garamond" w:hAnsi="Garamond"/>
          <w:sz w:val="24"/>
          <w:szCs w:val="24"/>
        </w:rPr>
        <w:t>;</w:t>
      </w:r>
      <w:r w:rsidRPr="00055865">
        <w:rPr>
          <w:rFonts w:ascii="Garamond" w:hAnsi="Garamond"/>
          <w:sz w:val="24"/>
          <w:szCs w:val="24"/>
        </w:rPr>
        <w:t xml:space="preserve"> </w:t>
      </w:r>
      <w:r w:rsidR="005A3B52" w:rsidRPr="00055865">
        <w:rPr>
          <w:rFonts w:ascii="Garamond" w:hAnsi="Garamond"/>
          <w:sz w:val="24"/>
          <w:szCs w:val="24"/>
        </w:rPr>
        <w:t>which</w:t>
      </w:r>
      <w:r w:rsidRPr="00055865">
        <w:rPr>
          <w:rFonts w:ascii="Garamond" w:hAnsi="Garamond"/>
          <w:sz w:val="24"/>
          <w:szCs w:val="24"/>
        </w:rPr>
        <w:t xml:space="preserve"> </w:t>
      </w:r>
      <w:r w:rsidR="005A3B52" w:rsidRPr="00055865">
        <w:rPr>
          <w:rFonts w:ascii="Garamond" w:hAnsi="Garamond"/>
          <w:sz w:val="24"/>
          <w:szCs w:val="24"/>
        </w:rPr>
        <w:t>could</w:t>
      </w:r>
      <w:r w:rsidRPr="00055865">
        <w:rPr>
          <w:rFonts w:ascii="Garamond" w:hAnsi="Garamond"/>
          <w:sz w:val="24"/>
          <w:szCs w:val="24"/>
        </w:rPr>
        <w:t xml:space="preserve"> enhance their competitiveness through </w:t>
      </w:r>
      <w:r w:rsidR="00DD661A" w:rsidRPr="00055865">
        <w:rPr>
          <w:rFonts w:ascii="Garamond" w:hAnsi="Garamond"/>
          <w:sz w:val="24"/>
          <w:szCs w:val="24"/>
        </w:rPr>
        <w:t xml:space="preserve">the </w:t>
      </w:r>
      <w:r w:rsidRPr="00055865">
        <w:rPr>
          <w:rFonts w:ascii="Garamond" w:hAnsi="Garamond"/>
          <w:sz w:val="24"/>
          <w:szCs w:val="24"/>
        </w:rPr>
        <w:t xml:space="preserve">protection of </w:t>
      </w:r>
      <w:r w:rsidRPr="00055865">
        <w:rPr>
          <w:rFonts w:ascii="Garamond" w:hAnsi="Garamond"/>
          <w:sz w:val="24"/>
          <w:szCs w:val="24"/>
        </w:rPr>
        <w:lastRenderedPageBreak/>
        <w:t xml:space="preserve">natural resources </w:t>
      </w:r>
      <w:r w:rsidRPr="00055865">
        <w:rPr>
          <w:rFonts w:ascii="Garamond" w:hAnsi="Garamond"/>
          <w:sz w:val="24"/>
          <w:szCs w:val="24"/>
        </w:rPr>
        <w:fldChar w:fldCharType="begin" w:fldLock="1"/>
      </w:r>
      <w:r w:rsidR="007122D5" w:rsidRPr="00055865">
        <w:rPr>
          <w:rFonts w:ascii="Garamond" w:hAnsi="Garamond"/>
          <w:sz w:val="24"/>
          <w:szCs w:val="24"/>
        </w:rPr>
        <w:instrText>ADDIN CSL_CITATION {"citationItems":[{"id":"ITEM-1","itemData":{"DOI":"10.1007/s10551-015-2960-2","ISSN":"15730697","abstract":"© 2015 Springer Science+Business Media DordrechtThis paper analyzes the determinants underlying the internalization of proactive environmental management proposed by certifiable environmental management systems (EMSs) such as those set out in ISO 14001 and the European Management and Auditing Scheme (EMAS). Using a study based on 232 usable questionnaires from EMAS-registered organizations, we explored the influence of institutional pressures from different stakeholders and the role of corporate strategy in the “substantial” versus “symbolic” integration of environmental practices. The results highlighted that although institutional pressures generally strengthen the internalization of proactive environmental practices, the influence of stakeholders can either support the integration of these practices or encourage their superficial adoption. For example, while pressure from suppliers and shareholders contribute to corporate greening, pressure from customers and industrial associations tend to encourage greenwashing (i.e., the superficial and misleading adoption of environmental practices). Product quality-oriented strategies also positively influence EMS internalization. The paper sheds light on the institutional complexity underlying the substantial versus symbolic implementation of environmental practices, and questions the dominant isomorphic view of EMS adoption. The paper also bridges the gap between complementary approaches on corporate greening, notably neo-institutional and stakeholder theories.","author":[{"dropping-particle":"","family":"Testa","given":"Francesco","non-dropping-particle":"","parse-names":false,"suffix":""},{"dropping-particle":"","family":"Boiral","given":"Olivier","non-dropping-particle":"","parse-names":false,"suffix":""},{"dropping-particle":"","family":"Iraldo","given":"Fabio","non-dropping-particle":"","parse-names":false,"suffix":""}],"container-title":"Journal of Business Ethics","id":"ITEM-1","issued":{"date-parts":[["2015"]]},"page":"1-21","title":"Internalization of Environmental Practices and Institutional Complexity: Can Stakeholders Pressures Encourage Greenwashing?","type":"article-newspaper"},"uris":["http://www.mendeley.com/documents/?uuid=d105c9ac-f808-4544-92ed-0c1ec572134e"]},{"id":"ITEM-2","itemData":{"DOI":"10.1108/00251740910978287","ISBN":"0025-1747","ISSN":"0025-1747","abstract":"– The purpose of this paper is to provide a comprehensive definition of green management. In the quest to systematically develop an inclusive definition, it seeks to take an exploratory approach to investigate the existing literature on green management from three different perspectives: first, tracing the history of how this concept emerged over time; second, considering the practices in which green organizations actually engage, focusing specifically on one company that has been recognized and honored for its extraordinary efforts toward sustainability; and third, reviewing the current developments in critical theory related to environmental issues and business.","author":[{"dropping-particle":"","family":"Pane Haden","given":"Stephanie S.","non-dropping-particle":"","parse-names":false,"suffix":""},{"dropping-particle":"","family":"Oyler","given":"Jennifer D.","non-dropping-particle":"","parse-names":false,"suffix":""},{"dropping-particle":"","family":"Humphreys","given":"John H.","non-dropping-particle":"","parse-names":false,"suffix":""}],"container-title":"Management Decision","id":"ITEM-2","issue":"7","issued":{"date-parts":[["2009"]]},"page":"1041-1055","title":"Historical, practical, and theoretical perspectives on green management","type":"article-journal","volume":"47"},"uris":["http://www.mendeley.com/documents/?uuid=b236613c-d46f-4204-9f9b-5041e62a483b"]},{"id":"ITEM-3","itemData":{"DOI":"10.1016/j.jclepro.2017.01.058","ISSN":"09596526","abstract":"Companies around the world adopt green practices with the aim to reduce their environmental impacts and improve their financial performance. The present study theorizes about and empirically examines the impacts of corporate green practices on financial performance. Indexes of pollution prevention, green supply management, green product development and ISO 14001 adoption are obtained for each firm in a panel of 3490 publicly-traded companies from 58 countries over 13 years. Results show that internal green practices (pollution prevention and green supply chain management) are the major environmental drivers of financial performance, while external green practices (green product development) play a secondary role in determining financial performance. The adoption of ISO 14001 appears to have a negative impact on financial performance. This study provides empirical support for policy-makers promoting environmental practices that may lead to sustainable economic growth.","author":[{"dropping-particle":"","family":"Miroshnychenko","given":"Ivan","non-dropping-particle":"","parse-names":false,"suffix":""},{"dropping-particle":"","family":"Barontini","given":"Roberto","non-dropping-particle":"","parse-names":false,"suffix":""},{"dropping-particle":"","family":"Testa","given":"Francesco","non-dropping-particle":"","parse-names":false,"suffix":""}],"container-title":"Journal of Cleaner Production","id":"ITEM-3","issued":{"date-parts":[["2017"]]},"page":"340-351","title":"Green practices and financial performance: A global outlook","type":"article-journal","volume":"147"},"uris":["http://www.mendeley.com/documents/?uuid=d7b27e45-aee9-41b6-ba3a-0d03ca0e1fd2"]}],"mendeley":{"formattedCitation":"(Miroshnychenko, Barontini, &amp; Testa, 2017; Pane Haden, Oyler, &amp; Humphreys, 2009; Testa, Boiral, &amp; Iraldo, 2015)","plainTextFormattedCitation":"(Miroshnychenko, Barontini, &amp; Testa, 2017; Pane Haden, Oyler, &amp; Humphreys, 2009; Testa, Boiral, &amp; Iraldo, 2015)","previouslyFormattedCitation":"(Miroshnychenko, Barontini, &amp; Testa, 2017; Pane Haden, Oyler, &amp; Humphreys, 2009; Testa, Boiral, &amp; Iraldo, 2015)"},"properties":{"noteIndex":0},"schema":"https://github.com/citation-style-language/schema/raw/master/csl-citation.json"}</w:instrText>
      </w:r>
      <w:r w:rsidRPr="00055865">
        <w:rPr>
          <w:rFonts w:ascii="Garamond" w:hAnsi="Garamond"/>
          <w:sz w:val="24"/>
          <w:szCs w:val="24"/>
        </w:rPr>
        <w:fldChar w:fldCharType="separate"/>
      </w:r>
      <w:r w:rsidR="007122D5" w:rsidRPr="00055865">
        <w:rPr>
          <w:rFonts w:ascii="Garamond" w:hAnsi="Garamond"/>
          <w:noProof/>
          <w:sz w:val="24"/>
          <w:szCs w:val="24"/>
        </w:rPr>
        <w:t>(Miroshnychenko, Barontini, &amp; Testa, 2017; Pane Haden, Oyler, &amp; Humphreys, 2009; Testa, Boiral, &amp; Iraldo, 2015)</w:t>
      </w:r>
      <w:r w:rsidRPr="00055865">
        <w:rPr>
          <w:rFonts w:ascii="Garamond" w:hAnsi="Garamond"/>
          <w:sz w:val="24"/>
          <w:szCs w:val="24"/>
        </w:rPr>
        <w:fldChar w:fldCharType="end"/>
      </w:r>
      <w:r w:rsidRPr="00055865">
        <w:rPr>
          <w:rFonts w:ascii="Garamond" w:hAnsi="Garamond"/>
          <w:sz w:val="24"/>
          <w:szCs w:val="24"/>
        </w:rPr>
        <w:t xml:space="preserve">. </w:t>
      </w:r>
    </w:p>
    <w:p w14:paraId="1DFC7199" w14:textId="7E86BBA9" w:rsidR="00C3429E" w:rsidRPr="00055865" w:rsidRDefault="00C3429E" w:rsidP="005B6FD7">
      <w:pPr>
        <w:spacing w:after="0" w:line="480" w:lineRule="auto"/>
        <w:ind w:firstLine="720"/>
        <w:contextualSpacing/>
        <w:jc w:val="both"/>
        <w:rPr>
          <w:rFonts w:ascii="Garamond" w:hAnsi="Garamond"/>
          <w:sz w:val="24"/>
          <w:szCs w:val="24"/>
        </w:rPr>
      </w:pPr>
      <w:r w:rsidRPr="00055865">
        <w:rPr>
          <w:rFonts w:ascii="Garamond" w:hAnsi="Garamond"/>
          <w:sz w:val="24"/>
          <w:szCs w:val="24"/>
        </w:rPr>
        <w:t xml:space="preserve">  In economics, issues regarding the environment have traditionally been subjected to debates as to whether it is a social or private cost and have </w:t>
      </w:r>
      <w:r w:rsidR="00A43459" w:rsidRPr="00055865">
        <w:rPr>
          <w:rFonts w:ascii="Garamond" w:hAnsi="Garamond"/>
          <w:sz w:val="24"/>
          <w:szCs w:val="24"/>
        </w:rPr>
        <w:t>often</w:t>
      </w:r>
      <w:r w:rsidRPr="00055865">
        <w:rPr>
          <w:rFonts w:ascii="Garamond" w:hAnsi="Garamond"/>
          <w:sz w:val="24"/>
          <w:szCs w:val="24"/>
        </w:rPr>
        <w:t xml:space="preserve"> been left to the government to deal with it</w:t>
      </w:r>
      <w:r w:rsidR="005A3B52" w:rsidRPr="00055865">
        <w:rPr>
          <w:rFonts w:ascii="Garamond" w:hAnsi="Garamond"/>
          <w:sz w:val="24"/>
          <w:szCs w:val="24"/>
        </w:rPr>
        <w:t xml:space="preserve"> </w:t>
      </w:r>
      <w:r w:rsidR="003B2D03" w:rsidRPr="00055865">
        <w:rPr>
          <w:rFonts w:ascii="Garamond" w:hAnsi="Garamond"/>
          <w:sz w:val="24"/>
          <w:szCs w:val="24"/>
        </w:rPr>
        <w:fldChar w:fldCharType="begin" w:fldLock="1"/>
      </w:r>
      <w:r w:rsidR="007122D5" w:rsidRPr="00055865">
        <w:rPr>
          <w:rFonts w:ascii="Garamond" w:hAnsi="Garamond"/>
          <w:sz w:val="24"/>
          <w:szCs w:val="24"/>
        </w:rPr>
        <w:instrText>ADDIN CSL_CITATION {"citationItems":[{"id":"ITEM-1","itemData":{"author":[{"dropping-particle":"","family":"Davis","given":"Keith","non-dropping-particle":"","parse-names":false,"suffix":""}],"container-title":"Business, Society and Environment","id":"ITEM-1","issue":"2","issued":{"date-parts":[["1973"]]},"page":"312-322","title":"The case for and against business assumption of social responsibilities","type":"article-journal","volume":"16"},"uris":["http://www.mendeley.com/documents/?uuid=fba0703b-1d9a-47e4-82f3-34db831c090c"]},{"id":"ITEM-2","itemData":{"DOI":"10.1016/j.ecolecon.2003.08.005","ISBN":"4411334372","ISSN":"09218009","abstract":"This paper proposes a new approach to measure corporate contributions to sustainability called Sustainable Value Added. Value is created whenever benefits exceed costs. Current approaches to measure corporate sustainable performance take into account external costs caused by environmental and social damage or focus on the ratio between value creation and resource consumption. As this paper will show it is more promising to develop sustainable measures based on opportunity costs. Sustainable Value Added is such a measure. It shows how much more value is created because a company is more efficient than a benchmark and because the resources are allocated to the company and not to benchmark companies. The concept of strong sustainability requires that each form of capital is kept constant. As Sustainable Value Added is inspired by strong sustainability, it measures whether a company creates extra value while ensuring that every environmental and social impact is in total constant. Therefore, it takes into account both, corporate eco- and social efficiency as well as the absolute level of environmental and social resource consumption (eco- and social effectiveness). As a result, Sustainable Value Added considers simultaneously economic, environmental and social aspects. The overall result can be expressed in any of the three dimensions of sustainability. © 2004 Elsevier B.V. All rights reserved.","author":[{"dropping-particle":"","family":"Figge","given":"Frank","non-dropping-particle":"","parse-names":false,"suffix":""},{"dropping-particle":"","family":"Hahn","given":"Tobias","non-dropping-particle":"","parse-names":false,"suffix":""}],"container-title":"Ecological Economics","id":"ITEM-2","issue":"2","issued":{"date-parts":[["2004"]]},"page":"173-187","title":"Sustainable Value Added - Measuring corporate contributions to sustainability beyond eco-efficiency","type":"article-journal","volume":"48"},"uris":["http://www.mendeley.com/documents/?uuid=f1582b8a-1111-4eb4-8cb7-ada37287f777"]}],"mendeley":{"formattedCitation":"(Davis, 1973; Figge &amp; Hahn, 2004)","plainTextFormattedCitation":"(Davis, 1973; Figge &amp; Hahn, 2004)","previouslyFormattedCitation":"(Davis, 1973; Figge &amp; Hahn, 2004)"},"properties":{"noteIndex":0},"schema":"https://github.com/citation-style-language/schema/raw/master/csl-citation.json"}</w:instrText>
      </w:r>
      <w:r w:rsidR="003B2D03" w:rsidRPr="00055865">
        <w:rPr>
          <w:rFonts w:ascii="Garamond" w:hAnsi="Garamond"/>
          <w:sz w:val="24"/>
          <w:szCs w:val="24"/>
        </w:rPr>
        <w:fldChar w:fldCharType="separate"/>
      </w:r>
      <w:r w:rsidR="007122D5" w:rsidRPr="00055865">
        <w:rPr>
          <w:rFonts w:ascii="Garamond" w:hAnsi="Garamond"/>
          <w:noProof/>
          <w:sz w:val="24"/>
          <w:szCs w:val="24"/>
        </w:rPr>
        <w:t>(Davis, 1973; Figge &amp; Hahn, 2004)</w:t>
      </w:r>
      <w:r w:rsidR="003B2D03" w:rsidRPr="00055865">
        <w:rPr>
          <w:rFonts w:ascii="Garamond" w:hAnsi="Garamond"/>
          <w:sz w:val="24"/>
          <w:szCs w:val="24"/>
        </w:rPr>
        <w:fldChar w:fldCharType="end"/>
      </w:r>
      <w:r w:rsidRPr="00055865">
        <w:rPr>
          <w:rFonts w:ascii="Garamond" w:hAnsi="Garamond"/>
          <w:sz w:val="24"/>
          <w:szCs w:val="24"/>
        </w:rPr>
        <w:t xml:space="preserve">. However, </w:t>
      </w:r>
      <w:r w:rsidR="005A3B52" w:rsidRPr="00055865">
        <w:rPr>
          <w:rFonts w:ascii="Garamond" w:hAnsi="Garamond"/>
          <w:sz w:val="24"/>
          <w:szCs w:val="24"/>
        </w:rPr>
        <w:t xml:space="preserve">empirical evidence shows that </w:t>
      </w:r>
      <w:r w:rsidRPr="00055865">
        <w:rPr>
          <w:rFonts w:ascii="Garamond" w:hAnsi="Garamond"/>
          <w:sz w:val="24"/>
          <w:szCs w:val="24"/>
        </w:rPr>
        <w:t xml:space="preserve">environmental </w:t>
      </w:r>
      <w:r w:rsidR="00A43459" w:rsidRPr="00055865">
        <w:rPr>
          <w:rFonts w:ascii="Garamond" w:hAnsi="Garamond"/>
          <w:sz w:val="24"/>
          <w:szCs w:val="24"/>
        </w:rPr>
        <w:t xml:space="preserve">practices </w:t>
      </w:r>
      <w:r w:rsidRPr="00055865">
        <w:rPr>
          <w:rFonts w:ascii="Garamond" w:hAnsi="Garamond"/>
          <w:sz w:val="24"/>
          <w:szCs w:val="24"/>
        </w:rPr>
        <w:t xml:space="preserve">and financial performance </w:t>
      </w:r>
      <w:r w:rsidR="00DD661A" w:rsidRPr="00055865">
        <w:rPr>
          <w:rFonts w:ascii="Garamond" w:hAnsi="Garamond"/>
          <w:sz w:val="24"/>
          <w:szCs w:val="24"/>
        </w:rPr>
        <w:t>are</w:t>
      </w:r>
      <w:r w:rsidRPr="00055865">
        <w:rPr>
          <w:rFonts w:ascii="Garamond" w:hAnsi="Garamond"/>
          <w:sz w:val="24"/>
          <w:szCs w:val="24"/>
        </w:rPr>
        <w:t xml:space="preserve"> positively correlated </w:t>
      </w:r>
      <w:r w:rsidRPr="00055865">
        <w:rPr>
          <w:rFonts w:ascii="Garamond" w:hAnsi="Garamond"/>
          <w:sz w:val="24"/>
          <w:szCs w:val="24"/>
        </w:rPr>
        <w:fldChar w:fldCharType="begin" w:fldLock="1"/>
      </w:r>
      <w:r w:rsidR="007122D5" w:rsidRPr="00055865">
        <w:rPr>
          <w:rFonts w:ascii="Garamond" w:hAnsi="Garamond"/>
          <w:sz w:val="24"/>
          <w:szCs w:val="24"/>
        </w:rPr>
        <w:instrText>ADDIN CSL_CITATION {"citationItems":[{"id":"ITEM-1","itemData":{"DOI":"10.1016/j.ecolecon.2011.05.010","ISBN":"0921-8009","ISSN":"09218009","abstract":"This paper examines the effects of environmental performance on financial performance using the data of Japanese manufacturing firms from 2004 to 2008. As the environmental performance, our study considers the two different environmental issues of waste and greenhouse gas emissions in capturing the effects of corporate environmental management on financial performance. In addition, to clarify how each financial performance responds to a firm's effort in dealing with different environmental issues, we utilize many financial performance indices reflecting various market evaluations. Our estimation results show the different effects of each environmental performance on financial performance. Waste emissions do not generally have significant effects on financial performance. On the other hand, greenhouse gas reduction leads to an increase in financial performance in the whole sample and clean industries, although it does not have significant effects on financial performance in dirty industries. Furthermore, as the firm growth rate increases, the partial effects of waste emissions on financial performance decrease, whereas the partial effects of greenhouse gas emissions on financial performance increase. © 2011 Elsevier B.V.","author":[{"dropping-particle":"","family":"Iwata","given":"Hiroki","non-dropping-particle":"","parse-names":false,"suffix":""},{"dropping-particle":"","family":"Okada","given":"Keisuke","non-dropping-particle":"","parse-names":false,"suffix":""}],"container-title":"Ecological Economics","id":"ITEM-1","issue":"9","issued":{"date-parts":[["2011"]]},"page":"1691-1700","title":"How does environmental performance affect financial performance? Evidence from Japanese manufacturing firms","type":"article-journal","volume":"70"},"uris":["http://www.mendeley.com/documents/?uuid=39c697af-287f-4357-9892-afa6b2bf2bd0"]}],"mendeley":{"formattedCitation":"(Iwata &amp; Okada, 2011)","manualFormatting":"(Iwata and Okada, 2011; Trumpp and Guenther, 2017))","plainTextFormattedCitation":"(Iwata &amp; Okada, 2011)","previouslyFormattedCitation":"(Iwata &amp; Okada, 2011)"},"properties":{"noteIndex":0},"schema":"https://github.com/citation-style-language/schema/raw/master/csl-citation.json"}</w:instrText>
      </w:r>
      <w:r w:rsidRPr="00055865">
        <w:rPr>
          <w:rFonts w:ascii="Garamond" w:hAnsi="Garamond"/>
          <w:sz w:val="24"/>
          <w:szCs w:val="24"/>
        </w:rPr>
        <w:fldChar w:fldCharType="separate"/>
      </w:r>
      <w:r w:rsidRPr="00055865">
        <w:rPr>
          <w:rFonts w:ascii="Garamond" w:hAnsi="Garamond"/>
          <w:noProof/>
          <w:sz w:val="24"/>
          <w:szCs w:val="24"/>
        </w:rPr>
        <w:t xml:space="preserve">(Iwata </w:t>
      </w:r>
      <w:r w:rsidR="006F26C3" w:rsidRPr="00055865">
        <w:rPr>
          <w:rFonts w:ascii="Garamond" w:hAnsi="Garamond"/>
          <w:noProof/>
          <w:sz w:val="24"/>
          <w:szCs w:val="24"/>
        </w:rPr>
        <w:t>&amp;</w:t>
      </w:r>
      <w:r w:rsidRPr="00055865">
        <w:rPr>
          <w:rFonts w:ascii="Garamond" w:hAnsi="Garamond"/>
          <w:noProof/>
          <w:sz w:val="24"/>
          <w:szCs w:val="24"/>
        </w:rPr>
        <w:t xml:space="preserve"> Okada, 2011</w:t>
      </w:r>
      <w:r w:rsidR="005A3B52" w:rsidRPr="00055865">
        <w:rPr>
          <w:rFonts w:ascii="Garamond" w:hAnsi="Garamond"/>
          <w:noProof/>
          <w:sz w:val="24"/>
          <w:szCs w:val="24"/>
        </w:rPr>
        <w:t xml:space="preserve">; </w:t>
      </w:r>
      <w:r w:rsidR="005A3B52" w:rsidRPr="00055865">
        <w:rPr>
          <w:rFonts w:ascii="Garamond" w:hAnsi="Garamond"/>
          <w:noProof/>
          <w:sz w:val="24"/>
          <w:szCs w:val="24"/>
        </w:rPr>
        <w:fldChar w:fldCharType="begin" w:fldLock="1"/>
      </w:r>
      <w:r w:rsidR="007122D5" w:rsidRPr="00055865">
        <w:rPr>
          <w:rFonts w:ascii="Garamond" w:hAnsi="Garamond"/>
          <w:noProof/>
          <w:sz w:val="24"/>
          <w:szCs w:val="24"/>
        </w:rPr>
        <w:instrText>ADDIN CSL_CITATION {"citationItems":[{"id":"ITEM-1","itemData":{"DOI":"10.1002/bse.1900","ISSN":"10990836","abstract":"Despite 40 years of research on the relationship between corporate environmental performance (CEP) and corporate financial performance (CFP), there is no generally accepted theoretical framework that explains the contradictory results that have emerged. This unsatisfactory status may be attributed to the fact that linear models dominate the research. Based on an international sample of 2361 firm</w:instrText>
      </w:r>
      <w:r w:rsidR="007122D5" w:rsidRPr="00055865">
        <w:rPr>
          <w:rFonts w:ascii="Times New Roman" w:hAnsi="Times New Roman" w:cs="Times New Roman"/>
          <w:noProof/>
          <w:sz w:val="24"/>
          <w:szCs w:val="24"/>
        </w:rPr>
        <w:instrText>‐</w:instrText>
      </w:r>
      <w:r w:rsidR="007122D5" w:rsidRPr="00055865">
        <w:rPr>
          <w:rFonts w:ascii="Garamond" w:hAnsi="Garamond"/>
          <w:noProof/>
          <w:sz w:val="24"/>
          <w:szCs w:val="24"/>
        </w:rPr>
        <w:instrText>years from 2008 to 2012, we find empirical evidence of a non</w:instrText>
      </w:r>
      <w:r w:rsidR="007122D5" w:rsidRPr="00055865">
        <w:rPr>
          <w:rFonts w:ascii="Times New Roman" w:hAnsi="Times New Roman" w:cs="Times New Roman"/>
          <w:noProof/>
          <w:sz w:val="24"/>
          <w:szCs w:val="24"/>
        </w:rPr>
        <w:instrText>‐</w:instrText>
      </w:r>
      <w:r w:rsidR="007122D5" w:rsidRPr="00055865">
        <w:rPr>
          <w:rFonts w:ascii="Garamond" w:hAnsi="Garamond"/>
          <w:noProof/>
          <w:sz w:val="24"/>
          <w:szCs w:val="24"/>
        </w:rPr>
        <w:instrText>linear, specifically a U</w:instrText>
      </w:r>
      <w:r w:rsidR="007122D5" w:rsidRPr="00055865">
        <w:rPr>
          <w:rFonts w:ascii="Times New Roman" w:hAnsi="Times New Roman" w:cs="Times New Roman"/>
          <w:noProof/>
          <w:sz w:val="24"/>
          <w:szCs w:val="24"/>
        </w:rPr>
        <w:instrText>‐</w:instrText>
      </w:r>
      <w:r w:rsidR="007122D5" w:rsidRPr="00055865">
        <w:rPr>
          <w:rFonts w:ascii="Garamond" w:hAnsi="Garamond"/>
          <w:noProof/>
          <w:sz w:val="24"/>
          <w:szCs w:val="24"/>
        </w:rPr>
        <w:instrText>shaped, relationship between carbon performance and profitability as well as between waste intensity and profitability. The same result holds for the relationship between carbon performance and stock market performance, but solely for manufacturing industries. Our empirical findings provide evidence for the theoretical framework of a ‘too</w:instrText>
      </w:r>
      <w:r w:rsidR="007122D5" w:rsidRPr="00055865">
        <w:rPr>
          <w:rFonts w:ascii="Times New Roman" w:hAnsi="Times New Roman" w:cs="Times New Roman"/>
          <w:noProof/>
          <w:sz w:val="24"/>
          <w:szCs w:val="24"/>
        </w:rPr>
        <w:instrText>‐</w:instrText>
      </w:r>
      <w:r w:rsidR="007122D5" w:rsidRPr="00055865">
        <w:rPr>
          <w:rFonts w:ascii="Garamond" w:hAnsi="Garamond"/>
          <w:noProof/>
          <w:sz w:val="24"/>
          <w:szCs w:val="24"/>
        </w:rPr>
        <w:instrText>little</w:instrText>
      </w:r>
      <w:r w:rsidR="007122D5" w:rsidRPr="00055865">
        <w:rPr>
          <w:rFonts w:ascii="Times New Roman" w:hAnsi="Times New Roman" w:cs="Times New Roman"/>
          <w:noProof/>
          <w:sz w:val="24"/>
          <w:szCs w:val="24"/>
        </w:rPr>
        <w:instrText>‐</w:instrText>
      </w:r>
      <w:r w:rsidR="007122D5" w:rsidRPr="00055865">
        <w:rPr>
          <w:rFonts w:ascii="Garamond" w:hAnsi="Garamond"/>
          <w:noProof/>
          <w:sz w:val="24"/>
          <w:szCs w:val="24"/>
        </w:rPr>
        <w:instrText>of</w:instrText>
      </w:r>
      <w:r w:rsidR="007122D5" w:rsidRPr="00055865">
        <w:rPr>
          <w:rFonts w:ascii="Times New Roman" w:hAnsi="Times New Roman" w:cs="Times New Roman"/>
          <w:noProof/>
          <w:sz w:val="24"/>
          <w:szCs w:val="24"/>
        </w:rPr>
        <w:instrText>‐</w:instrText>
      </w:r>
      <w:r w:rsidR="007122D5" w:rsidRPr="00055865">
        <w:rPr>
          <w:rFonts w:ascii="Garamond" w:hAnsi="Garamond"/>
          <w:noProof/>
          <w:sz w:val="24"/>
          <w:szCs w:val="24"/>
        </w:rPr>
        <w:instrText>a</w:instrText>
      </w:r>
      <w:r w:rsidR="007122D5" w:rsidRPr="00055865">
        <w:rPr>
          <w:rFonts w:ascii="Times New Roman" w:hAnsi="Times New Roman" w:cs="Times New Roman"/>
          <w:noProof/>
          <w:sz w:val="24"/>
          <w:szCs w:val="24"/>
        </w:rPr>
        <w:instrText>‐</w:instrText>
      </w:r>
      <w:r w:rsidR="007122D5" w:rsidRPr="00055865">
        <w:rPr>
          <w:rFonts w:ascii="Garamond" w:hAnsi="Garamond"/>
          <w:noProof/>
          <w:sz w:val="24"/>
          <w:szCs w:val="24"/>
        </w:rPr>
        <w:instrText>good</w:instrText>
      </w:r>
      <w:r w:rsidR="007122D5" w:rsidRPr="00055865">
        <w:rPr>
          <w:rFonts w:ascii="Times New Roman" w:hAnsi="Times New Roman" w:cs="Times New Roman"/>
          <w:noProof/>
          <w:sz w:val="24"/>
          <w:szCs w:val="24"/>
        </w:rPr>
        <w:instrText>‐</w:instrText>
      </w:r>
      <w:r w:rsidR="007122D5" w:rsidRPr="00055865">
        <w:rPr>
          <w:rFonts w:ascii="Garamond" w:hAnsi="Garamond"/>
          <w:noProof/>
          <w:sz w:val="24"/>
          <w:szCs w:val="24"/>
        </w:rPr>
        <w:instrText>thing</w:instrText>
      </w:r>
      <w:r w:rsidR="007122D5" w:rsidRPr="00055865">
        <w:rPr>
          <w:rFonts w:ascii="Garamond" w:hAnsi="Garamond" w:cs="Garamond"/>
          <w:noProof/>
          <w:sz w:val="24"/>
          <w:szCs w:val="24"/>
        </w:rPr>
        <w:instrText>’</w:instrText>
      </w:r>
      <w:r w:rsidR="007122D5" w:rsidRPr="00055865">
        <w:rPr>
          <w:rFonts w:ascii="Garamond" w:hAnsi="Garamond"/>
          <w:noProof/>
          <w:sz w:val="24"/>
          <w:szCs w:val="24"/>
        </w:rPr>
        <w:instrText xml:space="preserve"> (TLGT) effect, which indicates that the type of relationship (positive, negative) depends on the level of CEP. More precisely, there is a negative CEP–CFP relationship for companies with low CEP and a positive association for high CEP. Copyright © 2015 John Wiley &amp; Sons, Ltd and ERP Environment (PsycINFO Database Record (c) 2015 APA, all rights reserved). (journal abstract)","author":[{"dropping-particle":"","family":"Trumpp","given":"Christoph","non-dropping-particle":"","parse-names":false,"suffix":""},{"dropping-particle":"","family":"Guenther","given":"Thomas","non-dropping-particle":"","parse-names":false,"suffix":""}],"container-title":"Business Strategy and the Environment","id":"ITEM-1","issue":"1","issued":{"date-parts":[["2017"]]},"page":"49-68","title":"Too Little or too much? Exploring U-shaped Relationships between Corporate Environmental Performance and Corporate Financial Performance","type":"article-journal","volume":"26"},"uris":["http://www.mendeley.com/documents/?uuid=3dd93099-98aa-4420-a4ff-be056f9071bb"]}],"mendeley":{"formattedCitation":"(Trumpp &amp; Guenther, 2017)","manualFormatting":"Trumpp and Guenther, 2017)","plainTextFormattedCitation":"(Trumpp &amp; Guenther, 2017)","previouslyFormattedCitation":"(Trumpp &amp; Guenther, 2017)"},"properties":{"noteIndex":0},"schema":"https://github.com/citation-style-language/schema/raw/master/csl-citation.json"}</w:instrText>
      </w:r>
      <w:r w:rsidR="005A3B52" w:rsidRPr="00055865">
        <w:rPr>
          <w:rFonts w:ascii="Garamond" w:hAnsi="Garamond"/>
          <w:noProof/>
          <w:sz w:val="24"/>
          <w:szCs w:val="24"/>
        </w:rPr>
        <w:fldChar w:fldCharType="separate"/>
      </w:r>
      <w:r w:rsidR="005A3B52" w:rsidRPr="00055865">
        <w:rPr>
          <w:rFonts w:ascii="Garamond" w:hAnsi="Garamond"/>
          <w:noProof/>
          <w:sz w:val="24"/>
          <w:szCs w:val="24"/>
        </w:rPr>
        <w:t xml:space="preserve">Trumpp </w:t>
      </w:r>
      <w:r w:rsidR="006F26C3" w:rsidRPr="00055865">
        <w:rPr>
          <w:rFonts w:ascii="Garamond" w:hAnsi="Garamond"/>
          <w:noProof/>
          <w:sz w:val="24"/>
          <w:szCs w:val="24"/>
        </w:rPr>
        <w:t>&amp;</w:t>
      </w:r>
      <w:r w:rsidR="005A3B52" w:rsidRPr="00055865">
        <w:rPr>
          <w:rFonts w:ascii="Garamond" w:hAnsi="Garamond"/>
          <w:noProof/>
          <w:sz w:val="24"/>
          <w:szCs w:val="24"/>
        </w:rPr>
        <w:t xml:space="preserve"> Guenther</w:t>
      </w:r>
      <w:r w:rsidR="008C3E08" w:rsidRPr="00055865">
        <w:rPr>
          <w:rFonts w:ascii="Garamond" w:hAnsi="Garamond"/>
          <w:noProof/>
          <w:sz w:val="24"/>
          <w:szCs w:val="24"/>
        </w:rPr>
        <w:t xml:space="preserve">, </w:t>
      </w:r>
      <w:r w:rsidR="005A3B52" w:rsidRPr="00055865">
        <w:rPr>
          <w:rFonts w:ascii="Garamond" w:hAnsi="Garamond"/>
          <w:noProof/>
          <w:sz w:val="24"/>
          <w:szCs w:val="24"/>
        </w:rPr>
        <w:t>2017)</w:t>
      </w:r>
      <w:r w:rsidR="005A3B52" w:rsidRPr="00055865">
        <w:rPr>
          <w:rFonts w:ascii="Garamond" w:hAnsi="Garamond"/>
          <w:noProof/>
          <w:sz w:val="24"/>
          <w:szCs w:val="24"/>
        </w:rPr>
        <w:fldChar w:fldCharType="end"/>
      </w:r>
      <w:r w:rsidRPr="00055865">
        <w:rPr>
          <w:rFonts w:ascii="Garamond" w:hAnsi="Garamond"/>
          <w:noProof/>
          <w:sz w:val="24"/>
          <w:szCs w:val="24"/>
        </w:rPr>
        <w:t>)</w:t>
      </w:r>
      <w:r w:rsidRPr="00055865">
        <w:rPr>
          <w:rFonts w:ascii="Garamond" w:hAnsi="Garamond"/>
          <w:sz w:val="24"/>
          <w:szCs w:val="24"/>
        </w:rPr>
        <w:fldChar w:fldCharType="end"/>
      </w:r>
      <w:r w:rsidR="005A3B52" w:rsidRPr="00055865">
        <w:rPr>
          <w:rFonts w:ascii="Garamond" w:hAnsi="Garamond"/>
          <w:sz w:val="24"/>
          <w:szCs w:val="24"/>
        </w:rPr>
        <w:t>; and as such</w:t>
      </w:r>
      <w:r w:rsidR="00A43459" w:rsidRPr="00055865">
        <w:rPr>
          <w:rFonts w:ascii="Garamond" w:hAnsi="Garamond"/>
          <w:sz w:val="24"/>
          <w:szCs w:val="24"/>
        </w:rPr>
        <w:t>,</w:t>
      </w:r>
      <w:r w:rsidR="005A3B52" w:rsidRPr="00055865">
        <w:rPr>
          <w:rFonts w:ascii="Garamond" w:hAnsi="Garamond"/>
          <w:sz w:val="24"/>
          <w:szCs w:val="24"/>
        </w:rPr>
        <w:t xml:space="preserve"> improvements in </w:t>
      </w:r>
      <w:r w:rsidR="001E32BB">
        <w:rPr>
          <w:rFonts w:ascii="Garamond" w:hAnsi="Garamond"/>
          <w:sz w:val="24"/>
          <w:szCs w:val="24"/>
        </w:rPr>
        <w:t>financial performance encourage</w:t>
      </w:r>
      <w:r w:rsidR="005A3B52" w:rsidRPr="00055865">
        <w:rPr>
          <w:rFonts w:ascii="Garamond" w:hAnsi="Garamond"/>
          <w:sz w:val="24"/>
          <w:szCs w:val="24"/>
        </w:rPr>
        <w:t xml:space="preserve"> the pursuance of sustainable environmental practic</w:t>
      </w:r>
      <w:r w:rsidR="006F26C3" w:rsidRPr="00055865">
        <w:rPr>
          <w:rFonts w:ascii="Garamond" w:hAnsi="Garamond"/>
          <w:sz w:val="24"/>
          <w:szCs w:val="24"/>
        </w:rPr>
        <w:t>es</w:t>
      </w:r>
      <w:r w:rsidR="005A3B52" w:rsidRPr="00055865">
        <w:rPr>
          <w:rFonts w:ascii="Garamond" w:hAnsi="Garamond"/>
          <w:sz w:val="24"/>
          <w:szCs w:val="24"/>
        </w:rPr>
        <w:t xml:space="preserve"> </w:t>
      </w:r>
      <w:r w:rsidR="007122D5" w:rsidRPr="00055865">
        <w:rPr>
          <w:rFonts w:ascii="Garamond" w:hAnsi="Garamond"/>
          <w:sz w:val="24"/>
          <w:szCs w:val="24"/>
        </w:rPr>
        <w:fldChar w:fldCharType="begin" w:fldLock="1"/>
      </w:r>
      <w:r w:rsidR="007122D5" w:rsidRPr="00055865">
        <w:rPr>
          <w:rFonts w:ascii="Garamond" w:hAnsi="Garamond"/>
          <w:sz w:val="24"/>
          <w:szCs w:val="24"/>
        </w:rPr>
        <w:instrText>ADDIN CSL_CITATION {"citationItems":[{"id":"ITEM-1","itemData":{"DOI":"10.1002/bse.1900","ISSN":"10990836","abstract":"Despite 40 years of research on the relationship between corporate environmental performance (CEP) and corporate financial performance (CFP), there is no generally accepted theoretical framework that explains the contradictory results that have emerged. This unsatisfactory status may be attributed to the fact that linear models dominate the research. Based on an international sample of 2361 firm</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years from 2008 to 2012, we find empirical evidence of a non</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linear, specifically a U</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shaped, relationship between carbon performance and profitability as well as between waste intensity and profitability. The same result holds for the relationship between carbon performance and stock market performance, but solely for manufacturing industries. Our empirical findings provide evidence for the theoretical framework of a ‘too</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little</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of</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a</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good</w:instrText>
      </w:r>
      <w:r w:rsidR="007122D5" w:rsidRPr="00055865">
        <w:rPr>
          <w:rFonts w:ascii="Times New Roman" w:hAnsi="Times New Roman" w:cs="Times New Roman"/>
          <w:sz w:val="24"/>
          <w:szCs w:val="24"/>
        </w:rPr>
        <w:instrText>‐</w:instrText>
      </w:r>
      <w:r w:rsidR="007122D5" w:rsidRPr="00055865">
        <w:rPr>
          <w:rFonts w:ascii="Garamond" w:hAnsi="Garamond"/>
          <w:sz w:val="24"/>
          <w:szCs w:val="24"/>
        </w:rPr>
        <w:instrText>thing</w:instrText>
      </w:r>
      <w:r w:rsidR="007122D5" w:rsidRPr="00055865">
        <w:rPr>
          <w:rFonts w:ascii="Garamond" w:hAnsi="Garamond" w:cs="Garamond"/>
          <w:sz w:val="24"/>
          <w:szCs w:val="24"/>
        </w:rPr>
        <w:instrText>’</w:instrText>
      </w:r>
      <w:r w:rsidR="007122D5" w:rsidRPr="00055865">
        <w:rPr>
          <w:rFonts w:ascii="Garamond" w:hAnsi="Garamond"/>
          <w:sz w:val="24"/>
          <w:szCs w:val="24"/>
        </w:rPr>
        <w:instrText xml:space="preserve"> (TLGT) effect, which indicates that the type of relationship (positive, negative) depends on the level of CEP. More precisely, there is a negative CEP–CFP relationship for companies with low CEP and a positive association for high CEP. Copyright © 2015 John Wiley &amp; Sons, Ltd and ERP Environment (PsycINFO Database Record (c) 2015 APA, all rights reserved). (journal abstract)","author":[{"dropping-particle":"","family":"Trumpp","given":"Christoph","non-dropping-particle":"","parse-names":false,"suffix":""},{"dropping-particle":"","family":"Guenther","given":"Thomas","non-dropping-particle":"","parse-names":false,"suffix":""}],"container-title":"Business Strategy and the Environment","id":"ITEM-1","issue":"1","issued":{"date-parts":[["2017"]]},"page":"49-68","title":"Too Little or too much? Exploring U-shaped Relationships between Corporate Environmental Performance and Corporate Financial Performance","type":"article-journal","volume":"26"},"uris":["http://www.mendeley.com/documents/?uuid=3dd93099-98aa-4420-a4ff-be056f9071bb"]}],"mendeley":{"formattedCitation":"(Trumpp &amp; Guenther, 2017)","plainTextFormattedCitation":"(Trumpp &amp; Guenther, 2017)","previouslyFormattedCitation":"(Trumpp &amp; Guenther, 2017)"},"properties":{"noteIndex":0},"schema":"https://github.com/citation-style-language/schema/raw/master/csl-citation.json"}</w:instrText>
      </w:r>
      <w:r w:rsidR="007122D5" w:rsidRPr="00055865">
        <w:rPr>
          <w:rFonts w:ascii="Garamond" w:hAnsi="Garamond"/>
          <w:sz w:val="24"/>
          <w:szCs w:val="24"/>
        </w:rPr>
        <w:fldChar w:fldCharType="separate"/>
      </w:r>
      <w:r w:rsidR="007122D5" w:rsidRPr="00055865">
        <w:rPr>
          <w:rFonts w:ascii="Garamond" w:hAnsi="Garamond"/>
          <w:noProof/>
          <w:sz w:val="24"/>
          <w:szCs w:val="24"/>
        </w:rPr>
        <w:t>(Trumpp &amp; Guenther, 2017)</w:t>
      </w:r>
      <w:r w:rsidR="007122D5" w:rsidRPr="00055865">
        <w:rPr>
          <w:rFonts w:ascii="Garamond" w:hAnsi="Garamond"/>
          <w:sz w:val="24"/>
          <w:szCs w:val="24"/>
        </w:rPr>
        <w:fldChar w:fldCharType="end"/>
      </w:r>
      <w:r w:rsidR="005A3B52" w:rsidRPr="00055865">
        <w:rPr>
          <w:rFonts w:ascii="Garamond" w:hAnsi="Garamond"/>
          <w:sz w:val="24"/>
          <w:szCs w:val="24"/>
        </w:rPr>
        <w:t xml:space="preserve">. Accordingly, </w:t>
      </w:r>
      <w:r w:rsidRPr="00055865">
        <w:rPr>
          <w:rFonts w:ascii="Garamond" w:hAnsi="Garamond"/>
          <w:sz w:val="24"/>
          <w:szCs w:val="24"/>
        </w:rPr>
        <w:t xml:space="preserve">environmental problems </w:t>
      </w:r>
      <w:r w:rsidR="006E383B" w:rsidRPr="00055865">
        <w:rPr>
          <w:rFonts w:ascii="Garamond" w:hAnsi="Garamond"/>
          <w:sz w:val="24"/>
          <w:szCs w:val="24"/>
        </w:rPr>
        <w:t>need</w:t>
      </w:r>
      <w:r w:rsidRPr="00055865">
        <w:rPr>
          <w:rFonts w:ascii="Garamond" w:hAnsi="Garamond"/>
          <w:sz w:val="24"/>
          <w:szCs w:val="24"/>
        </w:rPr>
        <w:t xml:space="preserve"> </w:t>
      </w:r>
      <w:r w:rsidR="00A43459" w:rsidRPr="00055865">
        <w:rPr>
          <w:rFonts w:ascii="Garamond" w:hAnsi="Garamond"/>
          <w:sz w:val="24"/>
          <w:szCs w:val="24"/>
        </w:rPr>
        <w:t xml:space="preserve">to </w:t>
      </w:r>
      <w:r w:rsidRPr="00055865">
        <w:rPr>
          <w:rFonts w:ascii="Garamond" w:hAnsi="Garamond"/>
          <w:sz w:val="24"/>
          <w:szCs w:val="24"/>
        </w:rPr>
        <w:t>be handled through the market mechanism</w:t>
      </w:r>
      <w:r w:rsidR="00A74567">
        <w:rPr>
          <w:rFonts w:ascii="Garamond" w:hAnsi="Garamond"/>
          <w:sz w:val="24"/>
          <w:szCs w:val="24"/>
        </w:rPr>
        <w:t>s</w:t>
      </w:r>
      <w:r w:rsidRPr="00055865">
        <w:rPr>
          <w:rFonts w:ascii="Garamond" w:hAnsi="Garamond"/>
          <w:sz w:val="24"/>
          <w:szCs w:val="24"/>
        </w:rPr>
        <w:t xml:space="preserve"> </w:t>
      </w:r>
      <w:r w:rsidR="00A74567">
        <w:rPr>
          <w:rFonts w:ascii="Garamond" w:hAnsi="Garamond"/>
          <w:sz w:val="24"/>
          <w:szCs w:val="24"/>
        </w:rPr>
        <w:t>by</w:t>
      </w:r>
      <w:r w:rsidR="00DD661A" w:rsidRPr="00055865">
        <w:rPr>
          <w:rFonts w:ascii="Garamond" w:hAnsi="Garamond"/>
          <w:sz w:val="24"/>
          <w:szCs w:val="24"/>
        </w:rPr>
        <w:t xml:space="preserve"> </w:t>
      </w:r>
      <w:r w:rsidR="006E383B" w:rsidRPr="00055865">
        <w:rPr>
          <w:rFonts w:ascii="Garamond" w:hAnsi="Garamond"/>
          <w:sz w:val="24"/>
          <w:szCs w:val="24"/>
        </w:rPr>
        <w:t>corporation</w:t>
      </w:r>
      <w:r w:rsidR="00A74567">
        <w:rPr>
          <w:rFonts w:ascii="Garamond" w:hAnsi="Garamond"/>
          <w:sz w:val="24"/>
          <w:szCs w:val="24"/>
        </w:rPr>
        <w:t>s</w:t>
      </w:r>
      <w:r w:rsidR="006E383B" w:rsidRPr="00055865">
        <w:rPr>
          <w:rFonts w:ascii="Garamond" w:hAnsi="Garamond"/>
          <w:sz w:val="24"/>
          <w:szCs w:val="24"/>
        </w:rPr>
        <w:t xml:space="preserve"> </w:t>
      </w:r>
      <w:r w:rsidRPr="00055865">
        <w:rPr>
          <w:rFonts w:ascii="Garamond" w:hAnsi="Garamond"/>
          <w:sz w:val="24"/>
          <w:szCs w:val="24"/>
        </w:rPr>
        <w:t>and not necessarily from government intervention</w:t>
      </w:r>
      <w:r w:rsidR="006E383B" w:rsidRPr="00055865">
        <w:rPr>
          <w:rFonts w:ascii="Garamond" w:hAnsi="Garamond"/>
          <w:sz w:val="24"/>
          <w:szCs w:val="24"/>
        </w:rPr>
        <w:t xml:space="preserve"> </w:t>
      </w:r>
      <w:r w:rsidR="003B2D03" w:rsidRPr="00055865">
        <w:rPr>
          <w:rFonts w:ascii="Garamond" w:hAnsi="Garamond"/>
          <w:sz w:val="24"/>
          <w:szCs w:val="24"/>
        </w:rPr>
        <w:fldChar w:fldCharType="begin" w:fldLock="1"/>
      </w:r>
      <w:r w:rsidR="007122D5" w:rsidRPr="00055865">
        <w:rPr>
          <w:rFonts w:ascii="Garamond" w:hAnsi="Garamond"/>
          <w:sz w:val="24"/>
          <w:szCs w:val="24"/>
        </w:rPr>
        <w:instrText>ADDIN CSL_CITATION {"citationItems":[{"id":"ITEM-1","itemData":{"DOI":"10.1257/jep.9.4.97","ISBN":"08953309","ISSN":"0895-3309","PMID":"5978921","abstract":"The relationship between environmental goals and industrial competitive- ness has normally been thought of as involving a tradeoff between social benefits and private costs. The issue was how to balance society's desire for environmental protection with the economic burden on industry. Framed this way, environmental improvement becomes a kind of arm-wrestling match. One side pushes for tougher standards; the other side tries to beat the standards back. Our central message is that the environment-competitiveness debate has been framed incorrectly. The notion of an inevitable struggle between ecology and the economy grows out of a static view of environmental regulation, in which technol- ogy, products, processes and customer needs are all fixed. In this static world, where firms have already made their cost-minimizing choices, environmental regulation inevitably raises costs and will tend to reduce the market share of domestic com- panies on global markets.","author":[{"dropping-particle":"","family":"Porter","given":"Michael E","non-dropping-particle":"","parse-names":false,"suffix":""},{"dropping-particle":"van der","family":"Linde","given":"Claas","non-dropping-particle":"","parse-names":false,"suffix":""}],"container-title":"Journal of Economic Perspectives","id":"ITEM-1","issue":"4","issued":{"date-parts":[["1995"]]},"page":"97-118","title":"Toward a New Conception of the Environment-Competitiveness Relationship","type":"article-journal","volume":"9"},"uris":["http://www.mendeley.com/documents/?uuid=f23fd9a0-c8e5-4f99-8e64-dc4ad4b58dda"]}],"mendeley":{"formattedCitation":"(Porter &amp; Linde, 1995)","plainTextFormattedCitation":"(Porter &amp; Linde, 1995)","previouslyFormattedCitation":"(Porter &amp; Linde, 1995)"},"properties":{"noteIndex":0},"schema":"https://github.com/citation-style-language/schema/raw/master/csl-citation.json"}</w:instrText>
      </w:r>
      <w:r w:rsidR="003B2D03" w:rsidRPr="00055865">
        <w:rPr>
          <w:rFonts w:ascii="Garamond" w:hAnsi="Garamond"/>
          <w:sz w:val="24"/>
          <w:szCs w:val="24"/>
        </w:rPr>
        <w:fldChar w:fldCharType="separate"/>
      </w:r>
      <w:r w:rsidR="007122D5" w:rsidRPr="00055865">
        <w:rPr>
          <w:rFonts w:ascii="Garamond" w:hAnsi="Garamond"/>
          <w:noProof/>
          <w:sz w:val="24"/>
          <w:szCs w:val="24"/>
        </w:rPr>
        <w:t>(Porter &amp; Linde, 1995)</w:t>
      </w:r>
      <w:r w:rsidR="003B2D03" w:rsidRPr="00055865">
        <w:rPr>
          <w:rFonts w:ascii="Garamond" w:hAnsi="Garamond"/>
          <w:sz w:val="24"/>
          <w:szCs w:val="24"/>
        </w:rPr>
        <w:fldChar w:fldCharType="end"/>
      </w:r>
      <w:r w:rsidRPr="00055865">
        <w:rPr>
          <w:rFonts w:ascii="Garamond" w:hAnsi="Garamond"/>
          <w:sz w:val="24"/>
          <w:szCs w:val="24"/>
        </w:rPr>
        <w:t xml:space="preserve">.  </w:t>
      </w:r>
    </w:p>
    <w:p w14:paraId="789EADC1" w14:textId="7CF46D23" w:rsidR="00C3429E" w:rsidRPr="00BF1526" w:rsidRDefault="00C3429E" w:rsidP="005B6FD7">
      <w:pPr>
        <w:spacing w:after="0" w:line="480" w:lineRule="auto"/>
        <w:ind w:left="-113" w:right="-113" w:firstLine="720"/>
        <w:contextualSpacing/>
        <w:jc w:val="both"/>
        <w:rPr>
          <w:rFonts w:ascii="Garamond" w:hAnsi="Garamond"/>
          <w:bCs/>
          <w:iCs/>
          <w:color w:val="000000" w:themeColor="text1"/>
          <w:sz w:val="24"/>
          <w:szCs w:val="24"/>
        </w:rPr>
      </w:pPr>
      <w:r w:rsidRPr="00055865">
        <w:rPr>
          <w:rFonts w:ascii="Garamond" w:hAnsi="Garamond"/>
          <w:sz w:val="24"/>
          <w:szCs w:val="24"/>
        </w:rPr>
        <w:t xml:space="preserve">     However, whil</w:t>
      </w:r>
      <w:r w:rsidR="00DD661A" w:rsidRPr="00055865">
        <w:rPr>
          <w:rFonts w:ascii="Garamond" w:hAnsi="Garamond"/>
          <w:sz w:val="24"/>
          <w:szCs w:val="24"/>
        </w:rPr>
        <w:t>e</w:t>
      </w:r>
      <w:r w:rsidRPr="00055865">
        <w:rPr>
          <w:rFonts w:ascii="Garamond" w:hAnsi="Garamond"/>
          <w:sz w:val="24"/>
          <w:szCs w:val="24"/>
        </w:rPr>
        <w:t xml:space="preserve"> empirical studies on environmental </w:t>
      </w:r>
      <w:r w:rsidR="00A43459" w:rsidRPr="00055865">
        <w:rPr>
          <w:rFonts w:ascii="Garamond" w:hAnsi="Garamond"/>
          <w:sz w:val="24"/>
          <w:szCs w:val="24"/>
        </w:rPr>
        <w:t xml:space="preserve">practices </w:t>
      </w:r>
      <w:r w:rsidRPr="00055865">
        <w:rPr>
          <w:rFonts w:ascii="Garamond" w:hAnsi="Garamond"/>
          <w:sz w:val="24"/>
          <w:szCs w:val="24"/>
        </w:rPr>
        <w:t xml:space="preserve">and financial performance relationships have established positive association </w:t>
      </w:r>
      <w:r w:rsidRPr="00055865">
        <w:rPr>
          <w:rFonts w:ascii="Garamond" w:hAnsi="Garamond"/>
          <w:sz w:val="24"/>
          <w:szCs w:val="24"/>
        </w:rPr>
        <w:fldChar w:fldCharType="begin" w:fldLock="1"/>
      </w:r>
      <w:r w:rsidR="007122D5" w:rsidRPr="00055865">
        <w:rPr>
          <w:rFonts w:ascii="Garamond" w:hAnsi="Garamond"/>
          <w:sz w:val="24"/>
          <w:szCs w:val="24"/>
        </w:rPr>
        <w:instrText>ADDIN CSL_CITATION {"citationItems":[{"id":"ITEM-1","itemData":{"DOI":"10.5848/UNGC.5720.2014.0015","ISSN":"20565720","abstract":"UN Global Compact Reports, Volume 5, Number 3, September 2013, pp. 1-60(60)","author":[{"dropping-particle":"","family":"Hayward","given":"Rob","non-dropping-particle":"","parse-names":false,"suffix":""},{"dropping-particle":"","family":"Lee","given":"Jennifer","non-dropping-particle":"","parse-names":false,"suffix":""},{"dropping-particle":"","family":"Keeble","given":"Justin","non-dropping-particle":"","parse-names":false,"suffix":""},{"dropping-particle":"","family":"McNamara","given":"Robert","non-dropping-particle":"","parse-names":false,"suffix":""},{"dropping-particle":"","family":"Hall","given":"Carrie","non-dropping-particle":"","parse-names":false,"suffix":""},{"dropping-particle":"","family":"Cruse","given":"Sean","non-dropping-particle":"","parse-names":false,"suffix":""},{"dropping-particle":"","family":"Gupta","given":"Pranshu","non-dropping-particle":"","parse-names":false,"suffix":""},{"dropping-particle":"","family":"Robinson","given":"Edward","non-dropping-particle":"","parse-names":false,"suffix":""}],"container-title":"UN Global Compact Reports","id":"ITEM-1","issue":"3","issued":{"date-parts":[["2013"]]},"page":"1-60","title":"The UN Global Compact-Accenture CEO Study on Sustainability 2013","type":"article-journal","volume":"5"},"uris":["http://www.mendeley.com/documents/?uuid=e01476e6-7eb4-48fe-9301-34beb141cd79"]},{"id":"ITEM-2","itemData":{"DOI":"10.1016/j.jenvman.2009.05.007","ISBN":"0301-4797","ISSN":"03014797","PMID":"19482410","abstract":"The examination of the possible direct link between environmental protection and firm performance in the literature has generally produced mixed results. The present paper contributes to the literature by using the resource-based view as a mediating process in this relationship. The study specifically tests whether or not the resource-based view of the firm mediates the positive relationships of proactive environmental management and improved environmental performance with competitive advantage, which also has consequences for financial performance. We also check the possible link between the adoption of a pioneering approach and good environmental management practices. Our findings support that early investment timing and intensity in environmental issues impact on the adoption of a proactive environmental management, which in turn helps to improve environmental performance. The findings also show that a firm's resources and competitive advantage act as mediator variables for a positive relationship between environmental protection and financial performance. This contribution is original because the present paper develops a comprehensive whole picture of this path process, which has previously only been partially discussed in the literature. In addition, this study clarifies a relevant point in the literature, namely that the effect of environmental protection on firm performance is not direct and can vary depending on the sector considered. Whereas competitive advantage in relation to costs influences financial performance in the IPPC law sector, the relevant influence in the hotel sector comes from competitive advantage through differentiation. © 2009 Elsevier Ltd. All rights reserved.","author":[{"dropping-particle":"","family":"López-Gamero","given":"María D.","non-dropping-particle":"","parse-names":false,"suffix":""},{"dropping-particle":"","family":"Molina-Azorín","given":"José F.","non-dropping-particle":"","parse-names":false,"suffix":""},{"dropping-particle":"","family":"Claver-Cortés","given":"Enrique","non-dropping-particle":"","parse-names":false,"suffix":""}],"container-title":"Journal of Environmental Management","id":"ITEM-2","issue":"10","issued":{"date-parts":[["2009"]]},"page":"3110-3121","title":"The whole relationship between environmental variables and firm performance: Competitive advantage and firm resources as mediator variables","type":"article-journal","volume":"90"},"uris":["http://www.mendeley.com/documents/?uuid=b48d793d-52cf-4c92-a7f3-b066d7bc2522"]},{"id":"ITEM-3","itemData":{"DOI":"10.1016/j.jenvman.2006.11.022","ISBN":"0301-4797","ISSN":"03014797","PMID":"17239519","abstract":"In spite of the widespread recognition of the important roles that small and medium sized enterprises (SMEs) play in most economies, limited research has focused on their impacts on the natural environment and the strategies such enterprises adopt to reduce these impacts. It is usually assumed that SMEs lack the resources to implement proactive environmental strategies that go beyond minimum regulatory compliance. In this study of 108 SMEs in the automotive repair sector in Southern Spain, we found that SMEs undertake a range of environmental strategies from reactive regulatory compliance to proactive pollution prevention and environmental leadership. These strategies are associated with three organizational capabilities: shared vision, stakeholder management, and strategic proactivity, hypothesized based on the unique strategic characteristics of SMEs-shorter lines of communication and closer interaction within the SMEs, the presence of a founder's vision, flexibility in managing external relationships, and an entrepreneurial orientation. We also found that firms with the most proactive practices exhibited a significantly positive financial performance. © 2006 Elsevier Ltd. All rights reserved.","author":[{"dropping-particle":"","family":"Aragón-Correa","given":"J. Alberto","non-dropping-particle":"","parse-names":false,"suffix":""},{"dropping-particle":"","family":"Hurtado-Torres","given":"Nuria","non-dropping-particle":"","parse-names":false,"suffix":""},{"dropping-particle":"","family":"Sharma","given":"Sanjay","non-dropping-particle":"","parse-names":false,"suffix":""},{"dropping-particle":"","family":"García-Morales","given":"Víctor J.","non-dropping-particle":"","parse-names":false,"suffix":""}],"container-title":"Journal of Environmental Management","id":"ITEM-3","issue":"1","issued":{"date-parts":[["2008"]]},"page":"88-103","title":"Environmental strategy and performance in small firms: A resource-based perspective","type":"article-journal","volume":"86"},"uris":["http://www.mendeley.com/documents/?uuid=d5de866c-da5c-4d87-ad97-9d16fcb30717"]},{"id":"ITEM-4","itemData":{"DOI":"10.2307/1556360","ISBN":"00014273","ISSN":"00014273","PMID":"199789944","abstract":"JSTOR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Research on the effects on firm performance of \"best practices\" of environmental management, which are supposed to enable firms to simultaneously protect the envi-ronment and reduce costs, has so far ignored the roles of existing firm resources and capabilities. Drawing on the resource-based view of the firm, this study analyzes whether complementary assets are required to gain cost advantage from implementing best practices. Results based on survey data from 88 chemical companies indicate that capabilities for process innovation and implementation are complementary assets that moderate the relationship between best practices and cost advantage, a significant factor in determining firm performance.","author":[{"dropping-particle":"","family":"Christmann","given":"Petra","non-dropping-particle":"","parse-names":false,"suffix":""}],"container-title":"Academy of Management Journal","id":"ITEM-4","issue":"4","issued":{"date-parts":[["2000"]]},"page":"663-680","title":"Effects of \"best practices\" of environmental management on cost advantage: The role of complementary assets","type":"article-journal","volume":"43"},"uris":["http://www.mendeley.com/documents/?uuid=8628836d-8d5f-40da-9f14-a1970107cc91"]}],"mendeley":{"formattedCitation":"(Aragón-Correa, Hurtado-Torres, Sharma, &amp; García-Morales, 2008; Christmann, 2000; Hayward et al., 2013; López-Gamero, Molina-Azorín, &amp; Claver-Cortés, 2009)","manualFormatting":"(e.g. Christmann 2000, Aragón-Correa et al. 2008, López-Gamero et al. 2009, Hayward et al. 2013)","plainTextFormattedCitation":"(Aragón-Correa, Hurtado-Torres, Sharma, &amp; García-Morales, 2008; Christmann, 2000; Hayward et al., 2013; López-Gamero, Molina-Azorín, &amp; Claver-Cortés, 2009)","previouslyFormattedCitation":"(Aragón-Correa, Hurtado-Torres, Sharma, &amp; García-Morales, 2008; Christmann, 2000; Hayward et al., 2013; López-Gamero, Molina-Azorín, &amp; Claver-Cortés, 2009)"},"properties":{"noteIndex":0},"schema":"https://github.com/citation-style-language/schema/raw/master/csl-citation.json"}</w:instrText>
      </w:r>
      <w:r w:rsidRPr="00055865">
        <w:rPr>
          <w:rFonts w:ascii="Garamond" w:hAnsi="Garamond"/>
          <w:sz w:val="24"/>
          <w:szCs w:val="24"/>
        </w:rPr>
        <w:fldChar w:fldCharType="separate"/>
      </w:r>
      <w:r w:rsidRPr="00055865">
        <w:rPr>
          <w:rFonts w:ascii="Garamond" w:hAnsi="Garamond"/>
          <w:noProof/>
          <w:sz w:val="24"/>
          <w:szCs w:val="24"/>
        </w:rPr>
        <w:t>(e.g. Christmann 2000, Aragón-Correa et al. 2008, López-Gamero et al. 2009, Hayward et al. 2013)</w:t>
      </w:r>
      <w:r w:rsidRPr="00055865">
        <w:rPr>
          <w:rFonts w:ascii="Garamond" w:hAnsi="Garamond"/>
          <w:sz w:val="24"/>
          <w:szCs w:val="24"/>
        </w:rPr>
        <w:fldChar w:fldCharType="end"/>
      </w:r>
      <w:r w:rsidRPr="00055865">
        <w:rPr>
          <w:rFonts w:ascii="Garamond" w:hAnsi="Garamond"/>
          <w:sz w:val="24"/>
          <w:szCs w:val="24"/>
        </w:rPr>
        <w:t xml:space="preserve">, others have found </w:t>
      </w:r>
      <w:r w:rsidR="006E383B" w:rsidRPr="00055865">
        <w:rPr>
          <w:rFonts w:ascii="Garamond" w:hAnsi="Garamond"/>
          <w:sz w:val="24"/>
          <w:szCs w:val="24"/>
        </w:rPr>
        <w:t xml:space="preserve">either </w:t>
      </w:r>
      <w:r w:rsidRPr="00055865">
        <w:rPr>
          <w:rFonts w:ascii="Garamond" w:hAnsi="Garamond"/>
          <w:sz w:val="24"/>
          <w:szCs w:val="24"/>
        </w:rPr>
        <w:t xml:space="preserve">negative or no association </w:t>
      </w:r>
      <w:r w:rsidRPr="00055865">
        <w:rPr>
          <w:rFonts w:ascii="Garamond" w:hAnsi="Garamond"/>
          <w:sz w:val="24"/>
          <w:szCs w:val="24"/>
        </w:rPr>
        <w:fldChar w:fldCharType="begin" w:fldLock="1"/>
      </w:r>
      <w:r w:rsidR="00281223" w:rsidRPr="00055865">
        <w:rPr>
          <w:rFonts w:ascii="Garamond" w:hAnsi="Garamond"/>
          <w:sz w:val="24"/>
          <w:szCs w:val="24"/>
        </w:rPr>
        <w:instrText>ADDIN CSL_CITATION {"citationItems":[{"id":"ITEM-1","itemData":{"DOI":"10.3390/su6107412","ISSN":"2071-1050","abstract":"As the impact of small and medium-sized enterprises (SMEs) on the environment increases, there is a need for effective environmental policies to sustain their development. Under this condition, SMEs implement innovation to meet environmental regulations and to achieve environmental competitiveness in sustainability. We examine the impact of environmental innovation on labor productivity in SME manufacturers. The literature shows that complementary assets help SMEs to increase their performance in environmental innovation. Therefore, we study the interactive effects of the SMEs’ business-group affiliation and the listing status on the relationship between environmental innovation and labor productivity. We add these interaction terms to multivariate regressions by using the 2010 Korea Innovation Survey. The results show that SMEs are able to use environmental innovation as a business strategy for green growth with improved labor productivity. Also, the results highlight that the business-group affiliation and the listing status as the complementary assets positively moderate the performance of the environmental innovation of the SMEs.","author":[{"dropping-particle":"","family":"Woo","given":"Chungwon","non-dropping-particle":"","parse-names":false,"suffix":""},{"dropping-particle":"","family":"Chung","given":"Yanghon","non-dropping-particle":"","parse-names":false,"suffix":""},{"dropping-particle":"","family":"Chun","given":"Dongphil","non-dropping-particle":"","parse-names":false,"suffix":""},{"dropping-particle":"","family":"Seo","given":"Hangyeol","non-dropping-particle":"","parse-names":false,"suffix":""}],"container-title":"Sustainability","id":"ITEM-1","issue":"10","issued":{"date-parts":[["2014"]]},"page":"7412-7432","title":"Exploring the Impact of Complementary Assets on the Environmental Performance in Manufacturing SMEs","type":"article-journal","volume":"6"},"uris":["http://www.mendeley.com/documents/?uuid=9f3a97c6-2b87-4921-90b3-1711dcc685e3"]},{"id":"ITEM-2","itemData":{"DOI":"10.1002/(SICI)1099-0836(199705)6:2&lt;104::AID-BSE102&gt;3.0.CO;2-T","ISBN":"1099-0836","ISSN":"09644733","abstract":"There is an ongoing debate over the impact of corporate pro-environment actions and strategies (reflected, for example, in pollution prevention and emission reductions, product re-design, materials stewardship) on corporate financial performance in US corporations today. A review of the existing literature in this area yields no consistent pattern of relationships between corporate environmental proactivism and financial performance when historical corporate accounting performance and stock market measures of performance are used. We revisit this relationship using a novel measure of firm performance: security analyst earnings forecasts. Specifically, we demonstrate a significant, negative relationship between environmental proactivism (using Toxic Release Inventory data) and industry analyst 1- and 5-year earnings-per-share performance forecasts for a sample of 523 US firms in 1992. We discuss the implications of these findings and provide suggestions for future research. © 1997 John Wiley &amp; Sons, Ltd and ERP Environment.","author":[{"dropping-particle":"","family":"Cordeiro","given":"James J.","non-dropping-particle":"","parse-names":false,"suffix":""},{"dropping-particle":"","family":"Sarkis","given":"Joseph","non-dropping-particle":"","parse-names":false,"suffix":""}],"container-title":"Business Strategy and the Environment","id":"ITEM-2","issue":"2","issued":{"date-parts":[["1997"]]},"page":"104-114","title":"Environmental proactivism and firm performance: evidence from security analyst earnings forecasts","type":"article-journal","volume":"6"},"uris":["http://www.mendeley.com/documents/?uuid=ee172898-f8ad-4bbf-ad8c-787c8fef110f"]},{"id":"ITEM-3","itemData":{"DOI":"10.1177/0007650311398780","ISSN":"0007-6503","author":[{"dropping-particle":"","family":"Busch","given":"T.","non-dropping-particle":"","parse-names":false,"suffix":""},{"dropping-particle":"","family":"Hoffmann","given":"V. H.","non-dropping-particle":"","parse-names":false,"suffix":""}],"container-title":"Business &amp; Society","id":"ITEM-3","issue":"2","issued":{"date-parts":[["2011"]]},"page":"233-265","title":"How Hot Is Your Bottom Line? Linking Carbon and Financial Performance","type":"article-journal","volume":"50"},"uris":["http://www.mendeley.com/documents/?uuid=0d04d1dd-050d-4f80-8395-3dfa8eb1e1f5"]},{"id":"ITEM-4","itemData":{"DOI":"10.2307/255635","ISBN":"00014273","ISSN":"0001-4273","PMID":"4396977","abstract":"The article discusses social responsibility and stock valuation. An empirical study was made of investors valuation of nine paper companies after substantial publicity was released about their pollution tendencies. Cross-section valuation models were prepared for the four quarters beginning just prior to the publicity. Both institutional purchases and price changes were analyzed to determine the impact of undesirable publicity. The authors look at a correlation between profitability and good pollution control.","author":[{"dropping-particle":"","family":"Fogler","given":"HR","non-dropping-particle":"","parse-names":false,"suffix":""},{"dropping-particle":"","family":"Nutt","given":"F.","non-dropping-particle":"","parse-names":false,"suffix":""}],"container-title":"Academy of Management Journal","id":"ITEM-4","issue":"1","issued":{"date-parts":[["1975"]]},"page":"155-160","title":"A note on social responsibility and stock valuation","type":"article-journal","volume":"18"},"uris":["http://www.mendeley.com/documents/?uuid=9a2eab57-f674-409c-b0e3-32fa59e81ca7"]}],"mendeley":{"formattedCitation":"(Busch &amp; Hoffmann, 2011; Cordeiro &amp; Sarkis, 1997; Fogler &amp; Nutt, 1975; Woo, Chung, Chun, &amp; Seo, 2014)","manualFormatting":"(e.g. Fogler and Nutt 1975, Cordeiro and Sarkis 1997; Busch and Hoffmann 2011, Woo et al. 2014)","plainTextFormattedCitation":"(Busch &amp; Hoffmann, 2011; Cordeiro &amp; Sarkis, 1997; Fogler &amp; Nutt, 1975; Woo, Chung, Chun, &amp; Seo, 2014)","previouslyFormattedCitation":"(Busch &amp; Hoffmann, 2011; Cordeiro &amp; Sarkis, 1997; Fogler &amp; Nutt, 1975; Woo, Chung, Chun, &amp; Seo, 2014)"},"properties":{"noteIndex":0},"schema":"https://github.com/citation-style-language/schema/raw/master/csl-citation.json"}</w:instrText>
      </w:r>
      <w:r w:rsidRPr="00055865">
        <w:rPr>
          <w:rFonts w:ascii="Garamond" w:hAnsi="Garamond"/>
          <w:sz w:val="24"/>
          <w:szCs w:val="24"/>
        </w:rPr>
        <w:fldChar w:fldCharType="separate"/>
      </w:r>
      <w:r w:rsidRPr="00055865">
        <w:rPr>
          <w:rFonts w:ascii="Garamond" w:hAnsi="Garamond"/>
          <w:noProof/>
          <w:sz w:val="24"/>
          <w:szCs w:val="24"/>
        </w:rPr>
        <w:t xml:space="preserve">(e.g. Fogler </w:t>
      </w:r>
      <w:r w:rsidR="006F26C3" w:rsidRPr="00055865">
        <w:rPr>
          <w:rFonts w:ascii="Garamond" w:hAnsi="Garamond"/>
          <w:noProof/>
          <w:sz w:val="24"/>
          <w:szCs w:val="24"/>
        </w:rPr>
        <w:t>&amp;</w:t>
      </w:r>
      <w:r w:rsidRPr="00055865">
        <w:rPr>
          <w:rFonts w:ascii="Garamond" w:hAnsi="Garamond"/>
          <w:noProof/>
          <w:sz w:val="24"/>
          <w:szCs w:val="24"/>
        </w:rPr>
        <w:t xml:space="preserve"> Nutt 1975, Cordeiro </w:t>
      </w:r>
      <w:r w:rsidR="006F26C3" w:rsidRPr="00055865">
        <w:rPr>
          <w:rFonts w:ascii="Garamond" w:hAnsi="Garamond"/>
          <w:noProof/>
          <w:sz w:val="24"/>
          <w:szCs w:val="24"/>
        </w:rPr>
        <w:t>&amp;</w:t>
      </w:r>
      <w:r w:rsidRPr="00055865">
        <w:rPr>
          <w:rFonts w:ascii="Garamond" w:hAnsi="Garamond"/>
          <w:noProof/>
          <w:sz w:val="24"/>
          <w:szCs w:val="24"/>
        </w:rPr>
        <w:t xml:space="preserve"> Sarkis 1997</w:t>
      </w:r>
      <w:r w:rsidR="00F253C4" w:rsidRPr="00055865">
        <w:rPr>
          <w:rFonts w:ascii="Garamond" w:hAnsi="Garamond"/>
          <w:noProof/>
          <w:sz w:val="24"/>
          <w:szCs w:val="24"/>
        </w:rPr>
        <w:t>;</w:t>
      </w:r>
      <w:r w:rsidRPr="00055865">
        <w:rPr>
          <w:rFonts w:ascii="Garamond" w:hAnsi="Garamond"/>
          <w:noProof/>
          <w:sz w:val="24"/>
          <w:szCs w:val="24"/>
        </w:rPr>
        <w:t xml:space="preserve"> Busch </w:t>
      </w:r>
      <w:r w:rsidR="006F26C3" w:rsidRPr="00055865">
        <w:rPr>
          <w:rFonts w:ascii="Garamond" w:hAnsi="Garamond"/>
          <w:noProof/>
          <w:sz w:val="24"/>
          <w:szCs w:val="24"/>
        </w:rPr>
        <w:t>&amp;</w:t>
      </w:r>
      <w:r w:rsidRPr="00055865">
        <w:rPr>
          <w:rFonts w:ascii="Garamond" w:hAnsi="Garamond"/>
          <w:noProof/>
          <w:sz w:val="24"/>
          <w:szCs w:val="24"/>
        </w:rPr>
        <w:t xml:space="preserve"> Hoffmann 2011, Woo et al. 2014)</w:t>
      </w:r>
      <w:r w:rsidRPr="00055865">
        <w:rPr>
          <w:rFonts w:ascii="Garamond" w:hAnsi="Garamond"/>
          <w:sz w:val="24"/>
          <w:szCs w:val="24"/>
        </w:rPr>
        <w:fldChar w:fldCharType="end"/>
      </w:r>
      <w:r w:rsidRPr="00055865">
        <w:rPr>
          <w:rFonts w:ascii="Garamond" w:hAnsi="Garamond"/>
          <w:sz w:val="24"/>
          <w:szCs w:val="24"/>
        </w:rPr>
        <w:t xml:space="preserve">. </w:t>
      </w:r>
      <w:bookmarkStart w:id="0" w:name="OLE_LINK206"/>
      <w:r w:rsidRPr="00055865">
        <w:rPr>
          <w:rFonts w:ascii="Garamond" w:hAnsi="Garamond"/>
          <w:bCs/>
          <w:iCs/>
          <w:sz w:val="24"/>
          <w:szCs w:val="24"/>
        </w:rPr>
        <w:t xml:space="preserve">The inconsistencies </w:t>
      </w:r>
      <w:r w:rsidR="006E383B" w:rsidRPr="00055865">
        <w:rPr>
          <w:rFonts w:ascii="Garamond" w:hAnsi="Garamond"/>
          <w:bCs/>
          <w:iCs/>
          <w:sz w:val="24"/>
          <w:szCs w:val="24"/>
        </w:rPr>
        <w:t>within the empirical literature</w:t>
      </w:r>
      <w:r w:rsidRPr="00055865">
        <w:rPr>
          <w:rFonts w:ascii="Garamond" w:hAnsi="Garamond"/>
          <w:bCs/>
          <w:iCs/>
          <w:sz w:val="24"/>
          <w:szCs w:val="24"/>
        </w:rPr>
        <w:t xml:space="preserve"> suggest a lack of consensus as to whether it pays to pursue </w:t>
      </w:r>
      <w:bookmarkEnd w:id="0"/>
      <w:r w:rsidRPr="00055865">
        <w:rPr>
          <w:rFonts w:ascii="Garamond" w:hAnsi="Garamond"/>
          <w:bCs/>
          <w:iCs/>
          <w:sz w:val="24"/>
          <w:szCs w:val="24"/>
        </w:rPr>
        <w:t>sustainable environmental policies</w:t>
      </w:r>
      <w:r w:rsidR="006E383B" w:rsidRPr="00055865">
        <w:rPr>
          <w:rFonts w:ascii="Garamond" w:hAnsi="Garamond"/>
          <w:bCs/>
          <w:iCs/>
          <w:sz w:val="24"/>
          <w:szCs w:val="24"/>
        </w:rPr>
        <w:t xml:space="preserve"> by the corporation or</w:t>
      </w:r>
      <w:r w:rsidR="00CD37FD" w:rsidRPr="00055865">
        <w:rPr>
          <w:rFonts w:ascii="Garamond" w:hAnsi="Garamond"/>
          <w:bCs/>
          <w:iCs/>
          <w:sz w:val="24"/>
          <w:szCs w:val="24"/>
        </w:rPr>
        <w:t xml:space="preserve"> not</w:t>
      </w:r>
      <w:r w:rsidR="001A4C2E">
        <w:rPr>
          <w:rFonts w:ascii="Garamond" w:hAnsi="Garamond"/>
          <w:bCs/>
          <w:iCs/>
          <w:sz w:val="24"/>
          <w:szCs w:val="24"/>
        </w:rPr>
        <w:t xml:space="preserve">. </w:t>
      </w:r>
      <w:r w:rsidR="001A4C2E" w:rsidRPr="00BF1526">
        <w:rPr>
          <w:rFonts w:ascii="Garamond" w:hAnsi="Garamond"/>
          <w:bCs/>
          <w:iCs/>
          <w:color w:val="000000" w:themeColor="text1"/>
          <w:sz w:val="24"/>
          <w:szCs w:val="24"/>
        </w:rPr>
        <w:t>Given that</w:t>
      </w:r>
      <w:r w:rsidRPr="00BF1526">
        <w:rPr>
          <w:rFonts w:ascii="Garamond" w:hAnsi="Garamond"/>
          <w:bCs/>
          <w:iCs/>
          <w:color w:val="000000" w:themeColor="text1"/>
          <w:sz w:val="24"/>
          <w:szCs w:val="24"/>
        </w:rPr>
        <w:t xml:space="preserve"> the existing literature has both reported potential benefits and cost of sustainable environmental p</w:t>
      </w:r>
      <w:r w:rsidR="00A43459" w:rsidRPr="00BF1526">
        <w:rPr>
          <w:rFonts w:ascii="Garamond" w:hAnsi="Garamond"/>
          <w:bCs/>
          <w:iCs/>
          <w:color w:val="000000" w:themeColor="text1"/>
          <w:sz w:val="24"/>
          <w:szCs w:val="24"/>
        </w:rPr>
        <w:t>ractices</w:t>
      </w:r>
      <w:r w:rsidRPr="00BF1526">
        <w:rPr>
          <w:rFonts w:ascii="Garamond" w:hAnsi="Garamond"/>
          <w:bCs/>
          <w:iCs/>
          <w:color w:val="000000" w:themeColor="text1"/>
          <w:sz w:val="24"/>
          <w:szCs w:val="24"/>
        </w:rPr>
        <w:t xml:space="preserve"> on firm</w:t>
      </w:r>
      <w:r w:rsidR="00A43459" w:rsidRPr="00BF1526">
        <w:rPr>
          <w:rFonts w:ascii="Garamond" w:hAnsi="Garamond"/>
          <w:bCs/>
          <w:iCs/>
          <w:color w:val="000000" w:themeColor="text1"/>
          <w:sz w:val="24"/>
          <w:szCs w:val="24"/>
        </w:rPr>
        <w:t>’s financial</w:t>
      </w:r>
      <w:r w:rsidRPr="00BF1526">
        <w:rPr>
          <w:rFonts w:ascii="Garamond" w:hAnsi="Garamond"/>
          <w:bCs/>
          <w:iCs/>
          <w:color w:val="000000" w:themeColor="text1"/>
          <w:sz w:val="24"/>
          <w:szCs w:val="24"/>
        </w:rPr>
        <w:t xml:space="preserve"> performance, the relationship between sustainable environmental policies and firm performance may be complicated than just reporting positive and </w:t>
      </w:r>
      <w:r w:rsidR="005C7A76" w:rsidRPr="00BF1526">
        <w:rPr>
          <w:rFonts w:ascii="Garamond" w:hAnsi="Garamond"/>
          <w:bCs/>
          <w:iCs/>
          <w:color w:val="000000" w:themeColor="text1"/>
          <w:sz w:val="24"/>
          <w:szCs w:val="24"/>
        </w:rPr>
        <w:t>negative</w:t>
      </w:r>
      <w:r w:rsidRPr="00BF1526">
        <w:rPr>
          <w:rFonts w:ascii="Garamond" w:hAnsi="Garamond"/>
          <w:bCs/>
          <w:iCs/>
          <w:color w:val="000000" w:themeColor="text1"/>
          <w:sz w:val="24"/>
          <w:szCs w:val="24"/>
        </w:rPr>
        <w:t xml:space="preserve"> association</w:t>
      </w:r>
      <w:r w:rsidR="00A43459" w:rsidRPr="00BF1526">
        <w:rPr>
          <w:rFonts w:ascii="Garamond" w:hAnsi="Garamond"/>
          <w:bCs/>
          <w:iCs/>
          <w:color w:val="000000" w:themeColor="text1"/>
          <w:sz w:val="24"/>
          <w:szCs w:val="24"/>
        </w:rPr>
        <w:t>s</w:t>
      </w:r>
      <w:r w:rsidRPr="00BF1526">
        <w:rPr>
          <w:rFonts w:ascii="Garamond" w:hAnsi="Garamond"/>
          <w:bCs/>
          <w:iCs/>
          <w:color w:val="000000" w:themeColor="text1"/>
          <w:sz w:val="24"/>
          <w:szCs w:val="24"/>
        </w:rPr>
        <w:t xml:space="preserve">. </w:t>
      </w:r>
    </w:p>
    <w:p w14:paraId="7A7CC7A3" w14:textId="711AE2F6" w:rsidR="00C3429E" w:rsidRPr="00055865" w:rsidRDefault="00C3429E" w:rsidP="005B6FD7">
      <w:pPr>
        <w:spacing w:after="0" w:line="480" w:lineRule="auto"/>
        <w:contextualSpacing/>
        <w:jc w:val="both"/>
        <w:rPr>
          <w:rFonts w:ascii="Garamond" w:hAnsi="Garamond"/>
          <w:sz w:val="24"/>
          <w:szCs w:val="24"/>
        </w:rPr>
      </w:pPr>
      <w:r w:rsidRPr="00055865">
        <w:rPr>
          <w:rFonts w:ascii="Garamond" w:hAnsi="Garamond"/>
          <w:sz w:val="24"/>
          <w:szCs w:val="24"/>
          <w:lang w:val="en-US"/>
        </w:rPr>
        <w:t xml:space="preserve">    </w:t>
      </w:r>
      <w:r w:rsidR="005C7A76" w:rsidRPr="00055865">
        <w:rPr>
          <w:rFonts w:ascii="Garamond" w:hAnsi="Garamond"/>
          <w:sz w:val="24"/>
          <w:szCs w:val="24"/>
          <w:lang w:val="en-US"/>
        </w:rPr>
        <w:t xml:space="preserve">         </w:t>
      </w:r>
      <w:r w:rsidRPr="00055865">
        <w:rPr>
          <w:rFonts w:ascii="Garamond" w:hAnsi="Garamond"/>
          <w:sz w:val="24"/>
          <w:szCs w:val="24"/>
        </w:rPr>
        <w:t>Whil</w:t>
      </w:r>
      <w:r w:rsidR="00DD661A" w:rsidRPr="00055865">
        <w:rPr>
          <w:rFonts w:ascii="Garamond" w:hAnsi="Garamond"/>
          <w:sz w:val="24"/>
          <w:szCs w:val="24"/>
        </w:rPr>
        <w:t>e</w:t>
      </w:r>
      <w:r w:rsidRPr="00055865">
        <w:rPr>
          <w:rFonts w:ascii="Garamond" w:hAnsi="Garamond"/>
          <w:sz w:val="24"/>
          <w:szCs w:val="24"/>
        </w:rPr>
        <w:t xml:space="preserve"> existing studies offer valuable insights for the furtherance of the related work, the empirical evidence remained focused on large firms and very little attention is paid to SMEs. </w:t>
      </w:r>
      <w:r w:rsidR="00AE56C2">
        <w:rPr>
          <w:rFonts w:ascii="Garamond" w:hAnsi="Garamond"/>
          <w:sz w:val="24"/>
          <w:szCs w:val="24"/>
        </w:rPr>
        <w:t>According to Kumar, Khurshid</w:t>
      </w:r>
      <w:r w:rsidR="00CA2FF8">
        <w:rPr>
          <w:rFonts w:ascii="Garamond" w:hAnsi="Garamond"/>
          <w:sz w:val="24"/>
          <w:szCs w:val="24"/>
        </w:rPr>
        <w:t xml:space="preserve"> &amp;</w:t>
      </w:r>
      <w:r w:rsidR="00AE56C2">
        <w:rPr>
          <w:rFonts w:ascii="Garamond" w:hAnsi="Garamond"/>
          <w:sz w:val="24"/>
          <w:szCs w:val="24"/>
        </w:rPr>
        <w:t xml:space="preserve"> W</w:t>
      </w:r>
      <w:r w:rsidR="00111C5C">
        <w:rPr>
          <w:rFonts w:ascii="Garamond" w:hAnsi="Garamond"/>
          <w:sz w:val="24"/>
          <w:szCs w:val="24"/>
        </w:rPr>
        <w:t>addell</w:t>
      </w:r>
      <w:r w:rsidR="00AE56C2">
        <w:rPr>
          <w:rFonts w:ascii="Garamond" w:hAnsi="Garamond"/>
          <w:sz w:val="24"/>
          <w:szCs w:val="24"/>
        </w:rPr>
        <w:t xml:space="preserve"> </w:t>
      </w:r>
      <w:r w:rsidR="00111C5C">
        <w:rPr>
          <w:rFonts w:ascii="Garamond" w:hAnsi="Garamond"/>
          <w:sz w:val="24"/>
          <w:szCs w:val="24"/>
        </w:rPr>
        <w:t>(</w:t>
      </w:r>
      <w:r w:rsidR="00AE56C2">
        <w:rPr>
          <w:rFonts w:ascii="Garamond" w:hAnsi="Garamond"/>
          <w:sz w:val="24"/>
          <w:szCs w:val="24"/>
        </w:rPr>
        <w:t>2014</w:t>
      </w:r>
      <w:r w:rsidR="00111C5C">
        <w:rPr>
          <w:rFonts w:ascii="Garamond" w:hAnsi="Garamond"/>
          <w:sz w:val="24"/>
          <w:szCs w:val="24"/>
        </w:rPr>
        <w:t>)</w:t>
      </w:r>
      <w:r w:rsidR="00AE56C2">
        <w:rPr>
          <w:rFonts w:ascii="Garamond" w:hAnsi="Garamond"/>
          <w:sz w:val="24"/>
          <w:szCs w:val="24"/>
        </w:rPr>
        <w:t>, t</w:t>
      </w:r>
      <w:r w:rsidRPr="00055865">
        <w:rPr>
          <w:rFonts w:ascii="Garamond" w:hAnsi="Garamond"/>
          <w:sz w:val="24"/>
          <w:szCs w:val="24"/>
        </w:rPr>
        <w:t xml:space="preserve">here are </w:t>
      </w:r>
      <w:r w:rsidR="00DD661A" w:rsidRPr="00055865">
        <w:rPr>
          <w:rFonts w:ascii="Garamond" w:hAnsi="Garamond"/>
          <w:sz w:val="24"/>
          <w:szCs w:val="24"/>
        </w:rPr>
        <w:t>significant</w:t>
      </w:r>
      <w:r w:rsidRPr="00055865">
        <w:rPr>
          <w:rFonts w:ascii="Garamond" w:hAnsi="Garamond"/>
          <w:sz w:val="24"/>
          <w:szCs w:val="24"/>
        </w:rPr>
        <w:t xml:space="preserve"> differences between SMEs and large businesses</w:t>
      </w:r>
      <w:r w:rsidR="00AE56C2">
        <w:rPr>
          <w:rFonts w:ascii="Garamond" w:hAnsi="Garamond"/>
          <w:sz w:val="24"/>
          <w:szCs w:val="24"/>
        </w:rPr>
        <w:t xml:space="preserve"> and t</w:t>
      </w:r>
      <w:r w:rsidRPr="00055865">
        <w:rPr>
          <w:rFonts w:ascii="Garamond" w:hAnsi="Garamond"/>
          <w:sz w:val="24"/>
          <w:szCs w:val="24"/>
        </w:rPr>
        <w:t xml:space="preserve">hese differences </w:t>
      </w:r>
      <w:r w:rsidR="00AE56C2">
        <w:rPr>
          <w:rFonts w:ascii="Garamond" w:hAnsi="Garamond"/>
          <w:sz w:val="24"/>
          <w:szCs w:val="24"/>
        </w:rPr>
        <w:t xml:space="preserve">normally </w:t>
      </w:r>
      <w:r w:rsidRPr="00055865">
        <w:rPr>
          <w:rFonts w:ascii="Garamond" w:hAnsi="Garamond"/>
          <w:sz w:val="24"/>
          <w:szCs w:val="24"/>
        </w:rPr>
        <w:t xml:space="preserve">exist in policy-making procedures, </w:t>
      </w:r>
      <w:r w:rsidR="00AE56C2">
        <w:rPr>
          <w:rFonts w:ascii="Garamond" w:hAnsi="Garamond"/>
          <w:sz w:val="24"/>
          <w:szCs w:val="24"/>
        </w:rPr>
        <w:t xml:space="preserve">and </w:t>
      </w:r>
      <w:r w:rsidRPr="00055865">
        <w:rPr>
          <w:rFonts w:ascii="Garamond" w:hAnsi="Garamond"/>
          <w:sz w:val="24"/>
          <w:szCs w:val="24"/>
        </w:rPr>
        <w:t>structure and the utilization of resources</w:t>
      </w:r>
      <w:r w:rsidR="007122D5" w:rsidRPr="00055865">
        <w:rPr>
          <w:rFonts w:ascii="Garamond" w:hAnsi="Garamond"/>
          <w:sz w:val="24"/>
          <w:szCs w:val="24"/>
        </w:rPr>
        <w:t xml:space="preserve"> </w:t>
      </w:r>
      <w:r w:rsidR="007122D5" w:rsidRPr="00055865">
        <w:rPr>
          <w:rFonts w:ascii="Garamond" w:hAnsi="Garamond"/>
          <w:sz w:val="24"/>
          <w:szCs w:val="24"/>
        </w:rPr>
        <w:fldChar w:fldCharType="begin" w:fldLock="1"/>
      </w:r>
      <w:r w:rsidR="00EB1CD3" w:rsidRPr="00055865">
        <w:rPr>
          <w:rFonts w:ascii="Garamond" w:hAnsi="Garamond"/>
          <w:sz w:val="24"/>
          <w:szCs w:val="24"/>
        </w:rPr>
        <w:instrText>ADDIN CSL_CITATION {"citationItems":[{"id":"ITEM-1","itemData":{"DOI":"10.1016/0305-0483(95)00055-0","ISSN":"03050483","abstract":"Small and medium size enterprises (SMEs) are the life blood of modern economies. That they should remain competitive and produce high quality outputs is of importance not only at the macro level but also to larger organizations, because SMEs are often suppliers of goods and services to larger organizations and lack of product quality would adversely affect the competitive ability of the larger organizations. Total Quality Management (TQM) is considered an important quality improvement tool. Compared with large organizations, SMEs have been slow to adopt TQM. This paper initially examines the differences between the characteristics of SMEs and large organizations; the relationship between the size of organization and inherent characteristics of TQM; and the effect of organization size on the implementation of TQM using deductive research. These issues are further examined through inductive research. For this purpose the development of TQM was studied in four small-medium size organizations.","author":[{"dropping-particle":"","family":"Ghobadian","given":"Abby","non-dropping-particle":"","parse-names":false,"suffix":""},{"dropping-particle":"","family":"Gallear","given":"D. N.","non-dropping-particle":"","parse-names":false,"suffix":""}],"container-title":"Omega","id":"ITEM-1","issued":{"date-parts":[["1996"]]},"title":"Total quality management in SMEs","type":"article-journal"},"uris":["http://www.mendeley.com/documents/?uuid=4cc8e1b7-f146-4a3a-9c02-295ce0502df1"]}],"mendeley":{"formattedCitation":"(Ghobadian &amp; Gallear, 1996)","plainTextFormattedCitation":"(Ghobadian &amp; Gallear, 1996)","previouslyFormattedCitation":"(Ghobadian &amp; Gallear, 1996)"},"properties":{"noteIndex":0},"schema":"https://github.com/citation-style-language/schema/raw/master/csl-citation.json"}</w:instrText>
      </w:r>
      <w:r w:rsidR="007122D5" w:rsidRPr="00055865">
        <w:rPr>
          <w:rFonts w:ascii="Garamond" w:hAnsi="Garamond"/>
          <w:sz w:val="24"/>
          <w:szCs w:val="24"/>
        </w:rPr>
        <w:fldChar w:fldCharType="separate"/>
      </w:r>
      <w:r w:rsidR="007122D5" w:rsidRPr="00055865">
        <w:rPr>
          <w:rFonts w:ascii="Garamond" w:hAnsi="Garamond"/>
          <w:noProof/>
          <w:sz w:val="24"/>
          <w:szCs w:val="24"/>
        </w:rPr>
        <w:t>(Ghobadian &amp; Gallear, 1996)</w:t>
      </w:r>
      <w:r w:rsidR="007122D5" w:rsidRPr="00055865">
        <w:rPr>
          <w:rFonts w:ascii="Garamond" w:hAnsi="Garamond"/>
          <w:sz w:val="24"/>
          <w:szCs w:val="24"/>
        </w:rPr>
        <w:fldChar w:fldCharType="end"/>
      </w:r>
      <w:r w:rsidR="00DD661A" w:rsidRPr="00055865">
        <w:rPr>
          <w:rFonts w:ascii="Garamond" w:hAnsi="Garamond"/>
          <w:sz w:val="24"/>
          <w:szCs w:val="24"/>
        </w:rPr>
        <w:t xml:space="preserve">. </w:t>
      </w:r>
      <w:r w:rsidR="00CA2FF8" w:rsidRPr="00F34C8E">
        <w:rPr>
          <w:rFonts w:ascii="Garamond" w:hAnsi="Garamond"/>
          <w:sz w:val="24"/>
          <w:szCs w:val="24"/>
        </w:rPr>
        <w:t xml:space="preserve">Therefore, </w:t>
      </w:r>
      <w:r w:rsidR="00F34C8E" w:rsidRPr="00F34C8E">
        <w:rPr>
          <w:rFonts w:ascii="Garamond" w:hAnsi="Garamond"/>
          <w:sz w:val="24"/>
          <w:szCs w:val="24"/>
        </w:rPr>
        <w:t xml:space="preserve">it is not expected that </w:t>
      </w:r>
      <w:r w:rsidR="00CA2FF8" w:rsidRPr="00F34C8E">
        <w:rPr>
          <w:rFonts w:ascii="Garamond" w:hAnsi="Garamond"/>
          <w:sz w:val="24"/>
          <w:szCs w:val="24"/>
        </w:rPr>
        <w:t>the</w:t>
      </w:r>
      <w:r w:rsidR="00F34C8E" w:rsidRPr="00F34C8E">
        <w:rPr>
          <w:rFonts w:ascii="Garamond" w:hAnsi="Garamond"/>
          <w:sz w:val="24"/>
          <w:szCs w:val="24"/>
        </w:rPr>
        <w:t xml:space="preserve"> implementation </w:t>
      </w:r>
      <w:r w:rsidR="00CA2FF8" w:rsidRPr="00F34C8E">
        <w:rPr>
          <w:rFonts w:ascii="Garamond" w:hAnsi="Garamond"/>
          <w:sz w:val="24"/>
          <w:szCs w:val="24"/>
        </w:rPr>
        <w:t xml:space="preserve">of sustainable </w:t>
      </w:r>
      <w:r w:rsidR="00F34C8E" w:rsidRPr="00F34C8E">
        <w:rPr>
          <w:rFonts w:ascii="Garamond" w:hAnsi="Garamond"/>
          <w:sz w:val="24"/>
          <w:szCs w:val="24"/>
        </w:rPr>
        <w:t>environmental practices for larger firms and SMEs will yield the same results</w:t>
      </w:r>
      <w:r w:rsidR="00A43459" w:rsidRPr="00F34C8E">
        <w:rPr>
          <w:rFonts w:ascii="Garamond" w:hAnsi="Garamond"/>
          <w:sz w:val="24"/>
          <w:szCs w:val="24"/>
        </w:rPr>
        <w:t>.</w:t>
      </w:r>
      <w:r w:rsidR="00DD661A" w:rsidRPr="00F34C8E">
        <w:rPr>
          <w:rFonts w:ascii="Garamond" w:hAnsi="Garamond"/>
          <w:sz w:val="24"/>
          <w:szCs w:val="24"/>
        </w:rPr>
        <w:t xml:space="preserve"> This </w:t>
      </w:r>
      <w:r w:rsidRPr="00F34C8E">
        <w:rPr>
          <w:rFonts w:ascii="Garamond" w:hAnsi="Garamond"/>
          <w:bCs/>
          <w:iCs/>
          <w:sz w:val="24"/>
          <w:szCs w:val="24"/>
        </w:rPr>
        <w:t>study th</w:t>
      </w:r>
      <w:r w:rsidR="00DD661A" w:rsidRPr="00F34C8E">
        <w:rPr>
          <w:rFonts w:ascii="Garamond" w:hAnsi="Garamond"/>
          <w:bCs/>
          <w:iCs/>
          <w:sz w:val="24"/>
          <w:szCs w:val="24"/>
        </w:rPr>
        <w:t>us</w:t>
      </w:r>
      <w:r w:rsidRPr="00F34C8E">
        <w:rPr>
          <w:rFonts w:ascii="Garamond" w:hAnsi="Garamond"/>
          <w:bCs/>
          <w:iCs/>
          <w:sz w:val="24"/>
          <w:szCs w:val="24"/>
        </w:rPr>
        <w:t xml:space="preserve"> complements existing studies </w:t>
      </w:r>
      <w:r w:rsidRPr="00055865">
        <w:rPr>
          <w:rFonts w:ascii="Garamond" w:hAnsi="Garamond"/>
          <w:bCs/>
          <w:iCs/>
          <w:sz w:val="24"/>
          <w:szCs w:val="24"/>
        </w:rPr>
        <w:t xml:space="preserve">by providing a </w:t>
      </w:r>
      <w:r w:rsidRPr="00055865">
        <w:rPr>
          <w:rFonts w:ascii="Garamond" w:hAnsi="Garamond"/>
          <w:bCs/>
          <w:iCs/>
          <w:sz w:val="24"/>
          <w:szCs w:val="24"/>
        </w:rPr>
        <w:lastRenderedPageBreak/>
        <w:t xml:space="preserve">possible explanation for the contradictory </w:t>
      </w:r>
      <w:r w:rsidR="00DD661A" w:rsidRPr="00055865">
        <w:rPr>
          <w:rFonts w:ascii="Garamond" w:hAnsi="Garamond"/>
          <w:bCs/>
          <w:iCs/>
          <w:sz w:val="24"/>
          <w:szCs w:val="24"/>
        </w:rPr>
        <w:t>finding</w:t>
      </w:r>
      <w:r w:rsidRPr="00055865">
        <w:rPr>
          <w:rFonts w:ascii="Garamond" w:hAnsi="Garamond"/>
          <w:bCs/>
          <w:iCs/>
          <w:sz w:val="24"/>
          <w:szCs w:val="24"/>
        </w:rPr>
        <w:t>s on the relationship between sustainable environmental p</w:t>
      </w:r>
      <w:r w:rsidR="00A43459" w:rsidRPr="00055865">
        <w:rPr>
          <w:rFonts w:ascii="Garamond" w:hAnsi="Garamond"/>
          <w:bCs/>
          <w:iCs/>
          <w:sz w:val="24"/>
          <w:szCs w:val="24"/>
        </w:rPr>
        <w:t>ractices</w:t>
      </w:r>
      <w:r w:rsidRPr="00055865">
        <w:rPr>
          <w:rFonts w:ascii="Garamond" w:hAnsi="Garamond"/>
          <w:bCs/>
          <w:iCs/>
          <w:sz w:val="24"/>
          <w:szCs w:val="24"/>
        </w:rPr>
        <w:t xml:space="preserve"> and financial performance</w:t>
      </w:r>
      <w:r w:rsidR="00CD37FD" w:rsidRPr="00055865">
        <w:rPr>
          <w:rFonts w:ascii="Garamond" w:hAnsi="Garamond"/>
          <w:bCs/>
          <w:iCs/>
          <w:sz w:val="24"/>
          <w:szCs w:val="24"/>
        </w:rPr>
        <w:t xml:space="preserve"> by looking at the extent to which environmental practices affect financial performance (</w:t>
      </w:r>
      <w:r w:rsidR="00F34C8E">
        <w:rPr>
          <w:rFonts w:ascii="Garamond" w:hAnsi="Garamond"/>
          <w:bCs/>
          <w:iCs/>
          <w:sz w:val="24"/>
          <w:szCs w:val="24"/>
        </w:rPr>
        <w:t xml:space="preserve">Is </w:t>
      </w:r>
      <w:r w:rsidR="00CD37FD" w:rsidRPr="00055865">
        <w:rPr>
          <w:rFonts w:ascii="Garamond" w:hAnsi="Garamond"/>
          <w:bCs/>
          <w:iCs/>
          <w:sz w:val="24"/>
          <w:szCs w:val="24"/>
        </w:rPr>
        <w:t xml:space="preserve">whether </w:t>
      </w:r>
      <w:r w:rsidR="00DD661A" w:rsidRPr="00055865">
        <w:rPr>
          <w:rFonts w:ascii="Garamond" w:hAnsi="Garamond"/>
          <w:bCs/>
          <w:iCs/>
          <w:sz w:val="24"/>
          <w:szCs w:val="24"/>
        </w:rPr>
        <w:t xml:space="preserve">a </w:t>
      </w:r>
      <w:r w:rsidR="00CD37FD" w:rsidRPr="00055865">
        <w:rPr>
          <w:rFonts w:ascii="Garamond" w:hAnsi="Garamond"/>
          <w:bCs/>
          <w:iCs/>
          <w:sz w:val="24"/>
          <w:szCs w:val="24"/>
        </w:rPr>
        <w:t>non-linear relationship exist</w:t>
      </w:r>
      <w:r w:rsidR="00DD661A" w:rsidRPr="00055865">
        <w:rPr>
          <w:rFonts w:ascii="Garamond" w:hAnsi="Garamond"/>
          <w:bCs/>
          <w:iCs/>
          <w:sz w:val="24"/>
          <w:szCs w:val="24"/>
        </w:rPr>
        <w:t>s</w:t>
      </w:r>
      <w:r w:rsidR="00F34C8E">
        <w:rPr>
          <w:rFonts w:ascii="Garamond" w:hAnsi="Garamond"/>
          <w:bCs/>
          <w:iCs/>
          <w:sz w:val="24"/>
          <w:szCs w:val="24"/>
        </w:rPr>
        <w:t xml:space="preserve"> or not</w:t>
      </w:r>
      <w:r w:rsidR="00CD37FD" w:rsidRPr="00055865">
        <w:rPr>
          <w:rFonts w:ascii="Garamond" w:hAnsi="Garamond"/>
          <w:bCs/>
          <w:iCs/>
          <w:sz w:val="24"/>
          <w:szCs w:val="24"/>
        </w:rPr>
        <w:t>)</w:t>
      </w:r>
      <w:r w:rsidRPr="00055865">
        <w:rPr>
          <w:rFonts w:ascii="Garamond" w:hAnsi="Garamond"/>
          <w:bCs/>
          <w:iCs/>
          <w:sz w:val="24"/>
          <w:szCs w:val="24"/>
        </w:rPr>
        <w:t>, particularly for listed SMEs.</w:t>
      </w:r>
      <w:r w:rsidR="00A43459" w:rsidRPr="00055865">
        <w:rPr>
          <w:rFonts w:ascii="Garamond" w:hAnsi="Garamond"/>
          <w:bCs/>
          <w:iCs/>
          <w:sz w:val="24"/>
          <w:szCs w:val="24"/>
        </w:rPr>
        <w:t xml:space="preserve"> Further, existing literature shows that researchers have focused extensively on using </w:t>
      </w:r>
      <w:r w:rsidR="00DD661A" w:rsidRPr="00055865">
        <w:rPr>
          <w:rFonts w:ascii="Garamond" w:hAnsi="Garamond"/>
          <w:bCs/>
          <w:iCs/>
          <w:sz w:val="24"/>
          <w:szCs w:val="24"/>
        </w:rPr>
        <w:t xml:space="preserve">a </w:t>
      </w:r>
      <w:r w:rsidR="00F74D65" w:rsidRPr="00055865">
        <w:rPr>
          <w:rFonts w:ascii="Garamond" w:hAnsi="Garamond"/>
          <w:bCs/>
          <w:iCs/>
          <w:sz w:val="24"/>
          <w:szCs w:val="24"/>
        </w:rPr>
        <w:t xml:space="preserve">single measure of performance </w:t>
      </w:r>
      <w:r w:rsidR="006A6ED0" w:rsidRPr="00055865">
        <w:rPr>
          <w:rFonts w:ascii="Garamond" w:hAnsi="Garamond"/>
          <w:bCs/>
          <w:iCs/>
          <w:sz w:val="24"/>
          <w:szCs w:val="24"/>
        </w:rPr>
        <w:fldChar w:fldCharType="begin" w:fldLock="1"/>
      </w:r>
      <w:r w:rsidR="007122D5" w:rsidRPr="00055865">
        <w:rPr>
          <w:rFonts w:ascii="Garamond" w:hAnsi="Garamond"/>
          <w:bCs/>
          <w:iCs/>
          <w:sz w:val="24"/>
          <w:szCs w:val="24"/>
        </w:rPr>
        <w:instrText>ADDIN CSL_CITATION {"citationItems":[{"id":"ITEM-1","itemData":{"DOI":"10.1023/B:EARE.0000044602.86367.ff","ISBN":"0924-6460","abstract":"A growing body of research has centered on the issue of the relationship between financial and environmental performance. The lack of consensus in this literature can be attributed to several factors. The cost of complying with environmental regulation can be significant and detrimental to shareholder wealth maximization. Conversely, a firm that can effectively control pollution might also be able to effectively control other costs of production and hence earn a higher rate of return. We utilize data from the Investor Responsibility Research Center as well as a proprietary database to investigate the relationship between environmental performance and financial performance in electric utilities. Utilities, as producers and distributors of energy, produce substantial amounts of pollution. However, since public utilities are regulated, studying the financial and environmental performance of utilities affords us the opportunity to see what role regulation plays in enhancing or diminishing the relationship between financial and environmental performance. Our results differ from earlier studies in that we find do not find a positive relationship between holding period returns and an industry-adjusted measure of environmental performance nor do we find that regulatory climate appears to explain returns. While there does not appear to be a clearly defined relationship between regulatory climate and a compliance based measure of environmental performance, there is evidence of a negative relationship between financial return and a more pro-active measure of environmental performance. We offer several possible interpretations of these results and extensions for future research.","author":[{"dropping-particle":"","family":"Filbeck","given":"G","non-dropping-particle":"","parse-names":false,"suffix":""},{"dropping-particle":"","family":"Gorman","given":"R F","non-dropping-particle":"","parse-names":false,"suffix":""}],"container-title":"Environmental &amp; Resource Economics","id":"ITEM-1","issue":"2","issued":{"date-parts":[["2004"]]},"page":"137-157","title":"The relationship between the environmental and financial performance of public utilities","type":"article-journal","volume":"29"},"uris":["http://www.mendeley.com/documents/?uuid=4cfa7e42-4a8f-434d-a9e2-4c0cdd36f901"]},{"id":"ITEM-2","itemData":{"author":[{"dropping-particle":"","family":"Naila","given":"D. L","non-dropping-particle":"","parse-names":false,"suffix":""}],"container-title":"International Journal of Economics and Financial Issues","id":"ITEM-2","issue":"1","issued":{"date-parts":[["2013"]]},"page":"99-112","title":"The Effect of Environmental Regulations on Financial Performance in Tanzania: A Survey of Manufacturing Companies Quoted on the Dar EsSalaam Stock Exchange","type":"article-journal","volume":"3"},"uris":["http://www.mendeley.com/documents/?uuid=2ea6d57f-5f9b-485f-abc6-245ab5d70065"]},{"id":"ITEM-3","itemData":{"ISBN":"8778732972","author":[{"dropping-particle":"","family":"Earnhart","given":"Dietrich","non-dropping-particle":"","parse-names":false,"suffix":""},{"dropping-particle":"","family":"Lizal","given":"Lubomir","non-dropping-particle":"","parse-names":false,"suffix":""}],"container-title":"Environmental &amp; Resource Economics, European Association of Environmental and Resource Economists","id":"ITEM-3","issue":"3","issued":{"date-parts":[["2010"]]},"page":"1-44","title":"The Effect of Corporate Environmental Performance on Financial Outcomes – Profits , Revenues , and Costs : Evidence from the Czech Transition Economy * Dietrich Earnhart # The Effect of Corporate Environmental Performance on Financial Outcomes – Profits ,","type":"article-journal","volume":"46"},"uris":["http://www.mendeley.com/documents/?uuid=cd7f8406-e21f-4516-bf58-32914212d635"]}],"mendeley":{"formattedCitation":"(Earnhart &amp; Lizal, 2010; Filbeck &amp; Gorman, 2004; Naila, 2013)","plainTextFormattedCitation":"(Earnhart &amp; Lizal, 2010; Filbeck &amp; Gorman, 2004; Naila, 2013)","previouslyFormattedCitation":"(Earnhart &amp; Lizal, 2010; Filbeck &amp; Gorman, 2004; Naila, 2013)"},"properties":{"noteIndex":0},"schema":"https://github.com/citation-style-language/schema/raw/master/csl-citation.json"}</w:instrText>
      </w:r>
      <w:r w:rsidR="006A6ED0" w:rsidRPr="00055865">
        <w:rPr>
          <w:rFonts w:ascii="Garamond" w:hAnsi="Garamond"/>
          <w:bCs/>
          <w:iCs/>
          <w:sz w:val="24"/>
          <w:szCs w:val="24"/>
        </w:rPr>
        <w:fldChar w:fldCharType="separate"/>
      </w:r>
      <w:r w:rsidR="007122D5" w:rsidRPr="00055865">
        <w:rPr>
          <w:rFonts w:ascii="Garamond" w:hAnsi="Garamond"/>
          <w:bCs/>
          <w:iCs/>
          <w:noProof/>
          <w:sz w:val="24"/>
          <w:szCs w:val="24"/>
        </w:rPr>
        <w:t>(Earnhart &amp; Lizal, 2010; Filbeck &amp; Gorman, 2004; Naila, 2013)</w:t>
      </w:r>
      <w:r w:rsidR="006A6ED0" w:rsidRPr="00055865">
        <w:rPr>
          <w:rFonts w:ascii="Garamond" w:hAnsi="Garamond"/>
          <w:bCs/>
          <w:iCs/>
          <w:sz w:val="24"/>
          <w:szCs w:val="24"/>
        </w:rPr>
        <w:fldChar w:fldCharType="end"/>
      </w:r>
      <w:r w:rsidR="00F74D65" w:rsidRPr="00055865">
        <w:rPr>
          <w:rFonts w:ascii="Garamond" w:hAnsi="Garamond"/>
          <w:bCs/>
          <w:iCs/>
          <w:sz w:val="24"/>
          <w:szCs w:val="24"/>
        </w:rPr>
        <w:t xml:space="preserve"> hence, providing </w:t>
      </w:r>
      <w:r w:rsidR="002B1E4A">
        <w:rPr>
          <w:rFonts w:ascii="Garamond" w:hAnsi="Garamond"/>
          <w:bCs/>
          <w:iCs/>
          <w:sz w:val="24"/>
          <w:szCs w:val="24"/>
        </w:rPr>
        <w:t xml:space="preserve">a </w:t>
      </w:r>
      <w:r w:rsidR="00F74D65" w:rsidRPr="00055865">
        <w:rPr>
          <w:rFonts w:ascii="Garamond" w:hAnsi="Garamond"/>
          <w:bCs/>
          <w:iCs/>
          <w:sz w:val="24"/>
          <w:szCs w:val="24"/>
        </w:rPr>
        <w:t xml:space="preserve">narrow scope to the various sustainable environmental practices carried out by firms. </w:t>
      </w:r>
      <w:r w:rsidR="005B6FD7">
        <w:rPr>
          <w:rFonts w:ascii="Garamond" w:hAnsi="Garamond"/>
          <w:bCs/>
          <w:iCs/>
          <w:sz w:val="24"/>
          <w:szCs w:val="24"/>
        </w:rPr>
        <w:t xml:space="preserve">In order to </w:t>
      </w:r>
      <w:r w:rsidR="00F74D65" w:rsidRPr="00055865">
        <w:rPr>
          <w:rFonts w:ascii="Garamond" w:hAnsi="Garamond"/>
          <w:bCs/>
          <w:iCs/>
          <w:sz w:val="24"/>
          <w:szCs w:val="24"/>
        </w:rPr>
        <w:t>bridge th</w:t>
      </w:r>
      <w:r w:rsidR="006F26C3" w:rsidRPr="00055865">
        <w:rPr>
          <w:rFonts w:ascii="Garamond" w:hAnsi="Garamond"/>
          <w:bCs/>
          <w:iCs/>
          <w:sz w:val="24"/>
          <w:szCs w:val="24"/>
        </w:rPr>
        <w:t>ese</w:t>
      </w:r>
      <w:r w:rsidR="00F74D65" w:rsidRPr="00055865">
        <w:rPr>
          <w:rFonts w:ascii="Garamond" w:hAnsi="Garamond"/>
          <w:bCs/>
          <w:iCs/>
          <w:sz w:val="24"/>
          <w:szCs w:val="24"/>
        </w:rPr>
        <w:t xml:space="preserve"> research gap</w:t>
      </w:r>
      <w:r w:rsidR="006F26C3" w:rsidRPr="00055865">
        <w:rPr>
          <w:rFonts w:ascii="Garamond" w:hAnsi="Garamond"/>
          <w:bCs/>
          <w:iCs/>
          <w:sz w:val="24"/>
          <w:szCs w:val="24"/>
        </w:rPr>
        <w:t>s</w:t>
      </w:r>
      <w:r w:rsidR="00F74D65" w:rsidRPr="00055865">
        <w:rPr>
          <w:rFonts w:ascii="Garamond" w:hAnsi="Garamond"/>
          <w:bCs/>
          <w:iCs/>
          <w:sz w:val="24"/>
          <w:szCs w:val="24"/>
        </w:rPr>
        <w:t>, multiple sustainable environmental practice</w:t>
      </w:r>
      <w:r w:rsidR="00DD661A" w:rsidRPr="00055865">
        <w:rPr>
          <w:rFonts w:ascii="Garamond" w:hAnsi="Garamond"/>
          <w:bCs/>
          <w:iCs/>
          <w:sz w:val="24"/>
          <w:szCs w:val="24"/>
        </w:rPr>
        <w:t>s</w:t>
      </w:r>
      <w:r w:rsidR="002B1E4A">
        <w:rPr>
          <w:rFonts w:ascii="Garamond" w:hAnsi="Garamond"/>
          <w:bCs/>
          <w:iCs/>
          <w:sz w:val="24"/>
          <w:szCs w:val="24"/>
        </w:rPr>
        <w:t xml:space="preserve"> are used</w:t>
      </w:r>
      <w:r w:rsidR="00F74D65" w:rsidRPr="00055865">
        <w:rPr>
          <w:rFonts w:ascii="Garamond" w:hAnsi="Garamond"/>
          <w:bCs/>
          <w:iCs/>
          <w:sz w:val="24"/>
          <w:szCs w:val="24"/>
        </w:rPr>
        <w:t xml:space="preserve"> in </w:t>
      </w:r>
      <w:r w:rsidR="006F26C3" w:rsidRPr="00055865">
        <w:rPr>
          <w:rFonts w:ascii="Garamond" w:hAnsi="Garamond"/>
          <w:bCs/>
          <w:iCs/>
          <w:sz w:val="24"/>
          <w:szCs w:val="24"/>
        </w:rPr>
        <w:t>this study</w:t>
      </w:r>
      <w:r w:rsidR="00F74D65" w:rsidRPr="00055865">
        <w:rPr>
          <w:rFonts w:ascii="Garamond" w:hAnsi="Garamond"/>
          <w:bCs/>
          <w:iCs/>
          <w:sz w:val="24"/>
          <w:szCs w:val="24"/>
        </w:rPr>
        <w:t xml:space="preserve">.  </w:t>
      </w:r>
    </w:p>
    <w:p w14:paraId="60F41CE3" w14:textId="2FC31A96" w:rsidR="00C61298" w:rsidRPr="00055865" w:rsidRDefault="005C7A76" w:rsidP="005B6FD7">
      <w:pPr>
        <w:spacing w:after="0" w:line="480" w:lineRule="auto"/>
        <w:ind w:firstLine="720"/>
        <w:contextualSpacing/>
        <w:jc w:val="both"/>
        <w:rPr>
          <w:rFonts w:ascii="Garamond" w:hAnsi="Garamond"/>
          <w:sz w:val="24"/>
          <w:szCs w:val="24"/>
        </w:rPr>
      </w:pPr>
      <w:r w:rsidRPr="00055865">
        <w:rPr>
          <w:rFonts w:ascii="Garamond" w:hAnsi="Garamond"/>
          <w:sz w:val="24"/>
          <w:szCs w:val="24"/>
        </w:rPr>
        <w:t xml:space="preserve"> </w:t>
      </w:r>
      <w:r w:rsidR="00C3429E" w:rsidRPr="00055865">
        <w:rPr>
          <w:rFonts w:ascii="Garamond" w:hAnsi="Garamond"/>
          <w:sz w:val="24"/>
          <w:szCs w:val="24"/>
        </w:rPr>
        <w:t>In order to achieve th</w:t>
      </w:r>
      <w:r w:rsidR="006F26C3" w:rsidRPr="00055865">
        <w:rPr>
          <w:rFonts w:ascii="Garamond" w:hAnsi="Garamond"/>
          <w:sz w:val="24"/>
          <w:szCs w:val="24"/>
        </w:rPr>
        <w:t>ese</w:t>
      </w:r>
      <w:r w:rsidR="00C3429E" w:rsidRPr="00055865">
        <w:rPr>
          <w:rFonts w:ascii="Garamond" w:hAnsi="Garamond"/>
          <w:sz w:val="24"/>
          <w:szCs w:val="24"/>
        </w:rPr>
        <w:t xml:space="preserve">, </w:t>
      </w:r>
      <w:r w:rsidR="00C3429E" w:rsidRPr="00055865">
        <w:rPr>
          <w:rFonts w:ascii="Garamond" w:hAnsi="Garamond"/>
          <w:bCs/>
          <w:sz w:val="24"/>
          <w:szCs w:val="24"/>
        </w:rPr>
        <w:t>the study adopts an</w:t>
      </w:r>
      <w:r w:rsidR="00622111" w:rsidRPr="00055865">
        <w:rPr>
          <w:rFonts w:ascii="Garamond" w:hAnsi="Garamond"/>
          <w:bCs/>
          <w:sz w:val="24"/>
          <w:szCs w:val="24"/>
        </w:rPr>
        <w:t xml:space="preserve"> ordinary least square (OLS)</w:t>
      </w:r>
      <w:r w:rsidR="00C3429E" w:rsidRPr="00055865">
        <w:rPr>
          <w:rFonts w:ascii="Garamond" w:hAnsi="Garamond"/>
          <w:bCs/>
          <w:sz w:val="24"/>
          <w:szCs w:val="24"/>
        </w:rPr>
        <w:t xml:space="preserve"> and two</w:t>
      </w:r>
      <w:r w:rsidR="00DD661A" w:rsidRPr="00055865">
        <w:rPr>
          <w:rFonts w:ascii="Garamond" w:hAnsi="Garamond"/>
          <w:bCs/>
          <w:sz w:val="24"/>
          <w:szCs w:val="24"/>
        </w:rPr>
        <w:t>-</w:t>
      </w:r>
      <w:r w:rsidR="00C3429E" w:rsidRPr="00055865">
        <w:rPr>
          <w:rFonts w:ascii="Garamond" w:hAnsi="Garamond"/>
          <w:bCs/>
          <w:sz w:val="24"/>
          <w:szCs w:val="24"/>
        </w:rPr>
        <w:t xml:space="preserve">stage least square regression on a sample of 201 quoted SMEs in the UK Alternative Investment Market (AIM) from 2011 to 2016. </w:t>
      </w:r>
      <w:r w:rsidR="00C61298" w:rsidRPr="00055865">
        <w:rPr>
          <w:rFonts w:ascii="Garamond" w:hAnsi="Garamond"/>
          <w:bCs/>
          <w:sz w:val="24"/>
          <w:szCs w:val="24"/>
        </w:rPr>
        <w:t xml:space="preserve"> The findings from the study revealed that</w:t>
      </w:r>
      <w:r w:rsidR="00C61298" w:rsidRPr="00055865">
        <w:rPr>
          <w:rFonts w:ascii="Garamond" w:hAnsi="Garamond"/>
          <w:sz w:val="24"/>
          <w:szCs w:val="24"/>
        </w:rPr>
        <w:t xml:space="preserve"> sustainable environmental policies in relation to energy efficiency practices, pollution prevention and control, waste management, materials and resource efficiency and stakeholder engagement have </w:t>
      </w:r>
      <w:r w:rsidR="00DD661A" w:rsidRPr="00055865">
        <w:rPr>
          <w:rFonts w:ascii="Garamond" w:hAnsi="Garamond"/>
          <w:sz w:val="24"/>
          <w:szCs w:val="24"/>
        </w:rPr>
        <w:t xml:space="preserve">a </w:t>
      </w:r>
      <w:r w:rsidR="00C61298" w:rsidRPr="00055865">
        <w:rPr>
          <w:rFonts w:ascii="Garamond" w:hAnsi="Garamond"/>
          <w:sz w:val="24"/>
          <w:szCs w:val="24"/>
        </w:rPr>
        <w:t xml:space="preserve">significant association with performance (ROA). Specifically, the study discovered that in most cases, the relationship between sustainable environmental </w:t>
      </w:r>
      <w:r w:rsidR="00F74D65" w:rsidRPr="00055865">
        <w:rPr>
          <w:rFonts w:ascii="Garamond" w:hAnsi="Garamond"/>
          <w:sz w:val="24"/>
          <w:szCs w:val="24"/>
        </w:rPr>
        <w:t xml:space="preserve">practices </w:t>
      </w:r>
      <w:r w:rsidR="00C61298" w:rsidRPr="00055865">
        <w:rPr>
          <w:rFonts w:ascii="Garamond" w:hAnsi="Garamond"/>
          <w:sz w:val="24"/>
          <w:szCs w:val="24"/>
        </w:rPr>
        <w:t>and financial performance is non-linear</w:t>
      </w:r>
      <w:r w:rsidR="00F74D65" w:rsidRPr="00055865">
        <w:rPr>
          <w:rFonts w:ascii="Garamond" w:hAnsi="Garamond"/>
          <w:sz w:val="24"/>
          <w:szCs w:val="24"/>
        </w:rPr>
        <w:t>; and are</w:t>
      </w:r>
      <w:r w:rsidR="00C61298" w:rsidRPr="00055865">
        <w:rPr>
          <w:rFonts w:ascii="Garamond" w:hAnsi="Garamond"/>
          <w:sz w:val="24"/>
          <w:szCs w:val="24"/>
        </w:rPr>
        <w:t xml:space="preserve"> positive for </w:t>
      </w:r>
      <w:r w:rsidR="00DD661A" w:rsidRPr="00055865">
        <w:rPr>
          <w:rFonts w:ascii="Garamond" w:hAnsi="Garamond"/>
          <w:sz w:val="24"/>
          <w:szCs w:val="24"/>
        </w:rPr>
        <w:t xml:space="preserve">a </w:t>
      </w:r>
      <w:r w:rsidR="00C61298" w:rsidRPr="00055865">
        <w:rPr>
          <w:rFonts w:ascii="Garamond" w:hAnsi="Garamond"/>
          <w:sz w:val="24"/>
          <w:szCs w:val="24"/>
        </w:rPr>
        <w:t xml:space="preserve">lower level of environmental engagement and </w:t>
      </w:r>
      <w:r w:rsidR="00DD661A" w:rsidRPr="00055865">
        <w:rPr>
          <w:rFonts w:ascii="Garamond" w:hAnsi="Garamond"/>
          <w:sz w:val="24"/>
          <w:szCs w:val="24"/>
        </w:rPr>
        <w:t>unfavourabl</w:t>
      </w:r>
      <w:r w:rsidR="00C61298" w:rsidRPr="00055865">
        <w:rPr>
          <w:rFonts w:ascii="Garamond" w:hAnsi="Garamond"/>
          <w:sz w:val="24"/>
          <w:szCs w:val="24"/>
        </w:rPr>
        <w:t xml:space="preserve">e for </w:t>
      </w:r>
      <w:r w:rsidR="00DD661A" w:rsidRPr="00055865">
        <w:rPr>
          <w:rFonts w:ascii="Garamond" w:hAnsi="Garamond"/>
          <w:sz w:val="24"/>
          <w:szCs w:val="24"/>
        </w:rPr>
        <w:t xml:space="preserve">a </w:t>
      </w:r>
      <w:r w:rsidR="00C61298" w:rsidRPr="00055865">
        <w:rPr>
          <w:rFonts w:ascii="Garamond" w:hAnsi="Garamond"/>
          <w:sz w:val="24"/>
          <w:szCs w:val="24"/>
        </w:rPr>
        <w:t>higher level of environmental engagement. However, our findings remain consistent after controlling for endogeneity</w:t>
      </w:r>
      <w:r w:rsidR="00622111" w:rsidRPr="00055865">
        <w:rPr>
          <w:rFonts w:ascii="Garamond" w:hAnsi="Garamond"/>
          <w:sz w:val="24"/>
          <w:szCs w:val="24"/>
        </w:rPr>
        <w:t xml:space="preserve"> and</w:t>
      </w:r>
      <w:r w:rsidR="00C61298" w:rsidRPr="00055865">
        <w:rPr>
          <w:rFonts w:ascii="Garamond" w:hAnsi="Garamond"/>
          <w:sz w:val="24"/>
          <w:szCs w:val="24"/>
        </w:rPr>
        <w:t xml:space="preserve"> adopting other alternative measures of </w:t>
      </w:r>
      <w:r w:rsidR="00622111" w:rsidRPr="00055865">
        <w:rPr>
          <w:rFonts w:ascii="Garamond" w:hAnsi="Garamond"/>
          <w:sz w:val="24"/>
          <w:szCs w:val="24"/>
        </w:rPr>
        <w:t xml:space="preserve">financial </w:t>
      </w:r>
      <w:r w:rsidR="00C61298" w:rsidRPr="00055865">
        <w:rPr>
          <w:rFonts w:ascii="Garamond" w:hAnsi="Garamond"/>
          <w:sz w:val="24"/>
          <w:szCs w:val="24"/>
        </w:rPr>
        <w:t xml:space="preserve">performance. </w:t>
      </w:r>
    </w:p>
    <w:p w14:paraId="07841712" w14:textId="2F81F7B8" w:rsidR="006A6ED0" w:rsidRPr="00055865" w:rsidRDefault="00C3429E" w:rsidP="005B6FD7">
      <w:pPr>
        <w:spacing w:after="0" w:line="480" w:lineRule="auto"/>
        <w:ind w:firstLine="720"/>
        <w:contextualSpacing/>
        <w:jc w:val="both"/>
        <w:rPr>
          <w:rFonts w:ascii="Garamond" w:hAnsi="Garamond"/>
          <w:sz w:val="24"/>
          <w:szCs w:val="24"/>
        </w:rPr>
      </w:pPr>
      <w:r w:rsidRPr="00055865">
        <w:rPr>
          <w:rFonts w:ascii="Garamond" w:hAnsi="Garamond"/>
          <w:sz w:val="24"/>
          <w:szCs w:val="24"/>
        </w:rPr>
        <w:t>Our study makes the following contribution to literature: First, the study provides evidence on SMEs sustainable environmental p</w:t>
      </w:r>
      <w:r w:rsidR="004C513D" w:rsidRPr="00055865">
        <w:rPr>
          <w:rFonts w:ascii="Garamond" w:hAnsi="Garamond"/>
          <w:sz w:val="24"/>
          <w:szCs w:val="24"/>
        </w:rPr>
        <w:t>ractices</w:t>
      </w:r>
      <w:r w:rsidRPr="00055865">
        <w:rPr>
          <w:rFonts w:ascii="Garamond" w:hAnsi="Garamond"/>
          <w:sz w:val="24"/>
          <w:szCs w:val="24"/>
        </w:rPr>
        <w:t xml:space="preserve"> and financial performance. Unlike the existing studies which have mostly focused on large firms</w:t>
      </w:r>
      <w:r w:rsidR="00EB1CD3" w:rsidRPr="00055865">
        <w:rPr>
          <w:rFonts w:ascii="Garamond" w:hAnsi="Garamond"/>
          <w:sz w:val="24"/>
          <w:szCs w:val="24"/>
        </w:rPr>
        <w:t xml:space="preserve"> </w:t>
      </w:r>
      <w:r w:rsidR="00EB1CD3" w:rsidRPr="00055865">
        <w:rPr>
          <w:rFonts w:ascii="Garamond" w:hAnsi="Garamond"/>
          <w:sz w:val="24"/>
          <w:szCs w:val="24"/>
        </w:rPr>
        <w:fldChar w:fldCharType="begin" w:fldLock="1"/>
      </w:r>
      <w:r w:rsidR="00217D30" w:rsidRPr="00055865">
        <w:rPr>
          <w:rFonts w:ascii="Garamond" w:hAnsi="Garamond"/>
          <w:sz w:val="24"/>
          <w:szCs w:val="24"/>
        </w:rPr>
        <w:instrText>ADDIN CSL_CITATION {"citationItems":[{"id":"ITEM-1","itemData":{"DOI":"10.1016/j.econmod.2015.09.019","ISSN":"02649993","abstract":"The present paper examines the relationship between Corporate Social Performance (CSP) and Corporate Financial Performance (CFP), using both accounting-based (Return on Assets and Return on Capital) and market-based (Excess Stock Returns) performance indicators. We use Bloomberg's Environmental Social Governance (ESG) Disclosure score covering the S&amp;P500 firms in the period 2007–2011 which allows for the examination of both linear and nonlinear relationships to be considered. The results of the linear model suggest that there is a significant negative relationship between CSP and Return on Capital. However, the non linear models provide evidence of a U-shaped relationship between CSP and the accounting-based measures of CFP, suggesting that in the longer run CSP effects are positive. Most prominent among our results is that fact that by disentangling the ESG Disclosure score into its environmental, social and governance sub-components, we find that a U-shaped relationship exists only between the governance sub-component and CFP. A straightforward implication of our findings suggests that in order for CSR to serve the interests of the shareholders, a long-run planning and considerable resources should be dedicated at this direction, given that CSR expenditure pays off only after a threshold of CSP has been reached. Furthermore, the fact that governance is the key driver affecting the CSP-CFP relationship suggests that CSR investments should be directed to this component.","author":[{"dropping-particle":"","family":"Nollet","given":"Joscha","non-dropping-particle":"","parse-names":false,"suffix":""},{"dropping-particle":"","family":"Filis","given":"George","non-dropping-particle":"","parse-names":false,"suffix":""},{"dropping-particle":"","family":"Mitrokostas","given":"Evangelos","non-dropping-particle":"","parse-names":false,"suffix":""}],"container-title":"Economic Modelling","id":"ITEM-1","issue":"0","issued":{"date-parts":[["2015"]]},"page":"400-407","title":"Corporate social responsibility and financial performance: A non-linear and disaggregated approach","type":"article-journal","volume":"52"},"uris":["http://www.mendeley.com/documents/?uuid=cba1fd6a-6d5d-4f44-856b-7f96295cf2af"]},{"id":"ITEM-2","itemData":{"DOI":"10.1007/s10551-016-3088-8","ISSN":"15730697","abstract":"The nature of the relationship between environmental performance (EP) and firm performance (FP) of corporations is a long standing and contentious issue in the literature. This study is intended to advance this debate by arguing for the existence of curvilinear relationship and empirically testing the same using survey data on UK manufacturing firms. FP is captured in terms of growth in sales and market share. Our results show evidence for a quadratic relationship---as firms improve their EP, they seem to achieve much higher levels of FP. These results are consistent with the resource-based view of a firm; as firms engage in EP activities, they are able to gain inimitable knowledge that helps in further learning to further improve performance. Based on our results, we suggest that new studies focus on strategies to extend the period of increasing returns and maximizing the benefits of the positive association between EP and FP.","author":[{"dropping-particle":"","family":"Ramanathan","given":"Ramakrishnan","non-dropping-particle":"","parse-names":false,"suffix":""}],"container-title":"Journal of Business Ethics","id":"ITEM-2","issue":"2008","issued":{"date-parts":[["2016"]]},"page":"1-11","publisher":"Springer Netherlands","title":"Understanding Complexity: the Curvilinear Relationship Between Environmental Performance and Firm Performance","type":"article-journal"},"uris":["http://www.mendeley.com/documents/?uuid=021fac6e-0468-46e7-93b7-897425764cea"]},{"id":"ITEM-3","itemData":{"DOI":"10.1002/bse.1900","ISSN":"10990836","abstract":"Despite 40 years of research on the relationship between corporate environmental performance (CEP) and corporate financial performance (CFP), there is no generally accepted theoretical framework that explains the contradictory results that have emerged. This unsatisfactory status may be attributed to the fact that linear models dominate the research. Based on an international sample of 2361 firm</w:instrText>
      </w:r>
      <w:r w:rsidR="00217D30" w:rsidRPr="00055865">
        <w:rPr>
          <w:rFonts w:ascii="Times New Roman" w:hAnsi="Times New Roman" w:cs="Times New Roman"/>
          <w:sz w:val="24"/>
          <w:szCs w:val="24"/>
        </w:rPr>
        <w:instrText>‐</w:instrText>
      </w:r>
      <w:r w:rsidR="00217D30" w:rsidRPr="00055865">
        <w:rPr>
          <w:rFonts w:ascii="Garamond" w:hAnsi="Garamond"/>
          <w:sz w:val="24"/>
          <w:szCs w:val="24"/>
        </w:rPr>
        <w:instrText>years from 2008 to 2012, we find empirical evidence of a non</w:instrText>
      </w:r>
      <w:r w:rsidR="00217D30" w:rsidRPr="00055865">
        <w:rPr>
          <w:rFonts w:ascii="Times New Roman" w:hAnsi="Times New Roman" w:cs="Times New Roman"/>
          <w:sz w:val="24"/>
          <w:szCs w:val="24"/>
        </w:rPr>
        <w:instrText>‐</w:instrText>
      </w:r>
      <w:r w:rsidR="00217D30" w:rsidRPr="00055865">
        <w:rPr>
          <w:rFonts w:ascii="Garamond" w:hAnsi="Garamond"/>
          <w:sz w:val="24"/>
          <w:szCs w:val="24"/>
        </w:rPr>
        <w:instrText>linear, specifically a U</w:instrText>
      </w:r>
      <w:r w:rsidR="00217D30" w:rsidRPr="00055865">
        <w:rPr>
          <w:rFonts w:ascii="Times New Roman" w:hAnsi="Times New Roman" w:cs="Times New Roman"/>
          <w:sz w:val="24"/>
          <w:szCs w:val="24"/>
        </w:rPr>
        <w:instrText>‐</w:instrText>
      </w:r>
      <w:r w:rsidR="00217D30" w:rsidRPr="00055865">
        <w:rPr>
          <w:rFonts w:ascii="Garamond" w:hAnsi="Garamond"/>
          <w:sz w:val="24"/>
          <w:szCs w:val="24"/>
        </w:rPr>
        <w:instrText>shaped, relationship between carbon performance and profitability as well as between waste intensity and profitability. The same result holds for the relationship between carbon performance and stock market performance, but solely for manufacturing industries. Our empirical findings provide evidence for the theoretical framework of a ‘too</w:instrText>
      </w:r>
      <w:r w:rsidR="00217D30" w:rsidRPr="00055865">
        <w:rPr>
          <w:rFonts w:ascii="Times New Roman" w:hAnsi="Times New Roman" w:cs="Times New Roman"/>
          <w:sz w:val="24"/>
          <w:szCs w:val="24"/>
        </w:rPr>
        <w:instrText>‐</w:instrText>
      </w:r>
      <w:r w:rsidR="00217D30" w:rsidRPr="00055865">
        <w:rPr>
          <w:rFonts w:ascii="Garamond" w:hAnsi="Garamond"/>
          <w:sz w:val="24"/>
          <w:szCs w:val="24"/>
        </w:rPr>
        <w:instrText>little</w:instrText>
      </w:r>
      <w:r w:rsidR="00217D30" w:rsidRPr="00055865">
        <w:rPr>
          <w:rFonts w:ascii="Times New Roman" w:hAnsi="Times New Roman" w:cs="Times New Roman"/>
          <w:sz w:val="24"/>
          <w:szCs w:val="24"/>
        </w:rPr>
        <w:instrText>‐</w:instrText>
      </w:r>
      <w:r w:rsidR="00217D30" w:rsidRPr="00055865">
        <w:rPr>
          <w:rFonts w:ascii="Garamond" w:hAnsi="Garamond"/>
          <w:sz w:val="24"/>
          <w:szCs w:val="24"/>
        </w:rPr>
        <w:instrText>of</w:instrText>
      </w:r>
      <w:r w:rsidR="00217D30" w:rsidRPr="00055865">
        <w:rPr>
          <w:rFonts w:ascii="Times New Roman" w:hAnsi="Times New Roman" w:cs="Times New Roman"/>
          <w:sz w:val="24"/>
          <w:szCs w:val="24"/>
        </w:rPr>
        <w:instrText>‐</w:instrText>
      </w:r>
      <w:r w:rsidR="00217D30" w:rsidRPr="00055865">
        <w:rPr>
          <w:rFonts w:ascii="Garamond" w:hAnsi="Garamond"/>
          <w:sz w:val="24"/>
          <w:szCs w:val="24"/>
        </w:rPr>
        <w:instrText>a</w:instrText>
      </w:r>
      <w:r w:rsidR="00217D30" w:rsidRPr="00055865">
        <w:rPr>
          <w:rFonts w:ascii="Times New Roman" w:hAnsi="Times New Roman" w:cs="Times New Roman"/>
          <w:sz w:val="24"/>
          <w:szCs w:val="24"/>
        </w:rPr>
        <w:instrText>‐</w:instrText>
      </w:r>
      <w:r w:rsidR="00217D30" w:rsidRPr="00055865">
        <w:rPr>
          <w:rFonts w:ascii="Garamond" w:hAnsi="Garamond"/>
          <w:sz w:val="24"/>
          <w:szCs w:val="24"/>
        </w:rPr>
        <w:instrText>good</w:instrText>
      </w:r>
      <w:r w:rsidR="00217D30" w:rsidRPr="00055865">
        <w:rPr>
          <w:rFonts w:ascii="Times New Roman" w:hAnsi="Times New Roman" w:cs="Times New Roman"/>
          <w:sz w:val="24"/>
          <w:szCs w:val="24"/>
        </w:rPr>
        <w:instrText>‐</w:instrText>
      </w:r>
      <w:r w:rsidR="00217D30" w:rsidRPr="00055865">
        <w:rPr>
          <w:rFonts w:ascii="Garamond" w:hAnsi="Garamond"/>
          <w:sz w:val="24"/>
          <w:szCs w:val="24"/>
        </w:rPr>
        <w:instrText>thing</w:instrText>
      </w:r>
      <w:r w:rsidR="00217D30" w:rsidRPr="00055865">
        <w:rPr>
          <w:rFonts w:ascii="Garamond" w:hAnsi="Garamond" w:cs="Garamond"/>
          <w:sz w:val="24"/>
          <w:szCs w:val="24"/>
        </w:rPr>
        <w:instrText>’</w:instrText>
      </w:r>
      <w:r w:rsidR="00217D30" w:rsidRPr="00055865">
        <w:rPr>
          <w:rFonts w:ascii="Garamond" w:hAnsi="Garamond"/>
          <w:sz w:val="24"/>
          <w:szCs w:val="24"/>
        </w:rPr>
        <w:instrText xml:space="preserve"> (TLGT) effect, which indicates that the type of relationship (positive, negative) depends on the level of CEP. More precisely, there is a negative CEP–CFP relationship for companies with low CEP and a positive association for high CEP. Copyright © 2015 John Wiley &amp; Sons, Ltd and ERP Environment (PsycINFO Database Record (c) 2015 APA, all rights reserved). (journal abstract)","author":[{"dropping-particle":"","family":"Trumpp","given":"Christoph","non-dropping-particle":"","parse-names":false,"suffix":""},{"dropping-particle":"","family":"Guenther","given":"Thomas","non-dropping-particle":"","parse-names":false,"suffix":""}],"container-title":"Business Strategy and the Environment","id":"ITEM-3","issue":"1","issued":{"date-parts":[["2017"]]},"page":"49-68","title":"Too Little or too much? Exploring U-shaped Relationships between Corporate Environmental Performance and Corporate Financial Performance","type":"article-journal","volume":"26"},"uris":["http://www.mendeley.com/documents/?uuid=3dd93099-98aa-4420-a4ff-be056f9071bb"]}],"mendeley":{"formattedCitation":"(Nollet, Filis, &amp; Mitrokostas, 2015; Ramanathan, 2016; Trumpp &amp; Guenther, 2017)","plainTextFormattedCitation":"(Nollet, Filis, &amp; Mitrokostas, 2015; Ramanathan, 2016; Trumpp &amp; Guenther, 2017)","previouslyFormattedCitation":"(Nollet, Filis, &amp; Mitrokostas, 2015; Ramanathan, 2016; Trumpp &amp; Guenther, 2017)"},"properties":{"noteIndex":0},"schema":"https://github.com/citation-style-language/schema/raw/master/csl-citation.json"}</w:instrText>
      </w:r>
      <w:r w:rsidR="00EB1CD3" w:rsidRPr="00055865">
        <w:rPr>
          <w:rFonts w:ascii="Garamond" w:hAnsi="Garamond"/>
          <w:sz w:val="24"/>
          <w:szCs w:val="24"/>
        </w:rPr>
        <w:fldChar w:fldCharType="separate"/>
      </w:r>
      <w:r w:rsidR="00281223" w:rsidRPr="00055865">
        <w:rPr>
          <w:rFonts w:ascii="Garamond" w:hAnsi="Garamond"/>
          <w:noProof/>
          <w:sz w:val="24"/>
          <w:szCs w:val="24"/>
        </w:rPr>
        <w:t>(</w:t>
      </w:r>
      <w:r w:rsidR="008F61A3" w:rsidRPr="00055865">
        <w:rPr>
          <w:rFonts w:ascii="Garamond" w:hAnsi="Garamond"/>
          <w:noProof/>
          <w:sz w:val="24"/>
          <w:szCs w:val="24"/>
        </w:rPr>
        <w:t xml:space="preserve">Filbeck &amp; Gorman, 2004; </w:t>
      </w:r>
      <w:r w:rsidR="00281223" w:rsidRPr="00055865">
        <w:rPr>
          <w:rFonts w:ascii="Garamond" w:hAnsi="Garamond"/>
          <w:noProof/>
          <w:sz w:val="24"/>
          <w:szCs w:val="24"/>
        </w:rPr>
        <w:t>Nollet, Filis, &amp; Mitrokostas, 2015; Trumpp &amp; Guenther, 2017)</w:t>
      </w:r>
      <w:r w:rsidR="00EB1CD3" w:rsidRPr="00055865">
        <w:rPr>
          <w:rFonts w:ascii="Garamond" w:hAnsi="Garamond"/>
          <w:sz w:val="24"/>
          <w:szCs w:val="24"/>
        </w:rPr>
        <w:fldChar w:fldCharType="end"/>
      </w:r>
      <w:r w:rsidRPr="00055865">
        <w:rPr>
          <w:rFonts w:ascii="Garamond" w:hAnsi="Garamond"/>
          <w:sz w:val="24"/>
          <w:szCs w:val="24"/>
        </w:rPr>
        <w:t xml:space="preserve">, </w:t>
      </w:r>
      <w:r w:rsidR="006A6ED0" w:rsidRPr="00055865">
        <w:rPr>
          <w:rFonts w:ascii="Garamond" w:hAnsi="Garamond"/>
          <w:sz w:val="24"/>
          <w:szCs w:val="24"/>
        </w:rPr>
        <w:t xml:space="preserve"> </w:t>
      </w:r>
      <w:r w:rsidRPr="00055865">
        <w:rPr>
          <w:rFonts w:ascii="Garamond" w:hAnsi="Garamond"/>
          <w:sz w:val="24"/>
          <w:szCs w:val="24"/>
        </w:rPr>
        <w:t>this study</w:t>
      </w:r>
      <w:r w:rsidR="00581755" w:rsidRPr="00055865">
        <w:rPr>
          <w:rFonts w:ascii="Garamond" w:hAnsi="Garamond"/>
          <w:sz w:val="24"/>
          <w:szCs w:val="24"/>
        </w:rPr>
        <w:t>,</w:t>
      </w:r>
      <w:r w:rsidRPr="00055865">
        <w:rPr>
          <w:rFonts w:ascii="Garamond" w:hAnsi="Garamond"/>
          <w:sz w:val="24"/>
          <w:szCs w:val="24"/>
        </w:rPr>
        <w:t xml:space="preserve"> for the first time present empirical evidence on the non-linear relationship between sustainable environmental p</w:t>
      </w:r>
      <w:r w:rsidR="004C513D" w:rsidRPr="00055865">
        <w:rPr>
          <w:rFonts w:ascii="Garamond" w:hAnsi="Garamond"/>
          <w:sz w:val="24"/>
          <w:szCs w:val="24"/>
        </w:rPr>
        <w:t>ractices</w:t>
      </w:r>
      <w:r w:rsidRPr="00055865">
        <w:rPr>
          <w:rFonts w:ascii="Garamond" w:hAnsi="Garamond"/>
          <w:sz w:val="24"/>
          <w:szCs w:val="24"/>
        </w:rPr>
        <w:t xml:space="preserve"> and financial performance of listed SMEs</w:t>
      </w:r>
      <w:r w:rsidR="00F74D65" w:rsidRPr="00055865">
        <w:rPr>
          <w:rFonts w:ascii="Garamond" w:hAnsi="Garamond"/>
          <w:sz w:val="24"/>
          <w:szCs w:val="24"/>
        </w:rPr>
        <w:t>; hence, providing a different dimension to the sustainable environmental practices and financial performance debate</w:t>
      </w:r>
      <w:r w:rsidRPr="00055865">
        <w:rPr>
          <w:rFonts w:ascii="Garamond" w:hAnsi="Garamond"/>
          <w:sz w:val="24"/>
          <w:szCs w:val="24"/>
        </w:rPr>
        <w:t>.</w:t>
      </w:r>
      <w:r w:rsidR="00EB35EE" w:rsidRPr="00055865">
        <w:rPr>
          <w:rFonts w:ascii="Garamond" w:hAnsi="Garamond"/>
          <w:sz w:val="24"/>
          <w:szCs w:val="24"/>
        </w:rPr>
        <w:t xml:space="preserve"> This</w:t>
      </w:r>
      <w:r w:rsidR="00DD661A" w:rsidRPr="00055865">
        <w:rPr>
          <w:rFonts w:ascii="Garamond" w:hAnsi="Garamond"/>
          <w:sz w:val="24"/>
          <w:szCs w:val="24"/>
        </w:rPr>
        <w:t xml:space="preserve"> argument</w:t>
      </w:r>
      <w:r w:rsidR="00EB35EE" w:rsidRPr="00055865">
        <w:rPr>
          <w:rFonts w:ascii="Garamond" w:hAnsi="Garamond"/>
          <w:sz w:val="24"/>
          <w:szCs w:val="24"/>
        </w:rPr>
        <w:t xml:space="preserve"> is particularly important as</w:t>
      </w:r>
      <w:r w:rsidR="00DD661A" w:rsidRPr="00055865">
        <w:rPr>
          <w:rFonts w:ascii="Garamond" w:hAnsi="Garamond"/>
          <w:sz w:val="24"/>
          <w:szCs w:val="24"/>
        </w:rPr>
        <w:t xml:space="preserve"> emphasised</w:t>
      </w:r>
      <w:r w:rsidR="00EB35EE" w:rsidRPr="00055865">
        <w:rPr>
          <w:rFonts w:ascii="Garamond" w:hAnsi="Garamond"/>
          <w:sz w:val="24"/>
          <w:szCs w:val="24"/>
        </w:rPr>
        <w:t xml:space="preserve"> by </w:t>
      </w:r>
      <w:r w:rsidR="00EB1CD3" w:rsidRPr="00055865">
        <w:rPr>
          <w:rFonts w:ascii="Garamond" w:hAnsi="Garamond"/>
          <w:sz w:val="24"/>
          <w:szCs w:val="24"/>
        </w:rPr>
        <w:t xml:space="preserve"> </w:t>
      </w:r>
      <w:r w:rsidR="00EB1CD3" w:rsidRPr="00055865">
        <w:rPr>
          <w:rFonts w:ascii="Garamond" w:hAnsi="Garamond"/>
          <w:sz w:val="24"/>
          <w:szCs w:val="24"/>
        </w:rPr>
        <w:fldChar w:fldCharType="begin" w:fldLock="1"/>
      </w:r>
      <w:r w:rsidR="00281223" w:rsidRPr="00055865">
        <w:rPr>
          <w:rFonts w:ascii="Garamond" w:hAnsi="Garamond"/>
          <w:sz w:val="24"/>
          <w:szCs w:val="24"/>
        </w:rPr>
        <w:instrText>ADDIN CSL_CITATION {"citationItems":[{"id":"ITEM-1","itemData":{"DOI":"10.1002/bse.2361","ISSN":"10990836","abstract":"Drawing on environmental sustainability orientation and business failure literature, we examined a thought-provoking question: “Can adopting ambitious environmental sustainability initiatives lead to business failures and under what conditions is this more likely?” To address this question, we developed an analytical framework that provides new insights into how voluntary environmental initiatives affect the business environment and firm competitiveness. This paper also yields new insights on the features that emerge at adopting environmental initiatives–business failure nexus: from greening to growing, from greening to sustaining, from greening to constraining, and from greening to collapsing. Accordingly, the study accounts for the conditions under sustainability initiatives, and a variety of complex contextual factors are likely to culminate in closures of small and medium-sized enterprises (SMEs). Although many top executives, entrepreneurs, and managers view implementation of environmental initiatives as tantamount to superior firm performance, the paper highlighted the effects of resource constraints and vulnerabilities of SMEs and new firms during the early stage of development, and therefore, pursuing aggressive green initiatives could minimize their life chances. Implications for scholars and practising managers are discussed.","author":[{"dropping-particle":"","family":"Amankwah-Amoah","given":"Joseph","non-dropping-particle":"","parse-names":false,"suffix":""},{"dropping-particle":"","family":"Syllias","given":"Johnny","non-dropping-particle":"","parse-names":false,"suffix":""}],"container-title":"Business Strategy and the Environment","id":"ITEM-1","issued":{"date-parts":[["2020"]]},"title":"Can adopting ambitious environmental sustainability initiatives lead to business failures? An analytical framework","type":"article-journal"},"uris":["http://www.mendeley.com/documents/?uuid=bb3d619d-373b-4187-88d6-da81e22fa295"]}],"mendeley":{"formattedCitation":"(Amankwah-Amoah &amp; Syllias, 2020)","manualFormatting":"Amankwah-Amoah  &amp; Syllias (2020)","plainTextFormattedCitation":"(Amankwah-Amoah &amp; Syllias, 2020)","previouslyFormattedCitation":"(Amankwah-Amoah &amp; Syllias, 2020)"},"properties":{"noteIndex":0},"schema":"https://github.com/citation-style-language/schema/raw/master/csl-citation.json"}</w:instrText>
      </w:r>
      <w:r w:rsidR="00EB1CD3" w:rsidRPr="00055865">
        <w:rPr>
          <w:rFonts w:ascii="Garamond" w:hAnsi="Garamond"/>
          <w:sz w:val="24"/>
          <w:szCs w:val="24"/>
        </w:rPr>
        <w:fldChar w:fldCharType="separate"/>
      </w:r>
      <w:r w:rsidR="00EB1CD3" w:rsidRPr="00055865">
        <w:rPr>
          <w:rFonts w:ascii="Garamond" w:hAnsi="Garamond"/>
          <w:noProof/>
          <w:sz w:val="24"/>
          <w:szCs w:val="24"/>
        </w:rPr>
        <w:t xml:space="preserve">Amankwah-Amoah </w:t>
      </w:r>
      <w:r w:rsidR="003B798B" w:rsidRPr="00055865">
        <w:rPr>
          <w:rFonts w:ascii="Garamond" w:hAnsi="Garamond"/>
          <w:noProof/>
          <w:sz w:val="24"/>
          <w:szCs w:val="24"/>
        </w:rPr>
        <w:t xml:space="preserve"> &amp; </w:t>
      </w:r>
      <w:r w:rsidR="00EB1CD3" w:rsidRPr="00055865">
        <w:rPr>
          <w:rFonts w:ascii="Garamond" w:hAnsi="Garamond"/>
          <w:noProof/>
          <w:sz w:val="24"/>
          <w:szCs w:val="24"/>
        </w:rPr>
        <w:t>Syllias (2020)</w:t>
      </w:r>
      <w:r w:rsidR="00EB1CD3" w:rsidRPr="00055865">
        <w:rPr>
          <w:rFonts w:ascii="Garamond" w:hAnsi="Garamond"/>
          <w:sz w:val="24"/>
          <w:szCs w:val="24"/>
        </w:rPr>
        <w:fldChar w:fldCharType="end"/>
      </w:r>
      <w:r w:rsidR="008F61A3" w:rsidRPr="00055865">
        <w:rPr>
          <w:rFonts w:ascii="Garamond" w:hAnsi="Garamond"/>
          <w:sz w:val="24"/>
          <w:szCs w:val="24"/>
        </w:rPr>
        <w:t>,</w:t>
      </w:r>
      <w:r w:rsidR="00EB1CD3" w:rsidRPr="00055865">
        <w:rPr>
          <w:rFonts w:ascii="Garamond" w:hAnsi="Garamond"/>
          <w:sz w:val="24"/>
          <w:szCs w:val="24"/>
        </w:rPr>
        <w:t xml:space="preserve"> </w:t>
      </w:r>
      <w:r w:rsidR="00EB35EE" w:rsidRPr="00055865">
        <w:rPr>
          <w:rFonts w:ascii="Garamond" w:hAnsi="Garamond"/>
          <w:sz w:val="24"/>
          <w:szCs w:val="24"/>
        </w:rPr>
        <w:t xml:space="preserve">that SMEs may not be able to meet </w:t>
      </w:r>
      <w:r w:rsidR="00DD661A" w:rsidRPr="00055865">
        <w:rPr>
          <w:rFonts w:ascii="Garamond" w:hAnsi="Garamond"/>
          <w:sz w:val="24"/>
          <w:szCs w:val="24"/>
        </w:rPr>
        <w:t xml:space="preserve">the </w:t>
      </w:r>
      <w:r w:rsidR="00EB35EE" w:rsidRPr="00055865">
        <w:rPr>
          <w:rFonts w:ascii="Garamond" w:hAnsi="Garamond"/>
          <w:sz w:val="24"/>
          <w:szCs w:val="24"/>
        </w:rPr>
        <w:lastRenderedPageBreak/>
        <w:t>additional regulatory and financial burden of sustainable environmental practices</w:t>
      </w:r>
      <w:r w:rsidR="00DD661A" w:rsidRPr="00055865">
        <w:rPr>
          <w:rFonts w:ascii="Garamond" w:hAnsi="Garamond"/>
          <w:sz w:val="24"/>
          <w:szCs w:val="24"/>
        </w:rPr>
        <w:t>. T</w:t>
      </w:r>
      <w:r w:rsidR="00EB35EE" w:rsidRPr="00055865">
        <w:rPr>
          <w:rFonts w:ascii="Garamond" w:hAnsi="Garamond"/>
          <w:sz w:val="24"/>
          <w:szCs w:val="24"/>
        </w:rPr>
        <w:t>herefore</w:t>
      </w:r>
      <w:r w:rsidR="00F253C4" w:rsidRPr="00055865">
        <w:rPr>
          <w:rFonts w:ascii="Garamond" w:hAnsi="Garamond"/>
          <w:sz w:val="24"/>
          <w:szCs w:val="24"/>
        </w:rPr>
        <w:t>,</w:t>
      </w:r>
      <w:r w:rsidR="00EB35EE" w:rsidRPr="00055865">
        <w:rPr>
          <w:rFonts w:ascii="Garamond" w:hAnsi="Garamond"/>
          <w:sz w:val="24"/>
          <w:szCs w:val="24"/>
        </w:rPr>
        <w:t xml:space="preserve"> policy debate that emphasise</w:t>
      </w:r>
      <w:r w:rsidR="00DD661A" w:rsidRPr="00055865">
        <w:rPr>
          <w:rFonts w:ascii="Garamond" w:hAnsi="Garamond"/>
          <w:sz w:val="24"/>
          <w:szCs w:val="24"/>
        </w:rPr>
        <w:t>s</w:t>
      </w:r>
      <w:r w:rsidR="00EB35EE" w:rsidRPr="00055865">
        <w:rPr>
          <w:rFonts w:ascii="Garamond" w:hAnsi="Garamond"/>
          <w:sz w:val="24"/>
          <w:szCs w:val="24"/>
        </w:rPr>
        <w:t xml:space="preserve"> gradual implementation approach would enhance the capacity of SMEs in transiting from short to long-term is essential </w:t>
      </w:r>
      <w:r w:rsidR="00075BB2" w:rsidRPr="00055865">
        <w:rPr>
          <w:rFonts w:ascii="Garamond" w:hAnsi="Garamond"/>
          <w:sz w:val="24"/>
          <w:szCs w:val="24"/>
        </w:rPr>
        <w:t>in</w:t>
      </w:r>
      <w:r w:rsidR="00EB35EE" w:rsidRPr="00055865">
        <w:rPr>
          <w:rFonts w:ascii="Garamond" w:hAnsi="Garamond"/>
          <w:sz w:val="24"/>
          <w:szCs w:val="24"/>
        </w:rPr>
        <w:t xml:space="preserve"> help</w:t>
      </w:r>
      <w:r w:rsidR="00075BB2" w:rsidRPr="00055865">
        <w:rPr>
          <w:rFonts w:ascii="Garamond" w:hAnsi="Garamond"/>
          <w:sz w:val="24"/>
          <w:szCs w:val="24"/>
        </w:rPr>
        <w:t>ing</w:t>
      </w:r>
      <w:r w:rsidR="00EB35EE" w:rsidRPr="00055865">
        <w:rPr>
          <w:rFonts w:ascii="Garamond" w:hAnsi="Garamond"/>
          <w:sz w:val="24"/>
          <w:szCs w:val="24"/>
        </w:rPr>
        <w:t xml:space="preserve"> them</w:t>
      </w:r>
      <w:r w:rsidR="00F253C4" w:rsidRPr="00055865">
        <w:rPr>
          <w:rFonts w:ascii="Garamond" w:hAnsi="Garamond"/>
          <w:sz w:val="24"/>
          <w:szCs w:val="24"/>
        </w:rPr>
        <w:t xml:space="preserve"> to</w:t>
      </w:r>
      <w:r w:rsidR="00EB35EE" w:rsidRPr="00055865">
        <w:rPr>
          <w:rFonts w:ascii="Garamond" w:hAnsi="Garamond"/>
          <w:sz w:val="24"/>
          <w:szCs w:val="24"/>
        </w:rPr>
        <w:t xml:space="preserve"> overcome </w:t>
      </w:r>
      <w:r w:rsidR="00DD661A" w:rsidRPr="00055865">
        <w:rPr>
          <w:rFonts w:ascii="Garamond" w:hAnsi="Garamond"/>
          <w:sz w:val="24"/>
          <w:szCs w:val="24"/>
        </w:rPr>
        <w:t xml:space="preserve">the </w:t>
      </w:r>
      <w:r w:rsidR="00EB35EE" w:rsidRPr="00055865">
        <w:rPr>
          <w:rFonts w:ascii="Garamond" w:hAnsi="Garamond"/>
          <w:sz w:val="24"/>
          <w:szCs w:val="24"/>
        </w:rPr>
        <w:t>regulatory burden and financial constraints.</w:t>
      </w:r>
      <w:r w:rsidR="00075BB2" w:rsidRPr="00055865">
        <w:rPr>
          <w:rFonts w:ascii="Garamond" w:hAnsi="Garamond"/>
          <w:sz w:val="24"/>
          <w:szCs w:val="24"/>
        </w:rPr>
        <w:t xml:space="preserve"> </w:t>
      </w:r>
      <w:r w:rsidR="00EB1CD3" w:rsidRPr="00055865">
        <w:rPr>
          <w:rFonts w:ascii="Garamond" w:hAnsi="Garamond"/>
          <w:sz w:val="24"/>
          <w:szCs w:val="24"/>
        </w:rPr>
        <w:t xml:space="preserve"> </w:t>
      </w:r>
      <w:r w:rsidR="00EB1CD3" w:rsidRPr="00055865">
        <w:rPr>
          <w:rFonts w:ascii="Garamond" w:hAnsi="Garamond"/>
          <w:sz w:val="24"/>
          <w:szCs w:val="24"/>
        </w:rPr>
        <w:fldChar w:fldCharType="begin" w:fldLock="1"/>
      </w:r>
      <w:r w:rsidR="00122D52" w:rsidRPr="00055865">
        <w:rPr>
          <w:rFonts w:ascii="Garamond" w:hAnsi="Garamond"/>
          <w:sz w:val="24"/>
          <w:szCs w:val="24"/>
        </w:rPr>
        <w:instrText>ADDIN CSL_CITATION {"citationItems":[{"id":"ITEM-1","itemData":{"author":[{"dropping-particle":"","family":"Hillary","given":"Ruth","non-dropping-particle":"","parse-names":false,"suffix":""},{"dropping-particle":"","family":"Burr","given":"Paul","non-dropping-particle":"","parse-names":false,"suffix":""}],"container-title":"Final Report to the Department for Environment, Food and Rural Affairs","id":"ITEM-1","issue":"September","issued":{"date-parts":[["2011"]]},"page":"1-145","title":"Evidence-based Study into the Benefits of EMSs for SMEs (EV0440).","type":"article-journal"},"uris":["http://www.mendeley.com/documents/?uuid=6d5666c8-ea22-4348-abb9-c16cf066d06e"]}],"mendeley":{"formattedCitation":"(Hillary &amp; Burr, 2011)","manualFormatting":"Hillary &amp; Burr (2011)","plainTextFormattedCitation":"(Hillary &amp; Burr, 2011)","previouslyFormattedCitation":"(Hillary &amp; Burr, 2011)"},"properties":{"noteIndex":0},"schema":"https://github.com/citation-style-language/schema/raw/master/csl-citation.json"}</w:instrText>
      </w:r>
      <w:r w:rsidR="00EB1CD3" w:rsidRPr="00055865">
        <w:rPr>
          <w:rFonts w:ascii="Garamond" w:hAnsi="Garamond"/>
          <w:sz w:val="24"/>
          <w:szCs w:val="24"/>
        </w:rPr>
        <w:fldChar w:fldCharType="separate"/>
      </w:r>
      <w:r w:rsidR="00EB1CD3" w:rsidRPr="00055865">
        <w:rPr>
          <w:rFonts w:ascii="Garamond" w:hAnsi="Garamond"/>
          <w:noProof/>
          <w:sz w:val="24"/>
          <w:szCs w:val="24"/>
        </w:rPr>
        <w:t xml:space="preserve">Hillary </w:t>
      </w:r>
      <w:r w:rsidR="003B798B" w:rsidRPr="00055865">
        <w:rPr>
          <w:rFonts w:ascii="Garamond" w:hAnsi="Garamond"/>
          <w:noProof/>
          <w:sz w:val="24"/>
          <w:szCs w:val="24"/>
        </w:rPr>
        <w:t>&amp;</w:t>
      </w:r>
      <w:r w:rsidR="00EB1CD3" w:rsidRPr="00055865">
        <w:rPr>
          <w:rFonts w:ascii="Garamond" w:hAnsi="Garamond"/>
          <w:noProof/>
          <w:sz w:val="24"/>
          <w:szCs w:val="24"/>
        </w:rPr>
        <w:t xml:space="preserve"> Burr (2011)</w:t>
      </w:r>
      <w:r w:rsidR="00EB1CD3" w:rsidRPr="00055865">
        <w:rPr>
          <w:rFonts w:ascii="Garamond" w:hAnsi="Garamond"/>
          <w:sz w:val="24"/>
          <w:szCs w:val="24"/>
        </w:rPr>
        <w:fldChar w:fldCharType="end"/>
      </w:r>
      <w:r w:rsidR="00EB1CD3" w:rsidRPr="00055865">
        <w:rPr>
          <w:rFonts w:ascii="Garamond" w:hAnsi="Garamond"/>
          <w:sz w:val="24"/>
          <w:szCs w:val="24"/>
        </w:rPr>
        <w:t xml:space="preserve"> </w:t>
      </w:r>
      <w:r w:rsidR="00075BB2" w:rsidRPr="00055865">
        <w:rPr>
          <w:rFonts w:ascii="Garamond" w:hAnsi="Garamond"/>
          <w:sz w:val="24"/>
          <w:szCs w:val="24"/>
        </w:rPr>
        <w:t>argued that most environmental pollution originates from SMEs</w:t>
      </w:r>
      <w:r w:rsidR="00DD661A" w:rsidRPr="00055865">
        <w:rPr>
          <w:rFonts w:ascii="Garamond" w:hAnsi="Garamond"/>
          <w:sz w:val="24"/>
          <w:szCs w:val="24"/>
        </w:rPr>
        <w:t>,</w:t>
      </w:r>
      <w:r w:rsidR="00075BB2" w:rsidRPr="00055865">
        <w:rPr>
          <w:rFonts w:ascii="Garamond" w:hAnsi="Garamond"/>
          <w:sz w:val="24"/>
          <w:szCs w:val="24"/>
        </w:rPr>
        <w:t xml:space="preserve"> and therefore</w:t>
      </w:r>
      <w:r w:rsidR="00F253C4" w:rsidRPr="00055865">
        <w:rPr>
          <w:rFonts w:ascii="Garamond" w:hAnsi="Garamond"/>
          <w:sz w:val="24"/>
          <w:szCs w:val="24"/>
        </w:rPr>
        <w:t>,</w:t>
      </w:r>
      <w:r w:rsidR="00075BB2" w:rsidRPr="00055865">
        <w:rPr>
          <w:rFonts w:ascii="Garamond" w:hAnsi="Garamond"/>
          <w:sz w:val="24"/>
          <w:szCs w:val="24"/>
        </w:rPr>
        <w:t xml:space="preserve"> the</w:t>
      </w:r>
      <w:r w:rsidR="006E5063" w:rsidRPr="00055865">
        <w:rPr>
          <w:rFonts w:ascii="Garamond" w:hAnsi="Garamond"/>
          <w:sz w:val="24"/>
          <w:szCs w:val="24"/>
        </w:rPr>
        <w:t>re is the</w:t>
      </w:r>
      <w:r w:rsidR="00075BB2" w:rsidRPr="00055865">
        <w:rPr>
          <w:rFonts w:ascii="Garamond" w:hAnsi="Garamond"/>
          <w:sz w:val="24"/>
          <w:szCs w:val="24"/>
        </w:rPr>
        <w:t xml:space="preserve"> need </w:t>
      </w:r>
      <w:r w:rsidR="002B70FA" w:rsidRPr="00055865">
        <w:rPr>
          <w:rFonts w:ascii="Garamond" w:hAnsi="Garamond"/>
          <w:sz w:val="24"/>
          <w:szCs w:val="24"/>
        </w:rPr>
        <w:t>to pay attention to SMEs</w:t>
      </w:r>
      <w:r w:rsidR="00F253C4" w:rsidRPr="00055865">
        <w:rPr>
          <w:rFonts w:ascii="Garamond" w:hAnsi="Garamond"/>
          <w:sz w:val="24"/>
          <w:szCs w:val="24"/>
        </w:rPr>
        <w:t>’</w:t>
      </w:r>
      <w:r w:rsidR="002B70FA" w:rsidRPr="00055865">
        <w:rPr>
          <w:rFonts w:ascii="Garamond" w:hAnsi="Garamond"/>
          <w:sz w:val="24"/>
          <w:szCs w:val="24"/>
        </w:rPr>
        <w:t xml:space="preserve"> environmental practices</w:t>
      </w:r>
      <w:r w:rsidR="00F45932" w:rsidRPr="00055865">
        <w:rPr>
          <w:rFonts w:ascii="Garamond" w:hAnsi="Garamond"/>
          <w:sz w:val="24"/>
          <w:szCs w:val="24"/>
        </w:rPr>
        <w:t>.</w:t>
      </w:r>
      <w:r w:rsidR="006E5063" w:rsidRPr="00055865">
        <w:rPr>
          <w:rFonts w:ascii="Garamond" w:hAnsi="Garamond"/>
          <w:sz w:val="24"/>
          <w:szCs w:val="24"/>
        </w:rPr>
        <w:t xml:space="preserve"> However, </w:t>
      </w:r>
      <w:r w:rsidR="00075BB2" w:rsidRPr="00055865">
        <w:rPr>
          <w:rFonts w:ascii="Garamond" w:hAnsi="Garamond"/>
          <w:sz w:val="24"/>
          <w:szCs w:val="24"/>
        </w:rPr>
        <w:t xml:space="preserve"> </w:t>
      </w:r>
      <w:r w:rsidR="00F253C4" w:rsidRPr="00055865">
        <w:rPr>
          <w:rFonts w:ascii="Garamond" w:hAnsi="Garamond"/>
          <w:sz w:val="24"/>
          <w:szCs w:val="24"/>
        </w:rPr>
        <w:t>existing literature suggests</w:t>
      </w:r>
      <w:r w:rsidR="00F45932" w:rsidRPr="00055865">
        <w:rPr>
          <w:rFonts w:ascii="Garamond" w:hAnsi="Garamond"/>
          <w:sz w:val="24"/>
          <w:szCs w:val="24"/>
        </w:rPr>
        <w:t xml:space="preserve"> that significant issue for SMEs </w:t>
      </w:r>
      <w:r w:rsidR="00DD661A" w:rsidRPr="00055865">
        <w:rPr>
          <w:rFonts w:ascii="Garamond" w:hAnsi="Garamond"/>
          <w:sz w:val="24"/>
          <w:szCs w:val="24"/>
        </w:rPr>
        <w:t>about</w:t>
      </w:r>
      <w:r w:rsidR="00F45932" w:rsidRPr="00055865">
        <w:rPr>
          <w:rFonts w:ascii="Garamond" w:hAnsi="Garamond"/>
          <w:sz w:val="24"/>
          <w:szCs w:val="24"/>
        </w:rPr>
        <w:t xml:space="preserve"> their environmental practices </w:t>
      </w:r>
      <w:r w:rsidR="001E0F5D" w:rsidRPr="00055865">
        <w:rPr>
          <w:rFonts w:ascii="Garamond" w:hAnsi="Garamond"/>
          <w:sz w:val="24"/>
          <w:szCs w:val="24"/>
        </w:rPr>
        <w:t xml:space="preserve">investments </w:t>
      </w:r>
      <w:r w:rsidR="00F45932" w:rsidRPr="00055865">
        <w:rPr>
          <w:rFonts w:ascii="Garamond" w:hAnsi="Garamond"/>
          <w:sz w:val="24"/>
          <w:szCs w:val="24"/>
        </w:rPr>
        <w:t xml:space="preserve">is the that SMEs do not often </w:t>
      </w:r>
      <w:r w:rsidR="001E0F5D" w:rsidRPr="00055865">
        <w:rPr>
          <w:rFonts w:ascii="Garamond" w:hAnsi="Garamond"/>
          <w:sz w:val="24"/>
          <w:szCs w:val="24"/>
        </w:rPr>
        <w:t>realise</w:t>
      </w:r>
      <w:r w:rsidR="00F45932" w:rsidRPr="00055865">
        <w:rPr>
          <w:rFonts w:ascii="Garamond" w:hAnsi="Garamond"/>
          <w:sz w:val="24"/>
          <w:szCs w:val="24"/>
        </w:rPr>
        <w:t xml:space="preserve"> the financial benefits of such </w:t>
      </w:r>
      <w:r w:rsidR="001E0F5D" w:rsidRPr="00055865">
        <w:rPr>
          <w:rFonts w:ascii="Garamond" w:hAnsi="Garamond"/>
          <w:sz w:val="24"/>
          <w:szCs w:val="24"/>
        </w:rPr>
        <w:t xml:space="preserve">investments </w:t>
      </w:r>
      <w:r w:rsidR="00F45932" w:rsidRPr="00055865">
        <w:rPr>
          <w:rFonts w:ascii="Garamond" w:hAnsi="Garamond"/>
          <w:sz w:val="24"/>
          <w:szCs w:val="24"/>
        </w:rPr>
        <w:t>activities</w:t>
      </w:r>
      <w:r w:rsidR="00122D52" w:rsidRPr="00055865">
        <w:rPr>
          <w:rFonts w:ascii="Garamond" w:hAnsi="Garamond"/>
          <w:sz w:val="24"/>
          <w:szCs w:val="24"/>
        </w:rPr>
        <w:t xml:space="preserve"> </w:t>
      </w:r>
      <w:r w:rsidR="00122D52" w:rsidRPr="00055865">
        <w:rPr>
          <w:rFonts w:ascii="Garamond" w:hAnsi="Garamond"/>
          <w:sz w:val="24"/>
          <w:szCs w:val="24"/>
        </w:rPr>
        <w:fldChar w:fldCharType="begin" w:fldLock="1"/>
      </w:r>
      <w:r w:rsidR="00122D52" w:rsidRPr="00055865">
        <w:rPr>
          <w:rFonts w:ascii="Garamond" w:hAnsi="Garamond"/>
          <w:sz w:val="24"/>
          <w:szCs w:val="24"/>
        </w:rPr>
        <w:instrText>ADDIN CSL_CITATION {"citationItems":[{"id":"ITEM-1","itemData":{"DOI":"10.1002/bse.499","ISSN":"09644733","abstract":"Studies show that despite a concerted attempt by UK policy-makers to portray 'eco-efficiency' measures as cost reducing, most owner-managers of small firms view environmental measures as expensive to undertake. As a result, owner-managers tend to be highly resistant to voluntarily improving their environmental performance. Given that SMEs are such a vast sector of the economy, this perceived discord between profits and environmental protection is clearly a major barrier to the 'greening' of industry. This ESRC-funded study has sought to unearth the underlying motivations for why SME owner-managers in the UK resist or accept the idea that there are business benefits for improving their environmental performance. The findings from 40 in-depth interviews with SME owners in the UK's construction and restaurant sectors and 12 'key informants' from industry and government are presented, followed by a discussion of SME perspectives on the 'business case' for sustainability and its implications for policy-makers. Copyright © 2005 John Wiley &amp; Sons, Ltd and ERP Environment.","author":[{"dropping-particle":"","family":"Revell","given":"Andrea","non-dropping-particle":"","parse-names":false,"suffix":""},{"dropping-particle":"","family":"Blackburn","given":"Robert","non-dropping-particle":"","parse-names":false,"suffix":""}],"container-title":"Business Strategy and the Environment","id":"ITEM-1","issued":{"date-parts":[["2007"]]},"title":"The business case for sustainability? An examination of small firms in the UK's construction and restaurant sectors","type":"article-journal"},"uris":["http://www.mendeley.com/documents/?uuid=86c16df3-c42c-4f08-9a03-64a0e460707a"]}],"mendeley":{"formattedCitation":"(Revell &amp; Blackburn, 2007)","plainTextFormattedCitation":"(Revell &amp; Blackburn, 2007)","previouslyFormattedCitation":"(Revell &amp; Blackburn, 2007)"},"properties":{"noteIndex":0},"schema":"https://github.com/citation-style-language/schema/raw/master/csl-citation.json"}</w:instrText>
      </w:r>
      <w:r w:rsidR="00122D52" w:rsidRPr="00055865">
        <w:rPr>
          <w:rFonts w:ascii="Garamond" w:hAnsi="Garamond"/>
          <w:sz w:val="24"/>
          <w:szCs w:val="24"/>
        </w:rPr>
        <w:fldChar w:fldCharType="separate"/>
      </w:r>
      <w:r w:rsidR="00122D52" w:rsidRPr="00055865">
        <w:rPr>
          <w:rFonts w:ascii="Garamond" w:hAnsi="Garamond"/>
          <w:noProof/>
          <w:sz w:val="24"/>
          <w:szCs w:val="24"/>
        </w:rPr>
        <w:t>(Revell &amp; Blackburn, 2007)</w:t>
      </w:r>
      <w:r w:rsidR="00122D52" w:rsidRPr="00055865">
        <w:rPr>
          <w:rFonts w:ascii="Garamond" w:hAnsi="Garamond"/>
          <w:sz w:val="24"/>
          <w:szCs w:val="24"/>
        </w:rPr>
        <w:fldChar w:fldCharType="end"/>
      </w:r>
      <w:r w:rsidR="00F45932" w:rsidRPr="00055865">
        <w:rPr>
          <w:rFonts w:ascii="Garamond" w:hAnsi="Garamond"/>
          <w:sz w:val="24"/>
          <w:szCs w:val="24"/>
        </w:rPr>
        <w:t>.</w:t>
      </w:r>
      <w:r w:rsidR="001E0F5D" w:rsidRPr="00055865">
        <w:rPr>
          <w:rFonts w:ascii="Garamond" w:hAnsi="Garamond"/>
          <w:sz w:val="24"/>
          <w:szCs w:val="24"/>
        </w:rPr>
        <w:t xml:space="preserve"> This is premised on the difficulty in the estimation of costs and benefits of environmental investments initiatives </w:t>
      </w:r>
      <w:r w:rsidR="00553DD1" w:rsidRPr="00055865">
        <w:rPr>
          <w:rFonts w:ascii="Garamond" w:hAnsi="Garamond"/>
          <w:sz w:val="24"/>
          <w:szCs w:val="24"/>
        </w:rPr>
        <w:t xml:space="preserve">( </w:t>
      </w:r>
      <w:r w:rsidR="00122D52" w:rsidRPr="00055865">
        <w:rPr>
          <w:rFonts w:ascii="Garamond" w:hAnsi="Garamond"/>
          <w:sz w:val="24"/>
          <w:szCs w:val="24"/>
        </w:rPr>
        <w:fldChar w:fldCharType="begin" w:fldLock="1"/>
      </w:r>
      <w:r w:rsidR="00281223" w:rsidRPr="00055865">
        <w:rPr>
          <w:rFonts w:ascii="Garamond" w:hAnsi="Garamond"/>
          <w:sz w:val="24"/>
          <w:szCs w:val="24"/>
        </w:rPr>
        <w:instrText>ADDIN CSL_CITATION {"citationItems":[{"id":"ITEM-1","itemData":{"DOI":"10.1016/j.indmarman.2012.04.008","ISBN":"00198501","ISSN":"00198501","abstract":"\"Green\" supply chain management (GSCM) has often been associated with highly visible companies (Bowen, 2000) and firms within consumer-focused industries (Buysse &amp; Verbeke, 2003; Hall, 2000; Roht-Arriaza, 1996). As such, GSCM has partly been led by development of consumer awareness of environmental issues (Beamon, 1999; Zhu et al., 2005). This suggest that firms operating in business-to-consumer (B2C) markets have strong incentives to implement GSCM, due to both institutional and stakeholder pressure. However, this leaves the role of GSCM in business-to-business (B2B) sectors relatively unexplored and to-date little is known about: 1) the relative engagement with GSCM among firms in business-to-consumer and business-to-business sectors; 2) the conditions that are necessary for successful implementation of \"green\" practices in B2B supply chains. This study addresses these issues within the context of 340 buyer-supplier relationships in the United Kingdom, using an innovative research methodology that captures firms' engagement with GSCM practices and minimizes social desirability and common source biases. Our results show that GSCM is relatively limited among firms in B2B markets compared to firms in B2C markets. At the same time, we show that developing trust with supply chain partners, while also having top management support, is a crucial driver of engagement with GSCM among firms in B2B sector but less important among firms in B2C sector. These findings provide considerable insights to managers and marketers of B2B supply chains that seek to respond to a growing interest of environmental performance of supply chain. © 2012 Elsevier Inc..","author":[{"dropping-particle":"","family":"Hoejmose","given":"Stefan","non-dropping-particle":"","parse-names":false,"suffix":""},{"dropping-particle":"","family":"Brammer","given":"Stephen","non-dropping-particle":"","parse-names":false,"suffix":""},{"dropping-particle":"","family":"Millington","given":"Andrew","non-dropping-particle":"","parse-names":false,"suffix":""}],"container-title":"Industrial Marketing Management","id":"ITEM-1","issue":"4","issued":{"date-parts":[["2012"]]},"page":"609-620","title":"\"Green\" supply chain management: The role of trust and top management in B2B and B2C markets","type":"article-journal","volume":"41"},"uris":["http://www.mendeley.com/documents/?uuid=65e138d5-e905-45ed-9684-3bb70bb7c280"]}],"mendeley":{"formattedCitation":"(Hoejmose, Brammer, &amp; Millington, 2012)","manualFormatting":"Hoejmose, Brammer, &amp; Millington, 2012)","plainTextFormattedCitation":"(Hoejmose, Brammer, &amp; Millington, 2012)","previouslyFormattedCitation":"(Hoejmose, Brammer, &amp; Millington, 2012)"},"properties":{"noteIndex":0},"schema":"https://github.com/citation-style-language/schema/raw/master/csl-citation.json"}</w:instrText>
      </w:r>
      <w:r w:rsidR="00122D52" w:rsidRPr="00055865">
        <w:rPr>
          <w:rFonts w:ascii="Garamond" w:hAnsi="Garamond"/>
          <w:sz w:val="24"/>
          <w:szCs w:val="24"/>
        </w:rPr>
        <w:fldChar w:fldCharType="separate"/>
      </w:r>
      <w:r w:rsidR="00122D52" w:rsidRPr="00055865">
        <w:rPr>
          <w:rFonts w:ascii="Garamond" w:hAnsi="Garamond"/>
          <w:noProof/>
          <w:sz w:val="24"/>
          <w:szCs w:val="24"/>
        </w:rPr>
        <w:t xml:space="preserve">Hoejmose, Brammer, </w:t>
      </w:r>
      <w:r w:rsidR="00553DD1" w:rsidRPr="00055865">
        <w:rPr>
          <w:rFonts w:ascii="Garamond" w:hAnsi="Garamond"/>
          <w:noProof/>
          <w:sz w:val="24"/>
          <w:szCs w:val="24"/>
        </w:rPr>
        <w:t>&amp;</w:t>
      </w:r>
      <w:r w:rsidR="00122D52" w:rsidRPr="00055865">
        <w:rPr>
          <w:rFonts w:ascii="Garamond" w:hAnsi="Garamond"/>
          <w:noProof/>
          <w:sz w:val="24"/>
          <w:szCs w:val="24"/>
        </w:rPr>
        <w:t xml:space="preserve"> Millington</w:t>
      </w:r>
      <w:r w:rsidR="00553DD1" w:rsidRPr="00055865">
        <w:rPr>
          <w:rFonts w:ascii="Garamond" w:hAnsi="Garamond"/>
          <w:noProof/>
          <w:sz w:val="24"/>
          <w:szCs w:val="24"/>
        </w:rPr>
        <w:t xml:space="preserve">, </w:t>
      </w:r>
      <w:r w:rsidR="00122D52" w:rsidRPr="00055865">
        <w:rPr>
          <w:rFonts w:ascii="Garamond" w:hAnsi="Garamond"/>
          <w:noProof/>
          <w:sz w:val="24"/>
          <w:szCs w:val="24"/>
        </w:rPr>
        <w:t>2012)</w:t>
      </w:r>
      <w:r w:rsidR="00122D52" w:rsidRPr="00055865">
        <w:rPr>
          <w:rFonts w:ascii="Garamond" w:hAnsi="Garamond"/>
          <w:sz w:val="24"/>
          <w:szCs w:val="24"/>
        </w:rPr>
        <w:fldChar w:fldCharType="end"/>
      </w:r>
      <w:r w:rsidR="00DD661A" w:rsidRPr="00055865">
        <w:rPr>
          <w:rFonts w:ascii="Garamond" w:hAnsi="Garamond"/>
          <w:sz w:val="24"/>
          <w:szCs w:val="24"/>
        </w:rPr>
        <w:t xml:space="preserve">. </w:t>
      </w:r>
      <w:r w:rsidR="00553DD1" w:rsidRPr="00055865">
        <w:rPr>
          <w:rFonts w:ascii="Garamond" w:hAnsi="Garamond"/>
          <w:sz w:val="24"/>
          <w:szCs w:val="24"/>
        </w:rPr>
        <w:t>Hoejmose, Brammer, and Millington (2012) highlighted that a</w:t>
      </w:r>
      <w:r w:rsidR="00CE7C1E" w:rsidRPr="00055865">
        <w:rPr>
          <w:rFonts w:ascii="Garamond" w:hAnsi="Garamond"/>
          <w:sz w:val="24"/>
          <w:szCs w:val="24"/>
        </w:rPr>
        <w:t>t initial stages</w:t>
      </w:r>
      <w:r w:rsidR="00553DD1" w:rsidRPr="00055865">
        <w:rPr>
          <w:rFonts w:ascii="Garamond" w:hAnsi="Garamond"/>
          <w:sz w:val="24"/>
          <w:szCs w:val="24"/>
        </w:rPr>
        <w:t xml:space="preserve"> of environmental practices investment initiatives</w:t>
      </w:r>
      <w:r w:rsidR="00DD661A" w:rsidRPr="00055865">
        <w:rPr>
          <w:rFonts w:ascii="Garamond" w:hAnsi="Garamond"/>
          <w:sz w:val="24"/>
          <w:szCs w:val="24"/>
        </w:rPr>
        <w:t>,</w:t>
      </w:r>
      <w:r w:rsidR="00CE7C1E" w:rsidRPr="00055865">
        <w:rPr>
          <w:rFonts w:ascii="Garamond" w:hAnsi="Garamond"/>
          <w:sz w:val="24"/>
          <w:szCs w:val="24"/>
        </w:rPr>
        <w:t xml:space="preserve"> the costs</w:t>
      </w:r>
      <w:r w:rsidR="00F45932" w:rsidRPr="00055865">
        <w:rPr>
          <w:rFonts w:ascii="Garamond" w:hAnsi="Garamond"/>
          <w:sz w:val="24"/>
          <w:szCs w:val="24"/>
        </w:rPr>
        <w:t xml:space="preserve"> may outweigh economic</w:t>
      </w:r>
      <w:r w:rsidR="00CE7C1E" w:rsidRPr="00055865">
        <w:rPr>
          <w:rFonts w:ascii="Garamond" w:hAnsi="Garamond"/>
          <w:sz w:val="24"/>
          <w:szCs w:val="24"/>
        </w:rPr>
        <w:t xml:space="preserve"> benefits</w:t>
      </w:r>
      <w:r w:rsidR="00553DD1" w:rsidRPr="00055865">
        <w:rPr>
          <w:rFonts w:ascii="Garamond" w:hAnsi="Garamond"/>
          <w:sz w:val="24"/>
          <w:szCs w:val="24"/>
        </w:rPr>
        <w:t xml:space="preserve"> and as such SMEs are </w:t>
      </w:r>
      <w:r w:rsidR="006E5063" w:rsidRPr="00055865">
        <w:rPr>
          <w:rFonts w:ascii="Garamond" w:hAnsi="Garamond"/>
          <w:sz w:val="24"/>
          <w:szCs w:val="24"/>
        </w:rPr>
        <w:t>highly unlikely to</w:t>
      </w:r>
      <w:r w:rsidR="00F45932" w:rsidRPr="00055865">
        <w:rPr>
          <w:rFonts w:ascii="Garamond" w:hAnsi="Garamond"/>
          <w:sz w:val="24"/>
          <w:szCs w:val="24"/>
        </w:rPr>
        <w:t xml:space="preserve"> take advantage of the same publicity </w:t>
      </w:r>
      <w:r w:rsidR="006E5063" w:rsidRPr="00055865">
        <w:rPr>
          <w:rFonts w:ascii="Garamond" w:hAnsi="Garamond"/>
          <w:sz w:val="24"/>
          <w:szCs w:val="24"/>
        </w:rPr>
        <w:t>enjoy</w:t>
      </w:r>
      <w:r w:rsidR="00F45932" w:rsidRPr="00055865">
        <w:rPr>
          <w:rFonts w:ascii="Garamond" w:hAnsi="Garamond"/>
          <w:sz w:val="24"/>
          <w:szCs w:val="24"/>
        </w:rPr>
        <w:t xml:space="preserve"> by larger c</w:t>
      </w:r>
      <w:r w:rsidR="006E5063" w:rsidRPr="00055865">
        <w:rPr>
          <w:rFonts w:ascii="Garamond" w:hAnsi="Garamond"/>
          <w:sz w:val="24"/>
          <w:szCs w:val="24"/>
        </w:rPr>
        <w:t xml:space="preserve">ompanies </w:t>
      </w:r>
      <w:r w:rsidR="00553DD1" w:rsidRPr="00055865">
        <w:rPr>
          <w:rFonts w:ascii="Garamond" w:hAnsi="Garamond"/>
          <w:sz w:val="24"/>
          <w:szCs w:val="24"/>
        </w:rPr>
        <w:t>due</w:t>
      </w:r>
      <w:r w:rsidR="006E5063" w:rsidRPr="00055865">
        <w:rPr>
          <w:rFonts w:ascii="Garamond" w:hAnsi="Garamond"/>
          <w:sz w:val="24"/>
          <w:szCs w:val="24"/>
        </w:rPr>
        <w:t xml:space="preserve"> to</w:t>
      </w:r>
      <w:r w:rsidR="00F45932" w:rsidRPr="00055865">
        <w:rPr>
          <w:rFonts w:ascii="Garamond" w:hAnsi="Garamond"/>
          <w:sz w:val="24"/>
          <w:szCs w:val="24"/>
        </w:rPr>
        <w:t xml:space="preserve"> their relative invisibility and </w:t>
      </w:r>
      <w:r w:rsidR="00553DD1" w:rsidRPr="00055865">
        <w:rPr>
          <w:rFonts w:ascii="Garamond" w:hAnsi="Garamond"/>
          <w:sz w:val="24"/>
          <w:szCs w:val="24"/>
        </w:rPr>
        <w:t>unaffordability of advertisement</w:t>
      </w:r>
      <w:r w:rsidR="006E5063" w:rsidRPr="00055865">
        <w:rPr>
          <w:rFonts w:ascii="Garamond" w:hAnsi="Garamond"/>
          <w:sz w:val="24"/>
          <w:szCs w:val="24"/>
        </w:rPr>
        <w:t xml:space="preserve">.  </w:t>
      </w:r>
      <w:r w:rsidR="00553DD1" w:rsidRPr="00055865">
        <w:rPr>
          <w:rFonts w:ascii="Garamond" w:hAnsi="Garamond"/>
          <w:sz w:val="24"/>
          <w:szCs w:val="24"/>
        </w:rPr>
        <w:t>Similarly</w:t>
      </w:r>
      <w:r w:rsidR="006E5063" w:rsidRPr="00055865">
        <w:rPr>
          <w:rFonts w:ascii="Garamond" w:hAnsi="Garamond"/>
          <w:sz w:val="24"/>
          <w:szCs w:val="24"/>
        </w:rPr>
        <w:t xml:space="preserve">, </w:t>
      </w:r>
      <w:r w:rsidR="00122D52" w:rsidRPr="00055865">
        <w:rPr>
          <w:rFonts w:ascii="Garamond" w:hAnsi="Garamond"/>
          <w:sz w:val="24"/>
          <w:szCs w:val="24"/>
        </w:rPr>
        <w:fldChar w:fldCharType="begin" w:fldLock="1"/>
      </w:r>
      <w:r w:rsidR="00122D52" w:rsidRPr="00055865">
        <w:rPr>
          <w:rFonts w:ascii="Garamond" w:hAnsi="Garamond"/>
          <w:sz w:val="24"/>
          <w:szCs w:val="24"/>
        </w:rPr>
        <w:instrText>ADDIN CSL_CITATION {"citationItems":[{"id":"ITEM-1","itemData":{"author":[{"dropping-particle":"","family":"Aiyub","given":"Kadaruddin","non-dropping-particle":"","parse-names":false,"suffix":""},{"dropping-particle":"","family":"Arifin","given":"KAdir","non-dropping-particle":"","parse-names":false,"suffix":""},{"dropping-particle":"","family":"Awang","given":"Azahan","non-dropping-particle":"","parse-names":false,"suffix":""},{"dropping-particle":"","family":"Jahi","given":"Jamaludin","non-dropping-particle":"","parse-names":false,"suffix":""}],"id":"ITEM-1","issued":{"date-parts":[["2009"]]},"title":"environmental performance in SMEs certified to ISO14001 in the UK.pdf","type":"article"},"uris":["http://www.mendeley.com/documents/?uuid=be026efd-b1e3-4fec-b445-181f7d1e758c"]}],"mendeley":{"formattedCitation":"(Aiyub et al., 2009)","manualFormatting":"Aiyub et al. (2009)","plainTextFormattedCitation":"(Aiyub et al., 2009)","previouslyFormattedCitation":"(Aiyub et al., 2009)"},"properties":{"noteIndex":0},"schema":"https://github.com/citation-style-language/schema/raw/master/csl-citation.json"}</w:instrText>
      </w:r>
      <w:r w:rsidR="00122D52" w:rsidRPr="00055865">
        <w:rPr>
          <w:rFonts w:ascii="Garamond" w:hAnsi="Garamond"/>
          <w:sz w:val="24"/>
          <w:szCs w:val="24"/>
        </w:rPr>
        <w:fldChar w:fldCharType="separate"/>
      </w:r>
      <w:r w:rsidR="00122D52" w:rsidRPr="00055865">
        <w:rPr>
          <w:rFonts w:ascii="Garamond" w:hAnsi="Garamond"/>
          <w:noProof/>
          <w:sz w:val="24"/>
          <w:szCs w:val="24"/>
        </w:rPr>
        <w:t>Aiyub et al. (2009)</w:t>
      </w:r>
      <w:r w:rsidR="00122D52" w:rsidRPr="00055865">
        <w:rPr>
          <w:rFonts w:ascii="Garamond" w:hAnsi="Garamond"/>
          <w:sz w:val="24"/>
          <w:szCs w:val="24"/>
        </w:rPr>
        <w:fldChar w:fldCharType="end"/>
      </w:r>
      <w:r w:rsidR="00122D52" w:rsidRPr="00055865">
        <w:rPr>
          <w:rFonts w:ascii="Garamond" w:hAnsi="Garamond"/>
          <w:sz w:val="24"/>
          <w:szCs w:val="24"/>
        </w:rPr>
        <w:t xml:space="preserve"> </w:t>
      </w:r>
      <w:r w:rsidR="002B70FA" w:rsidRPr="00055865">
        <w:rPr>
          <w:rFonts w:ascii="Garamond" w:hAnsi="Garamond"/>
          <w:sz w:val="24"/>
          <w:szCs w:val="24"/>
        </w:rPr>
        <w:t>indicated</w:t>
      </w:r>
      <w:r w:rsidR="002B70FA" w:rsidRPr="00055865">
        <w:rPr>
          <w:rFonts w:ascii="Garamond" w:hAnsi="Garamond" w:cs="Times New Roman"/>
          <w:sz w:val="24"/>
          <w:szCs w:val="24"/>
        </w:rPr>
        <w:t xml:space="preserve"> that SMEs lack the resources to implement sustainable environmental practices a</w:t>
      </w:r>
      <w:r w:rsidR="00F12FFB" w:rsidRPr="00055865">
        <w:rPr>
          <w:rFonts w:ascii="Garamond" w:hAnsi="Garamond" w:cs="Times New Roman"/>
          <w:sz w:val="24"/>
          <w:szCs w:val="24"/>
        </w:rPr>
        <w:t>s</w:t>
      </w:r>
      <w:r w:rsidR="002B70FA" w:rsidRPr="00055865">
        <w:rPr>
          <w:rFonts w:ascii="Garamond" w:hAnsi="Garamond" w:cs="Times New Roman"/>
          <w:sz w:val="24"/>
          <w:szCs w:val="24"/>
        </w:rPr>
        <w:t xml:space="preserve"> such </w:t>
      </w:r>
      <w:r w:rsidR="00F12FFB" w:rsidRPr="00055865">
        <w:rPr>
          <w:rFonts w:ascii="Garamond" w:hAnsi="Garamond" w:cs="Times New Roman"/>
          <w:sz w:val="24"/>
          <w:szCs w:val="24"/>
        </w:rPr>
        <w:t xml:space="preserve">investment </w:t>
      </w:r>
      <w:r w:rsidR="002B70FA" w:rsidRPr="00055865">
        <w:rPr>
          <w:rFonts w:ascii="Garamond" w:hAnsi="Garamond" w:cs="Times New Roman"/>
          <w:sz w:val="24"/>
          <w:szCs w:val="24"/>
        </w:rPr>
        <w:t xml:space="preserve">initiatives </w:t>
      </w:r>
      <w:r w:rsidR="00DD661A" w:rsidRPr="00055865">
        <w:rPr>
          <w:rFonts w:ascii="Garamond" w:hAnsi="Garamond" w:cs="Times New Roman"/>
          <w:sz w:val="24"/>
          <w:szCs w:val="24"/>
        </w:rPr>
        <w:t>are</w:t>
      </w:r>
      <w:r w:rsidR="002B70FA" w:rsidRPr="00055865">
        <w:rPr>
          <w:rFonts w:ascii="Garamond" w:hAnsi="Garamond" w:cs="Times New Roman"/>
          <w:sz w:val="24"/>
          <w:szCs w:val="24"/>
        </w:rPr>
        <w:t xml:space="preserve"> likely to reduce profit</w:t>
      </w:r>
      <w:r w:rsidR="00F12FFB" w:rsidRPr="00055865">
        <w:rPr>
          <w:rFonts w:ascii="Garamond" w:hAnsi="Garamond" w:cs="Times New Roman"/>
          <w:sz w:val="24"/>
          <w:szCs w:val="24"/>
        </w:rPr>
        <w:t xml:space="preserve"> at the initial years</w:t>
      </w:r>
      <w:r w:rsidR="002B70FA" w:rsidRPr="00055865">
        <w:rPr>
          <w:rFonts w:ascii="Garamond" w:hAnsi="Garamond" w:cs="Times New Roman"/>
          <w:sz w:val="24"/>
          <w:szCs w:val="24"/>
        </w:rPr>
        <w:t xml:space="preserve">. </w:t>
      </w:r>
      <w:r w:rsidR="0026729C" w:rsidRPr="00055865">
        <w:rPr>
          <w:rFonts w:ascii="Garamond" w:hAnsi="Garamond" w:cs="Times New Roman"/>
          <w:sz w:val="24"/>
          <w:szCs w:val="24"/>
        </w:rPr>
        <w:t>This study will</w:t>
      </w:r>
      <w:r w:rsidR="005B6FD7">
        <w:rPr>
          <w:rFonts w:ascii="Garamond" w:hAnsi="Garamond" w:cs="Times New Roman"/>
          <w:sz w:val="24"/>
          <w:szCs w:val="24"/>
        </w:rPr>
        <w:t>,</w:t>
      </w:r>
      <w:r w:rsidR="0026729C" w:rsidRPr="00055865">
        <w:rPr>
          <w:rFonts w:ascii="Garamond" w:hAnsi="Garamond" w:cs="Times New Roman"/>
          <w:sz w:val="24"/>
          <w:szCs w:val="24"/>
        </w:rPr>
        <w:t xml:space="preserve"> t</w:t>
      </w:r>
      <w:r w:rsidR="00DD661A" w:rsidRPr="00055865">
        <w:rPr>
          <w:rFonts w:ascii="Garamond" w:hAnsi="Garamond" w:cs="Times New Roman"/>
          <w:sz w:val="24"/>
          <w:szCs w:val="24"/>
        </w:rPr>
        <w:t xml:space="preserve">herefore, </w:t>
      </w:r>
      <w:r w:rsidR="0026729C" w:rsidRPr="00055865">
        <w:rPr>
          <w:rFonts w:ascii="Garamond" w:hAnsi="Garamond" w:cs="Times New Roman"/>
          <w:sz w:val="24"/>
          <w:szCs w:val="24"/>
        </w:rPr>
        <w:t xml:space="preserve">argument this line of literature that emphasises on the relationship between </w:t>
      </w:r>
      <w:r w:rsidR="009F40B8" w:rsidRPr="00055865">
        <w:rPr>
          <w:rFonts w:ascii="Garamond" w:hAnsi="Garamond" w:cs="Times New Roman"/>
          <w:sz w:val="24"/>
          <w:szCs w:val="24"/>
        </w:rPr>
        <w:t xml:space="preserve">financial beneficial </w:t>
      </w:r>
      <w:r w:rsidR="0026729C" w:rsidRPr="00055865">
        <w:rPr>
          <w:rFonts w:ascii="Garamond" w:hAnsi="Garamond" w:cs="Times New Roman"/>
          <w:sz w:val="24"/>
          <w:szCs w:val="24"/>
        </w:rPr>
        <w:t>and</w:t>
      </w:r>
      <w:r w:rsidR="009F40B8" w:rsidRPr="00055865">
        <w:rPr>
          <w:rFonts w:ascii="Garamond" w:hAnsi="Garamond" w:cs="Times New Roman"/>
          <w:sz w:val="24"/>
          <w:szCs w:val="24"/>
        </w:rPr>
        <w:t xml:space="preserve"> sustainable environmental practices</w:t>
      </w:r>
      <w:r w:rsidR="0026729C" w:rsidRPr="00055865">
        <w:rPr>
          <w:rFonts w:ascii="Garamond" w:hAnsi="Garamond" w:cs="Times New Roman"/>
          <w:sz w:val="24"/>
          <w:szCs w:val="24"/>
        </w:rPr>
        <w:t xml:space="preserve"> investment initiative in the context of listed SMEs firms</w:t>
      </w:r>
      <w:r w:rsidR="008B6965" w:rsidRPr="00055865">
        <w:rPr>
          <w:rFonts w:ascii="Garamond" w:hAnsi="Garamond" w:cs="Times New Roman"/>
          <w:sz w:val="24"/>
          <w:szCs w:val="24"/>
        </w:rPr>
        <w:t>.</w:t>
      </w:r>
      <w:r w:rsidR="009F40B8" w:rsidRPr="00055865">
        <w:rPr>
          <w:rFonts w:ascii="Garamond" w:hAnsi="Garamond" w:cs="Times New Roman"/>
          <w:sz w:val="24"/>
          <w:szCs w:val="24"/>
        </w:rPr>
        <w:t xml:space="preserve"> </w:t>
      </w:r>
      <w:r w:rsidR="003342EC" w:rsidRPr="00055865">
        <w:rPr>
          <w:rFonts w:ascii="Garamond" w:hAnsi="Garamond" w:cs="Times New Roman"/>
          <w:sz w:val="24"/>
          <w:szCs w:val="24"/>
        </w:rPr>
        <w:t xml:space="preserve"> </w:t>
      </w:r>
    </w:p>
    <w:p w14:paraId="04396EE1" w14:textId="307628A1" w:rsidR="00A30EEF" w:rsidRPr="00055865" w:rsidRDefault="001A6279" w:rsidP="005B6FD7">
      <w:pPr>
        <w:tabs>
          <w:tab w:val="left" w:pos="2550"/>
        </w:tabs>
        <w:spacing w:after="0" w:line="480" w:lineRule="auto"/>
        <w:jc w:val="both"/>
        <w:rPr>
          <w:rFonts w:ascii="Garamond" w:eastAsia="Calibri" w:hAnsi="Garamond" w:cs="Times New Roman"/>
          <w:sz w:val="24"/>
          <w:szCs w:val="24"/>
          <w:lang w:val="en-US"/>
        </w:rPr>
      </w:pPr>
      <w:r>
        <w:rPr>
          <w:rFonts w:ascii="Garamond" w:hAnsi="Garamond"/>
          <w:sz w:val="24"/>
          <w:szCs w:val="24"/>
        </w:rPr>
        <w:t xml:space="preserve">                </w:t>
      </w:r>
      <w:r w:rsidR="0026729C" w:rsidRPr="00055865">
        <w:rPr>
          <w:rFonts w:ascii="Garamond" w:hAnsi="Garamond"/>
          <w:sz w:val="24"/>
          <w:szCs w:val="24"/>
        </w:rPr>
        <w:t>Further</w:t>
      </w:r>
      <w:r w:rsidR="00C3429E" w:rsidRPr="00055865">
        <w:rPr>
          <w:rFonts w:ascii="Garamond" w:hAnsi="Garamond"/>
          <w:sz w:val="24"/>
          <w:szCs w:val="24"/>
        </w:rPr>
        <w:t xml:space="preserve">, </w:t>
      </w:r>
      <w:r w:rsidR="009F40B8" w:rsidRPr="00055865">
        <w:rPr>
          <w:rFonts w:ascii="Garamond" w:hAnsi="Garamond"/>
          <w:sz w:val="24"/>
          <w:szCs w:val="24"/>
        </w:rPr>
        <w:t>unlike</w:t>
      </w:r>
      <w:r w:rsidR="00C3429E" w:rsidRPr="00055865">
        <w:rPr>
          <w:rFonts w:ascii="Garamond" w:hAnsi="Garamond"/>
          <w:sz w:val="24"/>
          <w:szCs w:val="24"/>
        </w:rPr>
        <w:t xml:space="preserve"> existing studies which concentrated on only one measure of environmental</w:t>
      </w:r>
      <w:r w:rsidR="0026729C" w:rsidRPr="00055865">
        <w:rPr>
          <w:rFonts w:ascii="Garamond" w:hAnsi="Garamond"/>
          <w:sz w:val="24"/>
          <w:szCs w:val="24"/>
        </w:rPr>
        <w:t xml:space="preserve"> practices</w:t>
      </w:r>
      <w:r w:rsidR="00C3429E" w:rsidRPr="00055865">
        <w:rPr>
          <w:rFonts w:ascii="Garamond" w:hAnsi="Garamond"/>
          <w:sz w:val="24"/>
          <w:szCs w:val="24"/>
        </w:rPr>
        <w:t xml:space="preserve"> performance</w:t>
      </w:r>
      <w:r w:rsidR="00122D52" w:rsidRPr="00055865">
        <w:rPr>
          <w:rFonts w:ascii="Garamond" w:hAnsi="Garamond"/>
          <w:sz w:val="24"/>
          <w:szCs w:val="24"/>
        </w:rPr>
        <w:t xml:space="preserve"> </w:t>
      </w:r>
      <w:r w:rsidR="00122D52" w:rsidRPr="00055865">
        <w:rPr>
          <w:rFonts w:ascii="Garamond" w:hAnsi="Garamond"/>
          <w:sz w:val="24"/>
          <w:szCs w:val="24"/>
        </w:rPr>
        <w:fldChar w:fldCharType="begin" w:fldLock="1"/>
      </w:r>
      <w:r w:rsidR="00281223" w:rsidRPr="00055865">
        <w:rPr>
          <w:rFonts w:ascii="Garamond" w:hAnsi="Garamond"/>
          <w:sz w:val="24"/>
          <w:szCs w:val="24"/>
        </w:rPr>
        <w:instrText>ADDIN CSL_CITATION {"citationItems":[{"id":"ITEM-1","itemData":{"DOI":"10.1023/B:EARE.0000044602.86367.ff","ISBN":"0924-6460","abstract":"A growing body of research has centered on the issue of the relationship between financial and environmental performance. The lack of consensus in this literature can be attributed to several factors. The cost of complying with environmental regulation can be significant and detrimental to shareholder wealth maximization. Conversely, a firm that can effectively control pollution might also be able to effectively control other costs of production and hence earn a higher rate of return. We utilize data from the Investor Responsibility Research Center as well as a proprietary database to investigate the relationship between environmental performance and financial performance in electric utilities. Utilities, as producers and distributors of energy, produce substantial amounts of pollution. However, since public utilities are regulated, studying the financial and environmental performance of utilities affords us the opportunity to see what role regulation plays in enhancing or diminishing the relationship between financial and environmental performance. Our results differ from earlier studies in that we find do not find a positive relationship between holding period returns and an industry-adjusted measure of environmental performance nor do we find that regulatory climate appears to explain returns. While there does not appear to be a clearly defined relationship between regulatory climate and a compliance based measure of environmental performance, there is evidence of a negative relationship between financial return and a more pro-active measure of environmental performance. We offer several possible interpretations of these results and extensions for future research.","author":[{"dropping-particle":"","family":"Filbeck","given":"G","non-dropping-particle":"","parse-names":false,"suffix":""},{"dropping-particle":"","family":"Gorman","given":"R F","non-dropping-particle":"","parse-names":false,"suffix":""}],"container-title":"Environmental &amp; Resource Economics","id":"ITEM-1","issue":"2","issued":{"date-parts":[["2004"]]},"page":"137-157","title":"The relationship between the environmental and financial performance of public utilities","type":"article-journal","volume":"29"},"uris":["http://www.mendeley.com/documents/?uuid=4cfa7e42-4a8f-434d-a9e2-4c0cdd36f901"]},{"id":"ITEM-2","itemData":{"DOI":"10.1002/eet","ISSN":"09610405","author":[{"dropping-particle":"","family":"Earnhart","given":"Dietrich","non-dropping-particle":"","parse-names":false,"suffix":""},{"dropping-particle":"","family":"Lizal","given":"Lubomir","non-dropping-particle":"","parse-names":false,"suffix":""}],"container-title":"European Environment","id":"ITEM-2","issued":{"date-parts":[["2007"]]},"page":"247-266","title":"Effect of pollution control on corporate financial performance in a transition economy","type":"article-journal","volume":"266"},"uris":["http://www.mendeley.com/documents/?uuid=d6fa97d4-7bc2-413d-b5ff-0c7393d48b10"]},{"id":"ITEM-3","itemData":{"author":[{"dropping-particle":"","family":"Naila","given":"D. L","non-dropping-particle":"","parse-names":false,"suffix":""}],"container-title":"International Journal of Economics and Financial Issues","id":"ITEM-3","issue":"1","issued":{"date-parts":[["2013"]]},"page":"99-112","title":"The Effect of Environmental Regulations on Financial Performance in Tanzania: A Survey of Manufacturing Companies Quoted on the Dar EsSalaam Stock Exchange","type":"article-journal","volume":"3"},"uris":["http://www.mendeley.com/documents/?uuid=2ea6d57f-5f9b-485f-abc6-245ab5d70065"]}],"mendeley":{"formattedCitation":"(Earnhart &amp; Lizal, 2007; Filbeck &amp; Gorman, 2004; Naila, 2013)","manualFormatting":"(e.g. Earnhart &amp; Lizal, 2007; Filbeck &amp; Gorman, 2004; Naila, 2013)","plainTextFormattedCitation":"(Earnhart &amp; Lizal, 2007; Filbeck &amp; Gorman, 2004; Naila, 2013)","previouslyFormattedCitation":"(Earnhart &amp; Lizal, 2007; Filbeck &amp; Gorman, 2004; Naila, 2013)"},"properties":{"noteIndex":0},"schema":"https://github.com/citation-style-language/schema/raw/master/csl-citation.json"}</w:instrText>
      </w:r>
      <w:r w:rsidR="00122D52" w:rsidRPr="00055865">
        <w:rPr>
          <w:rFonts w:ascii="Garamond" w:hAnsi="Garamond"/>
          <w:sz w:val="24"/>
          <w:szCs w:val="24"/>
        </w:rPr>
        <w:fldChar w:fldCharType="separate"/>
      </w:r>
      <w:r w:rsidR="00122D52" w:rsidRPr="00055865">
        <w:rPr>
          <w:rFonts w:ascii="Garamond" w:hAnsi="Garamond"/>
          <w:noProof/>
          <w:sz w:val="24"/>
          <w:szCs w:val="24"/>
        </w:rPr>
        <w:t>(</w:t>
      </w:r>
      <w:r w:rsidR="00DD661A" w:rsidRPr="00055865">
        <w:rPr>
          <w:rFonts w:ascii="Garamond" w:hAnsi="Garamond"/>
          <w:noProof/>
          <w:sz w:val="24"/>
          <w:szCs w:val="24"/>
        </w:rPr>
        <w:t xml:space="preserve">e.g. </w:t>
      </w:r>
      <w:r w:rsidR="00122D52" w:rsidRPr="00055865">
        <w:rPr>
          <w:rFonts w:ascii="Garamond" w:hAnsi="Garamond"/>
          <w:noProof/>
          <w:sz w:val="24"/>
          <w:szCs w:val="24"/>
        </w:rPr>
        <w:t>Earnhart &amp; Lizal, 2007; Filbeck &amp; Gorman, 2004; Naila, 2013)</w:t>
      </w:r>
      <w:r w:rsidR="00122D52" w:rsidRPr="00055865">
        <w:rPr>
          <w:rFonts w:ascii="Garamond" w:hAnsi="Garamond"/>
          <w:sz w:val="24"/>
          <w:szCs w:val="24"/>
        </w:rPr>
        <w:fldChar w:fldCharType="end"/>
      </w:r>
      <w:r w:rsidR="00122D52" w:rsidRPr="00055865">
        <w:rPr>
          <w:rFonts w:ascii="Garamond" w:hAnsi="Garamond"/>
          <w:sz w:val="24"/>
          <w:szCs w:val="24"/>
        </w:rPr>
        <w:t>,</w:t>
      </w:r>
      <w:r w:rsidR="00581755" w:rsidRPr="00055865">
        <w:rPr>
          <w:rFonts w:ascii="Garamond" w:hAnsi="Garamond"/>
          <w:sz w:val="24"/>
          <w:szCs w:val="24"/>
        </w:rPr>
        <w:t xml:space="preserve"> this present study uses multiple measures of </w:t>
      </w:r>
      <w:r w:rsidR="008A5AFB" w:rsidRPr="00055865">
        <w:rPr>
          <w:rFonts w:ascii="Garamond" w:hAnsi="Garamond"/>
          <w:bCs/>
          <w:iCs/>
          <w:sz w:val="24"/>
          <w:szCs w:val="24"/>
        </w:rPr>
        <w:t>sustainable environmental</w:t>
      </w:r>
      <w:r w:rsidR="00DD661A" w:rsidRPr="00055865">
        <w:rPr>
          <w:rFonts w:ascii="Garamond" w:hAnsi="Garamond"/>
          <w:bCs/>
          <w:iCs/>
          <w:sz w:val="24"/>
          <w:szCs w:val="24"/>
        </w:rPr>
        <w:t xml:space="preserve"> </w:t>
      </w:r>
      <w:r w:rsidR="008A5AFB" w:rsidRPr="00055865">
        <w:rPr>
          <w:rFonts w:ascii="Garamond" w:hAnsi="Garamond"/>
          <w:bCs/>
          <w:iCs/>
          <w:sz w:val="24"/>
          <w:szCs w:val="24"/>
        </w:rPr>
        <w:t>indices</w:t>
      </w:r>
      <w:r w:rsidR="00581755" w:rsidRPr="00055865">
        <w:rPr>
          <w:rFonts w:ascii="Garamond" w:hAnsi="Garamond"/>
          <w:sz w:val="24"/>
          <w:szCs w:val="24"/>
        </w:rPr>
        <w:t>, hence</w:t>
      </w:r>
      <w:r w:rsidR="00DD661A" w:rsidRPr="00055865">
        <w:rPr>
          <w:rFonts w:ascii="Garamond" w:hAnsi="Garamond"/>
          <w:sz w:val="24"/>
          <w:szCs w:val="24"/>
        </w:rPr>
        <w:t xml:space="preserve"> </w:t>
      </w:r>
      <w:r w:rsidR="00581755" w:rsidRPr="00055865">
        <w:rPr>
          <w:rFonts w:ascii="Garamond" w:hAnsi="Garamond"/>
          <w:sz w:val="24"/>
          <w:szCs w:val="24"/>
        </w:rPr>
        <w:t>offering a broader perspective and insights into the discussion</w:t>
      </w:r>
      <w:r w:rsidR="00C3429E" w:rsidRPr="00055865">
        <w:rPr>
          <w:rFonts w:ascii="Garamond" w:hAnsi="Garamond"/>
          <w:sz w:val="24"/>
          <w:szCs w:val="24"/>
        </w:rPr>
        <w:t>.</w:t>
      </w:r>
      <w:r w:rsidR="003342EC" w:rsidRPr="00055865">
        <w:rPr>
          <w:rFonts w:ascii="Garamond" w:hAnsi="Garamond"/>
          <w:sz w:val="24"/>
          <w:szCs w:val="24"/>
        </w:rPr>
        <w:t xml:space="preserve"> Thus, </w:t>
      </w:r>
      <w:r w:rsidR="003342EC" w:rsidRPr="00055865">
        <w:rPr>
          <w:rFonts w:ascii="Garamond" w:hAnsi="Garamond" w:cs="Times New Roman"/>
          <w:sz w:val="24"/>
          <w:szCs w:val="24"/>
        </w:rPr>
        <w:t xml:space="preserve">the study is expected to address some of the inconsistent results in priors studies which have been attributed to the lack of objective environmental criteria </w:t>
      </w:r>
      <w:r w:rsidR="003342EC" w:rsidRPr="00055865">
        <w:rPr>
          <w:rFonts w:ascii="Garamond" w:hAnsi="Garamond" w:cs="Times New Roman"/>
          <w:sz w:val="24"/>
          <w:szCs w:val="24"/>
        </w:rPr>
        <w:fldChar w:fldCharType="begin" w:fldLock="1"/>
      </w:r>
      <w:r w:rsidR="00131EC6" w:rsidRPr="00055865">
        <w:rPr>
          <w:rFonts w:ascii="Garamond" w:hAnsi="Garamond" w:cs="Times New Roman"/>
          <w:sz w:val="24"/>
          <w:szCs w:val="24"/>
        </w:rPr>
        <w:instrText>ADDIN CSL_CITATION {"citationItems":[{"id":"ITEM-1","itemData":{"DOI":"10.1016/j.ecolecon.2012.10.001","ISSN":"09218009","author":[{"dropping-particle":"","family":"Horváthová","given":"Eva","non-dropping-particle":"","parse-names":false,"suffix":""}],"container-title":"Ecological Economics","id":"ITEM-1","issued":{"date-parts":[["2012"]]},"page":"91-97","publisher":"Elsevier B.V.","title":"The impact of environmental performance on firm performance: Short-term costs and long-term benefits?","type":"article-journal","volume":"84"},"uris":["http://www.mendeley.com/documents/?uuid=34a0b031-8f78-48d8-b7c7-916f603b5537"]}],"mendeley":{"formattedCitation":"(Horváthová, 2012)","plainTextFormattedCitation":"(Horváthová, 2012)","previouslyFormattedCitation":"(Horváthová, 2012)"},"properties":{"noteIndex":0},"schema":"https://github.com/citation-style-language/schema/raw/master/csl-citation.json"}</w:instrText>
      </w:r>
      <w:r w:rsidR="003342EC" w:rsidRPr="00055865">
        <w:rPr>
          <w:rFonts w:ascii="Garamond" w:hAnsi="Garamond" w:cs="Times New Roman"/>
          <w:sz w:val="24"/>
          <w:szCs w:val="24"/>
        </w:rPr>
        <w:fldChar w:fldCharType="separate"/>
      </w:r>
      <w:r w:rsidR="003342EC" w:rsidRPr="00055865">
        <w:rPr>
          <w:rFonts w:ascii="Garamond" w:hAnsi="Garamond" w:cs="Times New Roman"/>
          <w:noProof/>
          <w:sz w:val="24"/>
          <w:szCs w:val="24"/>
        </w:rPr>
        <w:t>(Horváthová, 2012)</w:t>
      </w:r>
      <w:r w:rsidR="003342EC" w:rsidRPr="00055865">
        <w:rPr>
          <w:rFonts w:ascii="Garamond" w:hAnsi="Garamond" w:cs="Times New Roman"/>
          <w:sz w:val="24"/>
          <w:szCs w:val="24"/>
        </w:rPr>
        <w:fldChar w:fldCharType="end"/>
      </w:r>
      <w:r w:rsidR="003342EC" w:rsidRPr="00055865">
        <w:rPr>
          <w:rFonts w:ascii="Garamond" w:hAnsi="Garamond" w:cs="Times New Roman"/>
          <w:sz w:val="24"/>
          <w:szCs w:val="24"/>
        </w:rPr>
        <w:t>.</w:t>
      </w:r>
      <w:r w:rsidR="007A06B1" w:rsidRPr="00055865">
        <w:rPr>
          <w:rFonts w:ascii="Garamond" w:hAnsi="Garamond" w:cs="Times New Roman"/>
          <w:sz w:val="24"/>
          <w:szCs w:val="24"/>
        </w:rPr>
        <w:t xml:space="preserve"> For instance, the work of </w:t>
      </w:r>
      <w:r w:rsidR="003342EC" w:rsidRPr="00055865">
        <w:rPr>
          <w:rFonts w:ascii="Garamond" w:eastAsia="Calibri" w:hAnsi="Garamond" w:cs="Times New Roman"/>
          <w:sz w:val="24"/>
          <w:szCs w:val="24"/>
          <w:lang w:val="en-US"/>
        </w:rPr>
        <w:t xml:space="preserve"> </w:t>
      </w:r>
      <w:r w:rsidR="003342EC" w:rsidRPr="00055865">
        <w:rPr>
          <w:rFonts w:ascii="Garamond" w:eastAsia="Calibri" w:hAnsi="Garamond" w:cs="Times New Roman"/>
          <w:sz w:val="24"/>
          <w:szCs w:val="24"/>
          <w:lang w:val="en-US"/>
        </w:rPr>
        <w:fldChar w:fldCharType="begin" w:fldLock="1"/>
      </w:r>
      <w:r w:rsidR="00217D30" w:rsidRPr="00055865">
        <w:rPr>
          <w:rFonts w:ascii="Garamond" w:eastAsia="Calibri" w:hAnsi="Garamond" w:cs="Times New Roman"/>
          <w:sz w:val="24"/>
          <w:szCs w:val="24"/>
          <w:lang w:val="en-US"/>
        </w:rPr>
        <w:instrText>ADDIN CSL_CITATION {"citationItems":[{"id":"ITEM-1","itemData":{"author":[{"dropping-particle":"","family":"Russo","given":"V. Michael","non-dropping-particle":"","parse-names":false,"suffix":""},{"dropping-particle":"","family":"Fouts","given":"A. Paul","non-dropping-particle":"","parse-names":false,"suffix":""}],"id":"ITEM-1","issue":"3","issued":{"date-parts":[["1997"]]},"page":"534-559","title":"A resource-based perspective on corporate environmental performance and profitability","type":"article-journal","volume":"40"},"uris":["http://www.mendeley.com/documents/?uuid=03dba0d7-f76d-4089-80fa-1161eb9b8c03"]}],"mendeley":{"formattedCitation":"(V. M. Russo &amp; Fouts, 1997)","manualFormatting":"Russo and Fouts (1997)","plainTextFormattedCitation":"(V. M. Russo &amp; Fouts, 1997)","previouslyFormattedCitation":"(V. M. Russo &amp; Fouts, 1997)"},"properties":{"noteIndex":0},"schema":"https://github.com/citation-style-language/schema/raw/master/csl-citation.json"}</w:instrText>
      </w:r>
      <w:r w:rsidR="003342EC" w:rsidRPr="00055865">
        <w:rPr>
          <w:rFonts w:ascii="Garamond" w:eastAsia="Calibri" w:hAnsi="Garamond" w:cs="Times New Roman"/>
          <w:sz w:val="24"/>
          <w:szCs w:val="24"/>
          <w:lang w:val="en-US"/>
        </w:rPr>
        <w:fldChar w:fldCharType="separate"/>
      </w:r>
      <w:r w:rsidR="003342EC" w:rsidRPr="00055865">
        <w:rPr>
          <w:rFonts w:ascii="Garamond" w:eastAsia="Calibri" w:hAnsi="Garamond" w:cs="Times New Roman"/>
          <w:noProof/>
          <w:sz w:val="24"/>
          <w:szCs w:val="24"/>
          <w:lang w:val="en-US"/>
        </w:rPr>
        <w:t xml:space="preserve">Russo </w:t>
      </w:r>
      <w:r w:rsidR="007A06B1" w:rsidRPr="00055865">
        <w:rPr>
          <w:rFonts w:ascii="Garamond" w:eastAsia="Calibri" w:hAnsi="Garamond" w:cs="Times New Roman"/>
          <w:noProof/>
          <w:sz w:val="24"/>
          <w:szCs w:val="24"/>
          <w:lang w:val="en-US"/>
        </w:rPr>
        <w:t>and</w:t>
      </w:r>
      <w:r w:rsidR="003342EC" w:rsidRPr="00055865">
        <w:rPr>
          <w:rFonts w:ascii="Garamond" w:eastAsia="Calibri" w:hAnsi="Garamond" w:cs="Times New Roman"/>
          <w:noProof/>
          <w:sz w:val="24"/>
          <w:szCs w:val="24"/>
          <w:lang w:val="en-US"/>
        </w:rPr>
        <w:t xml:space="preserve"> Fouts (1997)</w:t>
      </w:r>
      <w:r w:rsidR="003342EC" w:rsidRPr="00055865">
        <w:rPr>
          <w:rFonts w:ascii="Garamond" w:eastAsia="Calibri" w:hAnsi="Garamond" w:cs="Times New Roman"/>
          <w:sz w:val="24"/>
          <w:szCs w:val="24"/>
          <w:lang w:val="en-US"/>
        </w:rPr>
        <w:fldChar w:fldCharType="end"/>
      </w:r>
      <w:r w:rsidR="00B94270" w:rsidRPr="00055865">
        <w:rPr>
          <w:rFonts w:ascii="Garamond" w:eastAsia="Calibri" w:hAnsi="Garamond" w:cs="Times New Roman"/>
          <w:sz w:val="24"/>
          <w:szCs w:val="24"/>
          <w:lang w:val="en-US"/>
        </w:rPr>
        <w:t>which used</w:t>
      </w:r>
      <w:r w:rsidR="003342EC" w:rsidRPr="00055865">
        <w:rPr>
          <w:rFonts w:ascii="Garamond" w:eastAsia="Calibri" w:hAnsi="Garamond" w:cs="Times New Roman"/>
          <w:sz w:val="24"/>
          <w:szCs w:val="24"/>
          <w:lang w:val="en-US"/>
        </w:rPr>
        <w:t xml:space="preserve"> </w:t>
      </w:r>
      <w:r w:rsidR="00131EC6" w:rsidRPr="00055865">
        <w:rPr>
          <w:rFonts w:ascii="Garamond" w:eastAsia="Calibri" w:hAnsi="Garamond" w:cs="Times New Roman"/>
          <w:sz w:val="24"/>
          <w:szCs w:val="24"/>
          <w:lang w:val="en-US"/>
        </w:rPr>
        <w:t>Franklin Research Development Corporation (</w:t>
      </w:r>
      <w:r w:rsidR="003342EC" w:rsidRPr="00055865">
        <w:rPr>
          <w:rFonts w:ascii="Garamond" w:eastAsia="Calibri" w:hAnsi="Garamond" w:cs="Times New Roman"/>
          <w:sz w:val="24"/>
          <w:szCs w:val="24"/>
          <w:lang w:val="en-US"/>
        </w:rPr>
        <w:t>FRD</w:t>
      </w:r>
      <w:r w:rsidR="00131EC6" w:rsidRPr="00055865">
        <w:rPr>
          <w:rFonts w:ascii="Garamond" w:eastAsia="Calibri" w:hAnsi="Garamond" w:cs="Times New Roman"/>
          <w:sz w:val="24"/>
          <w:szCs w:val="24"/>
          <w:lang w:val="en-US"/>
        </w:rPr>
        <w:t>C)</w:t>
      </w:r>
      <w:r w:rsidR="003342EC" w:rsidRPr="00055865">
        <w:rPr>
          <w:rFonts w:ascii="Garamond" w:eastAsia="Calibri" w:hAnsi="Garamond" w:cs="Times New Roman"/>
          <w:sz w:val="24"/>
          <w:szCs w:val="24"/>
          <w:lang w:val="en-US"/>
        </w:rPr>
        <w:t xml:space="preserve"> environmental ratings </w:t>
      </w:r>
      <w:r w:rsidR="00B94270" w:rsidRPr="00055865">
        <w:rPr>
          <w:rFonts w:ascii="Garamond" w:eastAsia="Calibri" w:hAnsi="Garamond" w:cs="Times New Roman"/>
          <w:sz w:val="24"/>
          <w:szCs w:val="24"/>
          <w:lang w:val="en-US"/>
        </w:rPr>
        <w:t>as assessment indices have been criticized for being narrow for using only ‘’compliance’’ indicator as</w:t>
      </w:r>
      <w:r w:rsidR="003342EC" w:rsidRPr="00055865">
        <w:rPr>
          <w:rFonts w:ascii="Garamond" w:eastAsia="Calibri" w:hAnsi="Garamond" w:cs="Times New Roman"/>
          <w:sz w:val="24"/>
          <w:szCs w:val="24"/>
          <w:lang w:val="en-US"/>
        </w:rPr>
        <w:t xml:space="preserve"> </w:t>
      </w:r>
      <w:r w:rsidR="005B6FD7">
        <w:rPr>
          <w:rFonts w:ascii="Garamond" w:eastAsia="Calibri" w:hAnsi="Garamond" w:cs="Times New Roman"/>
          <w:sz w:val="24"/>
          <w:szCs w:val="24"/>
          <w:lang w:val="en-US"/>
        </w:rPr>
        <w:t xml:space="preserve">an </w:t>
      </w:r>
      <w:r w:rsidR="003342EC" w:rsidRPr="00055865">
        <w:rPr>
          <w:rFonts w:ascii="Garamond" w:eastAsia="Calibri" w:hAnsi="Garamond" w:cs="Times New Roman"/>
          <w:sz w:val="24"/>
          <w:szCs w:val="24"/>
          <w:lang w:val="en-US"/>
        </w:rPr>
        <w:t>environmental performance</w:t>
      </w:r>
      <w:r w:rsidR="00B94270" w:rsidRPr="00055865">
        <w:rPr>
          <w:rFonts w:ascii="Garamond" w:eastAsia="Calibri" w:hAnsi="Garamond" w:cs="Times New Roman"/>
          <w:sz w:val="24"/>
          <w:szCs w:val="24"/>
          <w:lang w:val="en-US"/>
        </w:rPr>
        <w:t xml:space="preserve"> assessment tool</w:t>
      </w:r>
      <w:r w:rsidR="003342EC" w:rsidRPr="00055865">
        <w:rPr>
          <w:rFonts w:ascii="Garamond" w:eastAsia="Calibri" w:hAnsi="Garamond" w:cs="Times New Roman"/>
          <w:sz w:val="24"/>
          <w:szCs w:val="24"/>
          <w:lang w:val="en-US"/>
        </w:rPr>
        <w:t xml:space="preserve">. </w:t>
      </w:r>
      <w:r w:rsidR="00131EC6" w:rsidRPr="00055865">
        <w:rPr>
          <w:rFonts w:ascii="Garamond" w:eastAsia="Calibri" w:hAnsi="Garamond" w:cs="Times New Roman"/>
          <w:sz w:val="24"/>
          <w:szCs w:val="24"/>
          <w:lang w:val="en-US"/>
        </w:rPr>
        <w:t>O</w:t>
      </w:r>
      <w:r w:rsidR="003342EC" w:rsidRPr="00055865">
        <w:rPr>
          <w:rFonts w:ascii="Garamond" w:eastAsia="Calibri" w:hAnsi="Garamond" w:cs="Times New Roman"/>
          <w:sz w:val="24"/>
          <w:szCs w:val="24"/>
          <w:lang w:val="en-US"/>
        </w:rPr>
        <w:t>ther</w:t>
      </w:r>
      <w:r w:rsidR="00131EC6" w:rsidRPr="00055865">
        <w:rPr>
          <w:rFonts w:ascii="Garamond" w:eastAsia="Calibri" w:hAnsi="Garamond" w:cs="Times New Roman"/>
          <w:sz w:val="24"/>
          <w:szCs w:val="24"/>
          <w:lang w:val="en-US"/>
        </w:rPr>
        <w:t xml:space="preserve"> studies</w:t>
      </w:r>
      <w:r w:rsidR="003342EC" w:rsidRPr="00055865">
        <w:rPr>
          <w:rFonts w:ascii="Garamond" w:eastAsia="Calibri" w:hAnsi="Garamond" w:cs="Times New Roman"/>
          <w:sz w:val="24"/>
          <w:szCs w:val="24"/>
          <w:lang w:val="en-US"/>
        </w:rPr>
        <w:t xml:space="preserve"> </w:t>
      </w:r>
      <w:r w:rsidR="003342EC" w:rsidRPr="00055865">
        <w:rPr>
          <w:rFonts w:ascii="Garamond" w:eastAsia="Calibri" w:hAnsi="Garamond" w:cs="Times New Roman"/>
          <w:sz w:val="24"/>
          <w:szCs w:val="24"/>
          <w:lang w:val="en-US"/>
        </w:rPr>
        <w:fldChar w:fldCharType="begin" w:fldLock="1"/>
      </w:r>
      <w:r w:rsidR="003621E3" w:rsidRPr="00055865">
        <w:rPr>
          <w:rFonts w:ascii="Garamond" w:eastAsia="Calibri" w:hAnsi="Garamond" w:cs="Times New Roman"/>
          <w:sz w:val="24"/>
          <w:szCs w:val="24"/>
          <w:lang w:val="en-US"/>
        </w:rPr>
        <w:instrText>ADDIN CSL_CITATION {"citationItems":[{"id":"ITEM-1","itemData":{"DOI":"10.1162/00346530151143815","ISBN":"00346535","ISSN":"0034-6535","PMID":"7754995","abstract":"Previous studies that attempt to relate environmental to financial performance have often led to conflicting results due to small samples and subjective environmental performance criteria. We report on a study that relates the market value of firms in the S&amp;P 500 to objective measures of their environmental performance. After controlling for variables traditionally thought to explain firm-level financial performance, we find that bad environmental performance is negatively correlated with the intangible asset value of firms. The average ‘intangible liability’ for firms in our sample is $380 million—approximately 9% of the replacement value of tangible assets. We conclude that legally emitted toxic chemicals have a significant effect on the intangible asset value of publicly traded companies. A 10% reduction in emissions of toxic chemicals results in a $34 million increase in market value. The magnitude of these effects varies across industries, with larger losses accruing to the traditionally polluting in...","author":[{"dropping-particle":"","family":"Konar","given":"Shameek","non-dropping-particle":"","parse-names":false,"suffix":""},{"dropping-particle":"","family":"Cohen","given":"Mark A.","non-dropping-particle":"","parse-names":false,"suffix":""}],"container-title":"Review of Economics and Statistics","id":"ITEM-1","issue":"2","issued":{"date-parts":[["2001"]]},"page":"281-289","title":"Does the Market Value Environmental Performance?","type":"article-journal","volume":"83"},"uris":["http://www.mendeley.com/documents/?uuid=55bf1acf-6681-428a-881e-d773cfcd22e2"]},{"id":"ITEM-2","itemData":{"DOI":"10.1023/B:EARE.0000044602.86367.ff","ISBN":"0924-6460","abstract":"A growing body of research has centered on the issue of the relationship between financial and environmental performance. The lack of consensus in this literature can be attributed to several factors. The cost of complying with environmental regulation can be significant and detrimental to shareholder wealth maximization. Conversely, a firm that can effectively control pollution might also be able to effectively control other costs of production and hence earn a higher rate of return. We utilize data from the Investor Responsibility Research Center as well as a proprietary database to investigate the relationship between environmental performance and financial performance in electric utilities. Utilities, as producers and distributors of energy, produce substantial amounts of pollution. However, since public utilities are regulated, studying the financial and environmental performance of utilities affords us the opportunity to see what role regulation plays in enhancing or diminishing the relationship between financial and environmental performance. Our results differ from earlier studies in that we find do not find a positive relationship between holding period returns and an industry-adjusted measure of environmental performance nor do we find that regulatory climate appears to explain returns. While there does not appear to be a clearly defined relationship between regulatory climate and a compliance based measure of environmental performance, there is evidence of a negative relationship between financial return and a more pro-active measure of environmental performance. We offer several possible interpretations of these results and extensions for future research.","author":[{"dropping-particle":"","family":"Filbeck","given":"G","non-dropping-particle":"","parse-names":false,"suffix":""},{"dropping-particle":"","family":"Gorman","given":"R F","non-dropping-particle":"","parse-names":false,"suffix":""}],"container-title":"Environmental &amp; Resource Economics","id":"ITEM-2","issue":"2","issued":{"date-parts":[["2004"]]},"page":"137-157","title":"The relationship between the environmental and financial performance of public utilities","type":"article-journal","volume":"29"},"uris":["http://www.mendeley.com/documents/?uuid=4cfa7e42-4a8f-434d-a9e2-4c0cdd36f901"]},{"id":"ITEM-3","itemData":{"author":[{"dropping-particle":"","family":"Hassel","given":"Lars","non-dropping-particle":"","parse-names":false,"suffix":""},{"dropping-particle":"","family":"Nilsson","given":"Henrik","non-dropping-particle":"","parse-names":false,"suffix":""},{"dropping-particle":"V","family":"Nyquist","given":"S I","non-dropping-particle":"","parse-names":false,"suffix":""}],"id":"ITEM-3","issue":"1","issued":{"date-parts":[["2005"]]},"page":"41-61","title":"The Value Relevance of Environmental Performance","type":"article-journal","volume":"14"},"uris":["http://www.mendeley.com/documents/?uuid=3cee5e9b-b929-485d-992b-e249220c7c50"]},{"id":"ITEM-4","itemData":{"DOI":"10.1002/eet","ISSN":"09610405","author":[{"dropping-particle":"","family":"Earnhart","given":"Dietrich","non-dropping-particle":"","parse-names":false,"suffix":""},{"dropping-particle":"","family":"Lizal","given":"Lubomir","non-dropping-particle":"","parse-names":false,"suffix":""}],"container-title":"European Environment","id":"ITEM-4","issued":{"date-parts":[["2007"]]},"page":"247-266","title":"Effect of pollution control on corporate financial performance in a transition economy","type":"article-journal","volume":"266"},"uris":["http://www.mendeley.com/documents/?uuid=d6fa97d4-7bc2-413d-b5ff-0c7393d48b10"]},{"id":"ITEM-5","itemData":{"DOI":"10.1108/02635571011020304","ISBN":"1741040101102","ISSN":"0263-5577","PMID":"21409434","abstract":"Purpose – The aim of this paper is to evaluate the significance of the link between corporate environmental and financial performance in order to show managers how an adequate management of environmental factors could contribute to the financial success of the firm. Design/methodology/approach – The paper analyses the environmental and financial performance of a sample of 230 European companies. Under the stakeholder approach, the commitment to environmental performance is analysed and linked with the firms’ financial improvement. The paper proposes a partial least squares model (PLS) for measuring corporate environmental and financial performance that seems to be the first time which has been applied in the field. Findings – The results support the idea that enterprises which obtained higher rates of environmental performance show better financial performance levels in the future. Research limitations/implications – The lack of a long series of environmental performance data for organisations is an obstacle for a broader analysis. This research shows the usefulness of the multivariate modelling for analysing the environmental and financial performance of businesses. Practical implications – In practice, this research may show managers the need of taking into account the environmental management factors when configuring the strategic policy of the firm and how environmental management can impact to the financial success of the firms. Originality/value – The use of PLS modelling for measuring environmental and financial performance theoretical concepts and considering a sample of European companies for the empirical analysis.","author":[{"dropping-particle":"","family":"Moneva","given":"José M.","non-dropping-particle":"","parse-names":false,"suffix":""},{"dropping-particle":"","family":"Ortas","given":"Eduardo","non-dropping-particle":"","parse-names":false,"suffix":""}],"container-title":"Industrial Management &amp; Data Systems","id":"ITEM-5","issue":"2","issued":{"date-parts":[["2010"]]},"page":"193-210","title":"Corporate environmental and financial performance: a multivariate approach","type":"article-journal","volume":"110"},"uris":["http://www.mendeley.com/documents/?uuid=8437fe75-70cc-4d1f-984b-c16d11049892"]},{"id":"ITEM-6","itemData":{"abstract":"This paper focuses on the relationship between environmental sustainability and the financial performance of SMEs in terms of profit development and revenue development. The analysis uses a unique dataset of 337 Dutch and Chinese firms. The results suggest a significant positive association between environmental sustainability and firm performance. It appears, however, that different indicators of environmental sustainability display a distinct relationship with the two performance measures. When firms have a policy on the re-usage of materials they perform significantly better in terms of profit development and when firms have a policy on the reduction of pollution they perform significantly better in terms of revenue development. Furthermore, we also find that firms that communicate to their employees about their sustainability efforts perform better in terms of profit development. Finally, weak support is found for a moderating effect of communication to employees on the positive relationship between sustainability and profit development.","author":[{"dropping-particle":"","family":"Vijfvinkel","given":"Sjoerd","non-dropping-particle":"","parse-names":false,"suffix":""},{"dropping-particle":"","family":"Bouman","given":"Nasser","non-dropping-particle":"","parse-names":false,"suffix":""},{"dropping-particle":"","family":"Hessels","given":"Jolanda","non-dropping-particle":"","parse-names":false,"suffix":""}],"container-title":"Analysis","id":"ITEM-6","issue":"January","issued":{"date-parts":[["2011"]]},"title":"Environmental sustainability and financial performance of SMEs","type":"article-journal"},"uris":["http://www.mendeley.com/documents/?uuid=11444708-0529-4d95-8954-e54804c9b887"]}],"mendeley":{"formattedCitation":"(Earnhart &amp; Lizal, 2007; Filbeck &amp; Gorman, 2004; Hassel, Nilsson, &amp; Nyquist, 2005; Konar &amp; Cohen, 2001; Moneva &amp; Ortas, 2010; Vijfvinkel, Bouman, &amp; Hessels, 2011)","plainTextFormattedCitation":"(Earnhart &amp; Lizal, 2007; Filbeck &amp; Gorman, 2004; Hassel, Nilsson, &amp; Nyquist, 2005; Konar &amp; Cohen, 2001; Moneva &amp; Ortas, 2010; Vijfvinkel, Bouman, &amp; Hessels, 2011)","previouslyFormattedCitation":"(Earnhart &amp; Lizal, 2007; Filbeck &amp; Gorman, 2004; Hassel, Nilsson, &amp; Nyquist, 2005; Konar &amp; Cohen, 2001; Moneva &amp; Ortas, 2010; Vijfvinkel, Bouman, &amp; Hessels, 2011)"},"properties":{"noteIndex":0},"schema":"https://github.com/citation-style-language/schema/raw/master/csl-citation.json"}</w:instrText>
      </w:r>
      <w:r w:rsidR="003342EC" w:rsidRPr="00055865">
        <w:rPr>
          <w:rFonts w:ascii="Garamond" w:eastAsia="Calibri" w:hAnsi="Garamond" w:cs="Times New Roman"/>
          <w:sz w:val="24"/>
          <w:szCs w:val="24"/>
          <w:lang w:val="en-US"/>
        </w:rPr>
        <w:fldChar w:fldCharType="separate"/>
      </w:r>
      <w:r w:rsidR="003621E3" w:rsidRPr="00055865">
        <w:rPr>
          <w:rFonts w:ascii="Garamond" w:eastAsia="Calibri" w:hAnsi="Garamond" w:cs="Times New Roman"/>
          <w:noProof/>
          <w:sz w:val="24"/>
          <w:szCs w:val="24"/>
          <w:lang w:val="en-US"/>
        </w:rPr>
        <w:t xml:space="preserve">(Earnhart &amp; Lizal, 2007; Filbeck &amp; </w:t>
      </w:r>
      <w:r w:rsidR="003621E3" w:rsidRPr="00055865">
        <w:rPr>
          <w:rFonts w:ascii="Garamond" w:eastAsia="Calibri" w:hAnsi="Garamond" w:cs="Times New Roman"/>
          <w:noProof/>
          <w:sz w:val="24"/>
          <w:szCs w:val="24"/>
          <w:lang w:val="en-US"/>
        </w:rPr>
        <w:lastRenderedPageBreak/>
        <w:t>Gorman, 2004; Hassel, Nilsson, &amp; Nyquist, 2005; Konar &amp; Cohen, 2001; Moneva &amp; Ortas, 2010; Vijfvinkel, Bouman, &amp; Hessels, 2011)</w:t>
      </w:r>
      <w:r w:rsidR="003342EC" w:rsidRPr="00055865">
        <w:rPr>
          <w:rFonts w:ascii="Garamond" w:eastAsia="Calibri" w:hAnsi="Garamond" w:cs="Times New Roman"/>
          <w:sz w:val="24"/>
          <w:szCs w:val="24"/>
          <w:lang w:val="en-US"/>
        </w:rPr>
        <w:fldChar w:fldCharType="end"/>
      </w:r>
      <w:r w:rsidR="003342EC" w:rsidRPr="00055865">
        <w:rPr>
          <w:rFonts w:ascii="Garamond" w:eastAsia="Calibri" w:hAnsi="Garamond" w:cs="Times New Roman"/>
          <w:sz w:val="24"/>
          <w:szCs w:val="24"/>
          <w:lang w:val="en-US"/>
        </w:rPr>
        <w:t xml:space="preserve"> have used third party environmental rating index </w:t>
      </w:r>
      <w:r w:rsidR="00131EC6" w:rsidRPr="00055865">
        <w:rPr>
          <w:rFonts w:ascii="Garamond" w:eastAsia="Calibri" w:hAnsi="Garamond" w:cs="Times New Roman"/>
          <w:sz w:val="24"/>
          <w:szCs w:val="24"/>
          <w:lang w:val="en-US"/>
        </w:rPr>
        <w:t>only available for larger firms</w:t>
      </w:r>
      <w:r w:rsidR="003342EC" w:rsidRPr="00055865">
        <w:rPr>
          <w:rFonts w:ascii="Garamond" w:eastAsia="Calibri" w:hAnsi="Garamond" w:cs="Times New Roman"/>
          <w:sz w:val="24"/>
          <w:szCs w:val="24"/>
          <w:lang w:val="en-US"/>
        </w:rPr>
        <w:t xml:space="preserve"> and </w:t>
      </w:r>
      <w:r w:rsidR="003621E3" w:rsidRPr="00055865">
        <w:rPr>
          <w:rFonts w:ascii="Garamond" w:eastAsia="Calibri" w:hAnsi="Garamond" w:cs="Times New Roman"/>
          <w:sz w:val="24"/>
          <w:szCs w:val="24"/>
          <w:lang w:val="en-US"/>
        </w:rPr>
        <w:t>restricted to</w:t>
      </w:r>
      <w:r w:rsidR="003342EC" w:rsidRPr="00055865">
        <w:rPr>
          <w:rFonts w:ascii="Garamond" w:eastAsia="Calibri" w:hAnsi="Garamond" w:cs="Times New Roman"/>
          <w:sz w:val="24"/>
          <w:szCs w:val="24"/>
          <w:lang w:val="en-US"/>
        </w:rPr>
        <w:t xml:space="preserve"> one or few environmental performance variables. </w:t>
      </w:r>
      <w:r w:rsidR="001E5E96" w:rsidRPr="00055865">
        <w:rPr>
          <w:rFonts w:ascii="Garamond" w:eastAsia="Calibri" w:hAnsi="Garamond" w:cs="Times New Roman"/>
          <w:sz w:val="24"/>
          <w:szCs w:val="24"/>
          <w:lang w:val="en-US"/>
        </w:rPr>
        <w:t xml:space="preserve">Closest to our current study is the work of Wood and Graves (1997) which used Kinder </w:t>
      </w:r>
      <w:proofErr w:type="spellStart"/>
      <w:r w:rsidR="001E5E96" w:rsidRPr="00055865">
        <w:rPr>
          <w:rFonts w:ascii="Garamond" w:eastAsia="Calibri" w:hAnsi="Garamond" w:cs="Times New Roman"/>
          <w:sz w:val="24"/>
          <w:szCs w:val="24"/>
          <w:lang w:val="en-US"/>
        </w:rPr>
        <w:t>Lydenberg</w:t>
      </w:r>
      <w:proofErr w:type="spellEnd"/>
      <w:r w:rsidR="001E5E96" w:rsidRPr="00055865">
        <w:rPr>
          <w:rFonts w:ascii="Garamond" w:eastAsia="Calibri" w:hAnsi="Garamond" w:cs="Times New Roman"/>
          <w:sz w:val="24"/>
          <w:szCs w:val="24"/>
          <w:lang w:val="en-US"/>
        </w:rPr>
        <w:t xml:space="preserve"> Domini (KLD) index to assess </w:t>
      </w:r>
      <w:r w:rsidR="00F72B4D" w:rsidRPr="00055865">
        <w:rPr>
          <w:rFonts w:ascii="Garamond" w:eastAsia="Calibri" w:hAnsi="Garamond" w:cs="Times New Roman"/>
          <w:sz w:val="24"/>
          <w:szCs w:val="24"/>
          <w:lang w:val="en-US"/>
        </w:rPr>
        <w:t>corporate social performance and financial performance relationship</w:t>
      </w:r>
      <w:r w:rsidR="005B6FD7">
        <w:rPr>
          <w:rFonts w:ascii="Garamond" w:eastAsia="Calibri" w:hAnsi="Garamond" w:cs="Times New Roman"/>
          <w:sz w:val="24"/>
          <w:szCs w:val="24"/>
          <w:lang w:val="en-US"/>
        </w:rPr>
        <w:t>.</w:t>
      </w:r>
      <w:r w:rsidR="001E5E96" w:rsidRPr="00055865">
        <w:rPr>
          <w:rFonts w:ascii="Garamond" w:eastAsia="Calibri" w:hAnsi="Garamond" w:cs="Times New Roman"/>
          <w:sz w:val="24"/>
          <w:szCs w:val="24"/>
          <w:lang w:val="en-US"/>
        </w:rPr>
        <w:t xml:space="preserve"> </w:t>
      </w:r>
      <w:r w:rsidR="005B6FD7">
        <w:rPr>
          <w:rFonts w:ascii="Garamond" w:eastAsia="Calibri" w:hAnsi="Garamond" w:cs="Times New Roman"/>
          <w:sz w:val="24"/>
          <w:szCs w:val="24"/>
          <w:lang w:val="en-US"/>
        </w:rPr>
        <w:t>H</w:t>
      </w:r>
      <w:r w:rsidR="001E5E96" w:rsidRPr="00055865">
        <w:rPr>
          <w:rFonts w:ascii="Garamond" w:eastAsia="Calibri" w:hAnsi="Garamond" w:cs="Times New Roman"/>
          <w:sz w:val="24"/>
          <w:szCs w:val="24"/>
          <w:lang w:val="en-US"/>
        </w:rPr>
        <w:t>owever, this prior study included social performance variables and therefore not restricted to only environmental variables. Th</w:t>
      </w:r>
      <w:r w:rsidR="005B6FD7">
        <w:rPr>
          <w:rFonts w:ascii="Garamond" w:eastAsia="Calibri" w:hAnsi="Garamond" w:cs="Times New Roman"/>
          <w:sz w:val="24"/>
          <w:szCs w:val="24"/>
          <w:lang w:val="en-US"/>
        </w:rPr>
        <w:t>us</w:t>
      </w:r>
      <w:r w:rsidR="001E5E96" w:rsidRPr="00055865">
        <w:rPr>
          <w:rFonts w:ascii="Garamond" w:eastAsia="Calibri" w:hAnsi="Garamond" w:cs="Times New Roman"/>
          <w:sz w:val="24"/>
          <w:szCs w:val="24"/>
          <w:lang w:val="en-US"/>
        </w:rPr>
        <w:t>, findings cannot</w:t>
      </w:r>
      <w:r w:rsidR="008F61A3" w:rsidRPr="00055865">
        <w:rPr>
          <w:rFonts w:ascii="Garamond" w:eastAsia="Calibri" w:hAnsi="Garamond" w:cs="Times New Roman"/>
          <w:sz w:val="24"/>
          <w:szCs w:val="24"/>
          <w:lang w:val="en-US"/>
        </w:rPr>
        <w:t xml:space="preserve"> </w:t>
      </w:r>
      <w:r w:rsidR="001E5E96" w:rsidRPr="00055865">
        <w:rPr>
          <w:rFonts w:ascii="Garamond" w:eastAsia="Calibri" w:hAnsi="Garamond" w:cs="Times New Roman"/>
          <w:sz w:val="24"/>
          <w:szCs w:val="24"/>
          <w:lang w:val="en-US"/>
        </w:rPr>
        <w:t>be attributed to</w:t>
      </w:r>
      <w:r w:rsidR="00F72B4D" w:rsidRPr="00055865">
        <w:rPr>
          <w:rFonts w:ascii="Garamond" w:eastAsia="Calibri" w:hAnsi="Garamond" w:cs="Times New Roman"/>
          <w:sz w:val="24"/>
          <w:szCs w:val="24"/>
          <w:lang w:val="en-US"/>
        </w:rPr>
        <w:t xml:space="preserve"> only</w:t>
      </w:r>
      <w:r w:rsidR="001E5E96" w:rsidRPr="00055865">
        <w:rPr>
          <w:rFonts w:ascii="Garamond" w:eastAsia="Calibri" w:hAnsi="Garamond" w:cs="Times New Roman"/>
          <w:sz w:val="24"/>
          <w:szCs w:val="24"/>
          <w:lang w:val="en-US"/>
        </w:rPr>
        <w:t xml:space="preserve"> environmental performances. </w:t>
      </w:r>
    </w:p>
    <w:p w14:paraId="71055538" w14:textId="40018493" w:rsidR="007A06B1" w:rsidRPr="00055865" w:rsidRDefault="001D5D2C" w:rsidP="005B6FD7">
      <w:pPr>
        <w:tabs>
          <w:tab w:val="left" w:pos="2550"/>
        </w:tabs>
        <w:spacing w:after="0" w:line="480" w:lineRule="auto"/>
        <w:ind w:firstLine="720"/>
        <w:jc w:val="both"/>
        <w:rPr>
          <w:rFonts w:ascii="Garamond" w:eastAsia="Calibri" w:hAnsi="Garamond" w:cs="Times New Roman"/>
          <w:sz w:val="24"/>
          <w:szCs w:val="24"/>
          <w:lang w:val="en-US"/>
        </w:rPr>
      </w:pPr>
      <w:r>
        <w:rPr>
          <w:rFonts w:ascii="Garamond" w:eastAsia="Calibri" w:hAnsi="Garamond" w:cs="Times New Roman"/>
          <w:sz w:val="24"/>
          <w:szCs w:val="24"/>
          <w:lang w:val="en-US"/>
        </w:rPr>
        <w:t>Inspired by the</w:t>
      </w:r>
      <w:r w:rsidR="003342EC" w:rsidRPr="00055865">
        <w:rPr>
          <w:rFonts w:ascii="Garamond" w:eastAsia="Calibri" w:hAnsi="Garamond" w:cs="Times New Roman"/>
          <w:sz w:val="24"/>
          <w:szCs w:val="24"/>
          <w:lang w:val="en-US"/>
        </w:rPr>
        <w:t xml:space="preserve"> D</w:t>
      </w:r>
      <w:r w:rsidR="003621E3" w:rsidRPr="00055865">
        <w:rPr>
          <w:rFonts w:ascii="Garamond" w:eastAsia="Calibri" w:hAnsi="Garamond" w:cs="Times New Roman"/>
          <w:sz w:val="24"/>
          <w:szCs w:val="24"/>
          <w:lang w:val="en-US"/>
        </w:rPr>
        <w:t>EFRA</w:t>
      </w:r>
      <w:r w:rsidR="003342EC" w:rsidRPr="00055865">
        <w:rPr>
          <w:rFonts w:ascii="Garamond" w:eastAsia="Calibri" w:hAnsi="Garamond" w:cs="Times New Roman"/>
          <w:sz w:val="24"/>
          <w:szCs w:val="24"/>
          <w:lang w:val="en-US"/>
        </w:rPr>
        <w:t xml:space="preserve"> (2013) and</w:t>
      </w:r>
      <w:r w:rsidR="003621E3" w:rsidRPr="00055865">
        <w:rPr>
          <w:rFonts w:ascii="Garamond" w:eastAsia="Calibri" w:hAnsi="Garamond" w:cs="Times New Roman"/>
          <w:sz w:val="24"/>
          <w:szCs w:val="24"/>
          <w:lang w:val="en-US"/>
        </w:rPr>
        <w:t xml:space="preserve"> </w:t>
      </w:r>
      <w:r w:rsidR="003621E3" w:rsidRPr="00055865">
        <w:rPr>
          <w:rFonts w:ascii="Garamond" w:eastAsia="Calibri" w:hAnsi="Garamond" w:cs="Times New Roman"/>
          <w:sz w:val="24"/>
          <w:szCs w:val="24"/>
          <w:lang w:val="en-US"/>
        </w:rPr>
        <w:fldChar w:fldCharType="begin" w:fldLock="1"/>
      </w:r>
      <w:r w:rsidR="003621E3" w:rsidRPr="00055865">
        <w:rPr>
          <w:rFonts w:ascii="Garamond" w:eastAsia="Calibri" w:hAnsi="Garamond" w:cs="Times New Roman"/>
          <w:sz w:val="24"/>
          <w:szCs w:val="24"/>
          <w:lang w:val="en-US"/>
        </w:rPr>
        <w:instrText>ADDIN CSL_CITATION {"citationItems":[{"id":"ITEM-1","itemData":{"DOI":"10.1016/S0278-4254(98)10012-1","ISBN":"1535-3958","ISSN":"02784254","abstract":"As shareholders, government regulators, consumers, employees, and the general public pay more attention to companies' environmental performance, measurement issues are becoming increasingly important and demand is growing for relevant infor-mation to assist stakeholders in making key decisions. Despite the enhanced interest in and attention to companies' environmental activities, the accounting profession has been slow to take on the role of de®ning, measuring, and controlling this broad cor-porate domain. Thus, measures of environmental performance have proliferated in the absence of clear, generally accepted guidelines as to what constitutes good and bad environmental performance. As a result, the public is becoming increasingly confused and cynical about interpretation of such data. In this paper, we use theoretical and empirical approaches to de®ne corporate en-vironmental performance and consider how well existing measures operationalize the construct. Interestingly, some popular environmental rating schemes seem to rely more heavily on public reaction to environmental events than on more precise and measurable outcome or process dimensions. Our ®ndings suggest a need for explicit environmental performance metrics in order to provide stakeholders with more reliable, consistent, and accurate information for comparing companies and making key strategic decisions. PII: S 0 2 7 8 -4 2 5 4 (9 8) 1 0 0 1 2 -1 We argue that the accounting profession is an obvious candidate for establishing such metrics since the domain of accounting typically includes measuring, communicating, and regulating information about company performance. Expanding accountants' do-main to include environmental performance can greatly contribute to the usefulness of environmental performance metrics. Ó","author":[{"dropping-particle":"","family":"Ilinitch","given":"Anne Y","non-dropping-particle":"","parse-names":false,"suffix":""},{"dropping-particle":"","family":"Soderstrom","given":"Naomi S","non-dropping-particle":"","parse-names":false,"suffix":""},{"dropping-particle":"","family":"Thomas","given":"Tom E","non-dropping-particle":"","parse-names":false,"suffix":""}],"container-title":"Journal of Accounting and Public Policy","id":"ITEM-1","issued":{"date-parts":[["1998"]]},"page":"383-408","title":"Measuring corporate environmental performance","type":"article-journal","volume":"17"},"uris":["http://www.mendeley.com/documents/?uuid=723e9af0-18fb-4a59-92d8-14055d8533d0"]}],"mendeley":{"formattedCitation":"(Ilinitch, Soderstrom, &amp; Thomas, 1998)","plainTextFormattedCitation":"(Ilinitch, Soderstrom, &amp; Thomas, 1998)","previouslyFormattedCitation":"(Ilinitch, Soderstrom, &amp; Thomas, 1998)"},"properties":{"noteIndex":0},"schema":"https://github.com/citation-style-language/schema/raw/master/csl-citation.json"}</w:instrText>
      </w:r>
      <w:r w:rsidR="003621E3" w:rsidRPr="00055865">
        <w:rPr>
          <w:rFonts w:ascii="Garamond" w:eastAsia="Calibri" w:hAnsi="Garamond" w:cs="Times New Roman"/>
          <w:sz w:val="24"/>
          <w:szCs w:val="24"/>
          <w:lang w:val="en-US"/>
        </w:rPr>
        <w:fldChar w:fldCharType="separate"/>
      </w:r>
      <w:r w:rsidR="003621E3" w:rsidRPr="00055865">
        <w:rPr>
          <w:rFonts w:ascii="Garamond" w:eastAsia="Calibri" w:hAnsi="Garamond" w:cs="Times New Roman"/>
          <w:noProof/>
          <w:sz w:val="24"/>
          <w:szCs w:val="24"/>
          <w:lang w:val="en-US"/>
        </w:rPr>
        <w:t>(Ilinitch, Soderstrom, &amp; Thomas, 1998)</w:t>
      </w:r>
      <w:r w:rsidR="003621E3" w:rsidRPr="00055865">
        <w:rPr>
          <w:rFonts w:ascii="Garamond" w:eastAsia="Calibri" w:hAnsi="Garamond" w:cs="Times New Roman"/>
          <w:sz w:val="24"/>
          <w:szCs w:val="24"/>
          <w:lang w:val="en-US"/>
        </w:rPr>
        <w:fldChar w:fldCharType="end"/>
      </w:r>
      <w:r w:rsidR="003342EC" w:rsidRPr="00055865">
        <w:rPr>
          <w:rFonts w:ascii="Garamond" w:eastAsia="Calibri" w:hAnsi="Garamond" w:cs="Times New Roman"/>
          <w:sz w:val="24"/>
          <w:szCs w:val="24"/>
          <w:lang w:val="en-US"/>
        </w:rPr>
        <w:t xml:space="preserve"> environmental performance guidelines</w:t>
      </w:r>
      <w:r w:rsidR="001E5E96" w:rsidRPr="00055865">
        <w:rPr>
          <w:rFonts w:ascii="Garamond" w:eastAsia="Calibri" w:hAnsi="Garamond" w:cs="Times New Roman"/>
          <w:sz w:val="24"/>
          <w:szCs w:val="24"/>
          <w:lang w:val="en-US"/>
        </w:rPr>
        <w:t xml:space="preserve"> (indices)</w:t>
      </w:r>
      <w:r w:rsidR="003342EC" w:rsidRPr="00055865">
        <w:rPr>
          <w:rFonts w:ascii="Garamond" w:eastAsia="Calibri" w:hAnsi="Garamond" w:cs="Times New Roman"/>
          <w:sz w:val="24"/>
          <w:szCs w:val="24"/>
          <w:lang w:val="en-US"/>
        </w:rPr>
        <w:t xml:space="preserve">, this study used handpicked data of </w:t>
      </w:r>
      <w:r w:rsidR="003621E3" w:rsidRPr="00055865">
        <w:rPr>
          <w:rFonts w:ascii="Garamond" w:eastAsia="Calibri" w:hAnsi="Garamond" w:cs="Times New Roman"/>
          <w:sz w:val="24"/>
          <w:szCs w:val="24"/>
          <w:lang w:val="en-US"/>
        </w:rPr>
        <w:t>sustainable environmental practices</w:t>
      </w:r>
      <w:r w:rsidR="001E5E96" w:rsidRPr="00055865">
        <w:rPr>
          <w:rFonts w:ascii="Garamond" w:eastAsia="Calibri" w:hAnsi="Garamond" w:cs="Times New Roman"/>
          <w:sz w:val="24"/>
          <w:szCs w:val="24"/>
          <w:lang w:val="en-US"/>
        </w:rPr>
        <w:t xml:space="preserve"> of listed UK SMEs</w:t>
      </w:r>
      <w:r w:rsidR="00DD661A" w:rsidRPr="00055865">
        <w:rPr>
          <w:rFonts w:ascii="Garamond" w:eastAsia="Calibri" w:hAnsi="Garamond" w:cs="Times New Roman"/>
          <w:sz w:val="24"/>
          <w:szCs w:val="24"/>
          <w:lang w:val="en-US"/>
        </w:rPr>
        <w:t>. Th</w:t>
      </w:r>
      <w:r w:rsidR="00187406" w:rsidRPr="00055865">
        <w:rPr>
          <w:rFonts w:ascii="Garamond" w:eastAsia="Calibri" w:hAnsi="Garamond" w:cs="Times New Roman"/>
          <w:sz w:val="24"/>
          <w:szCs w:val="24"/>
          <w:lang w:val="en-US"/>
        </w:rPr>
        <w:t>is</w:t>
      </w:r>
      <w:r w:rsidR="00DD661A" w:rsidRPr="00055865">
        <w:rPr>
          <w:rFonts w:ascii="Garamond" w:eastAsia="Calibri" w:hAnsi="Garamond" w:cs="Times New Roman"/>
          <w:sz w:val="24"/>
          <w:szCs w:val="24"/>
          <w:lang w:val="en-US"/>
        </w:rPr>
        <w:t xml:space="preserve"> data is</w:t>
      </w:r>
      <w:r w:rsidR="003342EC" w:rsidRPr="00055865">
        <w:rPr>
          <w:rFonts w:ascii="Garamond" w:eastAsia="Calibri" w:hAnsi="Garamond" w:cs="Times New Roman"/>
          <w:sz w:val="24"/>
          <w:szCs w:val="24"/>
          <w:lang w:val="en-US"/>
        </w:rPr>
        <w:t xml:space="preserve"> considered comprehensive enough and </w:t>
      </w:r>
      <w:r w:rsidR="003621E3" w:rsidRPr="00055865">
        <w:rPr>
          <w:rFonts w:ascii="Garamond" w:eastAsia="Calibri" w:hAnsi="Garamond" w:cs="Times New Roman"/>
          <w:sz w:val="24"/>
          <w:szCs w:val="24"/>
          <w:lang w:val="en-US"/>
        </w:rPr>
        <w:t>includes</w:t>
      </w:r>
      <w:r w:rsidR="003342EC" w:rsidRPr="00055865">
        <w:rPr>
          <w:rFonts w:ascii="Garamond" w:eastAsia="Calibri" w:hAnsi="Garamond" w:cs="Times New Roman"/>
          <w:sz w:val="24"/>
          <w:szCs w:val="24"/>
          <w:lang w:val="en-US"/>
        </w:rPr>
        <w:t xml:space="preserve"> </w:t>
      </w:r>
      <w:r w:rsidR="00A30EEF" w:rsidRPr="00055865">
        <w:rPr>
          <w:rFonts w:ascii="Garamond" w:eastAsia="Calibri" w:hAnsi="Garamond" w:cs="Times New Roman"/>
          <w:sz w:val="24"/>
          <w:szCs w:val="24"/>
          <w:lang w:val="en-US"/>
        </w:rPr>
        <w:t>multiple</w:t>
      </w:r>
      <w:r w:rsidR="003342EC" w:rsidRPr="00055865">
        <w:rPr>
          <w:rFonts w:ascii="Garamond" w:eastAsia="Calibri" w:hAnsi="Garamond" w:cs="Times New Roman"/>
          <w:sz w:val="24"/>
          <w:szCs w:val="24"/>
          <w:lang w:val="en-US"/>
        </w:rPr>
        <w:t xml:space="preserve"> </w:t>
      </w:r>
      <w:r w:rsidR="003621E3" w:rsidRPr="00055865">
        <w:rPr>
          <w:rFonts w:ascii="Garamond" w:eastAsia="Calibri" w:hAnsi="Garamond" w:cs="Times New Roman"/>
          <w:sz w:val="24"/>
          <w:szCs w:val="24"/>
          <w:lang w:val="en-US"/>
        </w:rPr>
        <w:t>sustainable</w:t>
      </w:r>
      <w:r w:rsidR="003342EC" w:rsidRPr="00055865">
        <w:rPr>
          <w:rFonts w:ascii="Garamond" w:eastAsia="Calibri" w:hAnsi="Garamond" w:cs="Times New Roman"/>
          <w:sz w:val="24"/>
          <w:szCs w:val="24"/>
          <w:lang w:val="en-US"/>
        </w:rPr>
        <w:t xml:space="preserve"> environmental activities.</w:t>
      </w:r>
      <w:r w:rsidR="003621E3" w:rsidRPr="00055865">
        <w:rPr>
          <w:rFonts w:ascii="Garamond" w:eastAsia="Calibri" w:hAnsi="Garamond" w:cs="Times New Roman"/>
          <w:sz w:val="24"/>
          <w:szCs w:val="24"/>
          <w:lang w:val="en-US"/>
        </w:rPr>
        <w:t xml:space="preserve"> </w:t>
      </w:r>
      <w:r w:rsidR="007A06B1" w:rsidRPr="00055865">
        <w:rPr>
          <w:rFonts w:ascii="Garamond" w:eastAsia="Calibri" w:hAnsi="Garamond" w:cs="Times New Roman"/>
          <w:sz w:val="24"/>
          <w:szCs w:val="24"/>
          <w:lang w:val="en-US"/>
        </w:rPr>
        <w:t>Similarly, by offering multiple sustainable environmental practices performance index</w:t>
      </w:r>
      <w:r w:rsidR="00A62E6D" w:rsidRPr="00055865">
        <w:rPr>
          <w:rFonts w:ascii="Garamond" w:eastAsia="Calibri" w:hAnsi="Garamond" w:cs="Times New Roman"/>
          <w:sz w:val="24"/>
          <w:szCs w:val="24"/>
          <w:lang w:val="en-US"/>
        </w:rPr>
        <w:t xml:space="preserve"> as the performance assessment tool</w:t>
      </w:r>
      <w:r w:rsidR="007A06B1" w:rsidRPr="00055865">
        <w:rPr>
          <w:rFonts w:ascii="Garamond" w:eastAsia="Calibri" w:hAnsi="Garamond" w:cs="Times New Roman"/>
          <w:sz w:val="24"/>
          <w:szCs w:val="24"/>
          <w:lang w:val="en-US"/>
        </w:rPr>
        <w:t xml:space="preserve">, we offer a broader framework, which could be adapted/adopted for future studies. This will not only broaden our understanding of the multiple sustainable environmental </w:t>
      </w:r>
      <w:r w:rsidR="00A30EEF" w:rsidRPr="00055865">
        <w:rPr>
          <w:rFonts w:ascii="Garamond" w:eastAsia="Calibri" w:hAnsi="Garamond" w:cs="Times New Roman"/>
          <w:sz w:val="24"/>
          <w:szCs w:val="24"/>
          <w:lang w:val="en-US"/>
        </w:rPr>
        <w:t>practices’</w:t>
      </w:r>
      <w:r w:rsidR="007A06B1" w:rsidRPr="00055865">
        <w:rPr>
          <w:rFonts w:ascii="Garamond" w:eastAsia="Calibri" w:hAnsi="Garamond" w:cs="Times New Roman"/>
          <w:sz w:val="24"/>
          <w:szCs w:val="24"/>
          <w:lang w:val="en-US"/>
        </w:rPr>
        <w:t xml:space="preserve"> </w:t>
      </w:r>
      <w:r w:rsidR="001E5E96" w:rsidRPr="00055865">
        <w:rPr>
          <w:rFonts w:ascii="Garamond" w:eastAsia="Calibri" w:hAnsi="Garamond" w:cs="Times New Roman"/>
          <w:sz w:val="24"/>
          <w:szCs w:val="24"/>
          <w:lang w:val="en-US"/>
        </w:rPr>
        <w:t>initiatives,</w:t>
      </w:r>
      <w:r w:rsidR="007A06B1" w:rsidRPr="00055865">
        <w:rPr>
          <w:rFonts w:ascii="Garamond" w:eastAsia="Calibri" w:hAnsi="Garamond" w:cs="Times New Roman"/>
          <w:sz w:val="24"/>
          <w:szCs w:val="24"/>
          <w:lang w:val="en-US"/>
        </w:rPr>
        <w:t xml:space="preserve"> but it also offers us the varying sustainable environmental practices assessment tool that could be used by SMEs practitioners to assess their environmental investment performance.   </w:t>
      </w:r>
    </w:p>
    <w:p w14:paraId="4673D8E6" w14:textId="1547DE50" w:rsidR="00C3429E" w:rsidRPr="00055865" w:rsidRDefault="0054403F" w:rsidP="005B6FD7">
      <w:pPr>
        <w:spacing w:after="0" w:line="480" w:lineRule="auto"/>
        <w:ind w:firstLine="720"/>
        <w:contextualSpacing/>
        <w:jc w:val="both"/>
        <w:rPr>
          <w:rFonts w:ascii="Garamond" w:hAnsi="Garamond"/>
          <w:sz w:val="24"/>
          <w:szCs w:val="24"/>
        </w:rPr>
      </w:pPr>
      <w:r w:rsidRPr="00055865">
        <w:rPr>
          <w:rFonts w:ascii="Garamond" w:hAnsi="Garamond"/>
          <w:sz w:val="24"/>
          <w:szCs w:val="24"/>
        </w:rPr>
        <w:t xml:space="preserve"> </w:t>
      </w:r>
      <w:r w:rsidR="00F74D65" w:rsidRPr="00055865">
        <w:rPr>
          <w:rFonts w:ascii="Garamond" w:hAnsi="Garamond"/>
          <w:sz w:val="24"/>
          <w:szCs w:val="24"/>
        </w:rPr>
        <w:t>Finally, the study identifies the type of sustainable environmental p</w:t>
      </w:r>
      <w:r w:rsidR="004D2687" w:rsidRPr="00055865">
        <w:rPr>
          <w:rFonts w:ascii="Garamond" w:hAnsi="Garamond"/>
          <w:sz w:val="24"/>
          <w:szCs w:val="24"/>
        </w:rPr>
        <w:t>ractices</w:t>
      </w:r>
      <w:r w:rsidR="00F74D65" w:rsidRPr="00055865">
        <w:rPr>
          <w:rFonts w:ascii="Garamond" w:hAnsi="Garamond"/>
          <w:sz w:val="24"/>
          <w:szCs w:val="24"/>
        </w:rPr>
        <w:t xml:space="preserve"> that are likely to enhance financial performance and therefore need to b</w:t>
      </w:r>
      <w:r w:rsidR="001D5D2C">
        <w:rPr>
          <w:rFonts w:ascii="Garamond" w:hAnsi="Garamond"/>
          <w:sz w:val="24"/>
          <w:szCs w:val="24"/>
        </w:rPr>
        <w:t xml:space="preserve">e given attention by </w:t>
      </w:r>
      <w:r w:rsidR="005B6FD7">
        <w:rPr>
          <w:rFonts w:ascii="Garamond" w:hAnsi="Garamond"/>
          <w:sz w:val="24"/>
          <w:szCs w:val="24"/>
        </w:rPr>
        <w:t xml:space="preserve">the </w:t>
      </w:r>
      <w:r w:rsidR="001D5D2C">
        <w:rPr>
          <w:rFonts w:ascii="Garamond" w:hAnsi="Garamond"/>
          <w:sz w:val="24"/>
          <w:szCs w:val="24"/>
        </w:rPr>
        <w:t xml:space="preserve">management of </w:t>
      </w:r>
      <w:r w:rsidR="00A62E6D" w:rsidRPr="00055865">
        <w:rPr>
          <w:rFonts w:ascii="Garamond" w:hAnsi="Garamond"/>
          <w:sz w:val="24"/>
          <w:szCs w:val="24"/>
        </w:rPr>
        <w:t>SMEs</w:t>
      </w:r>
      <w:r w:rsidR="001D5D2C">
        <w:rPr>
          <w:rFonts w:ascii="Garamond" w:hAnsi="Garamond"/>
          <w:sz w:val="24"/>
          <w:szCs w:val="24"/>
        </w:rPr>
        <w:t xml:space="preserve"> as these practices will help them</w:t>
      </w:r>
      <w:r w:rsidR="00A62E6D" w:rsidRPr="00055865">
        <w:rPr>
          <w:rFonts w:ascii="Garamond" w:hAnsi="Garamond"/>
          <w:sz w:val="24"/>
          <w:szCs w:val="24"/>
        </w:rPr>
        <w:t xml:space="preserve"> </w:t>
      </w:r>
      <w:r w:rsidR="001D5D2C">
        <w:rPr>
          <w:rFonts w:ascii="Garamond" w:hAnsi="Garamond"/>
          <w:sz w:val="24"/>
          <w:szCs w:val="24"/>
        </w:rPr>
        <w:t xml:space="preserve">devise environmental practice </w:t>
      </w:r>
      <w:r w:rsidR="00D86F24" w:rsidRPr="00055865">
        <w:rPr>
          <w:rFonts w:ascii="Garamond" w:hAnsi="Garamond"/>
          <w:sz w:val="24"/>
          <w:szCs w:val="24"/>
        </w:rPr>
        <w:t>strategies and policies that will improve the prospect of the</w:t>
      </w:r>
      <w:r w:rsidR="001D5D2C">
        <w:rPr>
          <w:rFonts w:ascii="Garamond" w:hAnsi="Garamond"/>
          <w:sz w:val="24"/>
          <w:szCs w:val="24"/>
        </w:rPr>
        <w:t>ir</w:t>
      </w:r>
      <w:r w:rsidR="00D86F24" w:rsidRPr="00055865">
        <w:rPr>
          <w:rFonts w:ascii="Garamond" w:hAnsi="Garamond"/>
          <w:sz w:val="24"/>
          <w:szCs w:val="24"/>
        </w:rPr>
        <w:t xml:space="preserve"> firm</w:t>
      </w:r>
      <w:r w:rsidR="001D5D2C">
        <w:rPr>
          <w:rFonts w:ascii="Garamond" w:hAnsi="Garamond"/>
          <w:sz w:val="24"/>
          <w:szCs w:val="24"/>
        </w:rPr>
        <w:t>s</w:t>
      </w:r>
      <w:r w:rsidR="00D86F24" w:rsidRPr="00055865">
        <w:rPr>
          <w:rFonts w:ascii="Garamond" w:hAnsi="Garamond"/>
          <w:sz w:val="24"/>
          <w:szCs w:val="24"/>
        </w:rPr>
        <w:t>.</w:t>
      </w:r>
      <w:r w:rsidR="00F74D65" w:rsidRPr="00055865">
        <w:rPr>
          <w:rFonts w:ascii="Garamond" w:hAnsi="Garamond"/>
          <w:sz w:val="24"/>
          <w:szCs w:val="24"/>
        </w:rPr>
        <w:t xml:space="preserve"> </w:t>
      </w:r>
      <w:r w:rsidR="003621E3" w:rsidRPr="00055865">
        <w:rPr>
          <w:rFonts w:ascii="Garamond" w:hAnsi="Garamond"/>
          <w:sz w:val="24"/>
          <w:szCs w:val="24"/>
        </w:rPr>
        <w:t xml:space="preserve"> </w:t>
      </w:r>
      <w:r w:rsidR="003621E3" w:rsidRPr="00055865">
        <w:rPr>
          <w:rFonts w:ascii="Garamond" w:eastAsia="Calibri" w:hAnsi="Garamond" w:cs="Times New Roman"/>
          <w:sz w:val="24"/>
          <w:szCs w:val="24"/>
          <w:lang w:val="en-US"/>
        </w:rPr>
        <w:t>Whereas most studies have use</w:t>
      </w:r>
      <w:r w:rsidR="0041222C" w:rsidRPr="00055865">
        <w:rPr>
          <w:rFonts w:ascii="Garamond" w:eastAsia="Calibri" w:hAnsi="Garamond" w:cs="Times New Roman"/>
          <w:sz w:val="24"/>
          <w:szCs w:val="24"/>
          <w:lang w:val="en-US"/>
        </w:rPr>
        <w:t>d</w:t>
      </w:r>
      <w:r w:rsidR="003621E3" w:rsidRPr="00055865">
        <w:rPr>
          <w:rFonts w:ascii="Garamond" w:eastAsia="Calibri" w:hAnsi="Garamond" w:cs="Times New Roman"/>
          <w:sz w:val="24"/>
          <w:szCs w:val="24"/>
          <w:lang w:val="en-US"/>
        </w:rPr>
        <w:t xml:space="preserve"> </w:t>
      </w:r>
      <w:r w:rsidR="00DD661A" w:rsidRPr="00055865">
        <w:rPr>
          <w:rFonts w:ascii="Garamond" w:eastAsia="Calibri" w:hAnsi="Garamond" w:cs="Times New Roman"/>
          <w:sz w:val="24"/>
          <w:szCs w:val="24"/>
          <w:lang w:val="en-US"/>
        </w:rPr>
        <w:t xml:space="preserve">a </w:t>
      </w:r>
      <w:r w:rsidR="003621E3" w:rsidRPr="00055865">
        <w:rPr>
          <w:rFonts w:ascii="Garamond" w:eastAsia="Calibri" w:hAnsi="Garamond" w:cs="Times New Roman"/>
          <w:sz w:val="24"/>
          <w:szCs w:val="24"/>
          <w:lang w:val="en-US"/>
        </w:rPr>
        <w:t xml:space="preserve">composite of environmental variables </w:t>
      </w:r>
      <w:r w:rsidR="003621E3" w:rsidRPr="00055865">
        <w:rPr>
          <w:rFonts w:ascii="Garamond" w:eastAsia="Calibri" w:hAnsi="Garamond" w:cs="Times New Roman"/>
          <w:sz w:val="24"/>
          <w:szCs w:val="24"/>
          <w:lang w:val="en-US"/>
        </w:rPr>
        <w:fldChar w:fldCharType="begin" w:fldLock="1"/>
      </w:r>
      <w:r w:rsidR="00F44D9F" w:rsidRPr="00055865">
        <w:rPr>
          <w:rFonts w:ascii="Garamond" w:eastAsia="Calibri" w:hAnsi="Garamond" w:cs="Times New Roman"/>
          <w:sz w:val="24"/>
          <w:szCs w:val="24"/>
          <w:lang w:val="en-US"/>
        </w:rPr>
        <w:instrText>ADDIN CSL_CITATION {"citationItems":[{"id":"ITEM-1","itemData":{"author":[{"dropping-particle":"","family":"Aiyub","given":"Kadaruddin","non-dropping-particle":"","parse-names":false,"suffix":""},{"dropping-particle":"","family":"Arifin","given":"KAdir","non-dropping-particle":"","parse-names":false,"suffix":""},{"dropping-particle":"","family":"Awang","given":"Azahan","non-dropping-particle":"","parse-names":false,"suffix":""},{"dropping-particle":"","family":"Jahi","given":"Jamaludin","non-dropping-particle":"","parse-names":false,"suffix":""}],"id":"ITEM-1","issued":{"date-parts":[["2009"]]},"title":"environmental performance in SMEs certified to ISO14001 in the UK.pdf","type":"article"},"uris":["http://www.mendeley.com/documents/?uuid=be026efd-b1e3-4fec-b445-181f7d1e758c"]},{"id":"ITEM-2","itemData":{"DOI":"10.1016/j.jenvman.2009.05.007","ISBN":"0301-4797","ISSN":"03014797","PMID":"19482410","abstract":"The examination of the possible direct link between environmental protection and firm performance in the literature has generally produced mixed results. The present paper contributes to the literature by using the resource-based view as a mediating process in this relationship. The study specifically tests whether or not the resource-based view of the firm mediates the positive relationships of proactive environmental management and improved environmental performance with competitive advantage, which also has consequences for financial performance. We also check the possible link between the adoption of a pioneering approach and good environmental management practices. Our findings support that early investment timing and intensity in environmental issues impact on the adoption of a proactive environmental management, which in turn helps to improve environmental performance. The findings also show that a firm's resources and competitive advantage act as mediator variables for a positive relationship between environmental protection and financial performance. This contribution is original because the present paper develops a comprehensive whole picture of this path process, which has previously only been partially discussed in the literature. In addition, this study clarifies a relevant point in the literature, namely that the effect of environmental protection on firm performance is not direct and can vary depending on the sector considered. Whereas competitive advantage in relation to costs influences financial performance in the IPPC law sector, the relevant influence in the hotel sector comes from competitive advantage through differentiation. © 2009 Elsevier Ltd. All rights reserved.","author":[{"dropping-particle":"","family":"López-Gamero","given":"María D.","non-dropping-particle":"","parse-names":false,"suffix":""},{"dropping-particle":"","family":"Molina-Azorín","given":"José F.","non-dropping-particle":"","parse-names":false,"suffix":""},{"dropping-particle":"","family":"Claver-Cortés","given":"Enrique","non-dropping-particle":"","parse-names":false,"suffix":""}],"container-title":"Journal of Environmental Management","id":"ITEM-2","issue":"10","issued":{"date-parts":[["2009"]]},"page":"3110-3121","title":"The whole relationship between environmental variables and firm performance: Competitive advantage and firm resources as mediator variables","type":"article-journal","volume":"90"},"uris":["http://www.mendeley.com/documents/?uuid=b48d793d-52cf-4c92-a7f3-b066d7bc2522"]},{"id":"ITEM-3","itemData":{"author":[{"dropping-particle":"","family":"Hillary","given":"Ruth","non-dropping-particle":"","parse-names":false,"suffix":""},{"dropping-particle":"","family":"Burr","given":"Paul","non-dropping-particle":"","parse-names":false,"suffix":""}],"container-title":"Final Report to the Department for Environment, Food and Rural Affairs","id":"ITEM-3","issue":"September","issued":{"date-parts":[["2011"]]},"page":"1-145","title":"Evidence-based Study into the Benefits of EMSs for SMEs (EV0440).","type":"article-journal"},"uris":["http://www.mendeley.com/documents/?uuid=6d5666c8-ea22-4348-abb9-c16cf066d06e"]}],"mendeley":{"formattedCitation":"(Aiyub et al., 2009; Hillary &amp; Burr, 2011; López-Gamero et al., 2009)","plainTextFormattedCitation":"(Aiyub et al., 2009; Hillary &amp; Burr, 2011; López-Gamero et al., 2009)","previouslyFormattedCitation":"(Aiyub et al., 2009; Hillary &amp; Burr, 2011; López-Gamero et al., 2009)"},"properties":{"noteIndex":0},"schema":"https://github.com/citation-style-language/schema/raw/master/csl-citation.json"}</w:instrText>
      </w:r>
      <w:r w:rsidR="003621E3" w:rsidRPr="00055865">
        <w:rPr>
          <w:rFonts w:ascii="Garamond" w:eastAsia="Calibri" w:hAnsi="Garamond" w:cs="Times New Roman"/>
          <w:sz w:val="24"/>
          <w:szCs w:val="24"/>
          <w:lang w:val="en-US"/>
        </w:rPr>
        <w:fldChar w:fldCharType="separate"/>
      </w:r>
      <w:r w:rsidR="003621E3" w:rsidRPr="00055865">
        <w:rPr>
          <w:rFonts w:ascii="Garamond" w:eastAsia="Calibri" w:hAnsi="Garamond" w:cs="Times New Roman"/>
          <w:noProof/>
          <w:sz w:val="24"/>
          <w:szCs w:val="24"/>
          <w:lang w:val="en-US"/>
        </w:rPr>
        <w:t>(Aiyub et al., 2009; Hillary &amp; Burr, 2011; López-Gamero et al., 2009)</w:t>
      </w:r>
      <w:r w:rsidR="003621E3" w:rsidRPr="00055865">
        <w:rPr>
          <w:rFonts w:ascii="Garamond" w:eastAsia="Calibri" w:hAnsi="Garamond" w:cs="Times New Roman"/>
          <w:sz w:val="24"/>
          <w:szCs w:val="24"/>
          <w:lang w:val="en-US"/>
        </w:rPr>
        <w:fldChar w:fldCharType="end"/>
      </w:r>
      <w:r w:rsidR="0041222C" w:rsidRPr="00055865">
        <w:rPr>
          <w:rFonts w:ascii="Garamond" w:eastAsia="Calibri" w:hAnsi="Garamond" w:cs="Times New Roman"/>
          <w:sz w:val="24"/>
          <w:szCs w:val="24"/>
          <w:lang w:val="en-US"/>
        </w:rPr>
        <w:t>, this study use</w:t>
      </w:r>
      <w:r w:rsidR="00A62E6D" w:rsidRPr="00055865">
        <w:rPr>
          <w:rFonts w:ascii="Garamond" w:eastAsia="Calibri" w:hAnsi="Garamond" w:cs="Times New Roman"/>
          <w:sz w:val="24"/>
          <w:szCs w:val="24"/>
          <w:lang w:val="en-US"/>
        </w:rPr>
        <w:t>s</w:t>
      </w:r>
      <w:r w:rsidR="0041222C" w:rsidRPr="00055865">
        <w:rPr>
          <w:rFonts w:ascii="Garamond" w:eastAsia="Calibri" w:hAnsi="Garamond" w:cs="Times New Roman"/>
          <w:sz w:val="24"/>
          <w:szCs w:val="24"/>
          <w:lang w:val="en-US"/>
        </w:rPr>
        <w:t xml:space="preserve"> disaggregated environmental variables to show different aspects of environmental sustainability practices that are </w:t>
      </w:r>
      <w:r w:rsidR="004D2687" w:rsidRPr="00055865">
        <w:rPr>
          <w:rFonts w:ascii="Garamond" w:eastAsia="Calibri" w:hAnsi="Garamond" w:cs="Times New Roman"/>
          <w:sz w:val="24"/>
          <w:szCs w:val="24"/>
          <w:lang w:val="en-US"/>
        </w:rPr>
        <w:t xml:space="preserve">more </w:t>
      </w:r>
      <w:r w:rsidR="0041222C" w:rsidRPr="00055865">
        <w:rPr>
          <w:rFonts w:ascii="Garamond" w:eastAsia="Calibri" w:hAnsi="Garamond" w:cs="Times New Roman"/>
          <w:sz w:val="24"/>
          <w:szCs w:val="24"/>
          <w:lang w:val="en-US"/>
        </w:rPr>
        <w:t xml:space="preserve">relevant for listed SMEs. For example, </w:t>
      </w:r>
      <w:r w:rsidR="00DD661A" w:rsidRPr="00055865">
        <w:rPr>
          <w:rFonts w:ascii="Garamond" w:eastAsia="Calibri" w:hAnsi="Garamond" w:cs="Times New Roman"/>
          <w:sz w:val="24"/>
          <w:szCs w:val="24"/>
          <w:lang w:val="en-US"/>
        </w:rPr>
        <w:t xml:space="preserve">whereas some SMEs that </w:t>
      </w:r>
      <w:r w:rsidR="0041222C" w:rsidRPr="00055865">
        <w:rPr>
          <w:rFonts w:ascii="Garamond" w:eastAsia="Calibri" w:hAnsi="Garamond" w:cs="Times New Roman"/>
          <w:sz w:val="24"/>
          <w:szCs w:val="24"/>
          <w:lang w:val="en-US"/>
        </w:rPr>
        <w:t xml:space="preserve">may be pursuing waste reduction measures may benefit financially, it does not necessarily mean that SMEs that </w:t>
      </w:r>
      <w:r w:rsidR="00DD661A" w:rsidRPr="00055865">
        <w:rPr>
          <w:rFonts w:ascii="Garamond" w:eastAsia="Calibri" w:hAnsi="Garamond" w:cs="Times New Roman"/>
          <w:sz w:val="24"/>
          <w:szCs w:val="24"/>
          <w:lang w:val="en-US"/>
        </w:rPr>
        <w:t>seek</w:t>
      </w:r>
      <w:r w:rsidR="0041222C" w:rsidRPr="00055865">
        <w:rPr>
          <w:rFonts w:ascii="Garamond" w:eastAsia="Calibri" w:hAnsi="Garamond" w:cs="Times New Roman"/>
          <w:sz w:val="24"/>
          <w:szCs w:val="24"/>
          <w:lang w:val="en-US"/>
        </w:rPr>
        <w:t xml:space="preserve"> pollution prevention and control may also benefit financially. Thus, the </w:t>
      </w:r>
      <w:r w:rsidR="0041222C" w:rsidRPr="00055865">
        <w:rPr>
          <w:rFonts w:ascii="Garamond" w:eastAsia="Calibri" w:hAnsi="Garamond" w:cs="Times New Roman"/>
          <w:sz w:val="24"/>
          <w:szCs w:val="24"/>
          <w:lang w:val="en-US"/>
        </w:rPr>
        <w:lastRenderedPageBreak/>
        <w:t xml:space="preserve">study provides </w:t>
      </w:r>
      <w:r w:rsidR="00DD661A" w:rsidRPr="00055865">
        <w:rPr>
          <w:rFonts w:ascii="Garamond" w:eastAsia="Calibri" w:hAnsi="Garamond" w:cs="Times New Roman"/>
          <w:sz w:val="24"/>
          <w:szCs w:val="24"/>
          <w:lang w:val="en-US"/>
        </w:rPr>
        <w:t>additional evidence on</w:t>
      </w:r>
      <w:r w:rsidR="0041222C" w:rsidRPr="00055865">
        <w:rPr>
          <w:rFonts w:ascii="Garamond" w:eastAsia="Calibri" w:hAnsi="Garamond" w:cs="Times New Roman"/>
          <w:sz w:val="24"/>
          <w:szCs w:val="24"/>
          <w:lang w:val="en-US"/>
        </w:rPr>
        <w:t xml:space="preserve"> environmental sustainability practices that are more financially beneficial to SMEs and </w:t>
      </w:r>
      <w:r w:rsidR="00AD2FF4">
        <w:rPr>
          <w:rFonts w:ascii="Garamond" w:eastAsia="Calibri" w:hAnsi="Garamond" w:cs="Times New Roman"/>
          <w:sz w:val="24"/>
          <w:szCs w:val="24"/>
          <w:lang w:val="en-US"/>
        </w:rPr>
        <w:t>therefore</w:t>
      </w:r>
      <w:r w:rsidR="005B6FD7">
        <w:rPr>
          <w:rFonts w:ascii="Garamond" w:eastAsia="Calibri" w:hAnsi="Garamond" w:cs="Times New Roman"/>
          <w:sz w:val="24"/>
          <w:szCs w:val="24"/>
          <w:lang w:val="en-US"/>
        </w:rPr>
        <w:t>,</w:t>
      </w:r>
      <w:r w:rsidR="00AD2FF4">
        <w:rPr>
          <w:rFonts w:ascii="Garamond" w:eastAsia="Calibri" w:hAnsi="Garamond" w:cs="Times New Roman"/>
          <w:sz w:val="24"/>
          <w:szCs w:val="24"/>
          <w:lang w:val="en-US"/>
        </w:rPr>
        <w:t xml:space="preserve"> the </w:t>
      </w:r>
      <w:r w:rsidR="004D2687" w:rsidRPr="00055865">
        <w:rPr>
          <w:rFonts w:ascii="Garamond" w:eastAsia="Calibri" w:hAnsi="Garamond" w:cs="Times New Roman"/>
          <w:sz w:val="24"/>
          <w:szCs w:val="24"/>
          <w:lang w:val="en-US"/>
        </w:rPr>
        <w:t xml:space="preserve">need to </w:t>
      </w:r>
      <w:r w:rsidR="00AD2FF4">
        <w:rPr>
          <w:rFonts w:ascii="Garamond" w:eastAsia="Calibri" w:hAnsi="Garamond" w:cs="Times New Roman"/>
          <w:sz w:val="24"/>
          <w:szCs w:val="24"/>
          <w:lang w:val="en-US"/>
        </w:rPr>
        <w:t>focus more on them</w:t>
      </w:r>
      <w:r w:rsidR="004D2687" w:rsidRPr="00055865">
        <w:rPr>
          <w:rFonts w:ascii="Garamond" w:eastAsia="Calibri" w:hAnsi="Garamond" w:cs="Times New Roman"/>
          <w:sz w:val="24"/>
          <w:szCs w:val="24"/>
          <w:lang w:val="en-US"/>
        </w:rPr>
        <w:t>.</w:t>
      </w:r>
    </w:p>
    <w:p w14:paraId="77363042" w14:textId="574E88D5" w:rsidR="004E350A" w:rsidRPr="00055865" w:rsidRDefault="005C7A76" w:rsidP="005B6FD7">
      <w:pPr>
        <w:tabs>
          <w:tab w:val="left" w:pos="2550"/>
        </w:tabs>
        <w:spacing w:after="0" w:line="480" w:lineRule="auto"/>
        <w:ind w:firstLine="720"/>
        <w:contextualSpacing/>
        <w:jc w:val="both"/>
        <w:rPr>
          <w:rFonts w:ascii="Garamond" w:hAnsi="Garamond"/>
          <w:sz w:val="24"/>
          <w:szCs w:val="24"/>
        </w:rPr>
      </w:pPr>
      <w:r w:rsidRPr="00055865">
        <w:rPr>
          <w:rFonts w:ascii="Garamond" w:hAnsi="Garamond"/>
          <w:sz w:val="24"/>
          <w:szCs w:val="24"/>
        </w:rPr>
        <w:t xml:space="preserve"> </w:t>
      </w:r>
      <w:r w:rsidR="00C3429E" w:rsidRPr="00055865">
        <w:rPr>
          <w:rFonts w:ascii="Garamond" w:hAnsi="Garamond"/>
          <w:sz w:val="24"/>
          <w:szCs w:val="24"/>
        </w:rPr>
        <w:t xml:space="preserve">The rest of the study is structured as follows: The next section discusses </w:t>
      </w:r>
      <w:r w:rsidR="00DD661A" w:rsidRPr="00055865">
        <w:rPr>
          <w:rFonts w:ascii="Garamond" w:hAnsi="Garamond"/>
          <w:sz w:val="24"/>
          <w:szCs w:val="24"/>
        </w:rPr>
        <w:t>the</w:t>
      </w:r>
      <w:r w:rsidR="009805B8">
        <w:rPr>
          <w:rFonts w:ascii="Garamond" w:hAnsi="Garamond"/>
          <w:sz w:val="24"/>
          <w:szCs w:val="24"/>
        </w:rPr>
        <w:t xml:space="preserve"> related</w:t>
      </w:r>
      <w:r w:rsidR="00DD661A" w:rsidRPr="00055865">
        <w:rPr>
          <w:rFonts w:ascii="Garamond" w:hAnsi="Garamond"/>
          <w:sz w:val="24"/>
          <w:szCs w:val="24"/>
        </w:rPr>
        <w:t xml:space="preserve"> literature and hypothesis</w:t>
      </w:r>
      <w:r w:rsidR="00C3429E" w:rsidRPr="00055865">
        <w:rPr>
          <w:rFonts w:ascii="Garamond" w:hAnsi="Garamond"/>
          <w:sz w:val="24"/>
          <w:szCs w:val="24"/>
        </w:rPr>
        <w:t>.</w:t>
      </w:r>
      <w:r w:rsidR="00DD661A" w:rsidRPr="00055865">
        <w:rPr>
          <w:rFonts w:ascii="Garamond" w:hAnsi="Garamond"/>
          <w:sz w:val="24"/>
          <w:szCs w:val="24"/>
        </w:rPr>
        <w:t xml:space="preserve"> </w:t>
      </w:r>
      <w:r w:rsidR="00C3429E" w:rsidRPr="00055865">
        <w:rPr>
          <w:rFonts w:ascii="Garamond" w:hAnsi="Garamond"/>
          <w:sz w:val="24"/>
          <w:szCs w:val="24"/>
        </w:rPr>
        <w:t>The</w:t>
      </w:r>
      <w:r w:rsidR="00DD661A" w:rsidRPr="00055865">
        <w:rPr>
          <w:rFonts w:ascii="Garamond" w:hAnsi="Garamond"/>
          <w:sz w:val="24"/>
          <w:szCs w:val="24"/>
        </w:rPr>
        <w:t xml:space="preserve"> third section</w:t>
      </w:r>
      <w:r w:rsidR="00C3429E" w:rsidRPr="00055865">
        <w:rPr>
          <w:rFonts w:ascii="Garamond" w:hAnsi="Garamond"/>
          <w:sz w:val="24"/>
          <w:szCs w:val="24"/>
        </w:rPr>
        <w:t xml:space="preserve"> </w:t>
      </w:r>
      <w:r w:rsidR="008C3E08" w:rsidRPr="00055865">
        <w:rPr>
          <w:rFonts w:ascii="Garamond" w:hAnsi="Garamond"/>
          <w:sz w:val="24"/>
          <w:szCs w:val="24"/>
        </w:rPr>
        <w:t xml:space="preserve">presents </w:t>
      </w:r>
      <w:r w:rsidR="00C3429E" w:rsidRPr="00055865">
        <w:rPr>
          <w:rFonts w:ascii="Garamond" w:hAnsi="Garamond"/>
          <w:sz w:val="24"/>
          <w:szCs w:val="24"/>
        </w:rPr>
        <w:t xml:space="preserve">the </w:t>
      </w:r>
      <w:r w:rsidR="00103B1C">
        <w:rPr>
          <w:rFonts w:ascii="Garamond" w:hAnsi="Garamond"/>
          <w:sz w:val="24"/>
          <w:szCs w:val="24"/>
        </w:rPr>
        <w:t>methodology-</w:t>
      </w:r>
      <w:r w:rsidR="008C3E08" w:rsidRPr="00055865">
        <w:rPr>
          <w:rFonts w:ascii="Garamond" w:hAnsi="Garamond"/>
          <w:sz w:val="24"/>
          <w:szCs w:val="24"/>
        </w:rPr>
        <w:t xml:space="preserve"> </w:t>
      </w:r>
      <w:r w:rsidR="00103B1C">
        <w:rPr>
          <w:rFonts w:ascii="Garamond" w:hAnsi="Garamond"/>
          <w:sz w:val="24"/>
          <w:szCs w:val="24"/>
        </w:rPr>
        <w:t xml:space="preserve">definition of SMEs, </w:t>
      </w:r>
      <w:r w:rsidR="00C3429E" w:rsidRPr="00055865">
        <w:rPr>
          <w:rFonts w:ascii="Garamond" w:hAnsi="Garamond"/>
          <w:sz w:val="24"/>
          <w:szCs w:val="24"/>
        </w:rPr>
        <w:t>sample selection technique, the variables and the regression models. Section f</w:t>
      </w:r>
      <w:r w:rsidR="00DD661A" w:rsidRPr="00055865">
        <w:rPr>
          <w:rFonts w:ascii="Garamond" w:hAnsi="Garamond"/>
          <w:sz w:val="24"/>
          <w:szCs w:val="24"/>
        </w:rPr>
        <w:t>our</w:t>
      </w:r>
      <w:r w:rsidR="00C3429E" w:rsidRPr="00055865">
        <w:rPr>
          <w:rFonts w:ascii="Garamond" w:hAnsi="Garamond"/>
          <w:sz w:val="24"/>
          <w:szCs w:val="24"/>
        </w:rPr>
        <w:t xml:space="preserve"> </w:t>
      </w:r>
      <w:r w:rsidR="009805B8">
        <w:rPr>
          <w:rFonts w:ascii="Garamond" w:hAnsi="Garamond"/>
          <w:sz w:val="24"/>
          <w:szCs w:val="24"/>
        </w:rPr>
        <w:t>presents</w:t>
      </w:r>
      <w:r w:rsidR="00C3429E" w:rsidRPr="00055865">
        <w:rPr>
          <w:rFonts w:ascii="Garamond" w:hAnsi="Garamond"/>
          <w:sz w:val="24"/>
          <w:szCs w:val="24"/>
        </w:rPr>
        <w:t xml:space="preserve"> the </w:t>
      </w:r>
      <w:r w:rsidR="009805B8">
        <w:rPr>
          <w:rFonts w:ascii="Garamond" w:hAnsi="Garamond"/>
          <w:sz w:val="24"/>
          <w:szCs w:val="24"/>
        </w:rPr>
        <w:t>results</w:t>
      </w:r>
      <w:r w:rsidR="00C3429E" w:rsidRPr="00055865">
        <w:rPr>
          <w:rFonts w:ascii="Garamond" w:hAnsi="Garamond"/>
          <w:sz w:val="24"/>
          <w:szCs w:val="24"/>
        </w:rPr>
        <w:t xml:space="preserve"> and discussions</w:t>
      </w:r>
      <w:r w:rsidR="009805B8">
        <w:rPr>
          <w:rFonts w:ascii="Garamond" w:hAnsi="Garamond"/>
          <w:sz w:val="24"/>
          <w:szCs w:val="24"/>
        </w:rPr>
        <w:t xml:space="preserve"> of the study</w:t>
      </w:r>
      <w:r w:rsidR="00C3429E" w:rsidRPr="00055865">
        <w:rPr>
          <w:rFonts w:ascii="Garamond" w:hAnsi="Garamond"/>
          <w:sz w:val="24"/>
          <w:szCs w:val="24"/>
        </w:rPr>
        <w:t xml:space="preserve"> from an empirical and theoretical point of view</w:t>
      </w:r>
      <w:r w:rsidR="005B6FD7">
        <w:rPr>
          <w:rFonts w:ascii="Garamond" w:hAnsi="Garamond"/>
          <w:sz w:val="24"/>
          <w:szCs w:val="24"/>
        </w:rPr>
        <w:t>. Finally,</w:t>
      </w:r>
      <w:r w:rsidR="00C3429E" w:rsidRPr="00055865">
        <w:rPr>
          <w:rFonts w:ascii="Garamond" w:hAnsi="Garamond"/>
          <w:sz w:val="24"/>
          <w:szCs w:val="24"/>
        </w:rPr>
        <w:t xml:space="preserve"> the last section discusses conclusions, contributions</w:t>
      </w:r>
      <w:r w:rsidR="005B6FD7">
        <w:rPr>
          <w:rFonts w:ascii="Garamond" w:hAnsi="Garamond"/>
          <w:sz w:val="24"/>
          <w:szCs w:val="24"/>
        </w:rPr>
        <w:t>, implications</w:t>
      </w:r>
      <w:r w:rsidR="00C3429E" w:rsidRPr="00055865">
        <w:rPr>
          <w:rFonts w:ascii="Garamond" w:hAnsi="Garamond"/>
          <w:sz w:val="24"/>
          <w:szCs w:val="24"/>
        </w:rPr>
        <w:t xml:space="preserve"> and the limitations of the study.  </w:t>
      </w:r>
    </w:p>
    <w:p w14:paraId="71AE23D2" w14:textId="77777777" w:rsidR="00A62E6D" w:rsidRPr="00055865" w:rsidRDefault="00A62E6D" w:rsidP="005B6FD7">
      <w:pPr>
        <w:tabs>
          <w:tab w:val="left" w:pos="2550"/>
        </w:tabs>
        <w:spacing w:after="0" w:line="480" w:lineRule="auto"/>
        <w:ind w:firstLine="720"/>
        <w:contextualSpacing/>
        <w:jc w:val="both"/>
        <w:rPr>
          <w:rFonts w:ascii="Garamond" w:hAnsi="Garamond"/>
          <w:sz w:val="24"/>
          <w:szCs w:val="24"/>
        </w:rPr>
      </w:pPr>
    </w:p>
    <w:p w14:paraId="1059BF21" w14:textId="29A68B8E" w:rsidR="00C3429E" w:rsidRDefault="00DD661A" w:rsidP="005B6FD7">
      <w:pPr>
        <w:tabs>
          <w:tab w:val="left" w:pos="2550"/>
        </w:tabs>
        <w:spacing w:after="0" w:line="480" w:lineRule="auto"/>
        <w:contextualSpacing/>
        <w:jc w:val="both"/>
        <w:rPr>
          <w:rFonts w:ascii="Garamond" w:eastAsia="TimesNewRomanPSMT" w:hAnsi="Garamond"/>
          <w:b/>
          <w:sz w:val="24"/>
          <w:szCs w:val="24"/>
        </w:rPr>
      </w:pPr>
      <w:r w:rsidRPr="00055865">
        <w:rPr>
          <w:rFonts w:ascii="Garamond" w:eastAsia="TimesNewRomanPSMT" w:hAnsi="Garamond"/>
          <w:b/>
          <w:sz w:val="24"/>
          <w:szCs w:val="24"/>
        </w:rPr>
        <w:t>2</w:t>
      </w:r>
      <w:r w:rsidR="00C3429E" w:rsidRPr="00055865">
        <w:rPr>
          <w:rFonts w:ascii="Garamond" w:eastAsia="TimesNewRomanPSMT" w:hAnsi="Garamond"/>
          <w:b/>
          <w:sz w:val="24"/>
          <w:szCs w:val="24"/>
        </w:rPr>
        <w:t xml:space="preserve">.0 </w:t>
      </w:r>
      <w:r w:rsidR="003A7A06" w:rsidRPr="00055865">
        <w:rPr>
          <w:rFonts w:ascii="Garamond" w:eastAsia="TimesNewRomanPSMT" w:hAnsi="Garamond"/>
          <w:b/>
          <w:sz w:val="24"/>
          <w:szCs w:val="24"/>
        </w:rPr>
        <w:t>Related Literature</w:t>
      </w:r>
      <w:r w:rsidR="00A60B12">
        <w:rPr>
          <w:rFonts w:ascii="Garamond" w:eastAsia="TimesNewRomanPSMT" w:hAnsi="Garamond"/>
          <w:b/>
          <w:sz w:val="24"/>
          <w:szCs w:val="24"/>
        </w:rPr>
        <w:t>,</w:t>
      </w:r>
      <w:r w:rsidR="003A7A06" w:rsidRPr="00055865">
        <w:rPr>
          <w:rFonts w:ascii="Garamond" w:eastAsia="TimesNewRomanPSMT" w:hAnsi="Garamond"/>
          <w:b/>
          <w:sz w:val="24"/>
          <w:szCs w:val="24"/>
        </w:rPr>
        <w:t xml:space="preserve"> and Hypothesis</w:t>
      </w:r>
      <w:r w:rsidR="00C3429E" w:rsidRPr="00055865">
        <w:rPr>
          <w:rFonts w:ascii="Garamond" w:eastAsia="TimesNewRomanPSMT" w:hAnsi="Garamond"/>
          <w:b/>
          <w:sz w:val="24"/>
          <w:szCs w:val="24"/>
        </w:rPr>
        <w:t xml:space="preserve"> </w:t>
      </w:r>
    </w:p>
    <w:p w14:paraId="6B0FFAB5" w14:textId="560C765B" w:rsidR="005714B5" w:rsidRPr="009805B8" w:rsidRDefault="009805B8" w:rsidP="005B6FD7">
      <w:pPr>
        <w:tabs>
          <w:tab w:val="left" w:pos="2550"/>
        </w:tabs>
        <w:spacing w:after="0" w:line="480" w:lineRule="auto"/>
        <w:contextualSpacing/>
        <w:jc w:val="both"/>
        <w:rPr>
          <w:rFonts w:ascii="Garamond" w:eastAsia="TimesNewRomanPSMT" w:hAnsi="Garamond"/>
          <w:bCs/>
          <w:sz w:val="24"/>
          <w:szCs w:val="24"/>
        </w:rPr>
      </w:pPr>
      <w:r>
        <w:rPr>
          <w:rFonts w:ascii="Garamond" w:eastAsia="TimesNewRomanPSMT" w:hAnsi="Garamond"/>
          <w:bCs/>
          <w:sz w:val="24"/>
          <w:szCs w:val="24"/>
        </w:rPr>
        <w:t>This section discusses the theoretical framework that underpinned the study as well as the review of empirical literature and hypothesis.</w:t>
      </w:r>
    </w:p>
    <w:p w14:paraId="5F0D3EDA" w14:textId="77777777" w:rsidR="00FF048A" w:rsidRPr="00055865" w:rsidRDefault="00FF048A" w:rsidP="005B6FD7">
      <w:pPr>
        <w:tabs>
          <w:tab w:val="left" w:pos="2550"/>
        </w:tabs>
        <w:spacing w:after="0" w:line="480" w:lineRule="auto"/>
        <w:contextualSpacing/>
        <w:jc w:val="both"/>
        <w:rPr>
          <w:rFonts w:ascii="Garamond" w:eastAsia="TimesNewRomanPSMT" w:hAnsi="Garamond"/>
          <w:b/>
          <w:i/>
          <w:sz w:val="24"/>
          <w:szCs w:val="24"/>
        </w:rPr>
      </w:pPr>
      <w:r w:rsidRPr="00055865">
        <w:rPr>
          <w:rFonts w:ascii="Garamond" w:eastAsia="TimesNewRomanPSMT" w:hAnsi="Garamond"/>
          <w:b/>
          <w:i/>
          <w:sz w:val="24"/>
          <w:szCs w:val="24"/>
        </w:rPr>
        <w:t xml:space="preserve">2.1 Theoretical Framework </w:t>
      </w:r>
    </w:p>
    <w:p w14:paraId="6852D4FD" w14:textId="1EF70432" w:rsidR="00FF048A" w:rsidRPr="00055865" w:rsidRDefault="00FF048A"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              The theoretical foundation of this study is based on </w:t>
      </w:r>
      <w:r w:rsidR="005714B5">
        <w:rPr>
          <w:rFonts w:ascii="Garamond" w:eastAsia="TimesNewRomanPSMT" w:hAnsi="Garamond"/>
          <w:sz w:val="24"/>
          <w:szCs w:val="24"/>
        </w:rPr>
        <w:t xml:space="preserve">the </w:t>
      </w:r>
      <w:r w:rsidRPr="00055865">
        <w:rPr>
          <w:rFonts w:ascii="Garamond" w:eastAsia="TimesNewRomanPSMT" w:hAnsi="Garamond"/>
          <w:sz w:val="24"/>
          <w:szCs w:val="24"/>
        </w:rPr>
        <w:t xml:space="preserve">natural resource-based view (NRBV) and the stakeholder theory (ST). Thus, we use NRBV and ST in explaining the relationships between sustainable environmental practices and financial performance of listed UK SMEs. </w:t>
      </w:r>
    </w:p>
    <w:p w14:paraId="4CC1DE3A" w14:textId="36E91BF9" w:rsidR="00FF048A" w:rsidRPr="00055865" w:rsidRDefault="00AB7C08" w:rsidP="005B6FD7">
      <w:pPr>
        <w:tabs>
          <w:tab w:val="left" w:pos="2550"/>
        </w:tabs>
        <w:spacing w:after="0" w:line="480" w:lineRule="auto"/>
        <w:contextualSpacing/>
        <w:jc w:val="both"/>
        <w:rPr>
          <w:rFonts w:ascii="Garamond" w:eastAsia="TimesNewRomanPSMT" w:hAnsi="Garamond"/>
          <w:sz w:val="24"/>
          <w:szCs w:val="24"/>
        </w:rPr>
      </w:pPr>
      <w:r>
        <w:rPr>
          <w:rFonts w:ascii="Garamond" w:eastAsia="TimesNewRomanPSMT" w:hAnsi="Garamond"/>
          <w:sz w:val="24"/>
          <w:szCs w:val="24"/>
        </w:rPr>
        <w:t xml:space="preserve">           </w:t>
      </w:r>
      <w:r w:rsidR="00FF048A" w:rsidRPr="00055865">
        <w:rPr>
          <w:rFonts w:ascii="Garamond" w:eastAsia="TimesNewRomanPSMT" w:hAnsi="Garamond"/>
          <w:sz w:val="24"/>
          <w:szCs w:val="24"/>
        </w:rPr>
        <w:t xml:space="preserve">NRBV is an extension of </w:t>
      </w:r>
      <w:r w:rsidR="005B6FD7">
        <w:rPr>
          <w:rFonts w:ascii="Garamond" w:eastAsia="TimesNewRomanPSMT" w:hAnsi="Garamond"/>
          <w:sz w:val="24"/>
          <w:szCs w:val="24"/>
        </w:rPr>
        <w:t xml:space="preserve">the </w:t>
      </w:r>
      <w:r w:rsidR="00FF048A" w:rsidRPr="00055865">
        <w:rPr>
          <w:rFonts w:ascii="Garamond" w:eastAsia="TimesNewRomanPSMT" w:hAnsi="Garamond"/>
          <w:sz w:val="24"/>
          <w:szCs w:val="24"/>
        </w:rPr>
        <w:t>resource-based view</w:t>
      </w:r>
      <w:r w:rsidR="00622C6F">
        <w:rPr>
          <w:rFonts w:ascii="Garamond" w:eastAsia="TimesNewRomanPSMT" w:hAnsi="Garamond"/>
          <w:sz w:val="24"/>
          <w:szCs w:val="24"/>
        </w:rPr>
        <w:t>. It introduces an</w:t>
      </w:r>
      <w:r w:rsidR="00FF048A" w:rsidRPr="00055865">
        <w:rPr>
          <w:rFonts w:ascii="Garamond" w:eastAsia="TimesNewRomanPSMT" w:hAnsi="Garamond"/>
          <w:sz w:val="24"/>
          <w:szCs w:val="24"/>
        </w:rPr>
        <w:t xml:space="preserve"> interaction between the natur</w:t>
      </w:r>
      <w:r w:rsidR="00622C6F">
        <w:rPr>
          <w:rFonts w:ascii="Garamond" w:eastAsia="TimesNewRomanPSMT" w:hAnsi="Garamond"/>
          <w:sz w:val="24"/>
          <w:szCs w:val="24"/>
        </w:rPr>
        <w:t>al environment and the firm by suggesting</w:t>
      </w:r>
      <w:r w:rsidR="00FF048A" w:rsidRPr="00055865">
        <w:rPr>
          <w:rFonts w:ascii="Garamond" w:eastAsia="TimesNewRomanPSMT" w:hAnsi="Garamond"/>
          <w:sz w:val="24"/>
          <w:szCs w:val="24"/>
        </w:rPr>
        <w:t xml:space="preserve"> that resources and capabilities affect the ability of the firm to sustain its competitive advantage</w:t>
      </w:r>
      <w:r w:rsidR="005B6FD7">
        <w:rPr>
          <w:rFonts w:ascii="Garamond" w:eastAsia="TimesNewRomanPSMT" w:hAnsi="Garamond"/>
          <w:sz w:val="24"/>
          <w:szCs w:val="24"/>
        </w:rPr>
        <w:t>.</w:t>
      </w:r>
      <w:r w:rsidR="00FF048A" w:rsidRPr="00055865">
        <w:rPr>
          <w:rFonts w:ascii="Garamond" w:eastAsia="TimesNewRomanPSMT" w:hAnsi="Garamond"/>
          <w:sz w:val="24"/>
          <w:szCs w:val="24"/>
        </w:rPr>
        <w:t xml:space="preserve"> </w:t>
      </w:r>
      <w:r w:rsidR="005B6FD7">
        <w:rPr>
          <w:rFonts w:ascii="Garamond" w:eastAsia="TimesNewRomanPSMT" w:hAnsi="Garamond"/>
          <w:sz w:val="24"/>
          <w:szCs w:val="24"/>
        </w:rPr>
        <w:t>It suggests that</w:t>
      </w:r>
      <w:r w:rsidR="00FF048A" w:rsidRPr="00055865">
        <w:rPr>
          <w:rFonts w:ascii="Garamond" w:eastAsia="TimesNewRomanPSMT" w:hAnsi="Garamond"/>
          <w:sz w:val="24"/>
          <w:szCs w:val="24"/>
        </w:rPr>
        <w:t xml:space="preserve"> businesses that </w:t>
      </w:r>
      <w:r w:rsidR="005B6FD7">
        <w:rPr>
          <w:rFonts w:ascii="Garamond" w:eastAsia="TimesNewRomanPSMT" w:hAnsi="Garamond"/>
          <w:sz w:val="24"/>
          <w:szCs w:val="24"/>
        </w:rPr>
        <w:t>can</w:t>
      </w:r>
      <w:r w:rsidR="00FF048A" w:rsidRPr="00055865">
        <w:rPr>
          <w:rFonts w:ascii="Garamond" w:eastAsia="TimesNewRomanPSMT" w:hAnsi="Garamond"/>
          <w:sz w:val="24"/>
          <w:szCs w:val="24"/>
        </w:rPr>
        <w:t xml:space="preserve"> deal with the constraints of the physical environment through facilitating environmentally sustainable practices will gain competitive </w:t>
      </w:r>
      <w:r w:rsidR="005D4134">
        <w:rPr>
          <w:rFonts w:ascii="Garamond" w:eastAsia="TimesNewRomanPSMT" w:hAnsi="Garamond"/>
          <w:sz w:val="24"/>
          <w:szCs w:val="24"/>
        </w:rPr>
        <w:t xml:space="preserve">advantage and become profitable </w:t>
      </w:r>
      <w:r w:rsidR="00FF048A" w:rsidRPr="00055865">
        <w:rPr>
          <w:rFonts w:ascii="Garamond" w:eastAsia="TimesNewRomanPSMT" w:hAnsi="Garamond"/>
          <w:sz w:val="24"/>
          <w:szCs w:val="24"/>
        </w:rPr>
        <w:fldChar w:fldCharType="begin" w:fldLock="1"/>
      </w:r>
      <w:r w:rsidR="00FF048A" w:rsidRPr="00055865">
        <w:rPr>
          <w:rFonts w:ascii="Garamond" w:eastAsia="TimesNewRomanPSMT" w:hAnsi="Garamond"/>
          <w:sz w:val="24"/>
          <w:szCs w:val="24"/>
        </w:rPr>
        <w:instrText>ADDIN CSL_CITATION {"citationItems":[{"id":"ITEM-1","itemData":{"DOI":"10.1016/j.sbspro.2014.03.049","ISSN":"18770428","abstract":"The Resource-based View (RBV) of the firm is a strategic management theory that is widely used by managers in project management. The RBV has to date been a promising theory that examines how resources can drive competitive advantage, especially project management (PM) capabilities that have been customized to a specific organizational environment and developed over time. However, Despite the advantages offered by the RBV to practitioners and scholars alike, the theory has been under attack by opponents claiming that there is an overenthusiasm for what the theory can deliver, especially concerning a lack of criteria for generalizability and definitional ailments. This position paper will give an overview of the supporters and opponents of the application of the RBV in PM practice and research. The position of the authors of this paper, which is in favour of the continued application of the theory to PM contexts, will be detailed and supported by conceptual and empirical findings from the literature. This paper will end with future research recommendations that will highlight research that can be done to curb criticisms of the theory and enhance and rejuvenate its use in practice.","author":[{"dropping-particle":"","family":"Almarri","given":"Khalid","non-dropping-particle":"","parse-names":false,"suffix":""},{"dropping-particle":"","family":"Gardiner","given":"Paul","non-dropping-particle":"","parse-names":false,"suffix":""}],"container-title":"Procedia - Social and Behavioral Sciences","id":"ITEM-1","issued":{"date-parts":[["2014"]]},"title":"Application of Resource-based View to Project Management Research: Supporters and Opponents","type":"article-journal"},"uris":["http://www.mendeley.com/documents/?uuid=c300f9e5-4b4f-4539-9ec3-97c754d0e450"]}],"mendeley":{"formattedCitation":"(Almarri and Gardiner, 2014)","manualFormatting":"(Almarri and Gardiner, 2014)","plainTextFormattedCitation":"(Almarri and Gardiner, 2014)","previouslyFormattedCitation":"(Almarri and Gardiner, 2014)"},"properties":{"noteIndex":0},"schema":"https://github.com/citation-style-language/schema/raw/master/csl-citation.json"}</w:instrText>
      </w:r>
      <w:r w:rsidR="00FF048A" w:rsidRPr="00055865">
        <w:rPr>
          <w:rFonts w:ascii="Garamond" w:eastAsia="TimesNewRomanPSMT" w:hAnsi="Garamond"/>
          <w:sz w:val="24"/>
          <w:szCs w:val="24"/>
        </w:rPr>
        <w:fldChar w:fldCharType="separate"/>
      </w:r>
      <w:r w:rsidR="00FF048A" w:rsidRPr="00055865">
        <w:rPr>
          <w:rFonts w:ascii="Garamond" w:eastAsia="TimesNewRomanPSMT" w:hAnsi="Garamond"/>
          <w:sz w:val="24"/>
          <w:szCs w:val="24"/>
        </w:rPr>
        <w:t>(Hart, 1995; Hart and Dowell, 2011; Almarri and Gardiner, 2014)</w:t>
      </w:r>
      <w:r w:rsidR="00FF048A" w:rsidRPr="00055865">
        <w:rPr>
          <w:rFonts w:ascii="Garamond" w:eastAsia="TimesNewRomanPSMT" w:hAnsi="Garamond"/>
          <w:sz w:val="24"/>
          <w:szCs w:val="24"/>
        </w:rPr>
        <w:fldChar w:fldCharType="end"/>
      </w:r>
      <w:r w:rsidR="005D4134">
        <w:rPr>
          <w:rFonts w:ascii="Garamond" w:eastAsia="TimesNewRomanPSMT" w:hAnsi="Garamond"/>
          <w:sz w:val="24"/>
          <w:szCs w:val="24"/>
        </w:rPr>
        <w:t>. The NRBV outlines</w:t>
      </w:r>
      <w:r w:rsidR="00FF048A" w:rsidRPr="00055865">
        <w:rPr>
          <w:rFonts w:ascii="Garamond" w:eastAsia="TimesNewRomanPSMT" w:hAnsi="Garamond"/>
          <w:sz w:val="24"/>
          <w:szCs w:val="24"/>
        </w:rPr>
        <w:t xml:space="preserve"> three strategic capabilities as pollution prevention, product stewardship, and sustainable development</w:t>
      </w:r>
      <w:r w:rsidR="005D4134">
        <w:rPr>
          <w:rFonts w:ascii="Garamond" w:eastAsia="TimesNewRomanPSMT" w:hAnsi="Garamond"/>
          <w:sz w:val="24"/>
          <w:szCs w:val="24"/>
        </w:rPr>
        <w:t>,</w:t>
      </w:r>
      <w:r w:rsidR="00FF048A" w:rsidRPr="00055865">
        <w:rPr>
          <w:rFonts w:ascii="Garamond" w:eastAsia="TimesNewRomanPSMT" w:hAnsi="Garamond"/>
          <w:sz w:val="24"/>
          <w:szCs w:val="24"/>
        </w:rPr>
        <w:t xml:space="preserve"> with each giving the firm </w:t>
      </w:r>
      <w:r w:rsidR="005D4134">
        <w:rPr>
          <w:rFonts w:ascii="Garamond" w:eastAsia="TimesNewRomanPSMT" w:hAnsi="Garamond"/>
          <w:sz w:val="24"/>
          <w:szCs w:val="24"/>
        </w:rPr>
        <w:t xml:space="preserve">a </w:t>
      </w:r>
      <w:r w:rsidR="00FF048A" w:rsidRPr="00055865">
        <w:rPr>
          <w:rFonts w:ascii="Garamond" w:eastAsia="TimesNewRomanPSMT" w:hAnsi="Garamond"/>
          <w:sz w:val="24"/>
          <w:szCs w:val="24"/>
        </w:rPr>
        <w:t>different form of competitive advantage</w:t>
      </w:r>
      <w:r w:rsidR="005D4134">
        <w:rPr>
          <w:rFonts w:ascii="Garamond" w:eastAsia="TimesNewRomanPSMT" w:hAnsi="Garamond"/>
          <w:sz w:val="24"/>
          <w:szCs w:val="24"/>
        </w:rPr>
        <w:t>,</w:t>
      </w:r>
      <w:r w:rsidR="00FF048A" w:rsidRPr="00055865">
        <w:rPr>
          <w:rFonts w:ascii="Garamond" w:eastAsia="TimesNewRomanPSMT" w:hAnsi="Garamond"/>
          <w:sz w:val="24"/>
          <w:szCs w:val="24"/>
        </w:rPr>
        <w:t xml:space="preserve"> and different resources since each ha</w:t>
      </w:r>
      <w:r w:rsidR="005B6FD7">
        <w:rPr>
          <w:rFonts w:ascii="Garamond" w:eastAsia="TimesNewRomanPSMT" w:hAnsi="Garamond"/>
          <w:sz w:val="24"/>
          <w:szCs w:val="24"/>
        </w:rPr>
        <w:t>ve</w:t>
      </w:r>
      <w:r w:rsidR="00FF048A" w:rsidRPr="00055865">
        <w:rPr>
          <w:rFonts w:ascii="Garamond" w:eastAsia="TimesNewRomanPSMT" w:hAnsi="Garamond"/>
          <w:sz w:val="24"/>
          <w:szCs w:val="24"/>
        </w:rPr>
        <w:t xml:space="preserve"> different environmental drivers. Therefore, the ability of the firm to benefit from its internal resources and capabilities are contingent upon proper alignment with the environmental </w:t>
      </w:r>
      <w:r w:rsidR="005D4134">
        <w:rPr>
          <w:rFonts w:ascii="Garamond" w:eastAsia="TimesNewRomanPSMT" w:hAnsi="Garamond"/>
          <w:sz w:val="24"/>
          <w:szCs w:val="24"/>
        </w:rPr>
        <w:t xml:space="preserve">drivers to some extent.  </w:t>
      </w:r>
      <w:r w:rsidR="005D4134">
        <w:rPr>
          <w:rFonts w:ascii="Garamond" w:eastAsia="TimesNewRomanPSMT" w:hAnsi="Garamond"/>
          <w:sz w:val="24"/>
          <w:szCs w:val="24"/>
        </w:rPr>
        <w:lastRenderedPageBreak/>
        <w:t>Thus, the</w:t>
      </w:r>
      <w:r w:rsidR="00FF048A" w:rsidRPr="00055865">
        <w:rPr>
          <w:rFonts w:ascii="Garamond" w:eastAsia="TimesNewRomanPSMT" w:hAnsi="Garamond"/>
          <w:sz w:val="24"/>
          <w:szCs w:val="24"/>
        </w:rPr>
        <w:t xml:space="preserve"> ability to possess resources and capabilities can influence a firm’s competitive advantage once</w:t>
      </w:r>
      <w:r w:rsidR="005D4134">
        <w:rPr>
          <w:rFonts w:ascii="Garamond" w:eastAsia="TimesNewRomanPSMT" w:hAnsi="Garamond"/>
          <w:sz w:val="24"/>
          <w:szCs w:val="24"/>
        </w:rPr>
        <w:t xml:space="preserve"> it</w:t>
      </w:r>
      <w:r w:rsidR="00FF048A" w:rsidRPr="00055865">
        <w:rPr>
          <w:rFonts w:ascii="Garamond" w:eastAsia="TimesNewRomanPSMT" w:hAnsi="Garamond"/>
          <w:sz w:val="24"/>
          <w:szCs w:val="24"/>
        </w:rPr>
        <w:t xml:space="preserve"> interacted with the natural environment </w:t>
      </w:r>
      <w:r w:rsidR="00FF048A" w:rsidRPr="00055865">
        <w:rPr>
          <w:rFonts w:ascii="Garamond" w:eastAsia="TimesNewRomanPSMT" w:hAnsi="Garamond"/>
          <w:sz w:val="24"/>
          <w:szCs w:val="24"/>
        </w:rPr>
        <w:fldChar w:fldCharType="begin" w:fldLock="1"/>
      </w:r>
      <w:r w:rsidR="00FF048A" w:rsidRPr="00055865">
        <w:rPr>
          <w:rFonts w:ascii="Garamond" w:eastAsia="TimesNewRomanPSMT" w:hAnsi="Garamond"/>
          <w:sz w:val="24"/>
          <w:szCs w:val="24"/>
        </w:rPr>
        <w:instrText>ADDIN CSL_CITATION {"citationItems":[{"id":"ITEM-1","itemData":{"DOI":"10.1016/j.jbusres.2009.01.007","ISSN":"01482963","abstract":"This study uses a group of informants and applies a step-by-step empirical process to examine the applicability of the resource-based view (RBV) and dynamic-capability view (DCV) to environmental volatility. Through examining 253 Taiwanese firms, this study finds that the explanatory power of DCV exceeds that of RBV in volatile environments. Firms that possess dynamic capabilities can effectively enhance their competitive advantages, despite facing highly volatile environments. Nevertheless, the RBV is effective in some ways and firms with valuable, rare, inimitable, and nonsubstitutable resources still possess competitive advantages. This article closes with theoretical and practical implications. © 2009 Elsevier Inc. All rights reserved.","author":[{"dropping-particle":"","family":"Wu","given":"Lei Yu","non-dropping-particle":"","parse-names":false,"suffix":""}],"container-title":"Journal of Business Research","id":"ITEM-1","issued":{"date-parts":[["2010"]]},"title":"Applicability of the resource-based and dynamic-capability views under environmental volatility","type":"article-journal"},"uris":["http://www.mendeley.com/documents/?uuid=41cdc0f5-eeb8-49e6-bd14-f8aa446ec275"]},{"id":"ITEM-2","itemData":{"DOI":"10.1016/j.ijproman.2011.12.004","ISSN":"02637863","abstract":"This paper focuses on the application of strategic management theories to Project Management and Project Portfolio Management research, specifically the Resource-Based View, Dynamic Capabilities, and Absorptive Capacity. A literature review and four research experiences illustrate the advances achieved through the use of these three theoretical perspectives, and contribute to the development of this field by providing examples and guidance for theory development and future research. Commonalities between the research examples include a strong strategic focus, recognition of the importance of knowledge and learning, and research questions seeking understanding and explanation. These research experiences outline the successful application of strategic management theories to a wide range of contexts, using diverse methodologies at a variety of levels of analysis. The findings indicate a broad potential for further fruitful research stemming from the relatively recent application of strategic management theories to Project Management and Project Portfolio Management research. © 2012 Elsevier Ltd. APM and IPMA.","author":[{"dropping-particle":"","family":"Killen","given":"Catherine P.","non-dropping-particle":"","parse-names":false,"suffix":""},{"dropping-particle":"","family":"Jugdev","given":"Kam","non-dropping-particle":"","parse-names":false,"suffix":""},{"dropping-particle":"","family":"Drouin","given":"Nathalie","non-dropping-particle":"","parse-names":false,"suffix":""},{"dropping-particle":"","family":"Petit","given":"Yvan","non-dropping-particle":"","parse-names":false,"suffix":""}],"container-title":"International Journal of Project Management","id":"ITEM-2","issued":{"date-parts":[["2012"]]},"title":"Advancing project and portfolio management research: Applying strategic management theories","type":"article-journal"},"uris":["http://www.mendeley.com/documents/?uuid=2a175b93-5c9c-4bc4-b0dd-87b15f24c147"]},{"id":"ITEM-3","itemData":{"DOI":"10.1016/j.sbspro.2014.03.049","ISSN":"18770428","abstract":"The Resource-based View (RBV) of the firm is a strategic management theory that is widely used by managers in project management. The RBV has to date been a promising theory that examines how resources can drive competitive advantage, especially project management (PM) capabilities that have been customized to a specific organizational environment and developed over time. However, Despite the advantages offered by the RBV to practitioners and scholars alike, the theory has been under attack by opponents claiming that there is an overenthusiasm for what the theory can deliver, especially concerning a lack of criteria for generalizability and definitional ailments. This position paper will give an overview of the supporters and opponents of the application of the RBV in PM practice and research. The position of the authors of this paper, which is in favour of the continued application of the theory to PM contexts, will be detailed and supported by conceptual and empirical findings from the literature. This paper will end with future research recommendations that will highlight research that can be done to curb criticisms of the theory and enhance and rejuvenate its use in practice.","author":[{"dropping-particle":"","family":"Almarri","given":"Khalid","non-dropping-particle":"","parse-names":false,"suffix":""},{"dropping-particle":"","family":"Gardiner","given":"Paul","non-dropping-particle":"","parse-names":false,"suffix":""}],"container-title":"Procedia - Social and Behavioral Sciences","id":"ITEM-3","issued":{"date-parts":[["2014"]]},"title":"Application of Resource-based View to Project Management Research: Supporters and Opponents","type":"article-journal"},"uris":["http://www.mendeley.com/documents/?uuid=c300f9e5-4b4f-4539-9ec3-97c754d0e450"]},{"id":"ITEM-4","itemData":{"DOI":"10.1016/j.ijproman.2013.03.002","ISSN":"02637863","abstract":"Open Source Software (OSS) is an important asset in today's software-intensive society. The success of OSS projects is highly dependent on a number of factors. These factors must be understood and managed as an OSS project progresses. Thus, project management of an OSS project has a decisive role in ensuring the success of its software. The objective of the research is to increase the understanding of the resources affecting the competitiveness of OSS projects. Herewith, the responsiveness of OSS projects to users' needs is assessed via an investigation of the defect-fixing process. A Resource-Based View of the firm (RBV) is used to build theoretical justifications for a set of hypotheses proposed in this study. Data gathered from 427 OSS projects confirmed that developers' interest in and users' contribution to the project as well as frequently updating and releasing the software affect the project's ability to gain competitive advantage through effective defect-fixing. It is also shown that OSS projects that are more popular and have a higher level of organizational communication than others are more likely to gain competitive advantage through effective defect-fixing. Finally, implications of the results for practitioners and the research community are presented. © 2013 Elsevier Ltd.","author":[{"dropping-particle":"","family":"Ghapanchi","given":"Amir Hossein","non-dropping-particle":"","parse-names":false,"suffix":""},{"dropping-particle":"","family":"Wohlin","given":"Claes","non-dropping-particle":"","parse-names":false,"suffix":""},{"dropping-particle":"","family":"Aurum","given":"Aybüke","non-dropping-particle":"","parse-names":false,"suffix":""}],"container-title":"International Journal of Project Management","id":"ITEM-4","issued":{"date-parts":[["2014"]]},"title":"Resources contributing to gaining competitive advantage for open source software projects: An application of resource-based theory","type":"article-journal"},"uris":["http://www.mendeley.com/documents/?uuid=e457ac49-28ae-453f-b5f4-319c1333f619"]}],"mendeley":{"formattedCitation":"(Wu, 2010; Killen &lt;i&gt;et al.&lt;/i&gt;, 2012; Almarri and Gardiner, 2014; Ghapanchi, Wohlin and Aurum, 2014)","manualFormatting":"(Almarri and Gardiner, 2014; Ghapanchi, Wohlin, and Aurum, 2014; Killen, Jugdev, Drouin, and Petit, 2012; Wu, 2010)","plainTextFormattedCitation":"(Wu, 2010; Killen et al., 2012; Almarri and Gardiner, 2014; Ghapanchi, Wohlin and Aurum, 2014)","previouslyFormattedCitation":"(Wu, 2010; Killen &lt;i&gt;et al.&lt;/i&gt;, 2012; Almarri and Gardiner, 2014; Ghapanchi, Wohlin and Aurum, 2014)"},"properties":{"noteIndex":0},"schema":"https://github.com/citation-style-language/schema/raw/master/csl-citation.json"}</w:instrText>
      </w:r>
      <w:r w:rsidR="00FF048A" w:rsidRPr="00055865">
        <w:rPr>
          <w:rFonts w:ascii="Garamond" w:eastAsia="TimesNewRomanPSMT" w:hAnsi="Garamond"/>
          <w:sz w:val="24"/>
          <w:szCs w:val="24"/>
        </w:rPr>
        <w:fldChar w:fldCharType="separate"/>
      </w:r>
      <w:r w:rsidR="00FF048A" w:rsidRPr="00055865">
        <w:rPr>
          <w:rFonts w:ascii="Garamond" w:eastAsia="TimesNewRomanPSMT" w:hAnsi="Garamond"/>
          <w:noProof/>
          <w:sz w:val="24"/>
          <w:szCs w:val="24"/>
        </w:rPr>
        <w:t>(Almarri and Gardiner, 2014; Ghapanchi, Wohlin, and Aurum, 2014; Killen, Jugdev, Drouin, and Petit, 2012; Wu, 2010)</w:t>
      </w:r>
      <w:r w:rsidR="00FF048A" w:rsidRPr="00055865">
        <w:rPr>
          <w:rFonts w:ascii="Garamond" w:eastAsia="TimesNewRomanPSMT" w:hAnsi="Garamond"/>
          <w:sz w:val="24"/>
          <w:szCs w:val="24"/>
        </w:rPr>
        <w:fldChar w:fldCharType="end"/>
      </w:r>
      <w:r w:rsidR="005D4134">
        <w:rPr>
          <w:rFonts w:ascii="Garamond" w:eastAsia="TimesNewRomanPSMT" w:hAnsi="Garamond"/>
          <w:sz w:val="24"/>
          <w:szCs w:val="24"/>
        </w:rPr>
        <w:t>.  The</w:t>
      </w:r>
      <w:r w:rsidR="00FF048A" w:rsidRPr="00055865">
        <w:rPr>
          <w:rFonts w:ascii="Garamond" w:eastAsia="TimesNewRomanPSMT" w:hAnsi="Garamond"/>
          <w:sz w:val="24"/>
          <w:szCs w:val="24"/>
        </w:rPr>
        <w:t xml:space="preserve"> competitive advantage and firm performance are strongly influenced by the firm’s </w:t>
      </w:r>
      <w:r w:rsidR="00C5122C" w:rsidRPr="00055865">
        <w:rPr>
          <w:rFonts w:ascii="Garamond" w:eastAsia="TimesNewRomanPSMT" w:hAnsi="Garamond"/>
          <w:sz w:val="24"/>
          <w:szCs w:val="24"/>
        </w:rPr>
        <w:t>reso</w:t>
      </w:r>
      <w:r w:rsidR="00C5122C">
        <w:rPr>
          <w:rFonts w:ascii="Garamond" w:eastAsia="TimesNewRomanPSMT" w:hAnsi="Garamond"/>
          <w:sz w:val="24"/>
          <w:szCs w:val="24"/>
        </w:rPr>
        <w:t>urces. Therefore</w:t>
      </w:r>
      <w:r w:rsidR="00FF048A" w:rsidRPr="00055865">
        <w:rPr>
          <w:rFonts w:ascii="Garamond" w:eastAsia="TimesNewRomanPSMT" w:hAnsi="Garamond"/>
          <w:sz w:val="24"/>
          <w:szCs w:val="24"/>
        </w:rPr>
        <w:t xml:space="preserve">, there is a strong link between resources and a firm’s performance and competitive advantage </w:t>
      </w:r>
      <w:r w:rsidR="00FF048A" w:rsidRPr="00055865">
        <w:rPr>
          <w:rFonts w:ascii="Garamond" w:eastAsia="TimesNewRomanPSMT" w:hAnsi="Garamond"/>
          <w:sz w:val="24"/>
          <w:szCs w:val="24"/>
        </w:rPr>
        <w:fldChar w:fldCharType="begin" w:fldLock="1"/>
      </w:r>
      <w:r w:rsidR="00FF048A" w:rsidRPr="00055865">
        <w:rPr>
          <w:rFonts w:ascii="Garamond" w:eastAsia="TimesNewRomanPSMT" w:hAnsi="Garamond"/>
          <w:sz w:val="24"/>
          <w:szCs w:val="24"/>
        </w:rPr>
        <w:instrText>ADDIN CSL_CITATION {"citationItems":[{"id":"ITEM-1","itemData":{"DOI":"10.1016/j.ijproman.2013.03.002","ISSN":"02637863","abstract":"Open Source Software (OSS) is an important asset in today's software-intensive society. The success of OSS projects is highly dependent on a number of factors. These factors must be understood and managed as an OSS project progresses. Thus, project management of an OSS project has a decisive role in ensuring the success of its software. The objective of the research is to increase the understanding of the resources affecting the competitiveness of OSS projects. Herewith, the responsiveness of OSS projects to users' needs is assessed via an investigation of the defect-fixing process. A Resource-Based View of the firm (RBV) is used to build theoretical justifications for a set of hypotheses proposed in this study. Data gathered from 427 OSS projects confirmed that developers' interest in and users' contribution to the project as well as frequently updating and releasing the software affect the project's ability to gain competitive advantage through effective defect-fixing. It is also shown that OSS projects that are more popular and have a higher level of organizational communication than others are more likely to gain competitive advantage through effective defect-fixing. Finally, implications of the results for practitioners and the research community are presented. © 2013 Elsevier Ltd.","author":[{"dropping-particle":"","family":"Ghapanchi","given":"Amir Hossein","non-dropping-particle":"","parse-names":false,"suffix":""},{"dropping-particle":"","family":"Wohlin","given":"Claes","non-dropping-particle":"","parse-names":false,"suffix":""},{"dropping-particle":"","family":"Aurum","given":"Aybüke","non-dropping-particle":"","parse-names":false,"suffix":""}],"container-title":"International Journal of Project Management","id":"ITEM-1","issued":{"date-parts":[["2014"]]},"title":"Resources contributing to gaining competitive advantage for open source software projects: An application of resource-based theory","type":"article-journal"},"uris":["http://www.mendeley.com/documents/?uuid=e457ac49-28ae-453f-b5f4-319c1333f619"]}],"mendeley":{"formattedCitation":"(Ghapanchi, Wohlin and Aurum, 2014)","plainTextFormattedCitation":"(Ghapanchi, Wohlin and Aurum, 2014)","previouslyFormattedCitation":"(Ghapanchi, Wohlin and Aurum, 2014)"},"properties":{"noteIndex":0},"schema":"https://github.com/citation-style-language/schema/raw/master/csl-citation.json"}</w:instrText>
      </w:r>
      <w:r w:rsidR="00FF048A" w:rsidRPr="00055865">
        <w:rPr>
          <w:rFonts w:ascii="Garamond" w:eastAsia="TimesNewRomanPSMT" w:hAnsi="Garamond"/>
          <w:sz w:val="24"/>
          <w:szCs w:val="24"/>
        </w:rPr>
        <w:fldChar w:fldCharType="separate"/>
      </w:r>
      <w:r w:rsidR="00FF048A" w:rsidRPr="00055865">
        <w:rPr>
          <w:rFonts w:ascii="Garamond" w:eastAsia="TimesNewRomanPSMT" w:hAnsi="Garamond"/>
          <w:noProof/>
          <w:sz w:val="24"/>
          <w:szCs w:val="24"/>
        </w:rPr>
        <w:t>(Ghapanchi, Wohlin and Aurum, 2014)</w:t>
      </w:r>
      <w:r w:rsidR="00FF048A" w:rsidRPr="00055865">
        <w:rPr>
          <w:rFonts w:ascii="Garamond" w:eastAsia="TimesNewRomanPSMT" w:hAnsi="Garamond"/>
          <w:sz w:val="24"/>
          <w:szCs w:val="24"/>
        </w:rPr>
        <w:fldChar w:fldCharType="end"/>
      </w:r>
      <w:r w:rsidR="00FF048A" w:rsidRPr="00055865">
        <w:rPr>
          <w:rFonts w:ascii="Garamond" w:eastAsia="TimesNewRomanPSMT" w:hAnsi="Garamond"/>
          <w:sz w:val="24"/>
          <w:szCs w:val="24"/>
        </w:rPr>
        <w:t xml:space="preserve">.  </w:t>
      </w:r>
    </w:p>
    <w:p w14:paraId="44773BA0" w14:textId="62CA3DEA" w:rsidR="00FF048A" w:rsidRPr="00055865" w:rsidRDefault="005619BE" w:rsidP="005B6FD7">
      <w:pPr>
        <w:tabs>
          <w:tab w:val="left" w:pos="2550"/>
        </w:tabs>
        <w:spacing w:after="0" w:line="480" w:lineRule="auto"/>
        <w:contextualSpacing/>
        <w:jc w:val="both"/>
        <w:rPr>
          <w:rFonts w:ascii="Garamond" w:eastAsia="TimesNewRomanPSMT" w:hAnsi="Garamond"/>
          <w:noProof/>
          <w:sz w:val="24"/>
          <w:szCs w:val="24"/>
        </w:rPr>
      </w:pPr>
      <w:r>
        <w:rPr>
          <w:rFonts w:ascii="Garamond" w:eastAsia="TimesNewRomanPSMT" w:hAnsi="Garamond"/>
          <w:sz w:val="24"/>
          <w:szCs w:val="24"/>
        </w:rPr>
        <w:t xml:space="preserve">            </w:t>
      </w:r>
      <w:r w:rsidR="00FF048A" w:rsidRPr="00055865">
        <w:rPr>
          <w:rFonts w:ascii="Garamond" w:eastAsia="TimesNewRomanPSMT" w:hAnsi="Garamond"/>
          <w:sz w:val="24"/>
          <w:szCs w:val="24"/>
        </w:rPr>
        <w:t xml:space="preserve"> </w:t>
      </w:r>
      <w:r w:rsidR="00FF048A" w:rsidRPr="00055865">
        <w:rPr>
          <w:rFonts w:ascii="Garamond" w:eastAsia="TimesNewRomanPSMT" w:hAnsi="Garamond"/>
          <w:sz w:val="24"/>
          <w:szCs w:val="24"/>
        </w:rPr>
        <w:fldChar w:fldCharType="begin" w:fldLock="1"/>
      </w:r>
      <w:r w:rsidR="00FF048A" w:rsidRPr="00055865">
        <w:rPr>
          <w:rFonts w:ascii="Garamond" w:eastAsia="TimesNewRomanPSMT" w:hAnsi="Garamond"/>
          <w:sz w:val="24"/>
          <w:szCs w:val="24"/>
        </w:rPr>
        <w:instrText>ADDIN CSL_CITATION {"citationItems":[{"id":"ITEM-1","itemData":{"DOI":"10.1177/014920639101700108","ISBN":"8437922992","ISSN":"0149-2063","PMID":"5978921","abstract":"Understanding sources of sustained competitive advantage has become a major area of research in strategic management. Building on the assumptions that strategic resources are hetergeneously distributed across firms and that these differences are stable over time, this article examines the link between firm resources and sustained competitive advantage. Four empirical indicators of the potential of firm resources to genertate sustained competitive advantage - value, rareness, imitability and subsitutability - are discussed. The model is applied by analysing the potential of several firm resources for generating sustained competitive advantages. The article concluded by examining implications of this firm resource model of sustained competitive advantage for other business disciplines.","author":[{"dropping-particle":"","family":"Barney","given":"J.","non-dropping-particle":"","parse-names":false,"suffix":""}],"container-title":"Journal of Management","id":"ITEM-1","issue":"1","issued":{"date-parts":[["1991"]]},"page":"99-120","title":"Barney, J. (1991). Firm Resources and Sustained Competitive Advantage. Journal of Management, 17(1), 99–120. http://doi.org/10.1177/014920639101700108Firm Resources and Sustained Competitive Advantage","type":"article","volume":"17"},"uris":["http://www.mendeley.com/documents/?uuid=9fdf3315-bdf1-4835-91e8-5a64bc3ccdb1"]}],"mendeley":{"formattedCitation":"(Barney, 1991)","manualFormatting":"Barney (1991)","plainTextFormattedCitation":"(Barney, 1991)","previouslyFormattedCitation":"(Barney, 1991)"},"properties":{"noteIndex":0},"schema":"https://github.com/citation-style-language/schema/raw/master/csl-citation.json"}</w:instrText>
      </w:r>
      <w:r w:rsidR="00FF048A" w:rsidRPr="00055865">
        <w:rPr>
          <w:rFonts w:ascii="Garamond" w:eastAsia="TimesNewRomanPSMT" w:hAnsi="Garamond"/>
          <w:sz w:val="24"/>
          <w:szCs w:val="24"/>
        </w:rPr>
        <w:fldChar w:fldCharType="separate"/>
      </w:r>
      <w:r w:rsidR="00FF048A" w:rsidRPr="00055865">
        <w:rPr>
          <w:rFonts w:ascii="Garamond" w:eastAsia="TimesNewRomanPSMT" w:hAnsi="Garamond"/>
          <w:noProof/>
          <w:sz w:val="24"/>
          <w:szCs w:val="24"/>
        </w:rPr>
        <w:t>Barney (1991)</w:t>
      </w:r>
      <w:r w:rsidR="00FF048A" w:rsidRPr="00055865">
        <w:rPr>
          <w:rFonts w:ascii="Garamond" w:eastAsia="TimesNewRomanPSMT" w:hAnsi="Garamond"/>
          <w:sz w:val="24"/>
          <w:szCs w:val="24"/>
        </w:rPr>
        <w:fldChar w:fldCharType="end"/>
      </w:r>
      <w:r w:rsidR="00FF048A" w:rsidRPr="00055865">
        <w:rPr>
          <w:rFonts w:ascii="Garamond" w:eastAsia="TimesNewRomanPSMT" w:hAnsi="Garamond"/>
          <w:sz w:val="24"/>
          <w:szCs w:val="24"/>
        </w:rPr>
        <w:t xml:space="preserve"> indicates that resources must be specific to a firm and</w:t>
      </w:r>
      <w:r w:rsidR="00FF048A" w:rsidRPr="00055865">
        <w:rPr>
          <w:rFonts w:ascii="Garamond" w:hAnsi="Garamond"/>
          <w:sz w:val="24"/>
          <w:szCs w:val="24"/>
        </w:rPr>
        <w:t xml:space="preserve"> </w:t>
      </w:r>
      <w:r w:rsidR="00FF048A" w:rsidRPr="00055865">
        <w:rPr>
          <w:rFonts w:ascii="Garamond" w:eastAsia="TimesNewRomanPSMT" w:hAnsi="Garamond"/>
          <w:sz w:val="24"/>
          <w:szCs w:val="24"/>
        </w:rPr>
        <w:t xml:space="preserve">difficult to transfer between </w:t>
      </w:r>
      <w:proofErr w:type="gramStart"/>
      <w:r w:rsidR="00FF048A" w:rsidRPr="00055865">
        <w:rPr>
          <w:rFonts w:ascii="Garamond" w:eastAsia="TimesNewRomanPSMT" w:hAnsi="Garamond"/>
          <w:sz w:val="24"/>
          <w:szCs w:val="24"/>
        </w:rPr>
        <w:t>firms</w:t>
      </w:r>
      <w:r w:rsidR="005B6FD7">
        <w:rPr>
          <w:rFonts w:ascii="Garamond" w:eastAsia="TimesNewRomanPSMT" w:hAnsi="Garamond"/>
          <w:sz w:val="24"/>
          <w:szCs w:val="24"/>
        </w:rPr>
        <w:t>,</w:t>
      </w:r>
      <w:r w:rsidR="00FF048A" w:rsidRPr="00055865">
        <w:rPr>
          <w:rFonts w:ascii="Garamond" w:eastAsia="TimesNewRomanPSMT" w:hAnsi="Garamond"/>
          <w:sz w:val="24"/>
          <w:szCs w:val="24"/>
        </w:rPr>
        <w:t xml:space="preserve"> and</w:t>
      </w:r>
      <w:proofErr w:type="gramEnd"/>
      <w:r w:rsidR="00FF048A" w:rsidRPr="00055865">
        <w:rPr>
          <w:rFonts w:ascii="Garamond" w:eastAsia="TimesNewRomanPSMT" w:hAnsi="Garamond"/>
          <w:sz w:val="24"/>
          <w:szCs w:val="24"/>
        </w:rPr>
        <w:t xml:space="preserve"> should not be widely available to the industry.  Similarly, </w:t>
      </w:r>
      <w:r w:rsidR="00FF048A" w:rsidRPr="00055865">
        <w:rPr>
          <w:rFonts w:ascii="Garamond" w:eastAsia="TimesNewRomanPSMT" w:hAnsi="Garamond"/>
          <w:sz w:val="24"/>
          <w:szCs w:val="24"/>
        </w:rPr>
        <w:fldChar w:fldCharType="begin" w:fldLock="1"/>
      </w:r>
      <w:r w:rsidR="00FF048A" w:rsidRPr="00055865">
        <w:rPr>
          <w:rFonts w:ascii="Garamond" w:eastAsia="TimesNewRomanPSMT" w:hAnsi="Garamond"/>
          <w:sz w:val="24"/>
          <w:szCs w:val="24"/>
        </w:rPr>
        <w:instrText>ADDIN CSL_CITATION {"citationItems":[{"id":"ITEM-1","itemData":{"abstract":"Hart, S. L. (1995), A natural – resource – based view of the firm, Academy Management Review, 20(4), pp. 966-1014.","author":[{"dropping-particle":"","family":"Hart","given":"S. L.","non-dropping-particle":"","parse-names":false,"suffix":""}],"container-title":"Academy Management Review","id":"ITEM-1","issue":"4","issued":{"date-parts":[["1995"]]},"page":"966-1014","title":"A natural – resource – based view of the firm","type":"article-journal","volume":"20"},"uris":["http://www.mendeley.com/documents/?uuid=249e5a9c-e0d6-4e3b-b7fe-42bd71f3b4ab"]}],"mendeley":{"formattedCitation":"(Hart, 1995)","manualFormatting":"Hart (1995)","plainTextFormattedCitation":"(Hart, 1995)","previouslyFormattedCitation":"(Hart, 1995)"},"properties":{"noteIndex":0},"schema":"https://github.com/citation-style-language/schema/raw/master/csl-citation.json"}</w:instrText>
      </w:r>
      <w:r w:rsidR="00FF048A" w:rsidRPr="00055865">
        <w:rPr>
          <w:rFonts w:ascii="Garamond" w:eastAsia="TimesNewRomanPSMT" w:hAnsi="Garamond"/>
          <w:sz w:val="24"/>
          <w:szCs w:val="24"/>
        </w:rPr>
        <w:fldChar w:fldCharType="separate"/>
      </w:r>
      <w:r w:rsidR="00FF048A" w:rsidRPr="00055865">
        <w:rPr>
          <w:rFonts w:ascii="Garamond" w:eastAsia="TimesNewRomanPSMT" w:hAnsi="Garamond"/>
          <w:noProof/>
          <w:sz w:val="24"/>
          <w:szCs w:val="24"/>
        </w:rPr>
        <w:t>Hart (1995)</w:t>
      </w:r>
      <w:r w:rsidR="00FF048A" w:rsidRPr="00055865">
        <w:rPr>
          <w:rFonts w:ascii="Garamond" w:eastAsia="TimesNewRomanPSMT" w:hAnsi="Garamond"/>
          <w:sz w:val="24"/>
          <w:szCs w:val="24"/>
        </w:rPr>
        <w:fldChar w:fldCharType="end"/>
      </w:r>
      <w:r w:rsidR="00FF048A" w:rsidRPr="00055865">
        <w:rPr>
          <w:rFonts w:ascii="Garamond" w:eastAsia="TimesNewRomanPSMT" w:hAnsi="Garamond"/>
          <w:sz w:val="24"/>
          <w:szCs w:val="24"/>
        </w:rPr>
        <w:t xml:space="preserve"> contends that the most important characteristics of the resources for sustained competitive advantage should be difficult to replicate. These resources include tacit, complex, skilled</w:t>
      </w:r>
      <w:r w:rsidR="005B6FD7">
        <w:rPr>
          <w:rFonts w:ascii="Garamond" w:eastAsia="TimesNewRomanPSMT" w:hAnsi="Garamond"/>
          <w:sz w:val="24"/>
          <w:szCs w:val="24"/>
        </w:rPr>
        <w:t>-</w:t>
      </w:r>
      <w:r w:rsidR="00FF048A" w:rsidRPr="00055865">
        <w:rPr>
          <w:rFonts w:ascii="Garamond" w:eastAsia="TimesNewRomanPSMT" w:hAnsi="Garamond"/>
          <w:sz w:val="24"/>
          <w:szCs w:val="24"/>
        </w:rPr>
        <w:t>based and people</w:t>
      </w:r>
      <w:r w:rsidR="005B6FD7">
        <w:rPr>
          <w:rFonts w:ascii="Garamond" w:eastAsia="TimesNewRomanPSMT" w:hAnsi="Garamond"/>
          <w:sz w:val="24"/>
          <w:szCs w:val="24"/>
        </w:rPr>
        <w:t>-</w:t>
      </w:r>
      <w:r w:rsidR="00FF048A" w:rsidRPr="00055865">
        <w:rPr>
          <w:rFonts w:ascii="Garamond" w:eastAsia="TimesNewRomanPSMT" w:hAnsi="Garamond"/>
          <w:sz w:val="24"/>
          <w:szCs w:val="24"/>
        </w:rPr>
        <w:t xml:space="preserve">intensive, invisible and are achieved upon learning by doing, developed through experience and refined through practice </w:t>
      </w:r>
      <w:r w:rsidR="00FF048A" w:rsidRPr="00055865">
        <w:rPr>
          <w:rFonts w:ascii="Garamond" w:eastAsia="TimesNewRomanPSMT" w:hAnsi="Garamond"/>
          <w:sz w:val="24"/>
          <w:szCs w:val="24"/>
        </w:rPr>
        <w:fldChar w:fldCharType="begin" w:fldLock="1"/>
      </w:r>
      <w:r w:rsidR="00FF048A" w:rsidRPr="00055865">
        <w:rPr>
          <w:rFonts w:ascii="Garamond" w:eastAsia="TimesNewRomanPSMT" w:hAnsi="Garamond"/>
          <w:sz w:val="24"/>
          <w:szCs w:val="24"/>
        </w:rPr>
        <w:instrText>ADDIN CSL_CITATION {"citationItems":[{"id":"ITEM-1","itemData":{"abstract":"Hart, S. L. (1995), A natural – resource – based view of the firm, Academy Management Review, 20(4), pp. 966-1014.","author":[{"dropping-particle":"","family":"Hart","given":"S. L.","non-dropping-particle":"","parse-names":false,"suffix":""}],"container-title":"Academy Management Review","id":"ITEM-1","issue":"4","issued":{"date-parts":[["1995"]]},"page":"966-1014","title":"A natural – resource – based view of the firm","type":"article-journal","volume":"20"},"uris":["http://www.mendeley.com/documents/?uuid=249e5a9c-e0d6-4e3b-b7fe-42bd71f3b4ab"]}],"mendeley":{"formattedCitation":"(Hart, 1995)","manualFormatting":"(Hart, 1995)","plainTextFormattedCitation":"(Hart, 1995)","previouslyFormattedCitation":"(Hart, 1995)"},"properties":{"noteIndex":0},"schema":"https://github.com/citation-style-language/schema/raw/master/csl-citation.json"}</w:instrText>
      </w:r>
      <w:r w:rsidR="00FF048A" w:rsidRPr="00055865">
        <w:rPr>
          <w:rFonts w:ascii="Garamond" w:eastAsia="TimesNewRomanPSMT" w:hAnsi="Garamond"/>
          <w:sz w:val="24"/>
          <w:szCs w:val="24"/>
        </w:rPr>
        <w:fldChar w:fldCharType="separate"/>
      </w:r>
      <w:r w:rsidR="00FF048A" w:rsidRPr="00055865">
        <w:rPr>
          <w:rFonts w:ascii="Garamond" w:eastAsia="TimesNewRomanPSMT" w:hAnsi="Garamond"/>
          <w:noProof/>
          <w:sz w:val="24"/>
          <w:szCs w:val="24"/>
        </w:rPr>
        <w:t>(Hart, 1995)</w:t>
      </w:r>
      <w:r w:rsidR="00FF048A" w:rsidRPr="00055865">
        <w:rPr>
          <w:rFonts w:ascii="Garamond" w:eastAsia="TimesNewRomanPSMT" w:hAnsi="Garamond"/>
          <w:sz w:val="24"/>
          <w:szCs w:val="24"/>
        </w:rPr>
        <w:fldChar w:fldCharType="end"/>
      </w:r>
      <w:r w:rsidR="00FF048A" w:rsidRPr="00055865">
        <w:rPr>
          <w:rFonts w:ascii="Garamond" w:eastAsia="TimesNewRomanPSMT" w:hAnsi="Garamond"/>
          <w:sz w:val="24"/>
          <w:szCs w:val="24"/>
        </w:rPr>
        <w:t xml:space="preserve">.  </w:t>
      </w:r>
      <w:r w:rsidR="00FF048A" w:rsidRPr="00055865">
        <w:rPr>
          <w:rFonts w:ascii="Garamond" w:eastAsia="TimesNewRomanPSMT" w:hAnsi="Garamond"/>
          <w:sz w:val="24"/>
          <w:szCs w:val="24"/>
        </w:rPr>
        <w:fldChar w:fldCharType="begin" w:fldLock="1"/>
      </w:r>
      <w:r w:rsidR="00FF048A" w:rsidRPr="00055865">
        <w:rPr>
          <w:rFonts w:ascii="Garamond" w:eastAsia="TimesNewRomanPSMT" w:hAnsi="Garamond"/>
          <w:sz w:val="24"/>
          <w:szCs w:val="24"/>
        </w:rPr>
        <w:instrText>ADDIN CSL_CITATION {"citationItems":[{"id":"ITEM-1","itemData":{"DOI":"10.1177/0149206310390219","ISBN":"01492063","ISSN":"01492063","PMID":"9512280033","abstract":"The authors revisit Hart's natural-resource-based view (NRBV) of the firm and summarize progress that has been made in testing elements of that theory and reevaluate the NRBV in light of a number of important developments that have emerged in recent years in both the resource-based view literature and in research on sustainable enterprise. First, the authors consider how the NRBV can both benefit from recent work in dynamic capabilities and can itself inform such work. Second, they review recent research in the areas of clean technology and business at the base of the pyramid and suggest how the NRBV can help inform research on the resources and capabilities needed to enter and succeed in these domains.","author":[{"dropping-particle":"","family":"Hart","given":"Stuart L.","non-dropping-particle":"","parse-names":false,"suffix":""},{"dropping-particle":"","family":"Dowell","given":"Glen","non-dropping-particle":"","parse-names":false,"suffix":""}],"container-title":"Journal of Management","id":"ITEM-1","issue":"5","issued":{"date-parts":[["2011"]]},"page":"1464-1479","title":"A natural-resource-based view of the firm: Fifteen years after","type":"article","volume":"37"},"uris":["http://www.mendeley.com/documents/?uuid=678cb056-55f8-44f9-b1a8-d8dae135c825"]}],"mendeley":{"formattedCitation":"(Hart and Dowell, 2011)","manualFormatting":" \r Hart and Dowell (2011)","plainTextFormattedCitation":"(Hart and Dowell, 2011)","previouslyFormattedCitation":"(Hart and Dowell, 2011)"},"properties":{"noteIndex":0},"schema":"https://github.com/citation-style-language/schema/raw/master/csl-citation.json"}</w:instrText>
      </w:r>
      <w:r w:rsidR="00FF048A" w:rsidRPr="00055865">
        <w:rPr>
          <w:rFonts w:ascii="Garamond" w:eastAsia="TimesNewRomanPSMT" w:hAnsi="Garamond"/>
          <w:sz w:val="24"/>
          <w:szCs w:val="24"/>
        </w:rPr>
        <w:fldChar w:fldCharType="separate"/>
      </w:r>
      <w:r w:rsidR="00FF048A" w:rsidRPr="00055865">
        <w:rPr>
          <w:rFonts w:ascii="Garamond" w:eastAsia="TimesNewRomanPSMT" w:hAnsi="Garamond"/>
          <w:noProof/>
          <w:sz w:val="24"/>
          <w:szCs w:val="24"/>
        </w:rPr>
        <w:t xml:space="preserve"> </w:t>
      </w:r>
    </w:p>
    <w:p w14:paraId="2D3739D3" w14:textId="6C52E6D2" w:rsidR="00FF048A" w:rsidRPr="00055865" w:rsidRDefault="00FF048A" w:rsidP="005B6FD7">
      <w:pPr>
        <w:tabs>
          <w:tab w:val="left" w:pos="2550"/>
        </w:tabs>
        <w:spacing w:after="0" w:line="480" w:lineRule="auto"/>
        <w:ind w:firstLine="567"/>
        <w:contextualSpacing/>
        <w:jc w:val="both"/>
        <w:rPr>
          <w:rFonts w:ascii="Garamond" w:eastAsia="TimesNewRomanPSMT" w:hAnsi="Garamond"/>
          <w:sz w:val="24"/>
          <w:szCs w:val="24"/>
        </w:rPr>
      </w:pPr>
      <w:r w:rsidRPr="00055865">
        <w:rPr>
          <w:rFonts w:ascii="Garamond" w:eastAsia="TimesNewRomanPSMT" w:hAnsi="Garamond"/>
          <w:noProof/>
          <w:sz w:val="24"/>
          <w:szCs w:val="24"/>
        </w:rPr>
        <w:t xml:space="preserve"> Hart and Dowell (2011)</w:t>
      </w:r>
      <w:r w:rsidRPr="00055865">
        <w:rPr>
          <w:rFonts w:ascii="Garamond" w:eastAsia="TimesNewRomanPSMT" w:hAnsi="Garamond"/>
          <w:sz w:val="24"/>
          <w:szCs w:val="24"/>
        </w:rPr>
        <w:fldChar w:fldCharType="end"/>
      </w:r>
      <w:r w:rsidR="005D4134">
        <w:rPr>
          <w:rFonts w:ascii="Garamond" w:eastAsia="TimesNewRomanPSMT" w:hAnsi="Garamond"/>
          <w:sz w:val="24"/>
          <w:szCs w:val="24"/>
        </w:rPr>
        <w:t xml:space="preserve"> argue that</w:t>
      </w:r>
      <w:r w:rsidRPr="00055865">
        <w:rPr>
          <w:rFonts w:ascii="Garamond" w:eastAsia="TimesNewRomanPSMT" w:hAnsi="Garamond"/>
          <w:sz w:val="24"/>
          <w:szCs w:val="24"/>
        </w:rPr>
        <w:t xml:space="preserve"> whil</w:t>
      </w:r>
      <w:r w:rsidR="005B6FD7">
        <w:rPr>
          <w:rFonts w:ascii="Garamond" w:eastAsia="TimesNewRomanPSMT" w:hAnsi="Garamond"/>
          <w:sz w:val="24"/>
          <w:szCs w:val="24"/>
        </w:rPr>
        <w:t>e</w:t>
      </w:r>
      <w:r w:rsidRPr="00055865">
        <w:rPr>
          <w:rFonts w:ascii="Garamond" w:eastAsia="TimesNewRomanPSMT" w:hAnsi="Garamond"/>
          <w:sz w:val="24"/>
          <w:szCs w:val="24"/>
        </w:rPr>
        <w:t xml:space="preserve"> pollution prevention has a lower cost implication, product stewardship which involves entire stakeholder integration ensures that stakeholders’ position on the environment can be effectively integrated into product design and development process. Sustainable development, on the other hand, does not only ensure less damage to the environment but rather ensure that production is economically undertaken that improves environmental sustainability. Emphasising on pollution prevention as a catalyst for improving financial performance,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10.1002/eet","ISSN":"09610405","author":[{"dropping-particle":"","family":"Earnhart","given":"Dietrich","non-dropping-particle":"","parse-names":false,"suffix":""},{"dropping-particle":"","family":"Lizal","given":"Lubomir","non-dropping-particle":"","parse-names":false,"suffix":""}],"container-title":"European Environment","id":"ITEM-1","issued":{"date-parts":[["2007"]]},"page":"247-266","title":"Effect of pollution control on corporate financial performance in a transition economy","type":"article-journal","volume":"266"},"uris":["http://www.mendeley.com/documents/?uuid=d6fa97d4-7bc2-413d-b5ff-0c7393d48b10"]}],"mendeley":{"formattedCitation":"(Earnhart and Lizal, 2007)","manualFormatting":"Earnhart and Lizal (2007)","plainTextFormattedCitation":"(Earnhart and Lizal, 2007)","previouslyFormattedCitation":"(Earnhart and Lizal, 2007)"},"properties":{"noteIndex":0},"schema":"https://github.com/citation-style-language/schema/raw/master/csl-citation.json"}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Earnhart and Lizal (2007)</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aver that, firms that can invest in riskier environmental management programmes that alter or install new production process to prevent rather than treat pollution may be effectively reducing pollution and at the same time lowering costs. In line with the arguments put forward by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{"citationItems":[{"id":"ITEM-1","itemData":{"DOI":"10.1023/B:EARE.0000044602.86367.ff","ISBN":"0924-6460","abstract":"A growing body of research has centered on the issue of the relationship between financial and environmental performance. The lack of consensus in this literature can be attributed to several factors. The cost of complying with environmental regulation can be significant and detrimental to shareholder wealth maximization. Conversely, a firm that can effectively control pollution might also be able to effectively control other costs of production and hence earn a higher rate of return. We utilize data from the Investor Responsibility Research Center as well as a proprietary database to investigate the relationship between environmental performance and financial performance in electric utilities. Utilities, as producers and distributors of energy, produce substantial amounts of pollution. However, since public utilities are regulated, studying the financial and environmental performance of utilities affords us the opportunity to see what role regulation plays in enhancing or diminishing the relationship between financial and environmental performance. Our results differ from earlier studies in that we find do not find a positive relationship between holding period returns and an industry-adjusted measure of environmental performance nor do we find that regulatory climate appears to explain returns. While there does not appear to be a clearly defined relationship between regulatory climate and a compliance based measure of environmental performance, there is evidence of a negative relationship between financial return and a more pro-active measure of environmental performance. We offer several possible interpretations of these results and extensions for future research.","author":[{"dropping-particle":"","family":"Filbeck","given":"G","non-dropping-particle":"","parse-names":false,"suffix":""},{"dropping-particle":"","family":"Gorman","given":"R F","non-dropping-particle":"","parse-names":false,"suffix":""}],"container-title":"Environmental &amp; Resource Economics","id":"ITEM-1","issue":"2","issued":{"date-parts":[["2004"]]},"page":"137-157","title":"The relationship between the environmental and financial performance of public utilities","type":"article-journal","volume":"29"},"uris":["http://www.mendeley.com/documents/?uuid=4cfa7e42-4a8f-434d-a9e2-4c0cdd36f901"]}],"mendeley":{"formattedCitation":"(Filbeck and Gorman, 2004)","manualFormatting":"Filbeck and Gorman (2004)","plainTextFormattedCitation":"(Filbeck and Gorman, 2004)","previouslyFormattedCitation":"(Filbeck and Gorman, 2004)"},"properties":{"noteIndex":0},"schema":"https://github.com/citation-style-language/schema/raw/master/csl-citation.json"}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Filbeck and Gorman (2004)</w:t>
      </w:r>
      <w:r w:rsidRPr="00055865">
        <w:rPr>
          <w:rFonts w:ascii="Garamond" w:eastAsia="TimesNewRomanPSMT" w:hAnsi="Garamond"/>
          <w:sz w:val="24"/>
          <w:szCs w:val="24"/>
        </w:rPr>
        <w:fldChar w:fldCharType="end"/>
      </w:r>
      <w:r w:rsidRPr="00055865">
        <w:rPr>
          <w:rFonts w:ascii="Garamond" w:eastAsia="TimesNewRomanPSMT" w:hAnsi="Garamond"/>
          <w:sz w:val="24"/>
          <w:szCs w:val="24"/>
        </w:rPr>
        <w:t>, investment in pollution reduction measures</w:t>
      </w:r>
      <w:r w:rsidR="00623952">
        <w:rPr>
          <w:rFonts w:ascii="Garamond" w:eastAsia="TimesNewRomanPSMT" w:hAnsi="Garamond"/>
          <w:sz w:val="24"/>
          <w:szCs w:val="24"/>
        </w:rPr>
        <w:t>,</w:t>
      </w:r>
      <w:r w:rsidRPr="00055865">
        <w:rPr>
          <w:rFonts w:ascii="Garamond" w:eastAsia="TimesNewRomanPSMT" w:hAnsi="Garamond"/>
          <w:sz w:val="24"/>
          <w:szCs w:val="24"/>
        </w:rPr>
        <w:t xml:space="preserve"> through prevention rather than end-of-pipe treatment</w:t>
      </w:r>
      <w:r w:rsidR="00623952">
        <w:rPr>
          <w:rFonts w:ascii="Garamond" w:eastAsia="TimesNewRomanPSMT" w:hAnsi="Garamond"/>
          <w:sz w:val="24"/>
          <w:szCs w:val="24"/>
        </w:rPr>
        <w:t>,</w:t>
      </w:r>
      <w:r w:rsidRPr="00055865">
        <w:rPr>
          <w:rFonts w:ascii="Garamond" w:eastAsia="TimesNewRomanPSMT" w:hAnsi="Garamond"/>
          <w:sz w:val="24"/>
          <w:szCs w:val="24"/>
        </w:rPr>
        <w:t xml:space="preserve"> allow</w:t>
      </w:r>
      <w:r w:rsidR="00623952">
        <w:rPr>
          <w:rFonts w:ascii="Garamond" w:eastAsia="TimesNewRomanPSMT" w:hAnsi="Garamond"/>
          <w:sz w:val="24"/>
          <w:szCs w:val="24"/>
        </w:rPr>
        <w:t>s</w:t>
      </w:r>
      <w:r w:rsidRPr="00055865">
        <w:rPr>
          <w:rFonts w:ascii="Garamond" w:eastAsia="TimesNewRomanPSMT" w:hAnsi="Garamond"/>
          <w:sz w:val="24"/>
          <w:szCs w:val="24"/>
        </w:rPr>
        <w:t xml:space="preserve"> firms to establish a competitive edge through </w:t>
      </w:r>
      <w:r w:rsidR="005B6FD7">
        <w:rPr>
          <w:rFonts w:ascii="Garamond" w:eastAsia="TimesNewRomanPSMT" w:hAnsi="Garamond"/>
          <w:sz w:val="24"/>
          <w:szCs w:val="24"/>
        </w:rPr>
        <w:t xml:space="preserve">the </w:t>
      </w:r>
      <w:r w:rsidRPr="00055865">
        <w:rPr>
          <w:rFonts w:ascii="Garamond" w:eastAsia="TimesNewRomanPSMT" w:hAnsi="Garamond"/>
          <w:sz w:val="24"/>
          <w:szCs w:val="24"/>
        </w:rPr>
        <w:t xml:space="preserve">marketing of sustainable environmental products. </w:t>
      </w:r>
    </w:p>
    <w:p w14:paraId="3AB21F2E" w14:textId="3AC14786" w:rsidR="00FF048A" w:rsidRPr="00055865" w:rsidRDefault="00FF048A"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           Ramanathan (2016) also observed that NRBV supports environmental and financial performance relationship.  The study indicated that environmental and financial performance </w:t>
      </w:r>
      <w:r w:rsidRPr="00055865">
        <w:rPr>
          <w:rFonts w:ascii="Garamond" w:eastAsia="TimesNewRomanPSMT" w:hAnsi="Garamond"/>
          <w:sz w:val="24"/>
          <w:szCs w:val="24"/>
        </w:rPr>
        <w:lastRenderedPageBreak/>
        <w:t>require deployment and utilisation of firm resources and economic performance is expected since both require the use of vital resources necessary for competition.  In congruence with Hart (199</w:t>
      </w:r>
      <w:r w:rsidR="00623952">
        <w:rPr>
          <w:rFonts w:ascii="Garamond" w:eastAsia="TimesNewRomanPSMT" w:hAnsi="Garamond"/>
          <w:sz w:val="24"/>
          <w:szCs w:val="24"/>
        </w:rPr>
        <w:t>5), Ramanathan (2016) explained</w:t>
      </w:r>
      <w:r w:rsidRPr="00055865">
        <w:rPr>
          <w:rFonts w:ascii="Garamond" w:eastAsia="TimesNewRomanPSMT" w:hAnsi="Garamond"/>
          <w:sz w:val="24"/>
          <w:szCs w:val="24"/>
        </w:rPr>
        <w:t xml:space="preserve"> how proper stakeholder management c</w:t>
      </w:r>
      <w:r w:rsidR="005B6FD7">
        <w:rPr>
          <w:rFonts w:ascii="Garamond" w:eastAsia="TimesNewRomanPSMT" w:hAnsi="Garamond"/>
          <w:sz w:val="24"/>
          <w:szCs w:val="24"/>
        </w:rPr>
        <w:t>ould</w:t>
      </w:r>
      <w:r w:rsidRPr="00055865">
        <w:rPr>
          <w:rFonts w:ascii="Garamond" w:eastAsia="TimesNewRomanPSMT" w:hAnsi="Garamond"/>
          <w:sz w:val="24"/>
          <w:szCs w:val="24"/>
        </w:rPr>
        <w:t xml:space="preserve"> enhance sustainable environmental policies and financial performance relationships. The positive correlation between sustainable environmental practices and financial performance could be attributed to the deployment of an important resource like proper stakeholder engagement. Good environmental practices make the firm attractive to </w:t>
      </w:r>
      <w:r w:rsidR="00623952">
        <w:rPr>
          <w:rFonts w:ascii="Garamond" w:eastAsia="TimesNewRomanPSMT" w:hAnsi="Garamond"/>
          <w:sz w:val="24"/>
          <w:szCs w:val="24"/>
        </w:rPr>
        <w:t>important stakeholders like</w:t>
      </w:r>
      <w:r w:rsidRPr="00055865">
        <w:rPr>
          <w:rFonts w:ascii="Garamond" w:eastAsia="TimesNewRomanPSMT" w:hAnsi="Garamond"/>
          <w:sz w:val="24"/>
          <w:szCs w:val="24"/>
        </w:rPr>
        <w:t xml:space="preserve"> qu</w:t>
      </w:r>
      <w:r w:rsidR="00623952">
        <w:rPr>
          <w:rFonts w:ascii="Garamond" w:eastAsia="TimesNewRomanPSMT" w:hAnsi="Garamond"/>
          <w:sz w:val="24"/>
          <w:szCs w:val="24"/>
        </w:rPr>
        <w:t>ality employees and management as</w:t>
      </w:r>
      <w:r w:rsidRPr="00055865">
        <w:rPr>
          <w:rFonts w:ascii="Garamond" w:eastAsia="TimesNewRomanPSMT" w:hAnsi="Garamond"/>
          <w:sz w:val="24"/>
          <w:szCs w:val="24"/>
        </w:rPr>
        <w:t xml:space="preserve"> this could lead to positive </w:t>
      </w:r>
      <w:r w:rsidR="00623952">
        <w:rPr>
          <w:rFonts w:ascii="Garamond" w:eastAsia="TimesNewRomanPSMT" w:hAnsi="Garamond"/>
          <w:sz w:val="24"/>
          <w:szCs w:val="24"/>
        </w:rPr>
        <w:t>operational efficiency and cost</w:t>
      </w:r>
      <w:r w:rsidRPr="00055865">
        <w:rPr>
          <w:rFonts w:ascii="Garamond" w:eastAsia="TimesNewRomanPSMT" w:hAnsi="Garamond"/>
          <w:sz w:val="24"/>
          <w:szCs w:val="24"/>
        </w:rPr>
        <w:t xml:space="preserve"> reduction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{"citationItems":[{"id":"ITEM-1","itemData":{"DOI":"10.1002/(SICI)1099-0836(199603)5:1&lt;30::AID-BSE38&gt;3.0.CO;2-Q","ISBN":"1099-0836","ISSN":"0964-4733","PMID":"492","abstract":"Evidence can be marshalled to support either the view that pollution abatement is a cost burden on firms and is detrimental to competitiveness, or that reducing emissions increases efficiency and saves money, giving firms a cost advantage. In an effort to resolve this seeming paradox, the relationship between emissions reduction and firm performance is examined empirically for a sample of S&amp;P 500 firms using data drawn from the Investor Responsibility Research Center</w:instrText>
      </w:r>
      <w:r w:rsidRPr="00055865">
        <w:rPr>
          <w:rFonts w:ascii="Times New Roman" w:eastAsia="TimesNewRomanPSMT" w:hAnsi="Times New Roman" w:cs="Times New Roman"/>
          <w:sz w:val="24"/>
          <w:szCs w:val="24"/>
        </w:rPr>
        <w:instrText>ʼ</w:instrText>
      </w:r>
      <w:r w:rsidRPr="00055865">
        <w:rPr>
          <w:rFonts w:ascii="Garamond" w:eastAsia="TimesNewRomanPSMT" w:hAnsi="Garamond"/>
          <w:sz w:val="24"/>
          <w:szCs w:val="24"/>
        </w:rPr>
        <w:instrText>s Corporate Environmental Profile and Compustat. The results indicate that efforts to prevent pollution and reduce emissions drop to the ‘bottom line’ within one to two years of initiation and that those firms with the highest emission levels stand the most to gain.","author":[{"dropping-particle":"","family":"Hart","given":"S. L","non-dropping-particle":"","parse-names":false,"suffix":""},{"dropping-particle":"","family":"Ahuja","given":"G.","non-dropping-particle":"","parse-names":false,"suffix":""}],"container-title":"Business strategy and the Environment","id":"ITEM-1","issue":"1","issued":{"date-parts":[["1996"]]},"page":"30-37","title":"Does it pay to be green? An empirical examination of the relationship between emission reduction and firm performance","type":"article-journal","volume":"5"},"uris":["http://www.mendeley.com/documents/?uuid=7b1fabc9-5922-4fa1-bb3c-1fc6e725657a"]},{"id":"ITEM-2","itemData":{"DOI":"10.1007/s10551-016-3088-8","ISSN":"15730697","abstract":"The nature of the relationship between environmental performance (EP) and firm performance (FP) of corporations is a long standing and contentious issue in the literature. This study is intended to advance this debate by arguing for the existence of curvilinear relationship and empirically testing the same using survey data on UK manufacturing firms. FP is captured in terms of growth in sales and market share. Our results show evidence for a quadratic relationship---as firms improve their EP, they seem to achieve much higher levels of FP. These results are consistent with the resource-based view of a firm; as firms engage in EP activities, they are able to gain inimitable knowledge that helps in further learning to further improve performance. Based on our results, we suggest that new studies focus on strategies to extend the period of increasing returns and maximizing the benefits of the positive association between EP and FP.","author":[{"dropping-particle":"","family":"Ramanathan","given":"Ramakrishnan","non-dropping-particle":"","parse-names":false,"suffix":""}],"container-title":"Journal of Business Ethics","id":"ITEM-2","issue":"2008","issued":{"date-parts":[["2016"]]},"page":"1-11","publisher":"Springer Netherlands","title":"Understanding Complexity: the Curvilinear Relationship Between Environmental Performance and Firm Performance","type":"article-journal"},"uris":["http://www.mendeley.com/documents/?uuid=021fac6e-0468-46e7-93b7-897425764cea"]}],"mendeley":{"formattedCitation":"(Hart and Ahuja, 1996; Ramanathan, 2016)","plainTextFormattedCitation":"(Hart and Ahuja, 1996; Ramanathan, 2016)","previouslyFormattedCitation":"(Hart and Ahuja, 1996; Ramanathan, 2016)"},"properties":{"noteIndex":0},"schema":"https://github.com/citation-style-language/schema/raw/master/csl-citation.json"}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(Hart and Ahuja, 1996; Ramanathan, 2016)</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w:t>
      </w:r>
    </w:p>
    <w:p w14:paraId="5E630525" w14:textId="00DF189C" w:rsidR="00FF048A" w:rsidRPr="00055865" w:rsidRDefault="00FF048A"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             However, SMEs lack resources such as cash to develop sustainable enviro</w:t>
      </w:r>
      <w:r w:rsidR="00817F62">
        <w:rPr>
          <w:rFonts w:ascii="Garamond" w:eastAsia="TimesNewRomanPSMT" w:hAnsi="Garamond"/>
          <w:sz w:val="24"/>
          <w:szCs w:val="24"/>
        </w:rPr>
        <w:t>nmental policies that enhance</w:t>
      </w:r>
      <w:r w:rsidRPr="00055865">
        <w:rPr>
          <w:rFonts w:ascii="Garamond" w:eastAsia="TimesNewRomanPSMT" w:hAnsi="Garamond"/>
          <w:sz w:val="24"/>
          <w:szCs w:val="24"/>
        </w:rPr>
        <w:t xml:space="preserve"> sustainabl</w:t>
      </w:r>
      <w:r w:rsidR="00817F62">
        <w:rPr>
          <w:rFonts w:ascii="Garamond" w:eastAsia="TimesNewRomanPSMT" w:hAnsi="Garamond"/>
          <w:sz w:val="24"/>
          <w:szCs w:val="24"/>
        </w:rPr>
        <w:t>e environmental practices</w:t>
      </w:r>
      <w:r w:rsidRPr="00055865">
        <w:rPr>
          <w:rFonts w:ascii="Garamond" w:eastAsia="TimesNewRomanPSMT" w:hAnsi="Garamond"/>
          <w:sz w:val="24"/>
          <w:szCs w:val="24"/>
        </w:rPr>
        <w:t xml:space="preserve"> that can </w:t>
      </w:r>
      <w:r w:rsidR="005B6FD7">
        <w:rPr>
          <w:rFonts w:ascii="Garamond" w:eastAsia="TimesNewRomanPSMT" w:hAnsi="Garamond"/>
          <w:sz w:val="24"/>
          <w:szCs w:val="24"/>
        </w:rPr>
        <w:t>improv</w:t>
      </w:r>
      <w:r w:rsidRPr="00055865">
        <w:rPr>
          <w:rFonts w:ascii="Garamond" w:eastAsia="TimesNewRomanPSMT" w:hAnsi="Garamond"/>
          <w:sz w:val="24"/>
          <w:szCs w:val="24"/>
        </w:rPr>
        <w:t>e financial performance</w:t>
      </w:r>
      <w:r w:rsidR="00817F62">
        <w:rPr>
          <w:rFonts w:ascii="Garamond" w:eastAsia="TimesNewRomanPSMT" w:hAnsi="Garamond"/>
          <w:sz w:val="24"/>
          <w:szCs w:val="24"/>
        </w:rPr>
        <w:t xml:space="preserve"> </w:t>
      </w:r>
      <w:r w:rsidR="00817F62" w:rsidRPr="00055865">
        <w:rPr>
          <w:rFonts w:ascii="Garamond" w:eastAsia="TimesNewRomanPSMT" w:hAnsi="Garamond"/>
          <w:sz w:val="24"/>
          <w:szCs w:val="24"/>
        </w:rPr>
        <w:fldChar w:fldCharType="begin" w:fldLock="1"/>
      </w:r>
      <w:r w:rsidR="00817F62" w:rsidRPr="00055865">
        <w:rPr>
          <w:rFonts w:ascii="Garamond" w:eastAsia="TimesNewRomanPSMT" w:hAnsi="Garamond"/>
          <w:sz w:val="24"/>
          <w:szCs w:val="24"/>
        </w:rPr>
        <w:instrText>ADDIN CSL_CITATION {"citationItems":[{"id":"ITEM-1","itemData":{"DOI":"10.1016/j.jenvman.2006.11.022","ISBN":"0301-4797","ISSN":"03014797","PMID":"17239519","abstract":"In spite of the widespread recognition of the important roles that small and medium sized enterprises (SMEs) play in most economies, limited research has focused on their impacts on the natural environment and the strategies such enterprises adopt to reduce these impacts. It is usually assumed that SMEs lack the resources to implement proactive environmental strategies that go beyond minimum regulatory compliance. In this study of 108 SMEs in the automotive repair sector in Southern Spain, we found that SMEs undertake a range of environmental strategies from reactive regulatory compliance to proactive pollution prevention and environmental leadership. These strategies are associated with three organizational capabilities: shared vision, stakeholder management, and strategic proactivity, hypothesized based on the unique strategic characteristics of SMEs-shorter lines of communication and closer interaction within the SMEs, the presence of a founder's vision, flexibility in managing external relationships, and an entrepreneurial orientation. We also found that firms with the most proactive practices exhibited a significantly positive financial performance. © 2006 Elsevier Ltd. All rights reserved.","author":[{"dropping-particle":"","family":"Aragón-Correa","given":"J. Alberto","non-dropping-particle":"","parse-names":false,"suffix":""},{"dropping-particle":"","family":"Hurtado-Torres","given":"Nuria","non-dropping-particle":"","parse-names":false,"suffix":""},{"dropping-particle":"","family":"Sharma","given":"Sanjay","non-dropping-particle":"","parse-names":false,"suffix":""},{"dropping-particle":"","family":"García-Morales","given":"Víctor J.","non-dropping-particle":"","parse-names":false,"suffix":""}],"container-title":"Journal of Environmental Management","id":"ITEM-1","issue":"1","issued":{"date-parts":[["2008"]]},"page":"88-103","title":"Environmental strategy and performance in small firms: A resource-based perspective","type":"article-journal","volume":"86"},"uris":["http://www.mendeley.com/documents/?uuid=d5de866c-da5c-4d87-ad97-9d16fcb30717"]},{"id":"ITEM-2","itemData":{"author":[{"dropping-particle":"","family":"Hillary","given":"Ruth","non-dropping-particle":"","parse-names":false,"suffix":""},{"dropping-particle":"","family":"Burr","given":"Paul","non-dropping-particle":"","parse-names":false,"suffix":""}],"container-title":"Final Report to the Department for Environment, Food and Rural Affairs","id":"ITEM-2","issue":"September","issued":{"date-parts":[["2011"]]},"page":"1-145","title":"Evidence-based Study into the Benefits of EMSs for SMEs (EV0440).","type":"article-journal"},"uris":["http://www.mendeley.com/documents/?uuid=6d5666c8-ea22-4348-abb9-c16cf066d06e"]},{"id":"ITEM-3","itemData":{"DOI":"10.1111/jsbm.12121","ISBN":"00472778 (ISSN)","ISSN":"1540627X","abstract":"With the significant growth of problems relating to the natural environment, an increasing number of firms are engaged in environmentally friendly activities. This paper reports the results of a study conducted among 153 small-sized manufacturing units located in Cyprus, focusing on the external drivers and financial outcomes of their eco-friendly orientation. The findings confirmed the instrumental role of environmental regulations, environmental public concern, competitive intensity, and market dynamism in harnessing an eco-friendly orientation within the small firm. They also underline the critical role of this orientation in enhancing the firm's financial results, although this link was found to be stronger when the firm possesses adequate resources and capabilities committed to environmental activities. Our study contributes to the literature by putting together, in a theoretically anchored, integrative, and causal fashion, concepts and ideas that touch upon important aspects of small firms' environmental behavior that have been only tangentially studied in the past, namely the role of external forces in stimulating sensitivity to green issues, the dynamics of forming an ecological orientation within the organization, the positive link between eco-friendly thinking and financial performance, and the importance of supporting ecological actions with appropriate organizational resources/capabilities. Critical implications for small business managers and public policymakers are also derived from the study findings. © 2014 International Council for Small Business.","author":[{"dropping-particle":"","family":"Leonidou","given":"Leonidas C.","non-dropping-particle":"","parse-names":false,"suffix":""},{"dropping-particle":"","family":"Christodoulides","given":"Paul","non-dropping-particle":"","parse-names":false,"suffix":""},{"dropping-particle":"","family":"Thwaites","given":"Des","non-dropping-particle":"","parse-names":false,"suffix":""}],"container-title":"Journal of Small Business Management","id":"ITEM-3","issue":"1","issued":{"date-parts":[["2016"]]},"page":"5-25","title":"External Determinants and Financial Outcomes of an Eco-friendly Orientation in Smaller Manufacturing Firms","type":"article-journal","volume":"54"},"uris":["http://www.mendeley.com/documents/?uuid=6afb19ee-65bf-4521-b3c9-4215cd3461a8"]}],"mendeley":{"formattedCitation":"(Aragón-Correa &lt;i&gt;et al.&lt;/i&gt;, 2008; Hillary and Burr, 2011; Leonidou, Christodoulides and Thwaites, 2016)","plainTextFormattedCitation":"(Aragón-Correa et al., 2008; Hillary and Burr, 2011; Leonidou, Christodoulides and Thwaites, 2016)","previouslyFormattedCitation":"(Aragón-Correa &lt;i&gt;et al.&lt;/i&gt;, 2008; Hillary and Burr, 2011; Leonidou, Christodoulides and Thwaites, 2016)"},"properties":{"noteIndex":0},"schema":"https://github.com/citation-style-language/schema/raw/master/csl-citation.json"}</w:instrText>
      </w:r>
      <w:r w:rsidR="00817F62" w:rsidRPr="00055865">
        <w:rPr>
          <w:rFonts w:ascii="Garamond" w:eastAsia="TimesNewRomanPSMT" w:hAnsi="Garamond"/>
          <w:sz w:val="24"/>
          <w:szCs w:val="24"/>
        </w:rPr>
        <w:fldChar w:fldCharType="separate"/>
      </w:r>
      <w:r w:rsidR="00817F62" w:rsidRPr="00055865">
        <w:rPr>
          <w:rFonts w:ascii="Garamond" w:eastAsia="TimesNewRomanPSMT" w:hAnsi="Garamond"/>
          <w:noProof/>
          <w:sz w:val="24"/>
          <w:szCs w:val="24"/>
        </w:rPr>
        <w:t xml:space="preserve">(Aragón-Correa </w:t>
      </w:r>
      <w:r w:rsidR="00817F62" w:rsidRPr="00055865">
        <w:rPr>
          <w:rFonts w:ascii="Garamond" w:eastAsia="TimesNewRomanPSMT" w:hAnsi="Garamond"/>
          <w:i/>
          <w:noProof/>
          <w:sz w:val="24"/>
          <w:szCs w:val="24"/>
        </w:rPr>
        <w:t>et al.</w:t>
      </w:r>
      <w:r w:rsidR="00817F62" w:rsidRPr="00055865">
        <w:rPr>
          <w:rFonts w:ascii="Garamond" w:eastAsia="TimesNewRomanPSMT" w:hAnsi="Garamond"/>
          <w:noProof/>
          <w:sz w:val="24"/>
          <w:szCs w:val="24"/>
        </w:rPr>
        <w:t>, 2008; Hillary and Burr, 2011; Leonidou, Christodoulides and Thwaites, 2016)</w:t>
      </w:r>
      <w:r w:rsidR="00817F62"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{"citationItems":[{"id":"ITEM-1","itemData":{"DOI":"10.2307/1556360","ISBN":"00014273","ISSN":"00014273","PMID":"199789944","abstract":"JSTOR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Research on the effects on firm performance of \"best practices\" of environmental management, which are supposed to enable firms to simultaneously protect the envi-ronment and reduce costs, has so far ignored the roles of existing firm resources and capabilities. Drawing on the resource-based view of the firm, this study analyzes whether complementary assets are required to gain cost advantage from implementing best practices. Results based on survey data from 88 chemical companies indicate that capabilities for process innovation and implementation are complementary assets that moderate the relationship between best practices and cost advantage, a significant factor in determining firm performance.","author":[{"dropping-particle":"","family":"Christmann","given":"Petra","non-dropping-particle":"","parse-names":false,"suffix":""}],"container-title":"Academy of Management Journal","id":"ITEM-1","issue":"4","issued":{"date-parts":[["2000"]]},"page":"663-680","title":"Effects of \"best practices\" of environmental management on cost advantage: The role of complementary assets","type":"article-journal","volume":"43"},"uris":["http://www.mendeley.com/documents/?uuid=8628836d-8d5f-40da-9f14-a1970107cc91"]}],"mendeley":{"formattedCitation":"(Christmann, 2000)","manualFormatting":"Christmann (2000)","plainTextFormattedCitation":"(Christmann, 2000)","previouslyFormattedCitation":"(Christmann, 2000)"},"properties":{"noteIndex":0},"schema":"https://github.com/citation-style-language/schema/raw/master/csl-citation.json"}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Christmann (2000)</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for instance, emphasised that competencies for process innovation and implementation are complementary assets that moderate the relationship between environmental best practices and cost advantage; and SMEs lack the resources to undertake such activities (environmental best practices). Hence, </w:t>
      </w:r>
      <w:r w:rsidR="005B6FD7">
        <w:rPr>
          <w:rFonts w:ascii="Garamond" w:eastAsia="TimesNewRomanPSMT" w:hAnsi="Garamond"/>
          <w:sz w:val="24"/>
          <w:szCs w:val="24"/>
        </w:rPr>
        <w:t xml:space="preserve">the </w:t>
      </w:r>
      <w:r w:rsidRPr="00055865">
        <w:rPr>
          <w:rFonts w:ascii="Garamond" w:eastAsia="TimesNewRomanPSMT" w:hAnsi="Garamond"/>
          <w:sz w:val="24"/>
          <w:szCs w:val="24"/>
        </w:rPr>
        <w:t>inability to engage in continuous improvements, stakeholder integration</w:t>
      </w:r>
      <w:r w:rsidR="005B6FD7">
        <w:rPr>
          <w:rFonts w:ascii="Garamond" w:eastAsia="TimesNewRomanPSMT" w:hAnsi="Garamond"/>
          <w:sz w:val="24"/>
          <w:szCs w:val="24"/>
        </w:rPr>
        <w:t xml:space="preserve"> that can impact positively </w:t>
      </w:r>
      <w:r w:rsidRPr="00055865">
        <w:rPr>
          <w:rFonts w:ascii="Garamond" w:eastAsia="TimesNewRomanPSMT" w:hAnsi="Garamond"/>
          <w:sz w:val="24"/>
          <w:szCs w:val="24"/>
        </w:rPr>
        <w:t xml:space="preserve">economic position of the firm. </w:t>
      </w:r>
    </w:p>
    <w:p w14:paraId="17C949B1" w14:textId="3171B41C" w:rsidR="00FF048A" w:rsidRPr="00055865" w:rsidRDefault="00FF048A"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           </w:t>
      </w:r>
      <w:r w:rsidR="005B6FD7">
        <w:rPr>
          <w:rFonts w:ascii="Garamond" w:eastAsia="TimesNewRomanPSMT" w:hAnsi="Garamond"/>
          <w:sz w:val="24"/>
          <w:szCs w:val="24"/>
        </w:rPr>
        <w:t>However, d</w:t>
      </w:r>
      <w:r w:rsidRPr="00055865">
        <w:rPr>
          <w:rFonts w:ascii="Garamond" w:eastAsia="TimesNewRomanPSMT" w:hAnsi="Garamond"/>
          <w:sz w:val="24"/>
          <w:szCs w:val="24"/>
        </w:rPr>
        <w:t xml:space="preserve">isputing the fact that the natural resource-based view may not be relevant for smaller companies due to resource constraints,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{"citationItems":[{"id":"ITEM-1","itemData":{"DOI":"10.1016/j.jenvman.2006.11.022","ISBN":"0301-4797","ISSN":"03014797","PMID":"17239519","abstract":"In spite of the widespread recognition of the important roles that small and medium sized enterprises (SMEs) play in most economies, limited research has focused on their impacts on the natural environment and the strategies such enterprises adopt to reduce these impacts. It is usually assumed that SMEs lack the resources to implement proactive environmental strategies that go beyond minimum regulatory compliance. In this study of 108 SMEs in the automotive repair sector in Southern Spain, we found that SMEs undertake a range of environmental strategies from reactive regulatory compliance to proactive pollution prevention and environmental leadership. These strategies are associated with three organizational capabilities: shared vision, stakeholder management, and strategic proactivity, hypothesized based on the unique strategic characteristics of SMEs-shorter lines of communication and closer interaction within the SMEs, the presence of a founder's vision, flexibility in managing external relationships, and an entrepreneurial orientation. We also found that firms with the most proactive practices exhibited a significantly positive financial performance. © 2006 Elsevier Ltd. All rights reserved.","author":[{"dropping-particle":"","family":"Aragón-Correa","given":"J. Alberto","non-dropping-particle":"","parse-names":false,"suffix":""},{"dropping-particle":"","family":"Hurtado-Torres","given":"Nuria","non-dropping-particle":"","parse-names":false,"suffix":""},{"dropping-particle":"","family":"Sharma","given":"Sanjay","non-dropping-particle":"","parse-names":false,"suffix":""},{"dropping-particle":"","family":"García-Morales","given":"Víctor J.","non-dropping-particle":"","parse-names":false,"suffix":""}],"container-title":"Journal of Environmental Management","id":"ITEM-1","issue":"1","issued":{"date-parts":[["2008"]]},"page":"88-103","title":"Environmental strategy and performance in small firms: A resource-based perspective","type":"article-journal","volume":"86"},"uris":["http://www.mendeley.com/documents/?uuid=d5de866c-da5c-4d87-ad97-9d16fcb30717"]}],"mendeley":{"formattedCitation":"(Aragón-Correa &lt;i&gt;et al.&lt;/i&gt;, 2008)","manualFormatting":"Aragón-Correa et al. (2008)","plainTextFormattedCitation":"(Aragón-Correa et al., 2008)","previouslyFormattedCitation":"(Aragón-Correa &lt;i&gt;et al.&lt;/i&gt;, 2008)"},"properties":{"noteIndex":0},"schema":"https://github.com/citation-style-language/schema/raw/master/csl-citation.json"}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Aragón-Correa et al. (2008)</w:t>
      </w:r>
      <w:r w:rsidRPr="00055865">
        <w:rPr>
          <w:rFonts w:ascii="Garamond" w:eastAsia="TimesNewRomanPSMT" w:hAnsi="Garamond"/>
          <w:sz w:val="24"/>
          <w:szCs w:val="24"/>
        </w:rPr>
        <w:fldChar w:fldCharType="end"/>
      </w:r>
      <w:r w:rsidR="00470CB3">
        <w:rPr>
          <w:rFonts w:ascii="Garamond" w:eastAsia="TimesNewRomanPSMT" w:hAnsi="Garamond"/>
          <w:sz w:val="24"/>
          <w:szCs w:val="24"/>
        </w:rPr>
        <w:t xml:space="preserve"> observed that SMEs possess</w:t>
      </w:r>
      <w:r w:rsidRPr="00055865">
        <w:rPr>
          <w:rFonts w:ascii="Garamond" w:eastAsia="TimesNewRomanPSMT" w:hAnsi="Garamond"/>
          <w:sz w:val="24"/>
          <w:szCs w:val="24"/>
        </w:rPr>
        <w:t xml:space="preserve"> unique characteristics such as shorter lines of communication</w:t>
      </w:r>
      <w:r w:rsidR="005B6FD7">
        <w:rPr>
          <w:rFonts w:ascii="Garamond" w:eastAsia="TimesNewRomanPSMT" w:hAnsi="Garamond"/>
          <w:sz w:val="24"/>
          <w:szCs w:val="24"/>
        </w:rPr>
        <w:t>. The</w:t>
      </w:r>
      <w:r w:rsidR="00470CB3">
        <w:rPr>
          <w:rFonts w:ascii="Garamond" w:eastAsia="TimesNewRomanPSMT" w:hAnsi="Garamond"/>
          <w:sz w:val="24"/>
          <w:szCs w:val="24"/>
        </w:rPr>
        <w:t xml:space="preserve"> </w:t>
      </w:r>
      <w:r w:rsidRPr="00055865">
        <w:rPr>
          <w:rFonts w:ascii="Garamond" w:eastAsia="TimesNewRomanPSMT" w:hAnsi="Garamond"/>
          <w:sz w:val="24"/>
          <w:szCs w:val="24"/>
        </w:rPr>
        <w:t xml:space="preserve">closer interlinks with other SMEs which enable them to develop and deploy certain organisational capabilities that influence the environmental practices and financial performance relationships. This has been emphasised by Christmann (2000) that firms do not have to develop these complementary assets in pursuance of their environmental </w:t>
      </w:r>
      <w:r w:rsidR="00470CB3">
        <w:rPr>
          <w:rFonts w:ascii="Garamond" w:eastAsia="TimesNewRomanPSMT" w:hAnsi="Garamond"/>
          <w:sz w:val="24"/>
          <w:szCs w:val="24"/>
        </w:rPr>
        <w:t xml:space="preserve">strategies, but rather develop them </w:t>
      </w:r>
      <w:r w:rsidRPr="00055865">
        <w:rPr>
          <w:rFonts w:ascii="Garamond" w:eastAsia="TimesNewRomanPSMT" w:hAnsi="Garamond"/>
          <w:sz w:val="24"/>
          <w:szCs w:val="24"/>
        </w:rPr>
        <w:t xml:space="preserve">during other general productive activities and can be leveraged into the firm’s environmental strategy. This implies that SMEs can leverage on the existing resources that are developed in the normal production process </w:t>
      </w:r>
      <w:r w:rsidRPr="00055865">
        <w:rPr>
          <w:rFonts w:ascii="Garamond" w:eastAsia="TimesNewRomanPSMT" w:hAnsi="Garamond"/>
          <w:sz w:val="24"/>
          <w:szCs w:val="24"/>
        </w:rPr>
        <w:lastRenderedPageBreak/>
        <w:t xml:space="preserve">to create a unique and specific environmental strategy to gain </w:t>
      </w:r>
      <w:r w:rsidR="005B6FD7">
        <w:rPr>
          <w:rFonts w:ascii="Garamond" w:eastAsia="TimesNewRomanPSMT" w:hAnsi="Garamond"/>
          <w:sz w:val="24"/>
          <w:szCs w:val="24"/>
        </w:rPr>
        <w:t xml:space="preserve">a </w:t>
      </w:r>
      <w:r w:rsidRPr="00055865">
        <w:rPr>
          <w:rFonts w:ascii="Garamond" w:eastAsia="TimesNewRomanPSMT" w:hAnsi="Garamond"/>
          <w:sz w:val="24"/>
          <w:szCs w:val="24"/>
        </w:rPr>
        <w:t xml:space="preserve">competitive advantage without necessarily requiring huge investment in environmental practice policy. </w:t>
      </w:r>
    </w:p>
    <w:p w14:paraId="201CB856" w14:textId="527DA07B" w:rsidR="00FF048A" w:rsidRPr="00055865" w:rsidRDefault="00FF048A"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          Aside</w:t>
      </w:r>
      <w:r w:rsidR="005B6FD7">
        <w:rPr>
          <w:rFonts w:ascii="Garamond" w:eastAsia="TimesNewRomanPSMT" w:hAnsi="Garamond"/>
          <w:sz w:val="24"/>
          <w:szCs w:val="24"/>
        </w:rPr>
        <w:t xml:space="preserve"> from</w:t>
      </w:r>
      <w:r w:rsidRPr="00055865">
        <w:rPr>
          <w:rFonts w:ascii="Garamond" w:eastAsia="TimesNewRomanPSMT" w:hAnsi="Garamond"/>
          <w:sz w:val="24"/>
          <w:szCs w:val="24"/>
        </w:rPr>
        <w:t xml:space="preserve"> the argument that the relationship between sustainable environmental practices and financial performance is underpinned by the natural resource-based view, strong theoretical predictions have been advanced from the stakeholder theory perspective.  Stakeholder theory is based on the principle that the firm considers all individuals and groups that can affect or </w:t>
      </w:r>
      <w:r w:rsidR="00140601">
        <w:rPr>
          <w:rFonts w:ascii="Garamond" w:eastAsia="TimesNewRomanPSMT" w:hAnsi="Garamond"/>
          <w:sz w:val="24"/>
          <w:szCs w:val="24"/>
        </w:rPr>
        <w:t xml:space="preserve">are </w:t>
      </w:r>
      <w:r w:rsidRPr="00055865">
        <w:rPr>
          <w:rFonts w:ascii="Garamond" w:eastAsia="TimesNewRomanPSMT" w:hAnsi="Garamond"/>
          <w:sz w:val="24"/>
          <w:szCs w:val="24"/>
        </w:rPr>
        <w:t xml:space="preserve">affected by the achievement of the organisational objectives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{"citationItems":[{"id":"ITEM-1","itemData":{"author":[{"dropping-particle":"","family":"Freeman","given":"E R","non-dropping-particle":"","parse-names":false,"suffix":""}],"id":"ITEM-1","issued":{"date-parts":[["1984"]]},"publisher":"Pitman/Ballinger","publisher-place":"Boston, MA","title":"Strategic Management: A Stakeholder Approach","type":"article"},"uris":["http://www.mendeley.com/documents/?uuid=e27d7887-5a82-4b38-b864-ce64dea23e42"]}],"mendeley":{"formattedCitation":"(Freeman, 1984)","plainTextFormattedCitation":"(Freeman, 1984)","previouslyFormattedCitation":"(Freeman, 1984)"},"properties":{"noteIndex":0},"schema":"https://github.com/citation-style-language/schema/raw/master/csl-citation.json"}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(Freeman, 1984)</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{"citationItems":[{"id":"ITEM-1","itemData":{"DOI":"10.1108/08858629510096201","ISSN":"08858624","author":[{"dropping-particle":"","family":"Polonsky","given":"Michael Jay","non-dropping-particle":"","parse-names":false,"suffix":""}],"container-title":"Journal of Business &amp; Industrial Marketing","id":"ITEM-1","issued":{"date-parts":[["1995"]]},"title":"A stakeholder theory approach to designing environmental marketing strategy","type":"article-journal"},"uris":["http://www.mendeley.com/documents/?uuid=13011a11-adbc-4765-ad80-fd2387301acf"]}],"mendeley":{"formattedCitation":"(Polonsky, 1995)","manualFormatting":"Polonsky (1995)","plainTextFormattedCitation":"(Polonsky, 1995)","previouslyFormattedCitation":"(Polonsky, 1995)"},"properties":{"noteIndex":0},"schema":"https://github.com/citation-style-language/schema/raw/master/csl-citation.json"}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Polonsky (1995)</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asserted that the idea of an individual or a group having an interest in </w:t>
      </w:r>
      <w:r w:rsidR="005B6FD7">
        <w:rPr>
          <w:rFonts w:ascii="Garamond" w:eastAsia="TimesNewRomanPSMT" w:hAnsi="Garamond"/>
          <w:sz w:val="24"/>
          <w:szCs w:val="24"/>
        </w:rPr>
        <w:t xml:space="preserve">an </w:t>
      </w:r>
      <w:r w:rsidRPr="00055865">
        <w:rPr>
          <w:rFonts w:ascii="Garamond" w:eastAsia="TimesNewRomanPSMT" w:hAnsi="Garamond"/>
          <w:sz w:val="24"/>
          <w:szCs w:val="24"/>
        </w:rPr>
        <w:t>organisation c</w:t>
      </w:r>
      <w:r w:rsidR="005B6FD7">
        <w:rPr>
          <w:rFonts w:ascii="Garamond" w:eastAsia="TimesNewRomanPSMT" w:hAnsi="Garamond"/>
          <w:sz w:val="24"/>
          <w:szCs w:val="24"/>
        </w:rPr>
        <w:t>ould</w:t>
      </w:r>
      <w:r w:rsidRPr="00055865">
        <w:rPr>
          <w:rFonts w:ascii="Garamond" w:eastAsia="TimesNewRomanPSMT" w:hAnsi="Garamond"/>
          <w:sz w:val="24"/>
          <w:szCs w:val="24"/>
        </w:rPr>
        <w:t xml:space="preserve"> be broadly defined. </w:t>
      </w:r>
      <w:r w:rsidR="006226E6" w:rsidRPr="00055865">
        <w:rPr>
          <w:rFonts w:ascii="Garamond" w:eastAsia="TimesNewRomanPSMT" w:hAnsi="Garamond"/>
          <w:sz w:val="24"/>
          <w:szCs w:val="24"/>
        </w:rPr>
        <w:t>Polonsky (</w:t>
      </w:r>
      <w:r w:rsidRPr="00055865">
        <w:rPr>
          <w:rFonts w:ascii="Garamond" w:eastAsia="TimesNewRomanPSMT" w:hAnsi="Garamond"/>
          <w:sz w:val="24"/>
          <w:szCs w:val="24"/>
        </w:rPr>
        <w:t>1995) emphasised that in one case</w:t>
      </w:r>
      <w:r w:rsidR="00470CB3">
        <w:rPr>
          <w:rFonts w:ascii="Garamond" w:eastAsia="TimesNewRomanPSMT" w:hAnsi="Garamond"/>
          <w:sz w:val="24"/>
          <w:szCs w:val="24"/>
        </w:rPr>
        <w:t>,</w:t>
      </w:r>
      <w:r w:rsidRPr="00055865">
        <w:rPr>
          <w:rFonts w:ascii="Garamond" w:eastAsia="TimesNewRomanPSMT" w:hAnsi="Garamond"/>
          <w:sz w:val="24"/>
          <w:szCs w:val="24"/>
        </w:rPr>
        <w:t xml:space="preserve"> whereas a parti</w:t>
      </w:r>
      <w:r w:rsidR="00470CB3">
        <w:rPr>
          <w:rFonts w:ascii="Garamond" w:eastAsia="TimesNewRomanPSMT" w:hAnsi="Garamond"/>
          <w:sz w:val="24"/>
          <w:szCs w:val="24"/>
        </w:rPr>
        <w:t>cular stakeholder group, which may have a legal claim to</w:t>
      </w:r>
      <w:r w:rsidRPr="00055865">
        <w:rPr>
          <w:rFonts w:ascii="Garamond" w:eastAsia="TimesNewRomanPSMT" w:hAnsi="Garamond"/>
          <w:sz w:val="24"/>
          <w:szCs w:val="24"/>
        </w:rPr>
        <w:t xml:space="preserve"> the firm</w:t>
      </w:r>
      <w:r w:rsidR="00470CB3">
        <w:rPr>
          <w:rFonts w:ascii="Garamond" w:eastAsia="TimesNewRomanPSMT" w:hAnsi="Garamond"/>
          <w:sz w:val="24"/>
          <w:szCs w:val="24"/>
        </w:rPr>
        <w:t>,</w:t>
      </w:r>
      <w:r w:rsidRPr="00055865">
        <w:rPr>
          <w:rFonts w:ascii="Garamond" w:eastAsia="TimesNewRomanPSMT" w:hAnsi="Garamond"/>
          <w:sz w:val="24"/>
          <w:szCs w:val="24"/>
        </w:rPr>
        <w:t xml:space="preserve"> such as the owners may be expecting </w:t>
      </w:r>
      <w:r w:rsidR="005B6FD7">
        <w:rPr>
          <w:rFonts w:ascii="Garamond" w:eastAsia="TimesNewRomanPSMT" w:hAnsi="Garamond"/>
          <w:sz w:val="24"/>
          <w:szCs w:val="24"/>
        </w:rPr>
        <w:t xml:space="preserve">an </w:t>
      </w:r>
      <w:r w:rsidRPr="00055865">
        <w:rPr>
          <w:rFonts w:ascii="Garamond" w:eastAsia="TimesNewRomanPSMT" w:hAnsi="Garamond"/>
          <w:sz w:val="24"/>
          <w:szCs w:val="24"/>
        </w:rPr>
        <w:t xml:space="preserve">improved performance, another stakeholder group such as the general public may be interested </w:t>
      </w:r>
      <w:r w:rsidR="005B6FD7">
        <w:rPr>
          <w:rFonts w:ascii="Garamond" w:eastAsia="TimesNewRomanPSMT" w:hAnsi="Garamond"/>
          <w:sz w:val="24"/>
          <w:szCs w:val="24"/>
        </w:rPr>
        <w:t>i</w:t>
      </w:r>
      <w:r w:rsidRPr="00055865">
        <w:rPr>
          <w:rFonts w:ascii="Garamond" w:eastAsia="TimesNewRomanPSMT" w:hAnsi="Garamond"/>
          <w:sz w:val="24"/>
          <w:szCs w:val="24"/>
        </w:rPr>
        <w:t>n how the firm impacts on the economic growth of the country. Thus, stakeholder importance can vary depending on the specific organisational issue. Therefore, applying stakeholder theory on sustainable environmental practices and financial performance relationships can be complex. In an article, “A Stakeholder theory approach to designing environmental marketing strategy”</w:t>
      </w:r>
      <w:r w:rsidR="00F00D8D">
        <w:rPr>
          <w:rFonts w:ascii="Garamond" w:eastAsia="TimesNewRomanPSMT" w:hAnsi="Garamond"/>
          <w:sz w:val="24"/>
          <w:szCs w:val="24"/>
        </w:rPr>
        <w:t>,</w:t>
      </w:r>
      <w:r w:rsidRPr="00055865">
        <w:rPr>
          <w:rFonts w:ascii="Garamond" w:eastAsia="TimesNewRomanPSMT" w:hAnsi="Garamond"/>
          <w:sz w:val="24"/>
          <w:szCs w:val="24"/>
        </w:rPr>
        <w:t xml:space="preserve">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{"citationItems":[{"id":"ITEM-1","itemData":{"DOI":"10.1108/08858629510096201","ISSN":"08858624","author":[{"dropping-particle":"","family":"Polonsky","given":"Michael Jay","non-dropping-particle":"","parse-names":false,"suffix":""}],"container-title":"Journal of Business &amp; Industrial Marketing","id":"ITEM-1","issued":{"date-parts":[["1995"]]},"title":"A stakeholder theory approach to designing environmental marketing strategy","type":"article-journal"},"uris":["http://www.mendeley.com/documents/?uuid=13011a11-adbc-4765-ad80-fd2387301acf"]}],"mendeley":{"formattedCitation":"(Polonsky, 1995)","manualFormatting":"Polonsky (1995)","plainTextFormattedCitation":"(Polonsky, 1995)"},"properties":{"noteIndex":0},"schema":"https://github.com/citation-style-language/schema/raw/master/csl-citation.json"}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Polonsky (1995)</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outlined how environmental issues are impacting on business-to-business issues. For instance, industrial marketers are now incorporating marketing attributes into their products and manufacturers of laser printers</w:t>
      </w:r>
      <w:r w:rsidR="00F00D8D">
        <w:rPr>
          <w:rFonts w:ascii="Garamond" w:eastAsia="TimesNewRomanPSMT" w:hAnsi="Garamond"/>
          <w:sz w:val="24"/>
          <w:szCs w:val="24"/>
        </w:rPr>
        <w:t>,</w:t>
      </w:r>
      <w:r w:rsidRPr="00055865">
        <w:rPr>
          <w:rFonts w:ascii="Garamond" w:eastAsia="TimesNewRomanPSMT" w:hAnsi="Garamond"/>
          <w:sz w:val="24"/>
          <w:szCs w:val="24"/>
        </w:rPr>
        <w:t xml:space="preserve"> for example</w:t>
      </w:r>
      <w:r w:rsidR="00F00D8D">
        <w:rPr>
          <w:rFonts w:ascii="Garamond" w:eastAsia="TimesNewRomanPSMT" w:hAnsi="Garamond"/>
          <w:sz w:val="24"/>
          <w:szCs w:val="24"/>
        </w:rPr>
        <w:t>,</w:t>
      </w:r>
      <w:r w:rsidRPr="00055865">
        <w:rPr>
          <w:rFonts w:ascii="Garamond" w:eastAsia="TimesNewRomanPSMT" w:hAnsi="Garamond"/>
          <w:sz w:val="24"/>
          <w:szCs w:val="24"/>
        </w:rPr>
        <w:t xml:space="preserve"> are developing printers that use less toner and energy, others are also emphasising the quali</w:t>
      </w:r>
      <w:r w:rsidR="00F00D8D">
        <w:rPr>
          <w:rFonts w:ascii="Garamond" w:eastAsia="TimesNewRomanPSMT" w:hAnsi="Garamond"/>
          <w:sz w:val="24"/>
          <w:szCs w:val="24"/>
        </w:rPr>
        <w:t>ty of their recycled paper. Whil</w:t>
      </w:r>
      <w:r w:rsidR="005B6FD7">
        <w:rPr>
          <w:rFonts w:ascii="Garamond" w:eastAsia="TimesNewRomanPSMT" w:hAnsi="Garamond"/>
          <w:sz w:val="24"/>
          <w:szCs w:val="24"/>
        </w:rPr>
        <w:t>e</w:t>
      </w:r>
      <w:r w:rsidRPr="00055865">
        <w:rPr>
          <w:rFonts w:ascii="Garamond" w:eastAsia="TimesNewRomanPSMT" w:hAnsi="Garamond"/>
          <w:sz w:val="24"/>
          <w:szCs w:val="24"/>
        </w:rPr>
        <w:t xml:space="preserve"> </w:t>
      </w:r>
      <w:r w:rsidR="00F00D8D">
        <w:rPr>
          <w:rFonts w:ascii="Garamond" w:eastAsia="TimesNewRomanPSMT" w:hAnsi="Garamond"/>
          <w:sz w:val="24"/>
          <w:szCs w:val="24"/>
        </w:rPr>
        <w:t xml:space="preserve">these actions are </w:t>
      </w:r>
      <w:r w:rsidRPr="00055865">
        <w:rPr>
          <w:rFonts w:ascii="Garamond" w:eastAsia="TimesNewRomanPSMT" w:hAnsi="Garamond"/>
          <w:sz w:val="24"/>
          <w:szCs w:val="24"/>
        </w:rPr>
        <w:t>likely to motivate environmental</w:t>
      </w:r>
      <w:r w:rsidR="00F00D8D">
        <w:rPr>
          <w:rFonts w:ascii="Garamond" w:eastAsia="TimesNewRomanPSMT" w:hAnsi="Garamond"/>
          <w:sz w:val="24"/>
          <w:szCs w:val="24"/>
        </w:rPr>
        <w:t>ly</w:t>
      </w:r>
      <w:r w:rsidRPr="00055865">
        <w:rPr>
          <w:rFonts w:ascii="Garamond" w:eastAsia="TimesNewRomanPSMT" w:hAnsi="Garamond"/>
          <w:sz w:val="24"/>
          <w:szCs w:val="24"/>
        </w:rPr>
        <w:t xml:space="preserve"> conscious consumers to increase their patronage with the firm’s products and services, the likely increase in demand would also impact on financial performance and benefit stakeholders such as the shareholders and employees.</w:t>
      </w:r>
    </w:p>
    <w:p w14:paraId="08D87517" w14:textId="7DDC8F41" w:rsidR="00FF048A" w:rsidRPr="00055865" w:rsidRDefault="00FF048A"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            Further, it has been argued that favourable social agenda</w:t>
      </w:r>
      <w:r w:rsidR="00F00D8D">
        <w:rPr>
          <w:rFonts w:ascii="Garamond" w:eastAsia="TimesNewRomanPSMT" w:hAnsi="Garamond"/>
          <w:sz w:val="24"/>
          <w:szCs w:val="24"/>
        </w:rPr>
        <w:t>,</w:t>
      </w:r>
      <w:r w:rsidRPr="00055865">
        <w:rPr>
          <w:rFonts w:ascii="Garamond" w:eastAsia="TimesNewRomanPSMT" w:hAnsi="Garamond"/>
          <w:sz w:val="24"/>
          <w:szCs w:val="24"/>
        </w:rPr>
        <w:t xml:space="preserve"> such as proactive environmental practices</w:t>
      </w:r>
      <w:r w:rsidR="00F00D8D">
        <w:rPr>
          <w:rFonts w:ascii="Garamond" w:eastAsia="TimesNewRomanPSMT" w:hAnsi="Garamond"/>
          <w:sz w:val="24"/>
          <w:szCs w:val="24"/>
        </w:rPr>
        <w:t>,</w:t>
      </w:r>
      <w:r w:rsidRPr="00055865">
        <w:rPr>
          <w:rFonts w:ascii="Garamond" w:eastAsia="TimesNewRomanPSMT" w:hAnsi="Garamond"/>
          <w:sz w:val="24"/>
          <w:szCs w:val="24"/>
        </w:rPr>
        <w:t xml:space="preserve"> create valuable goodwill that can protect the firm from unforeseen problems and bring new opportunities not available to less social and environmentally responsible firms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{"citationItems":[{"id":"ITEM-1","itemData":{"DOI":"10.1111/0045-3609.00066","ISBN":"00453609","ISSN":"0045-3609","PMID":"2916643","abstract":"Examines how corporate citizenship modifies reputational risk and support the integration of citizenship with other managerial activities. Definition of the concept of reputational risk; Promise of support from stakeholder groups that fosters the growth of reputational risk; Managing downside risks associated with potential loss of reputational capital.","author":[{"dropping-particle":"","family":"Fombrun","given":"Charles J.","non-dropping-particle":"","parse-names":false,"suffix":""},{"dropping-particle":"","family":"Gardberg","given":"Naomi A.","non-dropping-particle":"","parse-names":false,"suffix":""},{"dropping-particle":"","family":"Barnett","given":"Michael L.","non-dropping-particle":"","parse-names":false,"suffix":""}],"container-title":"Business and Society Review","id":"ITEM-1","issue":"1","issued":{"date-parts":[["2000"]]},"page":"85-106","title":"Opportunity Platforms and Safety Nets: Corporate Citizenship and Reputational Risk","type":"article-journal","volume":"105"},"uris":["http://www.mendeley.com/documents/?uuid=d1986004-207c-4204-9f5b-3f970fa064c6"]}],"mendeley":{"formattedCitation":"(Fombrun, Gardberg and Barnett, 2000)","manualFormatting":"(Fombrun, Gardberg, and Barnett, 2000)","plainTextFormattedCitation":"(Fombrun, Gardberg and Barnett, 2000)","previouslyFormattedCitation":"(Fombrun, Gardberg and Barnett, 2000)"},"properties":{"noteIndex":0},"schema":"https://github.com/citation-style-language/schema/raw/master/csl-citation.json"}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(Fombrun, Gardberg &amp; Barnett, 2000)</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From </w:t>
      </w:r>
      <w:r w:rsidR="00F00D8D">
        <w:rPr>
          <w:rFonts w:ascii="Garamond" w:eastAsia="TimesNewRomanPSMT" w:hAnsi="Garamond"/>
          <w:sz w:val="24"/>
          <w:szCs w:val="24"/>
        </w:rPr>
        <w:t xml:space="preserve">an </w:t>
      </w:r>
      <w:r w:rsidRPr="00055865">
        <w:rPr>
          <w:rFonts w:ascii="Garamond" w:eastAsia="TimesNewRomanPSMT" w:hAnsi="Garamond"/>
          <w:sz w:val="24"/>
          <w:szCs w:val="24"/>
        </w:rPr>
        <w:t xml:space="preserve">instrumental stakeholder perspective,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10.1016/j.emj.2013.12.004","ISSN":"02632373","author":[{"dropping-particle":"","family":"Endrikat","given":"Jan","non-dropping-particle":"","parse-names":false,"suffix":""},{"dropping-particle":"","family":"Guenther","given":"Edeltraud","non-dropping-particle":"","parse-names":false,"suffix":""},{"dropping-particle":"","family":"Hoppe","given":"Holger","non-dropping-particle":"","parse-names":false,"suffix":""}],"container-title":"European Management Journal","id":"ITEM-1","issue":"5","issued":{"date-parts":[["2014"]]},"page":"735-751","publisher":"Elsevier Ltd","title":"Making sense of conflicting empirical findings: A meta-analytic review of the relationship between corporate environmental and financial performance","type":"article-journal","volume":"32"},"uris":["http://www.mendeley.com/documents/?uuid=1f034eb8-2059-43af-aa4e-05aef06fa484"]}],"mendeley":{"formattedCitation":"(Endrikat, Guenther and Hoppe, 2014)","manualFormatting":"Endrikat, Guenther and Hoppe (2014)","plainTextFormattedCitation":"(Endrikat, Guenther and Hoppe, 2014)","previouslyFormattedCitation":"(Endrikat, Guenther and Hoppe, 2014)"},"properties":{"noteIndex":0},"schema":"https://github.com/citation-style-language/schema/raw/master/csl-citation.json"}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 xml:space="preserve">Endrikat, Guenther </w:t>
      </w:r>
      <w:r w:rsidRPr="00055865">
        <w:rPr>
          <w:rFonts w:ascii="Garamond" w:eastAsia="TimesNewRomanPSMT" w:hAnsi="Garamond"/>
          <w:noProof/>
          <w:sz w:val="24"/>
          <w:szCs w:val="24"/>
        </w:rPr>
        <w:lastRenderedPageBreak/>
        <w:t>and Hoppe (2014)</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use</w:t>
      </w:r>
      <w:r w:rsidR="00F00D8D">
        <w:rPr>
          <w:rFonts w:ascii="Garamond" w:eastAsia="TimesNewRomanPSMT" w:hAnsi="Garamond"/>
          <w:sz w:val="24"/>
          <w:szCs w:val="24"/>
        </w:rPr>
        <w:t>d meta-analysis to explain that</w:t>
      </w:r>
      <w:r w:rsidRPr="00055865">
        <w:rPr>
          <w:rFonts w:ascii="Garamond" w:eastAsia="TimesNewRomanPSMT" w:hAnsi="Garamond"/>
          <w:sz w:val="24"/>
          <w:szCs w:val="24"/>
        </w:rPr>
        <w:t xml:space="preserve"> as corporations exhibit responsible behaviour toward th</w:t>
      </w:r>
      <w:r w:rsidR="00114912">
        <w:rPr>
          <w:rFonts w:ascii="Garamond" w:eastAsia="TimesNewRomanPSMT" w:hAnsi="Garamond"/>
          <w:sz w:val="24"/>
          <w:szCs w:val="24"/>
        </w:rPr>
        <w:t xml:space="preserve">e natural environment, </w:t>
      </w:r>
      <w:r w:rsidRPr="00055865">
        <w:rPr>
          <w:rFonts w:ascii="Garamond" w:eastAsia="TimesNewRomanPSMT" w:hAnsi="Garamond"/>
          <w:sz w:val="24"/>
          <w:szCs w:val="24"/>
        </w:rPr>
        <w:t>stakeholder’s expectation</w:t>
      </w:r>
      <w:r w:rsidR="00114912">
        <w:rPr>
          <w:rFonts w:ascii="Garamond" w:eastAsia="TimesNewRomanPSMT" w:hAnsi="Garamond"/>
          <w:sz w:val="24"/>
          <w:szCs w:val="24"/>
        </w:rPr>
        <w:t>s are met</w:t>
      </w:r>
      <w:r w:rsidRPr="00055865">
        <w:rPr>
          <w:rFonts w:ascii="Garamond" w:eastAsia="TimesNewRomanPSMT" w:hAnsi="Garamond"/>
          <w:sz w:val="24"/>
          <w:szCs w:val="24"/>
        </w:rPr>
        <w:t xml:space="preserve"> and this augur well for stakeholder support of the activities of the focal organisation.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10.1016/j.emj.2013.12.004","ISSN":"02632373","author":[{"dropping-particle":"","family":"Endrikat","given":"Jan","non-dropping-particle":"","parse-names":false,"suffix":""},{"dropping-particle":"","family":"Guenther","given":"Edeltraud","non-dropping-particle":"","parse-names":false,"suffix":""},{"dropping-particle":"","family":"Hoppe","given":"Holger","non-dropping-particle":"","parse-names":false,"suffix":""}],"container-title":"European Management Journal","id":"ITEM-1","issue":"5","issued":{"date-parts":[["2014"]]},"page":"735-751","publisher":"Elsevier Ltd","title":"Making sense of conflicting empirical findings: A meta-analytic review of the relationship between corporate environmental and financial performance","type":"article-journal","volume":"32"},"uris":["http://www.mendeley.com/documents/?uuid=1f034eb8-2059-43af-aa4e-05aef06fa484"]}],"mendeley":{"formattedCitation":"(Endrikat, Guenther and Hoppe, 2014)","manualFormatting":"Endrikat, Guenther and Hoppe (2014)","plainTextFormattedCitation":"(Endrikat, Guenther and Hoppe, 2014)","previouslyFormattedCitation":"(Endrikat, Guenther and Hoppe, 2014)"},"properties":{"noteIndex":0},"schema":"https://github.com/citation-style-language/schema/raw/master/csl-citation.json"}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Endrikat, Guenther and Hoppe (2014)</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emp</w:t>
      </w:r>
      <w:r w:rsidR="00114912">
        <w:rPr>
          <w:rFonts w:ascii="Garamond" w:eastAsia="TimesNewRomanPSMT" w:hAnsi="Garamond"/>
          <w:sz w:val="24"/>
          <w:szCs w:val="24"/>
        </w:rPr>
        <w:t>hasised that firms that achieve</w:t>
      </w:r>
      <w:r w:rsidRPr="00055865">
        <w:rPr>
          <w:rFonts w:ascii="Garamond" w:eastAsia="TimesNewRomanPSMT" w:hAnsi="Garamond"/>
          <w:sz w:val="24"/>
          <w:szCs w:val="24"/>
        </w:rPr>
        <w:t xml:space="preserve"> superior environmental performance can also improve </w:t>
      </w:r>
      <w:r w:rsidR="00114912">
        <w:rPr>
          <w:rFonts w:ascii="Garamond" w:eastAsia="TimesNewRomanPSMT" w:hAnsi="Garamond"/>
          <w:sz w:val="24"/>
          <w:szCs w:val="24"/>
        </w:rPr>
        <w:t xml:space="preserve">on </w:t>
      </w:r>
      <w:r w:rsidRPr="00055865">
        <w:rPr>
          <w:rFonts w:ascii="Garamond" w:eastAsia="TimesNewRomanPSMT" w:hAnsi="Garamond"/>
          <w:sz w:val="24"/>
          <w:szCs w:val="24"/>
        </w:rPr>
        <w:t xml:space="preserve">their sales as consumers may willingly pay a premium price for environmentally responsible products – hence, impacting positively on </w:t>
      </w:r>
      <w:r w:rsidR="005B6FD7">
        <w:rPr>
          <w:rFonts w:ascii="Garamond" w:eastAsia="TimesNewRomanPSMT" w:hAnsi="Garamond"/>
          <w:sz w:val="24"/>
          <w:szCs w:val="24"/>
        </w:rPr>
        <w:t xml:space="preserve">the </w:t>
      </w:r>
      <w:r w:rsidRPr="00055865">
        <w:rPr>
          <w:rFonts w:ascii="Garamond" w:eastAsia="TimesNewRomanPSMT" w:hAnsi="Garamond"/>
          <w:sz w:val="24"/>
          <w:szCs w:val="24"/>
        </w:rPr>
        <w:t xml:space="preserve">financial performance of such firms.  Similarly, McGuire et al. (1988) </w:t>
      </w:r>
      <w:r w:rsidR="00114912">
        <w:rPr>
          <w:rFonts w:ascii="Garamond" w:eastAsia="TimesNewRomanPSMT" w:hAnsi="Garamond"/>
          <w:sz w:val="24"/>
          <w:szCs w:val="24"/>
        </w:rPr>
        <w:t>assert</w:t>
      </w:r>
      <w:r w:rsidRPr="00055865">
        <w:rPr>
          <w:rFonts w:ascii="Garamond" w:eastAsia="TimesNewRomanPSMT" w:hAnsi="Garamond"/>
          <w:sz w:val="24"/>
          <w:szCs w:val="24"/>
        </w:rPr>
        <w:t xml:space="preserve"> that improved sustainable environmental policies of firms enhance the relationship between the local o</w:t>
      </w:r>
      <w:r w:rsidR="00114912">
        <w:rPr>
          <w:rFonts w:ascii="Garamond" w:eastAsia="TimesNewRomanPSMT" w:hAnsi="Garamond"/>
          <w:sz w:val="24"/>
          <w:szCs w:val="24"/>
        </w:rPr>
        <w:t xml:space="preserve">rganisation and its investors, </w:t>
      </w:r>
      <w:r w:rsidRPr="00055865">
        <w:rPr>
          <w:rFonts w:ascii="Garamond" w:eastAsia="TimesNewRomanPSMT" w:hAnsi="Garamond"/>
          <w:sz w:val="24"/>
          <w:szCs w:val="24"/>
        </w:rPr>
        <w:t>leading to market risks reduction and lowering of financial costs of firms.  Lik</w:t>
      </w:r>
      <w:r w:rsidR="00F00D8D">
        <w:rPr>
          <w:rFonts w:ascii="Garamond" w:eastAsia="TimesNewRomanPSMT" w:hAnsi="Garamond"/>
          <w:sz w:val="24"/>
          <w:szCs w:val="24"/>
        </w:rPr>
        <w:t>e</w:t>
      </w:r>
      <w:r w:rsidRPr="00055865">
        <w:rPr>
          <w:rFonts w:ascii="Garamond" w:eastAsia="TimesNewRomanPSMT" w:hAnsi="Garamond"/>
          <w:sz w:val="24"/>
          <w:szCs w:val="24"/>
        </w:rPr>
        <w:t xml:space="preserve">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{"citationItems":[{"id":"ITEM-1","itemData":{"DOI":"10.2307/256342","ISBN":"00014273","ISSN":"00014273","PMID":"4406058","abstract":"Using Fortune magazine's ratings of corporate reputations, we analyzed the relationships between perceptions of firms' corporate social responsibility and measures of their financial performance. Results show that a firm's prior performance, assessed by both stock-market returns and accounting-based measures, is more closely related to corporate social responsibility than is subsequent performance. Results also show that measures of risk are more closely associated with social responsibility than previous studies have suggested.","author":[{"dropping-particle":"","family":"Mcguire","given":"Jean B","non-dropping-particle":"","parse-names":false,"suffix":""},{"dropping-particle":"","family":"Sundgren","given":"Alison","non-dropping-particle":"","parse-names":false,"suffix":""},{"dropping-particle":"","family":"Schneeweis","given":"Thomas","non-dropping-particle":"","parse-names":false,"suffix":""}],"container-title":"Academy of Management Journal","id":"ITEM-1","issue":"4","issued":{"date-parts":[["1988"]]},"page":"854-872","title":"Corporate Social Responsibility and Firm Financial Performance","type":"article-journal","volume":"31"},"uris":["http://www.mendeley.com/documents/?uuid=4e4159ff-dc89-4429-8d05-582697d7f60c"]}],"mendeley":{"formattedCitation":"(Mcguire, Sundgren and Schneeweis, 1988)","manualFormatting":"Mcguire, Sundgren, and Schneeweis (1988)","plainTextFormattedCitation":"(Mcguire, Sundgren and Schneeweis, 1988)","previouslyFormattedCitation":"(Mcguire, Sundgren and Schneeweis, 1988)"},"properties":{"noteIndex":0},"schema":"https://github.com/citation-style-language/schema/raw/master/csl-citation.json"}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Mcguire, Sundgren, and Schneeweis (1988)</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{"citationItems":[{"id":"ITEM-1","itemData":{"DOI":"10.1016/S1366-5545(99)00034-4","ISBN":"1366-5545","ISSN":"13665545","abstract":"Much debate has occurred in the extant literature as to whether socially responsible actions undertaken by firms result in improved financial performance. One key dimension of social responsibility is environmental initiatives and programs. While the purchasing function can create value and significantly affect the environmental actions of a firm and its upstream supply chain, no research to date has explored the effect of environmental purchasing on firm performance. Our research provides an initial examination of this relationship. We combine survey and archival data to show that environmental purchasing is significantly related to both net income and cost of goods sold, after controlling for firm size, leverage, and primary earnings per share. (C) 2000 Elsevier Science Ltd. All rights reserved.","author":[{"dropping-particle":"","family":"Carter","given":"Craig R.","non-dropping-particle":"","parse-names":false,"suffix":""},{"dropping-particle":"","family":"Kale","given":"Rahul","non-dropping-particle":"","parse-names":false,"suffix":""},{"dropping-particle":"","family":"Grimm","given":"Curtis M.","non-dropping-particle":"","parse-names":false,"suffix":""}],"container-title":"Transportation Research Part E: Logistics and Transportation Review","id":"ITEM-1","issue":"3","issued":{"date-parts":[["2000"]]},"page":"219-228","title":"Environmental purchasing and firm performance: An empirical investigation","type":"article-journal","volume":"36"},"uris":["http://www.mendeley.com/documents/?uuid=78537446-e7c8-4cea-9e7f-b3ebde90c1e8"]}],"mendeley":{"formattedCitation":"(Carter, Kale and Grimm, 2000)","manualFormatting":"Carter, Kale, and Grimm (2000)","plainTextFormattedCitation":"(Carter, Kale and Grimm, 2000)","previouslyFormattedCitation":"(Carter, Kale and Grimm, 2000)"},"properties":{"noteIndex":0},"schema":"https://github.com/citation-style-language/schema/raw/master/csl-citation.json"}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Carter, Kale, and Grimm (2000)</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assert that revenue can be </w:t>
      </w:r>
      <w:r w:rsidR="00F00D8D">
        <w:rPr>
          <w:rFonts w:ascii="Garamond" w:eastAsia="TimesNewRomanPSMT" w:hAnsi="Garamond"/>
          <w:sz w:val="24"/>
          <w:szCs w:val="24"/>
        </w:rPr>
        <w:t>impacted positively</w:t>
      </w:r>
      <w:r w:rsidRPr="00055865">
        <w:rPr>
          <w:rFonts w:ascii="Garamond" w:eastAsia="TimesNewRomanPSMT" w:hAnsi="Garamond"/>
          <w:sz w:val="24"/>
          <w:szCs w:val="24"/>
        </w:rPr>
        <w:t xml:space="preserve"> when consumers have a preference for environmentally friendly products</w:t>
      </w:r>
      <w:r w:rsidR="00114912">
        <w:rPr>
          <w:rFonts w:ascii="Garamond" w:eastAsia="TimesNewRomanPSMT" w:hAnsi="Garamond"/>
          <w:sz w:val="24"/>
          <w:szCs w:val="24"/>
        </w:rPr>
        <w:t>,</w:t>
      </w:r>
      <w:r w:rsidRPr="00055865">
        <w:rPr>
          <w:rFonts w:ascii="Garamond" w:eastAsia="TimesNewRomanPSMT" w:hAnsi="Garamond"/>
          <w:sz w:val="24"/>
          <w:szCs w:val="24"/>
        </w:rPr>
        <w:t xml:space="preserve"> which may result in increased market share</w:t>
      </w:r>
      <w:r w:rsidR="00F00D8D">
        <w:rPr>
          <w:rFonts w:ascii="Garamond" w:eastAsia="TimesNewRomanPSMT" w:hAnsi="Garamond"/>
          <w:sz w:val="24"/>
          <w:szCs w:val="24"/>
        </w:rPr>
        <w:t>. In this way, the firm may have</w:t>
      </w:r>
      <w:r w:rsidRPr="00055865">
        <w:rPr>
          <w:rFonts w:ascii="Garamond" w:eastAsia="TimesNewRomanPSMT" w:hAnsi="Garamond"/>
          <w:sz w:val="24"/>
          <w:szCs w:val="24"/>
        </w:rPr>
        <w:t xml:space="preserve"> a competitive edge over less environmentally conscious competitors. It has also been argued that proper stakeholder integration allows firms to capitalise on both tangible and intangible assets (such as good environmental practices) with </w:t>
      </w:r>
      <w:r w:rsidR="005B6FD7">
        <w:rPr>
          <w:rFonts w:ascii="Garamond" w:eastAsia="TimesNewRomanPSMT" w:hAnsi="Garamond"/>
          <w:sz w:val="24"/>
          <w:szCs w:val="24"/>
        </w:rPr>
        <w:t xml:space="preserve">an </w:t>
      </w:r>
      <w:r w:rsidRPr="00055865">
        <w:rPr>
          <w:rFonts w:ascii="Garamond" w:eastAsia="TimesNewRomanPSMT" w:hAnsi="Garamond"/>
          <w:sz w:val="24"/>
          <w:szCs w:val="24"/>
        </w:rPr>
        <w:t xml:space="preserve">ultimate consequence on financial performance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{"citationItems":[{"id":"ITEM-1","itemData":{"DOI":"10.1093/oxfordhb/9780199584451.003.0002","ISBN":"9780191735318","abstract":"This article evaluates the literature that bridges business strategy and the environmental imperative. The literature on how environmentally oriented strategies influence profitability is assessed. The methodologies used in the study of competitive strategy and the environment are presented. A critique of knowledge creation in the field of competitive strategy and the environment (CSE) is discussed. CSE research has shown that stakeholder management may influence firm performance. Research from both stakeholder management and institutional theory domains shows that when it comes to competitive strategy and the environment, the notion of capabilities should be widened considerably. The simple provision of information by those central to organizations can enhance prospects for the adoption of practices. Behavioral frameworks may offer significant synergies when blended with more rational frameworks. A database of readily available, directly comparable measures of internal dimensions of change would affect the ability to conduct meaningful research that addresses pivotal conceptual questions.","author":[{"dropping-particle":"V.","family":"Russo","given":"Michael","non-dropping-particle":"","parse-names":false,"suffix":""},{"dropping-particle":"","family":"Minto","given":"Amy","non-dropping-particle":"","parse-names":false,"suffix":""}],"container-title":"The Oxford Handbook of Business and the Natural Environment","id":"ITEM-1","issued":{"date-parts":[["2012"]]},"title":"Competitive Strategy and the Environment: A Field of Inquiry Emerges","type":"chapter"},"uris":["http://www.mendeley.com/documents/?uuid=e971ce19-3d70-48d3-bdd0-3ba31208bea8"]},{"id":"ITEM-2","itemData":{"DOI":"10.1016/j.emj.2013.12.004","ISSN":"02632373","author":[{"dropping-particle":"","family":"Endrikat","given":"Jan","non-dropping-particle":"","parse-names":false,"suffix":""},{"dropping-particle":"","family":"Guenther","given":"Edeltraud","non-dropping-particle":"","parse-names":false,"suffix":""},{"dropping-particle":"","family":"Hoppe","given":"Holger","non-dropping-particle":"","parse-names":false,"suffix":""}],"container-title":"European Management Journal","id":"ITEM-2","issue":"5","issued":{"date-parts":[["2014"]]},"page":"735-751","publisher":"Elsevier Ltd","title":"Making sense of conflicting empirical findings: A meta-analytic review of the relationship between corporate environmental and financial performance","type":"article-journal","volume":"32"},"uris":["http://www.mendeley.com/documents/?uuid=1f034eb8-2059-43af-aa4e-05aef06fa484"]}],"mendeley":{"formattedCitation":"(Russo and Minto, 2012; Endrikat, Guenther and Hoppe, 2014)","plainTextFormattedCitation":"(Russo and Minto, 2012; Endrikat, Guenther and Hoppe, 2014)","previouslyFormattedCitation":"(Russo and Minto, 2012; Endrikat, Guenther and Hoppe, 2014)"},"properties":{"noteIndex":0},"schema":"https://github.com/citation-style-language/schema/raw/master/csl-citation.json"}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(Russo and Minto, 2012; Endrikat, Guenther and Hoppe, 2014)</w:t>
      </w:r>
      <w:r w:rsidRPr="00055865">
        <w:rPr>
          <w:rFonts w:ascii="Garamond" w:eastAsia="TimesNewRomanPSMT" w:hAnsi="Garamond"/>
          <w:sz w:val="24"/>
          <w:szCs w:val="24"/>
        </w:rPr>
        <w:fldChar w:fldCharType="end"/>
      </w:r>
      <w:r w:rsidR="00F00D8D">
        <w:rPr>
          <w:rFonts w:ascii="Garamond" w:eastAsia="TimesNewRomanPSMT" w:hAnsi="Garamond"/>
          <w:sz w:val="24"/>
          <w:szCs w:val="24"/>
        </w:rPr>
        <w:t>.</w:t>
      </w:r>
    </w:p>
    <w:p w14:paraId="79869ED8" w14:textId="47359F0D" w:rsidR="00FF048A" w:rsidRPr="00055865" w:rsidRDefault="00FF048A"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{"citationItems":[{"id":"ITEM-1","itemData":{"author":[{"dropping-particle":"","family":"Fassanya, I .O.; Onakoya","given":"A. B. O.","non-dropping-particle":"","parse-names":false,"suffix":""}],"container-title":"AUDOE","id":"ITEM-1","issue":"3","issued":{"date-parts":[["2013"]]},"page":"22-36","title":"Does corporate social responsibility improve financial performance of Nigeria firms: Empirical evidence from Triangulations Analysis","type":"article-journal","volume":"9"},"uris":["http://www.mendeley.com/documents/?uuid=77339dfc-87e7-4b28-a9b2-ddfc0e5d380e"]}],"mendeley":{"formattedCitation":"(Fassanya, I .O.; Onakoya, 2013)","manualFormatting":"Fassanya and Onakoya (2013)","plainTextFormattedCitation":"(Fassanya, I .O.; Onakoya, 2013)","previouslyFormattedCitation":"(Fassanya, I .O.; Onakoya, 2013)"},"properties":{"noteIndex":0},"schema":"https://github.com/citation-style-language/schema/raw/master/csl-citation.json"}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Fassanya and Onakoya (2013)</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contend that meeting the economic and legal responsibilities of shareholders may be anchored through corporate social and environmental responsibilities. Similarly,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{"citationItems":[{"id":"ITEM-1","itemData":{"author":[{"dropping-particle":"","family":"Freeman","given":"E R","non-dropping-particle":"","parse-names":false,"suffix":""}],"id":"ITEM-1","issued":{"date-parts":[["1984"]]},"publisher":"Pitman/Ballinger","publisher-place":"Boston, MA","title":"Strategic Management: A Stakeholder Approach","type":"article"},"uris":["http://www.mendeley.com/documents/?uuid=e27d7887-5a82-4b38-b864-ce64dea23e42"]}],"mendeley":{"formattedCitation":"(Freeman, 1984)","manualFormatting":"Freeman (1984)","plainTextFormattedCitation":"(Freeman, 1984)","previouslyFormattedCitation":"(Freeman, 1984)"},"properties":{"noteIndex":0},"schema":"https://github.com/citation-style-language/schema/raw/master/csl-citation.json"}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Freeman (1984)</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proclaimed that an organisation's commitment to operating in </w:t>
      </w:r>
      <w:r w:rsidR="005B6FD7">
        <w:rPr>
          <w:rFonts w:ascii="Garamond" w:eastAsia="TimesNewRomanPSMT" w:hAnsi="Garamond"/>
          <w:sz w:val="24"/>
          <w:szCs w:val="24"/>
        </w:rPr>
        <w:t xml:space="preserve">an </w:t>
      </w:r>
      <w:r w:rsidRPr="00055865">
        <w:rPr>
          <w:rFonts w:ascii="Garamond" w:eastAsia="TimesNewRomanPSMT" w:hAnsi="Garamond"/>
          <w:sz w:val="24"/>
          <w:szCs w:val="24"/>
        </w:rPr>
        <w:t>economically and environmentally responsible way whil</w:t>
      </w:r>
      <w:r w:rsidR="005B6FD7">
        <w:rPr>
          <w:rFonts w:ascii="Garamond" w:eastAsia="TimesNewRomanPSMT" w:hAnsi="Garamond"/>
          <w:sz w:val="24"/>
          <w:szCs w:val="24"/>
        </w:rPr>
        <w:t>e</w:t>
      </w:r>
      <w:r w:rsidRPr="00055865">
        <w:rPr>
          <w:rFonts w:ascii="Garamond" w:eastAsia="TimesNewRomanPSMT" w:hAnsi="Garamond"/>
          <w:sz w:val="24"/>
          <w:szCs w:val="24"/>
        </w:rPr>
        <w:t xml:space="preserve"> at the same time acknowledging the interest of its stakeholders w</w:t>
      </w:r>
      <w:r w:rsidR="005B6FD7">
        <w:rPr>
          <w:rFonts w:ascii="Garamond" w:eastAsia="TimesNewRomanPSMT" w:hAnsi="Garamond"/>
          <w:sz w:val="24"/>
          <w:szCs w:val="24"/>
        </w:rPr>
        <w:t>ould</w:t>
      </w:r>
      <w:r w:rsidRPr="00055865">
        <w:rPr>
          <w:rFonts w:ascii="Garamond" w:eastAsia="TimesNewRomanPSMT" w:hAnsi="Garamond"/>
          <w:sz w:val="24"/>
          <w:szCs w:val="24"/>
        </w:rPr>
        <w:t xml:space="preserve">, in the long run, enhance financial performance. The idea is that businesses that engage in proactive environmental practices which enhance the brand image are trusted by the stakeholders, achieve higher efficiency and </w:t>
      </w:r>
      <w:r w:rsidR="005B6FD7">
        <w:rPr>
          <w:rFonts w:ascii="Garamond" w:eastAsia="TimesNewRomanPSMT" w:hAnsi="Garamond"/>
          <w:sz w:val="24"/>
          <w:szCs w:val="24"/>
        </w:rPr>
        <w:t>to improv</w:t>
      </w:r>
      <w:r w:rsidRPr="00055865">
        <w:rPr>
          <w:rFonts w:ascii="Garamond" w:eastAsia="TimesNewRomanPSMT" w:hAnsi="Garamond"/>
          <w:sz w:val="24"/>
          <w:szCs w:val="24"/>
        </w:rPr>
        <w:t>e reputation which may result in improved financial performance (</w:t>
      </w:r>
      <w:proofErr w:type="spellStart"/>
      <w:r w:rsidRPr="00055865">
        <w:rPr>
          <w:rFonts w:ascii="Garamond" w:eastAsia="TimesNewRomanPSMT" w:hAnsi="Garamond"/>
          <w:sz w:val="24"/>
          <w:szCs w:val="24"/>
        </w:rPr>
        <w:t>Fasanya</w:t>
      </w:r>
      <w:proofErr w:type="spellEnd"/>
      <w:r w:rsidRPr="00055865">
        <w:rPr>
          <w:rFonts w:ascii="Garamond" w:eastAsia="TimesNewRomanPSMT" w:hAnsi="Garamond"/>
          <w:sz w:val="24"/>
          <w:szCs w:val="24"/>
        </w:rPr>
        <w:t xml:space="preserve"> and </w:t>
      </w:r>
      <w:proofErr w:type="spellStart"/>
      <w:r w:rsidRPr="00055865">
        <w:rPr>
          <w:rFonts w:ascii="Garamond" w:eastAsia="TimesNewRomanPSMT" w:hAnsi="Garamond"/>
          <w:sz w:val="24"/>
          <w:szCs w:val="24"/>
        </w:rPr>
        <w:t>Onokoya</w:t>
      </w:r>
      <w:proofErr w:type="spellEnd"/>
      <w:r w:rsidRPr="00055865">
        <w:rPr>
          <w:rFonts w:ascii="Garamond" w:eastAsia="TimesNewRomanPSMT" w:hAnsi="Garamond"/>
          <w:sz w:val="24"/>
          <w:szCs w:val="24"/>
        </w:rPr>
        <w:t>, 2013). Freeman (1984) argues that externalities are usually generated by firms which affect both internal and external stakeholders. This exerts pressure on companies to reduc</w:t>
      </w:r>
      <w:r w:rsidR="001C5E11">
        <w:rPr>
          <w:rFonts w:ascii="Garamond" w:eastAsia="TimesNewRomanPSMT" w:hAnsi="Garamond"/>
          <w:sz w:val="24"/>
          <w:szCs w:val="24"/>
        </w:rPr>
        <w:t>e negative environmental impact</w:t>
      </w:r>
      <w:r w:rsidRPr="00055865">
        <w:rPr>
          <w:rFonts w:ascii="Garamond" w:eastAsia="TimesNewRomanPSMT" w:hAnsi="Garamond"/>
          <w:sz w:val="24"/>
          <w:szCs w:val="24"/>
        </w:rPr>
        <w:t xml:space="preserve"> and increas</w:t>
      </w:r>
      <w:r w:rsidR="001C5E11">
        <w:rPr>
          <w:rFonts w:ascii="Garamond" w:eastAsia="TimesNewRomanPSMT" w:hAnsi="Garamond"/>
          <w:sz w:val="24"/>
          <w:szCs w:val="24"/>
        </w:rPr>
        <w:t>e positive environmental impact</w:t>
      </w:r>
      <w:r w:rsidRPr="00055865">
        <w:rPr>
          <w:rFonts w:ascii="Garamond" w:eastAsia="TimesNewRomanPSMT" w:hAnsi="Garamond"/>
          <w:sz w:val="24"/>
          <w:szCs w:val="24"/>
        </w:rPr>
        <w:t xml:space="preserve">. When the organisation responds to stakeholder pressure, it improves the </w:t>
      </w:r>
      <w:r w:rsidRPr="00055865">
        <w:rPr>
          <w:rFonts w:ascii="Garamond" w:eastAsia="TimesNewRomanPSMT" w:hAnsi="Garamond"/>
          <w:sz w:val="24"/>
          <w:szCs w:val="24"/>
        </w:rPr>
        <w:lastRenderedPageBreak/>
        <w:t>relationship and establishes legitimacy with the stakeholders</w:t>
      </w:r>
      <w:r w:rsidR="002A588C">
        <w:rPr>
          <w:rFonts w:ascii="Garamond" w:eastAsia="TimesNewRomanPSMT" w:hAnsi="Garamond"/>
          <w:sz w:val="24"/>
          <w:szCs w:val="24"/>
        </w:rPr>
        <w:t>,</w:t>
      </w:r>
      <w:r w:rsidRPr="00055865">
        <w:rPr>
          <w:rFonts w:ascii="Garamond" w:eastAsia="TimesNewRomanPSMT" w:hAnsi="Garamond"/>
          <w:sz w:val="24"/>
          <w:szCs w:val="24"/>
        </w:rPr>
        <w:t xml:space="preserve"> which enhance</w:t>
      </w:r>
      <w:r w:rsidR="002A588C">
        <w:rPr>
          <w:rFonts w:ascii="Garamond" w:eastAsia="TimesNewRomanPSMT" w:hAnsi="Garamond"/>
          <w:sz w:val="24"/>
          <w:szCs w:val="24"/>
        </w:rPr>
        <w:t>s</w:t>
      </w:r>
      <w:r w:rsidRPr="00055865">
        <w:rPr>
          <w:rFonts w:ascii="Garamond" w:eastAsia="TimesNewRomanPSMT" w:hAnsi="Garamond"/>
          <w:sz w:val="24"/>
          <w:szCs w:val="24"/>
        </w:rPr>
        <w:t xml:space="preserve"> the firm</w:t>
      </w:r>
      <w:r w:rsidR="002A588C">
        <w:rPr>
          <w:rFonts w:ascii="Garamond" w:eastAsia="TimesNewRomanPSMT" w:hAnsi="Garamond"/>
          <w:sz w:val="24"/>
          <w:szCs w:val="24"/>
        </w:rPr>
        <w:t>’s</w:t>
      </w:r>
      <w:r w:rsidRPr="00055865">
        <w:rPr>
          <w:rFonts w:ascii="Garamond" w:eastAsia="TimesNewRomanPSMT" w:hAnsi="Garamond"/>
          <w:sz w:val="24"/>
          <w:szCs w:val="24"/>
        </w:rPr>
        <w:t xml:space="preserve"> reputation and help</w:t>
      </w:r>
      <w:r w:rsidR="002A588C">
        <w:rPr>
          <w:rFonts w:ascii="Garamond" w:eastAsia="TimesNewRomanPSMT" w:hAnsi="Garamond"/>
          <w:sz w:val="24"/>
          <w:szCs w:val="24"/>
        </w:rPr>
        <w:t>s</w:t>
      </w:r>
      <w:r w:rsidRPr="00055865">
        <w:rPr>
          <w:rFonts w:ascii="Garamond" w:eastAsia="TimesNewRomanPSMT" w:hAnsi="Garamond"/>
          <w:sz w:val="24"/>
          <w:szCs w:val="24"/>
        </w:rPr>
        <w:t xml:space="preserve"> gain </w:t>
      </w:r>
      <w:r w:rsidR="005B6FD7">
        <w:rPr>
          <w:rFonts w:ascii="Garamond" w:eastAsia="TimesNewRomanPSMT" w:hAnsi="Garamond"/>
          <w:sz w:val="24"/>
          <w:szCs w:val="24"/>
        </w:rPr>
        <w:t xml:space="preserve">a </w:t>
      </w:r>
      <w:r w:rsidRPr="00055865">
        <w:rPr>
          <w:rFonts w:ascii="Garamond" w:eastAsia="TimesNewRomanPSMT" w:hAnsi="Garamond"/>
          <w:sz w:val="24"/>
          <w:szCs w:val="24"/>
        </w:rPr>
        <w:t xml:space="preserve">competitive advantage with </w:t>
      </w:r>
      <w:r w:rsidR="005B6FD7">
        <w:rPr>
          <w:rFonts w:ascii="Garamond" w:eastAsia="TimesNewRomanPSMT" w:hAnsi="Garamond"/>
          <w:sz w:val="24"/>
          <w:szCs w:val="24"/>
        </w:rPr>
        <w:t xml:space="preserve">a </w:t>
      </w:r>
      <w:r w:rsidRPr="00055865">
        <w:rPr>
          <w:rFonts w:ascii="Garamond" w:eastAsia="TimesNewRomanPSMT" w:hAnsi="Garamond"/>
          <w:sz w:val="24"/>
          <w:szCs w:val="24"/>
        </w:rPr>
        <w:t>consequence o</w:t>
      </w:r>
      <w:r w:rsidR="005B6FD7">
        <w:rPr>
          <w:rFonts w:ascii="Garamond" w:eastAsia="TimesNewRomanPSMT" w:hAnsi="Garamond"/>
          <w:sz w:val="24"/>
          <w:szCs w:val="24"/>
        </w:rPr>
        <w:t>f</w:t>
      </w:r>
      <w:r w:rsidRPr="00055865">
        <w:rPr>
          <w:rFonts w:ascii="Garamond" w:eastAsia="TimesNewRomanPSMT" w:hAnsi="Garamond"/>
          <w:sz w:val="24"/>
          <w:szCs w:val="24"/>
        </w:rPr>
        <w:t xml:space="preserve"> improved financial performance. Therefore, we argue that respond</w:t>
      </w:r>
      <w:r w:rsidR="002A588C">
        <w:rPr>
          <w:rFonts w:ascii="Garamond" w:eastAsia="TimesNewRomanPSMT" w:hAnsi="Garamond"/>
          <w:sz w:val="24"/>
          <w:szCs w:val="24"/>
        </w:rPr>
        <w:t>ing to stakeholder needs like adopting</w:t>
      </w:r>
      <w:r w:rsidRPr="00055865">
        <w:rPr>
          <w:rFonts w:ascii="Garamond" w:eastAsia="TimesNewRomanPSMT" w:hAnsi="Garamond"/>
          <w:sz w:val="24"/>
          <w:szCs w:val="24"/>
        </w:rPr>
        <w:t xml:space="preserve"> sustainable envir</w:t>
      </w:r>
      <w:r w:rsidR="002A588C">
        <w:rPr>
          <w:rFonts w:ascii="Garamond" w:eastAsia="TimesNewRomanPSMT" w:hAnsi="Garamond"/>
          <w:sz w:val="24"/>
          <w:szCs w:val="24"/>
        </w:rPr>
        <w:t>onmental practices will impact positively</w:t>
      </w:r>
      <w:r w:rsidRPr="00055865">
        <w:rPr>
          <w:rFonts w:ascii="Garamond" w:eastAsia="TimesNewRomanPSMT" w:hAnsi="Garamond"/>
          <w:sz w:val="24"/>
          <w:szCs w:val="24"/>
        </w:rPr>
        <w:t xml:space="preserve"> on the firm’s financial performance.  </w:t>
      </w:r>
    </w:p>
    <w:p w14:paraId="4BB9542C" w14:textId="77777777" w:rsidR="00FF048A" w:rsidRPr="00055865" w:rsidRDefault="00FF048A" w:rsidP="005B6FD7">
      <w:pPr>
        <w:tabs>
          <w:tab w:val="left" w:pos="2550"/>
        </w:tabs>
        <w:spacing w:after="0" w:line="480" w:lineRule="auto"/>
        <w:contextualSpacing/>
        <w:jc w:val="both"/>
        <w:rPr>
          <w:rFonts w:ascii="Garamond" w:eastAsia="TimesNewRomanPSMT" w:hAnsi="Garamond"/>
          <w:sz w:val="24"/>
          <w:szCs w:val="24"/>
        </w:rPr>
      </w:pPr>
    </w:p>
    <w:p w14:paraId="58CDDF48" w14:textId="7DA5D80F" w:rsidR="00BF1526" w:rsidRPr="00055865" w:rsidRDefault="00207416" w:rsidP="005B6FD7">
      <w:pPr>
        <w:tabs>
          <w:tab w:val="left" w:pos="2550"/>
        </w:tabs>
        <w:spacing w:after="0" w:line="480" w:lineRule="auto"/>
        <w:contextualSpacing/>
        <w:jc w:val="both"/>
        <w:rPr>
          <w:rFonts w:ascii="Garamond" w:eastAsia="TimesNewRomanPSMT" w:hAnsi="Garamond"/>
          <w:b/>
          <w:sz w:val="24"/>
          <w:szCs w:val="24"/>
        </w:rPr>
      </w:pPr>
      <w:r w:rsidRPr="00055865">
        <w:rPr>
          <w:rFonts w:ascii="Garamond" w:eastAsia="TimesNewRomanPSMT" w:hAnsi="Garamond"/>
          <w:b/>
          <w:sz w:val="24"/>
          <w:szCs w:val="24"/>
        </w:rPr>
        <w:t>2.2 Hypothesis Development</w:t>
      </w:r>
    </w:p>
    <w:p w14:paraId="3FB77E2E" w14:textId="2A08AE18" w:rsidR="00DF7670" w:rsidRPr="00055865" w:rsidRDefault="00DD661A" w:rsidP="005B6FD7">
      <w:pPr>
        <w:tabs>
          <w:tab w:val="left" w:pos="2550"/>
        </w:tabs>
        <w:spacing w:after="0" w:line="480" w:lineRule="auto"/>
        <w:contextualSpacing/>
        <w:jc w:val="both"/>
        <w:rPr>
          <w:rFonts w:ascii="Garamond" w:eastAsia="TimesNewRomanPSMT" w:hAnsi="Garamond"/>
          <w:b/>
          <w:bCs/>
          <w:i/>
          <w:sz w:val="24"/>
          <w:szCs w:val="24"/>
        </w:rPr>
      </w:pPr>
      <w:r w:rsidRPr="00055865">
        <w:rPr>
          <w:rFonts w:ascii="Garamond" w:eastAsia="TimesNewRomanPSMT" w:hAnsi="Garamond"/>
          <w:b/>
          <w:bCs/>
          <w:i/>
          <w:sz w:val="24"/>
          <w:szCs w:val="24"/>
        </w:rPr>
        <w:t>2</w:t>
      </w:r>
      <w:r w:rsidR="00DF7670" w:rsidRPr="00055865">
        <w:rPr>
          <w:rFonts w:ascii="Garamond" w:eastAsia="TimesNewRomanPSMT" w:hAnsi="Garamond"/>
          <w:b/>
          <w:bCs/>
          <w:i/>
          <w:sz w:val="24"/>
          <w:szCs w:val="24"/>
        </w:rPr>
        <w:t>.</w:t>
      </w:r>
      <w:r w:rsidR="00207416" w:rsidRPr="00055865">
        <w:rPr>
          <w:rFonts w:ascii="Garamond" w:eastAsia="TimesNewRomanPSMT" w:hAnsi="Garamond"/>
          <w:b/>
          <w:bCs/>
          <w:i/>
          <w:sz w:val="24"/>
          <w:szCs w:val="24"/>
        </w:rPr>
        <w:t>2.</w:t>
      </w:r>
      <w:r w:rsidR="00DF7670" w:rsidRPr="00055865">
        <w:rPr>
          <w:rFonts w:ascii="Garamond" w:eastAsia="TimesNewRomanPSMT" w:hAnsi="Garamond"/>
          <w:b/>
          <w:bCs/>
          <w:i/>
          <w:sz w:val="24"/>
          <w:szCs w:val="24"/>
        </w:rPr>
        <w:t>1 Energy Efficiency Practises and Financial Performance</w:t>
      </w:r>
    </w:p>
    <w:p w14:paraId="37BD7451" w14:textId="4462BF1D" w:rsidR="00B533D3" w:rsidRPr="00055865" w:rsidRDefault="00B200FA" w:rsidP="005B6FD7">
      <w:pPr>
        <w:tabs>
          <w:tab w:val="left" w:pos="2550"/>
        </w:tabs>
        <w:spacing w:after="0" w:line="480" w:lineRule="auto"/>
        <w:contextualSpacing/>
        <w:jc w:val="both"/>
        <w:rPr>
          <w:rFonts w:ascii="Garamond" w:hAnsi="Garamond"/>
          <w:sz w:val="24"/>
          <w:szCs w:val="24"/>
        </w:rPr>
      </w:pPr>
      <w:r w:rsidRPr="00055865">
        <w:rPr>
          <w:rFonts w:ascii="Garamond" w:hAnsi="Garamond"/>
          <w:sz w:val="24"/>
          <w:szCs w:val="24"/>
        </w:rPr>
        <w:t xml:space="preserve">Various arguments have been put forward on how </w:t>
      </w:r>
      <w:r w:rsidR="000713CD" w:rsidRPr="00055865">
        <w:rPr>
          <w:rFonts w:ascii="Garamond" w:hAnsi="Garamond"/>
          <w:sz w:val="24"/>
          <w:szCs w:val="24"/>
        </w:rPr>
        <w:t xml:space="preserve">energy efficiency practices </w:t>
      </w:r>
      <w:r w:rsidR="00DB6768" w:rsidRPr="00055865">
        <w:rPr>
          <w:rFonts w:ascii="Garamond" w:hAnsi="Garamond"/>
          <w:sz w:val="24"/>
          <w:szCs w:val="24"/>
        </w:rPr>
        <w:t>are</w:t>
      </w:r>
      <w:r w:rsidR="000713CD" w:rsidRPr="00055865">
        <w:rPr>
          <w:rFonts w:ascii="Garamond" w:hAnsi="Garamond"/>
          <w:sz w:val="24"/>
          <w:szCs w:val="24"/>
        </w:rPr>
        <w:t xml:space="preserve"> expected to impact on financial performance</w:t>
      </w:r>
      <w:r w:rsidR="00FF048A" w:rsidRPr="00055865">
        <w:rPr>
          <w:rFonts w:ascii="Garamond" w:hAnsi="Garamond"/>
          <w:sz w:val="24"/>
          <w:szCs w:val="24"/>
        </w:rPr>
        <w:t xml:space="preserve"> (Conlon &amp; Glavas, 2012; Lartey et al., 2020)</w:t>
      </w:r>
      <w:r w:rsidR="000713CD" w:rsidRPr="00055865">
        <w:rPr>
          <w:rFonts w:ascii="Garamond" w:hAnsi="Garamond"/>
          <w:sz w:val="24"/>
          <w:szCs w:val="24"/>
        </w:rPr>
        <w:t xml:space="preserve">. </w:t>
      </w:r>
      <w:r w:rsidR="005F6E37" w:rsidRPr="00055865">
        <w:rPr>
          <w:rFonts w:ascii="Garamond" w:hAnsi="Garamond"/>
          <w:sz w:val="24"/>
          <w:szCs w:val="24"/>
        </w:rPr>
        <w:fldChar w:fldCharType="begin" w:fldLock="1"/>
      </w:r>
      <w:r w:rsidR="00217D30" w:rsidRPr="00055865">
        <w:rPr>
          <w:rFonts w:ascii="Garamond" w:hAnsi="Garamond"/>
          <w:sz w:val="24"/>
          <w:szCs w:val="24"/>
        </w:rPr>
        <w:instrText>ADDIN CSL_CITATION {"citationItems":[{"id":"ITEM-1","itemData":{"DOI":"10.1002/bse.2353","ISSN":"10990836","abstract":"Despite the widespread recognition of the paybacks of “going green” and “going clean,” limited research has focused on the impact of lean-green strategy on firm growth. In this study, we contribute to strategy and environmental sustainability literatures by investigating the possibility that the influence on lean-green strategy and firm growth is driven by different levels of industry competition, managerial power, and family ties. Using panel data from 732 firms in four major industrialized economies (the United States, Germany, France, and the United Kingdom), we found that lean-green strategy positively relates to firm growth and this relationship is amplified at higher levels of competition, managerial power, and family ties. Theoretical and practical implications of the study are also discussed.","author":[{"dropping-particle":"","family":"Lartey","given":"Theophilus","non-dropping-particle":"","parse-names":false,"suffix":""},{"dropping-particle":"","family":"Yirenkyi","given":"Diana Owusu","non-dropping-particle":"","parse-names":false,"suffix":""},{"dropping-particle":"","family":"Adomako","given":"Samuel","non-dropping-particle":"","parse-names":false,"suffix":""},{"dropping-particle":"","family":"Danso","given":"Albert","non-dropping-particle":"","parse-names":false,"suffix":""},{"dropping-particle":"","family":"Amankwah-Amoah","given":"Joseph","non-dropping-particle":"","parse-names":false,"suffix":""},{"dropping-particle":"","family":"Alam","given":"Ashraful","non-dropping-particle":"","parse-names":false,"suffix":""}],"container-title":"Business Strategy and the Environment","id":"ITEM-1","issued":{"date-parts":[["2020"]]},"title":"Going green, going clean: Lean-green sustainability strategy and firm growth","type":"article-journal"},"uris":["http://www.mendeley.com/documents/?uuid=aed80bae-16b0-41e4-91ca-23f94204c0e1"]}],"mendeley":{"formattedCitation":"(Lartey et al., 2020)","plainTextFormattedCitation":"(Lartey et al., 2020)","previouslyFormattedCitation":"(Lartey et al., 2020)"},"properties":{"noteIndex":0},"schema":"https://github.com/citation-style-language/schema/raw/master/csl-citation.json"}</w:instrText>
      </w:r>
      <w:r w:rsidR="005F6E37" w:rsidRPr="00055865">
        <w:rPr>
          <w:rFonts w:ascii="Garamond" w:hAnsi="Garamond"/>
          <w:sz w:val="24"/>
          <w:szCs w:val="24"/>
        </w:rPr>
        <w:fldChar w:fldCharType="separate"/>
      </w:r>
      <w:r w:rsidR="00281223" w:rsidRPr="00055865">
        <w:rPr>
          <w:rFonts w:ascii="Garamond" w:hAnsi="Garamond"/>
          <w:noProof/>
          <w:sz w:val="24"/>
          <w:szCs w:val="24"/>
        </w:rPr>
        <w:t>Lartey et al.</w:t>
      </w:r>
      <w:r w:rsidR="00FF048A" w:rsidRPr="00055865">
        <w:rPr>
          <w:rFonts w:ascii="Garamond" w:hAnsi="Garamond"/>
          <w:noProof/>
          <w:sz w:val="24"/>
          <w:szCs w:val="24"/>
        </w:rPr>
        <w:t>(</w:t>
      </w:r>
      <w:r w:rsidR="00281223" w:rsidRPr="00055865">
        <w:rPr>
          <w:rFonts w:ascii="Garamond" w:hAnsi="Garamond"/>
          <w:noProof/>
          <w:sz w:val="24"/>
          <w:szCs w:val="24"/>
        </w:rPr>
        <w:t>2020)</w:t>
      </w:r>
      <w:r w:rsidR="005F6E37" w:rsidRPr="00055865">
        <w:rPr>
          <w:rFonts w:ascii="Garamond" w:hAnsi="Garamond"/>
          <w:sz w:val="24"/>
          <w:szCs w:val="24"/>
        </w:rPr>
        <w:fldChar w:fldCharType="end"/>
      </w:r>
      <w:r w:rsidR="00A62E6D" w:rsidRPr="00055865">
        <w:rPr>
          <w:rFonts w:ascii="Garamond" w:hAnsi="Garamond"/>
          <w:sz w:val="24"/>
          <w:szCs w:val="24"/>
        </w:rPr>
        <w:t>,</w:t>
      </w:r>
      <w:r w:rsidR="005F6E37" w:rsidRPr="00055865">
        <w:rPr>
          <w:rFonts w:ascii="Garamond" w:hAnsi="Garamond"/>
          <w:sz w:val="24"/>
          <w:szCs w:val="24"/>
        </w:rPr>
        <w:t xml:space="preserve"> </w:t>
      </w:r>
      <w:r w:rsidR="00AE0E20" w:rsidRPr="00055865">
        <w:rPr>
          <w:rFonts w:ascii="Garamond" w:hAnsi="Garamond"/>
          <w:sz w:val="24"/>
          <w:szCs w:val="24"/>
        </w:rPr>
        <w:t>for instance</w:t>
      </w:r>
      <w:r w:rsidR="00DD661A" w:rsidRPr="00055865">
        <w:rPr>
          <w:rFonts w:ascii="Garamond" w:hAnsi="Garamond"/>
          <w:sz w:val="24"/>
          <w:szCs w:val="24"/>
        </w:rPr>
        <w:t>,</w:t>
      </w:r>
      <w:r w:rsidR="00AE0E20" w:rsidRPr="00055865">
        <w:rPr>
          <w:rFonts w:ascii="Garamond" w:hAnsi="Garamond"/>
          <w:sz w:val="24"/>
          <w:szCs w:val="24"/>
        </w:rPr>
        <w:t xml:space="preserve"> indicated</w:t>
      </w:r>
      <w:r w:rsidRPr="00055865">
        <w:rPr>
          <w:rFonts w:ascii="Garamond" w:hAnsi="Garamond"/>
          <w:sz w:val="24"/>
          <w:szCs w:val="24"/>
        </w:rPr>
        <w:t xml:space="preserve"> </w:t>
      </w:r>
      <w:r w:rsidR="00A62E6D" w:rsidRPr="00055865">
        <w:rPr>
          <w:rFonts w:ascii="Garamond" w:hAnsi="Garamond"/>
          <w:sz w:val="24"/>
          <w:szCs w:val="24"/>
        </w:rPr>
        <w:t xml:space="preserve">that </w:t>
      </w:r>
      <w:r w:rsidR="005B6FD7">
        <w:rPr>
          <w:rFonts w:ascii="Garamond" w:hAnsi="Garamond"/>
          <w:sz w:val="24"/>
          <w:szCs w:val="24"/>
        </w:rPr>
        <w:t xml:space="preserve">the </w:t>
      </w:r>
      <w:r w:rsidRPr="00055865">
        <w:rPr>
          <w:rFonts w:ascii="Garamond" w:hAnsi="Garamond"/>
          <w:sz w:val="24"/>
          <w:szCs w:val="24"/>
        </w:rPr>
        <w:t>energy efficiency of a building c</w:t>
      </w:r>
      <w:r w:rsidR="00DD661A" w:rsidRPr="00055865">
        <w:rPr>
          <w:rFonts w:ascii="Garamond" w:hAnsi="Garamond"/>
          <w:sz w:val="24"/>
          <w:szCs w:val="24"/>
        </w:rPr>
        <w:t>ould</w:t>
      </w:r>
      <w:r w:rsidRPr="00055865">
        <w:rPr>
          <w:rFonts w:ascii="Garamond" w:hAnsi="Garamond"/>
          <w:sz w:val="24"/>
          <w:szCs w:val="24"/>
        </w:rPr>
        <w:t xml:space="preserve"> </w:t>
      </w:r>
      <w:r w:rsidR="00EA5530" w:rsidRPr="00055865">
        <w:rPr>
          <w:rFonts w:ascii="Garamond" w:hAnsi="Garamond"/>
          <w:sz w:val="24"/>
          <w:szCs w:val="24"/>
        </w:rPr>
        <w:t>improve</w:t>
      </w:r>
      <w:r w:rsidRPr="00055865">
        <w:rPr>
          <w:rFonts w:ascii="Garamond" w:hAnsi="Garamond"/>
          <w:sz w:val="24"/>
          <w:szCs w:val="24"/>
        </w:rPr>
        <w:t xml:space="preserve"> financial performance </w:t>
      </w:r>
      <w:r w:rsidR="0095016D" w:rsidRPr="00055865">
        <w:rPr>
          <w:rFonts w:ascii="Garamond" w:hAnsi="Garamond"/>
          <w:sz w:val="24"/>
          <w:szCs w:val="24"/>
        </w:rPr>
        <w:t>through</w:t>
      </w:r>
      <w:r w:rsidRPr="00055865">
        <w:rPr>
          <w:rFonts w:ascii="Garamond" w:hAnsi="Garamond"/>
          <w:sz w:val="24"/>
          <w:szCs w:val="24"/>
        </w:rPr>
        <w:t xml:space="preserve"> </w:t>
      </w:r>
      <w:r w:rsidR="0095016D" w:rsidRPr="00055865">
        <w:rPr>
          <w:rFonts w:ascii="Garamond" w:hAnsi="Garamond"/>
          <w:sz w:val="24"/>
          <w:szCs w:val="24"/>
        </w:rPr>
        <w:t>various</w:t>
      </w:r>
      <w:r w:rsidRPr="00055865">
        <w:rPr>
          <w:rFonts w:ascii="Garamond" w:hAnsi="Garamond"/>
          <w:sz w:val="24"/>
          <w:szCs w:val="24"/>
        </w:rPr>
        <w:t xml:space="preserve"> transmission mechanisms.</w:t>
      </w:r>
      <w:r w:rsidR="005D6CE4">
        <w:rPr>
          <w:rFonts w:ascii="Garamond" w:hAnsi="Garamond"/>
          <w:sz w:val="24"/>
          <w:szCs w:val="24"/>
        </w:rPr>
        <w:t xml:space="preserve"> They argue</w:t>
      </w:r>
      <w:r w:rsidR="0095016D" w:rsidRPr="00055865">
        <w:rPr>
          <w:rFonts w:ascii="Garamond" w:hAnsi="Garamond"/>
          <w:sz w:val="24"/>
          <w:szCs w:val="24"/>
        </w:rPr>
        <w:t xml:space="preserve"> </w:t>
      </w:r>
      <w:r w:rsidR="006C45AB" w:rsidRPr="00055865">
        <w:rPr>
          <w:rFonts w:ascii="Garamond" w:hAnsi="Garamond"/>
          <w:sz w:val="24"/>
          <w:szCs w:val="24"/>
        </w:rPr>
        <w:t>that less</w:t>
      </w:r>
      <w:r w:rsidR="0095016D" w:rsidRPr="00055865">
        <w:rPr>
          <w:rFonts w:ascii="Garamond" w:hAnsi="Garamond"/>
          <w:sz w:val="24"/>
          <w:szCs w:val="24"/>
        </w:rPr>
        <w:t xml:space="preserve"> energy consumption saves tenants</w:t>
      </w:r>
      <w:r w:rsidR="005D6CE4">
        <w:rPr>
          <w:rFonts w:ascii="Garamond" w:hAnsi="Garamond"/>
          <w:sz w:val="24"/>
          <w:szCs w:val="24"/>
        </w:rPr>
        <w:t>’</w:t>
      </w:r>
      <w:r w:rsidR="0095016D" w:rsidRPr="00055865">
        <w:rPr>
          <w:rFonts w:ascii="Garamond" w:hAnsi="Garamond"/>
          <w:sz w:val="24"/>
          <w:szCs w:val="24"/>
        </w:rPr>
        <w:t xml:space="preserve"> costs and therefore</w:t>
      </w:r>
      <w:r w:rsidR="005B6FD7">
        <w:rPr>
          <w:rFonts w:ascii="Garamond" w:hAnsi="Garamond"/>
          <w:sz w:val="24"/>
          <w:szCs w:val="24"/>
        </w:rPr>
        <w:t>,</w:t>
      </w:r>
      <w:r w:rsidR="005D6CE4">
        <w:rPr>
          <w:rFonts w:ascii="Garamond" w:hAnsi="Garamond"/>
          <w:sz w:val="24"/>
          <w:szCs w:val="24"/>
        </w:rPr>
        <w:t xml:space="preserve"> they are likely to pay low</w:t>
      </w:r>
      <w:r w:rsidR="0095016D" w:rsidRPr="00055865">
        <w:rPr>
          <w:rFonts w:ascii="Garamond" w:hAnsi="Garamond"/>
          <w:sz w:val="24"/>
          <w:szCs w:val="24"/>
        </w:rPr>
        <w:t xml:space="preserve">er </w:t>
      </w:r>
      <w:r w:rsidR="006C45AB" w:rsidRPr="00055865">
        <w:rPr>
          <w:rFonts w:ascii="Garamond" w:hAnsi="Garamond"/>
          <w:sz w:val="24"/>
          <w:szCs w:val="24"/>
        </w:rPr>
        <w:t>rents.</w:t>
      </w:r>
      <w:r w:rsidR="0095016D" w:rsidRPr="00055865">
        <w:rPr>
          <w:rFonts w:ascii="Garamond" w:hAnsi="Garamond"/>
          <w:sz w:val="24"/>
          <w:szCs w:val="24"/>
        </w:rPr>
        <w:t xml:space="preserve"> </w:t>
      </w:r>
      <w:r w:rsidRPr="00055865">
        <w:rPr>
          <w:rFonts w:ascii="Garamond" w:hAnsi="Garamond"/>
          <w:sz w:val="24"/>
          <w:szCs w:val="24"/>
        </w:rPr>
        <w:t xml:space="preserve"> </w:t>
      </w:r>
      <w:r w:rsidR="006C45AB" w:rsidRPr="00055865">
        <w:rPr>
          <w:rFonts w:ascii="Garamond" w:hAnsi="Garamond"/>
          <w:sz w:val="24"/>
          <w:szCs w:val="24"/>
        </w:rPr>
        <w:t>O</w:t>
      </w:r>
      <w:r w:rsidRPr="00055865">
        <w:rPr>
          <w:rFonts w:ascii="Garamond" w:hAnsi="Garamond"/>
          <w:sz w:val="24"/>
          <w:szCs w:val="24"/>
        </w:rPr>
        <w:t>ccup</w:t>
      </w:r>
      <w:r w:rsidR="0095016D" w:rsidRPr="00055865">
        <w:rPr>
          <w:rFonts w:ascii="Garamond" w:hAnsi="Garamond"/>
          <w:sz w:val="24"/>
          <w:szCs w:val="24"/>
        </w:rPr>
        <w:t>ation</w:t>
      </w:r>
      <w:r w:rsidRPr="00055865">
        <w:rPr>
          <w:rFonts w:ascii="Garamond" w:hAnsi="Garamond"/>
          <w:sz w:val="24"/>
          <w:szCs w:val="24"/>
        </w:rPr>
        <w:t xml:space="preserve"> of an energy-efficient building is</w:t>
      </w:r>
      <w:r w:rsidR="006C45AB" w:rsidRPr="00055865">
        <w:rPr>
          <w:rFonts w:ascii="Garamond" w:hAnsi="Garamond"/>
          <w:sz w:val="24"/>
          <w:szCs w:val="24"/>
        </w:rPr>
        <w:t xml:space="preserve"> also</w:t>
      </w:r>
      <w:r w:rsidRPr="00055865">
        <w:rPr>
          <w:rFonts w:ascii="Garamond" w:hAnsi="Garamond"/>
          <w:sz w:val="24"/>
          <w:szCs w:val="24"/>
        </w:rPr>
        <w:t xml:space="preserve"> </w:t>
      </w:r>
      <w:r w:rsidR="0095016D" w:rsidRPr="00055865">
        <w:rPr>
          <w:rFonts w:ascii="Garamond" w:hAnsi="Garamond"/>
          <w:sz w:val="24"/>
          <w:szCs w:val="24"/>
        </w:rPr>
        <w:t>good</w:t>
      </w:r>
      <w:r w:rsidRPr="00055865">
        <w:rPr>
          <w:rFonts w:ascii="Garamond" w:hAnsi="Garamond"/>
          <w:sz w:val="24"/>
          <w:szCs w:val="24"/>
        </w:rPr>
        <w:t xml:space="preserve"> for the </w:t>
      </w:r>
      <w:r w:rsidR="00B533D3" w:rsidRPr="00055865">
        <w:rPr>
          <w:rFonts w:ascii="Garamond" w:hAnsi="Garamond"/>
          <w:sz w:val="24"/>
          <w:szCs w:val="24"/>
        </w:rPr>
        <w:t xml:space="preserve">firm’s </w:t>
      </w:r>
      <w:r w:rsidRPr="00055865">
        <w:rPr>
          <w:rFonts w:ascii="Garamond" w:hAnsi="Garamond"/>
          <w:sz w:val="24"/>
          <w:szCs w:val="24"/>
        </w:rPr>
        <w:t>image</w:t>
      </w:r>
      <w:r w:rsidR="005B6FD7">
        <w:rPr>
          <w:rFonts w:ascii="Garamond" w:hAnsi="Garamond"/>
          <w:sz w:val="24"/>
          <w:szCs w:val="24"/>
        </w:rPr>
        <w:t>. It</w:t>
      </w:r>
      <w:r w:rsidR="006C45AB" w:rsidRPr="00055865">
        <w:rPr>
          <w:rFonts w:ascii="Garamond" w:hAnsi="Garamond"/>
          <w:sz w:val="24"/>
          <w:szCs w:val="24"/>
        </w:rPr>
        <w:t xml:space="preserve"> help</w:t>
      </w:r>
      <w:r w:rsidR="005D6CE4">
        <w:rPr>
          <w:rFonts w:ascii="Garamond" w:hAnsi="Garamond"/>
          <w:sz w:val="24"/>
          <w:szCs w:val="24"/>
        </w:rPr>
        <w:t>s</w:t>
      </w:r>
      <w:r w:rsidR="006C45AB" w:rsidRPr="00055865">
        <w:rPr>
          <w:rFonts w:ascii="Garamond" w:hAnsi="Garamond"/>
          <w:sz w:val="24"/>
          <w:szCs w:val="24"/>
        </w:rPr>
        <w:t xml:space="preserve"> to build</w:t>
      </w:r>
      <w:r w:rsidRPr="00055865">
        <w:rPr>
          <w:rFonts w:ascii="Garamond" w:hAnsi="Garamond"/>
          <w:sz w:val="24"/>
          <w:szCs w:val="24"/>
        </w:rPr>
        <w:t xml:space="preserve"> </w:t>
      </w:r>
      <w:r w:rsidR="00DD661A" w:rsidRPr="00055865">
        <w:rPr>
          <w:rFonts w:ascii="Garamond" w:hAnsi="Garamond"/>
          <w:sz w:val="24"/>
          <w:szCs w:val="24"/>
        </w:rPr>
        <w:t xml:space="preserve">a </w:t>
      </w:r>
      <w:r w:rsidRPr="00055865">
        <w:rPr>
          <w:rFonts w:ascii="Garamond" w:hAnsi="Garamond"/>
          <w:sz w:val="24"/>
          <w:szCs w:val="24"/>
        </w:rPr>
        <w:t xml:space="preserve">relationship with different stakeholders </w:t>
      </w:r>
      <w:r w:rsidR="00B533D3" w:rsidRPr="00055865">
        <w:rPr>
          <w:rFonts w:ascii="Garamond" w:hAnsi="Garamond"/>
          <w:sz w:val="24"/>
          <w:szCs w:val="24"/>
        </w:rPr>
        <w:t>such as investors</w:t>
      </w:r>
      <w:r w:rsidR="005D6CE4">
        <w:rPr>
          <w:rFonts w:ascii="Garamond" w:hAnsi="Garamond"/>
          <w:sz w:val="24"/>
          <w:szCs w:val="24"/>
        </w:rPr>
        <w:t>,</w:t>
      </w:r>
      <w:r w:rsidRPr="00055865">
        <w:rPr>
          <w:rFonts w:ascii="Garamond" w:hAnsi="Garamond"/>
          <w:sz w:val="24"/>
          <w:szCs w:val="24"/>
        </w:rPr>
        <w:t xml:space="preserve"> employees,</w:t>
      </w:r>
      <w:r w:rsidR="00B533D3" w:rsidRPr="00055865">
        <w:rPr>
          <w:rFonts w:ascii="Garamond" w:hAnsi="Garamond"/>
          <w:sz w:val="24"/>
          <w:szCs w:val="24"/>
        </w:rPr>
        <w:t xml:space="preserve"> and the public in general. </w:t>
      </w:r>
    </w:p>
    <w:p w14:paraId="69A372CC" w14:textId="41E51700" w:rsidR="006C45AB" w:rsidRPr="00055865" w:rsidRDefault="005D6CE4" w:rsidP="005B6FD7">
      <w:pPr>
        <w:tabs>
          <w:tab w:val="left" w:pos="2550"/>
        </w:tabs>
        <w:spacing w:after="0" w:line="480" w:lineRule="auto"/>
        <w:contextualSpacing/>
        <w:jc w:val="both"/>
        <w:rPr>
          <w:rFonts w:ascii="Garamond" w:eastAsia="TimesNewRomanPSMT" w:hAnsi="Garamond"/>
          <w:bCs/>
          <w:sz w:val="24"/>
          <w:szCs w:val="24"/>
        </w:rPr>
      </w:pPr>
      <w:r>
        <w:rPr>
          <w:rFonts w:ascii="Garamond" w:eastAsia="TimesNewRomanPSMT" w:hAnsi="Garamond"/>
          <w:sz w:val="24"/>
          <w:szCs w:val="24"/>
        </w:rPr>
        <w:t xml:space="preserve">                 </w:t>
      </w:r>
      <w:r w:rsidR="00B533D3" w:rsidRPr="00055865">
        <w:rPr>
          <w:rFonts w:ascii="Garamond" w:eastAsia="TimesNewRomanPSMT" w:hAnsi="Garamond"/>
          <w:sz w:val="24"/>
          <w:szCs w:val="24"/>
        </w:rPr>
        <w:t>This argument reflects the basis of stakeholder theory which is based on the principle that the firm considers all individuals and groups that can affect or</w:t>
      </w:r>
      <w:r>
        <w:rPr>
          <w:rFonts w:ascii="Garamond" w:eastAsia="TimesNewRomanPSMT" w:hAnsi="Garamond"/>
          <w:sz w:val="24"/>
          <w:szCs w:val="24"/>
        </w:rPr>
        <w:t xml:space="preserve"> be</w:t>
      </w:r>
      <w:r w:rsidR="00B533D3" w:rsidRPr="00055865">
        <w:rPr>
          <w:rFonts w:ascii="Garamond" w:eastAsia="TimesNewRomanPSMT" w:hAnsi="Garamond"/>
          <w:sz w:val="24"/>
          <w:szCs w:val="24"/>
        </w:rPr>
        <w:t xml:space="preserve"> affected by the achievement of the organisational objectives </w:t>
      </w:r>
      <w:r w:rsidR="00B533D3" w:rsidRPr="00055865">
        <w:rPr>
          <w:rFonts w:ascii="Garamond" w:eastAsia="TimesNewRomanPSMT" w:hAnsi="Garamond"/>
          <w:sz w:val="24"/>
          <w:szCs w:val="24"/>
        </w:rPr>
        <w:fldChar w:fldCharType="begin" w:fldLock="1"/>
      </w:r>
      <w:r w:rsidR="00B533D3" w:rsidRPr="00055865">
        <w:rPr>
          <w:rFonts w:ascii="Garamond" w:eastAsia="TimesNewRomanPSMT" w:hAnsi="Garamond"/>
          <w:sz w:val="24"/>
          <w:szCs w:val="24"/>
        </w:rPr>
        <w:instrText>ADDIN CSL_CITATION {"citationItems":[{"id":"ITEM-1","itemData":{"author":[{"dropping-particle":"","family":"Freeman","given":"E R","non-dropping-particle":"","parse-names":false,"suffix":""}],"id":"ITEM-1","issued":{"date-parts":[["1984"]]},"publisher":"Pitman/Ballinger","publisher-place":"Boston, MA","title":"Strategic Management: A Stakeholder Approach","type":"article"},"uris":["http://www.mendeley.com/documents/?uuid=e27d7887-5a82-4b38-b864-ce64dea23e42"]}],"mendeley":{"formattedCitation":"(Freeman, 1984)","plainTextFormattedCitation":"(Freeman, 1984)","previouslyFormattedCitation":"(Freeman, 1984)"},"properties":{"noteIndex":0},"schema":"https://github.com/citation-style-language/schema/raw/master/csl-citation.json"}</w:instrText>
      </w:r>
      <w:r w:rsidR="00B533D3" w:rsidRPr="00055865">
        <w:rPr>
          <w:rFonts w:ascii="Garamond" w:eastAsia="TimesNewRomanPSMT" w:hAnsi="Garamond"/>
          <w:sz w:val="24"/>
          <w:szCs w:val="24"/>
        </w:rPr>
        <w:fldChar w:fldCharType="separate"/>
      </w:r>
      <w:r w:rsidR="00B533D3" w:rsidRPr="00055865">
        <w:rPr>
          <w:rFonts w:ascii="Garamond" w:eastAsia="TimesNewRomanPSMT" w:hAnsi="Garamond"/>
          <w:noProof/>
          <w:sz w:val="24"/>
          <w:szCs w:val="24"/>
        </w:rPr>
        <w:t>(Freeman, 1984)</w:t>
      </w:r>
      <w:r w:rsidR="00B533D3" w:rsidRPr="00055865">
        <w:rPr>
          <w:rFonts w:ascii="Garamond" w:eastAsia="TimesNewRomanPSMT" w:hAnsi="Garamond"/>
          <w:sz w:val="24"/>
          <w:szCs w:val="24"/>
        </w:rPr>
        <w:fldChar w:fldCharType="end"/>
      </w:r>
      <w:r w:rsidR="00B533D3" w:rsidRPr="00055865">
        <w:rPr>
          <w:rFonts w:ascii="Garamond" w:eastAsia="TimesNewRomanPSMT" w:hAnsi="Garamond"/>
          <w:sz w:val="24"/>
          <w:szCs w:val="24"/>
        </w:rPr>
        <w:t xml:space="preserve">. </w:t>
      </w:r>
      <w:r w:rsidR="00102044" w:rsidRPr="00055865">
        <w:rPr>
          <w:rFonts w:ascii="Garamond" w:eastAsia="TimesNewRomanPSMT" w:hAnsi="Garamond"/>
          <w:sz w:val="24"/>
          <w:szCs w:val="24"/>
        </w:rPr>
        <w:t>Cagno and Trianni (2013) arguing from the perspective of stakeholder theory, were of the view that energy efficiency helps firms avoid future external stakeholder’s’ pressure which may distract m</w:t>
      </w:r>
      <w:r w:rsidR="0081411B">
        <w:rPr>
          <w:rFonts w:ascii="Garamond" w:eastAsia="TimesNewRomanPSMT" w:hAnsi="Garamond"/>
          <w:sz w:val="24"/>
          <w:szCs w:val="24"/>
        </w:rPr>
        <w:t>anagement and negatively impact</w:t>
      </w:r>
      <w:r w:rsidR="00102044" w:rsidRPr="00055865">
        <w:rPr>
          <w:rFonts w:ascii="Garamond" w:eastAsia="TimesNewRomanPSMT" w:hAnsi="Garamond"/>
          <w:sz w:val="24"/>
          <w:szCs w:val="24"/>
        </w:rPr>
        <w:t xml:space="preserve"> performance. </w:t>
      </w:r>
      <w:r w:rsidR="00B533D3" w:rsidRPr="00055865">
        <w:rPr>
          <w:rFonts w:ascii="Garamond" w:eastAsia="TimesNewRomanPSMT" w:hAnsi="Garamond"/>
          <w:sz w:val="24"/>
          <w:szCs w:val="24"/>
        </w:rPr>
        <w:t xml:space="preserve">The other argument put forward by </w:t>
      </w:r>
      <w:r w:rsidR="00D07926" w:rsidRPr="00055865">
        <w:rPr>
          <w:rFonts w:ascii="Garamond" w:eastAsia="TimesNewRomanPSMT" w:hAnsi="Garamond"/>
          <w:sz w:val="24"/>
          <w:szCs w:val="24"/>
        </w:rPr>
        <w:fldChar w:fldCharType="begin" w:fldLock="1"/>
      </w:r>
      <w:r w:rsidR="00281223" w:rsidRPr="00055865">
        <w:rPr>
          <w:rFonts w:ascii="Garamond" w:eastAsia="TimesNewRomanPSMT" w:hAnsi="Garamond"/>
          <w:sz w:val="24"/>
          <w:szCs w:val="24"/>
        </w:rPr>
        <w:instrText>ADDIN CSL_CITATION {"citationItems":[{"id":"ITEM-1","itemData":{"DOI":"10.1002/bse.2353","ISSN":"10990836","abstract":"Despite the widespread recognition of the paybacks of “going green” and “going clean,” limited research has focused on the impact of lean-green strategy on firm growth. In this study, we contribute to strategy and environmental sustainability literatures by investigating the possibility that the influence on lean-green strategy and firm growth is driven by different levels of industry competition, managerial power, and family ties. Using panel data from 732 firms in four major industrialized economies (the United States, Germany, France, and the United Kingdom), we found that lean-green strategy positively relates to firm growth and this relationship is amplified at higher levels of competition, managerial power, and family ties. Theoretical and practical implications of the study are also discussed.","author":[{"dropping-particle":"","family":"Lartey","given":"Theophilus","non-dropping-particle":"","parse-names":false,"suffix":""},{"dropping-particle":"","family":"Yirenkyi","given":"Diana Owusu","non-dropping-particle":"","parse-names":false,"suffix":""},{"dropping-particle":"","family":"Adomako","given":"Samuel","non-dropping-particle":"","parse-names":false,"suffix":""},{"dropping-particle":"","family":"Danso","given":"Albert","non-dropping-particle":"","parse-names":false,"suffix":""},{"dropping-particle":"","family":"Amankwah-Amoah","given":"Joseph","non-dropping-particle":"","parse-names":false,"suffix":""},{"dropping-particle":"","family":"Alam","given":"Ashraful","non-dropping-particle":"","parse-names":false,"suffix":""}],"container-title":"Business Strategy and the Environment","id":"ITEM-1","issued":{"date-parts":[["2020"]]},"title":"Going green, going clean: Lean-green sustainability strategy and firm growth","type":"article-journal"},"uris":["http://www.mendeley.com/documents/?uuid=aed80bae-16b0-41e4-91ca-23f94204c0e1"]}],"mendeley":{"formattedCitation":"(Lartey et al., 2020)","manualFormatting":"Lartey et al. (2020)","plainTextFormattedCitation":"(Lartey et al., 2020)","previouslyFormattedCitation":"(Lartey et al., 2020)"},"properties":{"noteIndex":0},"schema":"https://github.com/citation-style-language/schema/raw/master/csl-citation.json"}</w:instrText>
      </w:r>
      <w:r w:rsidR="00D07926" w:rsidRPr="00055865">
        <w:rPr>
          <w:rFonts w:ascii="Garamond" w:eastAsia="TimesNewRomanPSMT" w:hAnsi="Garamond"/>
          <w:sz w:val="24"/>
          <w:szCs w:val="24"/>
        </w:rPr>
        <w:fldChar w:fldCharType="separate"/>
      </w:r>
      <w:r w:rsidR="00D07926" w:rsidRPr="00055865">
        <w:rPr>
          <w:rFonts w:ascii="Garamond" w:eastAsia="TimesNewRomanPSMT" w:hAnsi="Garamond"/>
          <w:noProof/>
          <w:sz w:val="24"/>
          <w:szCs w:val="24"/>
        </w:rPr>
        <w:t xml:space="preserve">Lartey </w:t>
      </w:r>
      <w:r w:rsidR="00D07926" w:rsidRPr="00055865">
        <w:rPr>
          <w:rFonts w:ascii="Garamond" w:eastAsia="TimesNewRomanPSMT" w:hAnsi="Garamond"/>
          <w:i/>
          <w:noProof/>
          <w:sz w:val="24"/>
          <w:szCs w:val="24"/>
        </w:rPr>
        <w:t>et al</w:t>
      </w:r>
      <w:r w:rsidR="00DB6768" w:rsidRPr="00055865">
        <w:rPr>
          <w:rFonts w:ascii="Garamond" w:eastAsia="TimesNewRomanPSMT" w:hAnsi="Garamond"/>
          <w:i/>
          <w:noProof/>
          <w:sz w:val="24"/>
          <w:szCs w:val="24"/>
        </w:rPr>
        <w:t>.</w:t>
      </w:r>
      <w:r w:rsidR="00D07926" w:rsidRPr="00055865">
        <w:rPr>
          <w:rFonts w:ascii="Garamond" w:eastAsia="TimesNewRomanPSMT" w:hAnsi="Garamond"/>
          <w:i/>
          <w:noProof/>
          <w:sz w:val="24"/>
          <w:szCs w:val="24"/>
        </w:rPr>
        <w:t xml:space="preserve"> (</w:t>
      </w:r>
      <w:r w:rsidR="00D07926" w:rsidRPr="00055865">
        <w:rPr>
          <w:rFonts w:ascii="Garamond" w:eastAsia="TimesNewRomanPSMT" w:hAnsi="Garamond"/>
          <w:noProof/>
          <w:sz w:val="24"/>
          <w:szCs w:val="24"/>
        </w:rPr>
        <w:t>2020)</w:t>
      </w:r>
      <w:r w:rsidR="00D07926" w:rsidRPr="00055865">
        <w:rPr>
          <w:rFonts w:ascii="Garamond" w:eastAsia="TimesNewRomanPSMT" w:hAnsi="Garamond"/>
          <w:sz w:val="24"/>
          <w:szCs w:val="24"/>
        </w:rPr>
        <w:fldChar w:fldCharType="end"/>
      </w:r>
      <w:r w:rsidR="00D07926" w:rsidRPr="00055865">
        <w:rPr>
          <w:rFonts w:ascii="Garamond" w:eastAsia="TimesNewRomanPSMT" w:hAnsi="Garamond"/>
          <w:sz w:val="24"/>
          <w:szCs w:val="24"/>
        </w:rPr>
        <w:t xml:space="preserve"> </w:t>
      </w:r>
      <w:r w:rsidR="005C7EB3" w:rsidRPr="00055865">
        <w:rPr>
          <w:rFonts w:ascii="Garamond" w:eastAsia="TimesNewRomanPSMT" w:hAnsi="Garamond"/>
          <w:sz w:val="24"/>
          <w:szCs w:val="24"/>
        </w:rPr>
        <w:t xml:space="preserve">is </w:t>
      </w:r>
      <w:r w:rsidR="00D07926" w:rsidRPr="00055865">
        <w:rPr>
          <w:rFonts w:ascii="Garamond" w:eastAsia="TimesNewRomanPSMT" w:hAnsi="Garamond"/>
          <w:sz w:val="24"/>
          <w:szCs w:val="24"/>
        </w:rPr>
        <w:t>th</w:t>
      </w:r>
      <w:r w:rsidR="005C7EB3" w:rsidRPr="00055865">
        <w:rPr>
          <w:rFonts w:ascii="Garamond" w:eastAsia="TimesNewRomanPSMT" w:hAnsi="Garamond"/>
          <w:sz w:val="24"/>
          <w:szCs w:val="24"/>
        </w:rPr>
        <w:t>at the</w:t>
      </w:r>
      <w:r w:rsidR="00D07926" w:rsidRPr="00055865">
        <w:rPr>
          <w:rFonts w:ascii="Garamond" w:eastAsia="TimesNewRomanPSMT" w:hAnsi="Garamond"/>
          <w:sz w:val="24"/>
          <w:szCs w:val="24"/>
        </w:rPr>
        <w:t xml:space="preserve"> </w:t>
      </w:r>
      <w:r w:rsidR="005C7EB3" w:rsidRPr="00055865">
        <w:rPr>
          <w:rFonts w:ascii="Garamond" w:eastAsia="TimesNewRomanPSMT" w:hAnsi="Garamond"/>
          <w:sz w:val="24"/>
          <w:szCs w:val="24"/>
        </w:rPr>
        <w:t xml:space="preserve">global </w:t>
      </w:r>
      <w:r w:rsidR="00D07926" w:rsidRPr="00055865">
        <w:rPr>
          <w:rFonts w:ascii="Garamond" w:eastAsia="TimesNewRomanPSMT" w:hAnsi="Garamond"/>
          <w:sz w:val="24"/>
          <w:szCs w:val="24"/>
        </w:rPr>
        <w:t>warming</w:t>
      </w:r>
      <w:r w:rsidR="005C7EB3" w:rsidRPr="00055865">
        <w:rPr>
          <w:rFonts w:ascii="Garamond" w:eastAsia="TimesNewRomanPSMT" w:hAnsi="Garamond"/>
          <w:sz w:val="24"/>
          <w:szCs w:val="24"/>
        </w:rPr>
        <w:t xml:space="preserve"> debate and the societal responsibility to conserve energy implies th</w:t>
      </w:r>
      <w:r w:rsidR="0081411B">
        <w:rPr>
          <w:rFonts w:ascii="Garamond" w:eastAsia="TimesNewRomanPSMT" w:hAnsi="Garamond"/>
          <w:sz w:val="24"/>
          <w:szCs w:val="24"/>
        </w:rPr>
        <w:t>at in future, non-energy saving</w:t>
      </w:r>
      <w:r w:rsidR="005C7EB3" w:rsidRPr="00055865">
        <w:rPr>
          <w:rFonts w:ascii="Garamond" w:eastAsia="TimesNewRomanPSMT" w:hAnsi="Garamond"/>
          <w:sz w:val="24"/>
          <w:szCs w:val="24"/>
        </w:rPr>
        <w:t xml:space="preserve"> buildings are likely to be avoided by investors and tenants.</w:t>
      </w:r>
      <w:r w:rsidR="0019632A" w:rsidRPr="00055865">
        <w:rPr>
          <w:rFonts w:ascii="Garamond" w:eastAsia="TimesNewRomanPSMT" w:hAnsi="Garamond"/>
          <w:sz w:val="24"/>
          <w:szCs w:val="24"/>
        </w:rPr>
        <w:t xml:space="preserve"> This situation </w:t>
      </w:r>
      <w:r w:rsidR="00DB6768" w:rsidRPr="00055865">
        <w:rPr>
          <w:rFonts w:ascii="Garamond" w:eastAsia="TimesNewRomanPSMT" w:hAnsi="Garamond"/>
          <w:sz w:val="24"/>
          <w:szCs w:val="24"/>
        </w:rPr>
        <w:t>suggest</w:t>
      </w:r>
      <w:r w:rsidR="0019632A" w:rsidRPr="00055865">
        <w:rPr>
          <w:rFonts w:ascii="Garamond" w:eastAsia="TimesNewRomanPSMT" w:hAnsi="Garamond"/>
          <w:sz w:val="24"/>
          <w:szCs w:val="24"/>
        </w:rPr>
        <w:t>s that energy</w:t>
      </w:r>
      <w:r w:rsidR="00DB6768" w:rsidRPr="00055865">
        <w:rPr>
          <w:rFonts w:ascii="Garamond" w:eastAsia="TimesNewRomanPSMT" w:hAnsi="Garamond"/>
          <w:sz w:val="24"/>
          <w:szCs w:val="24"/>
        </w:rPr>
        <w:t>-</w:t>
      </w:r>
      <w:r w:rsidR="0019632A" w:rsidRPr="00055865">
        <w:rPr>
          <w:rFonts w:ascii="Garamond" w:eastAsia="TimesNewRomanPSMT" w:hAnsi="Garamond"/>
          <w:sz w:val="24"/>
          <w:szCs w:val="24"/>
        </w:rPr>
        <w:t xml:space="preserve">efficient buildings are </w:t>
      </w:r>
      <w:r w:rsidR="0081411B">
        <w:rPr>
          <w:rFonts w:ascii="Garamond" w:eastAsia="TimesNewRomanPSMT" w:hAnsi="Garamond"/>
          <w:sz w:val="24"/>
          <w:szCs w:val="24"/>
        </w:rPr>
        <w:t xml:space="preserve">going to be </w:t>
      </w:r>
      <w:r w:rsidR="0019632A" w:rsidRPr="00055865">
        <w:rPr>
          <w:rFonts w:ascii="Garamond" w:eastAsia="TimesNewRomanPSMT" w:hAnsi="Garamond"/>
          <w:sz w:val="24"/>
          <w:szCs w:val="24"/>
        </w:rPr>
        <w:t>more valuable than non-energy efficient buildings</w:t>
      </w:r>
      <w:r w:rsidR="00DB6768" w:rsidRPr="00055865">
        <w:rPr>
          <w:rFonts w:ascii="Garamond" w:eastAsia="TimesNewRomanPSMT" w:hAnsi="Garamond"/>
          <w:sz w:val="24"/>
          <w:szCs w:val="24"/>
        </w:rPr>
        <w:t>,</w:t>
      </w:r>
      <w:r w:rsidR="0019632A" w:rsidRPr="00055865">
        <w:rPr>
          <w:rFonts w:ascii="Garamond" w:eastAsia="TimesNewRomanPSMT" w:hAnsi="Garamond"/>
          <w:sz w:val="24"/>
          <w:szCs w:val="24"/>
        </w:rPr>
        <w:t xml:space="preserve"> and therefore</w:t>
      </w:r>
      <w:r w:rsidR="00A62E6D" w:rsidRPr="00055865">
        <w:rPr>
          <w:rFonts w:ascii="Garamond" w:eastAsia="TimesNewRomanPSMT" w:hAnsi="Garamond"/>
          <w:sz w:val="24"/>
          <w:szCs w:val="24"/>
        </w:rPr>
        <w:t>,</w:t>
      </w:r>
      <w:r w:rsidR="0019632A" w:rsidRPr="00055865">
        <w:rPr>
          <w:rFonts w:ascii="Garamond" w:eastAsia="TimesNewRomanPSMT" w:hAnsi="Garamond"/>
          <w:sz w:val="24"/>
          <w:szCs w:val="24"/>
        </w:rPr>
        <w:t xml:space="preserve"> energy</w:t>
      </w:r>
      <w:r w:rsidR="005B6FD7">
        <w:rPr>
          <w:rFonts w:ascii="Garamond" w:eastAsia="TimesNewRomanPSMT" w:hAnsi="Garamond"/>
          <w:sz w:val="24"/>
          <w:szCs w:val="24"/>
        </w:rPr>
        <w:t>-</w:t>
      </w:r>
      <w:r w:rsidR="0019632A" w:rsidRPr="00055865">
        <w:rPr>
          <w:rFonts w:ascii="Garamond" w:eastAsia="TimesNewRomanPSMT" w:hAnsi="Garamond"/>
          <w:sz w:val="24"/>
          <w:szCs w:val="24"/>
        </w:rPr>
        <w:t>efficient building</w:t>
      </w:r>
      <w:r w:rsidR="0081411B">
        <w:rPr>
          <w:rFonts w:ascii="Garamond" w:eastAsia="TimesNewRomanPSMT" w:hAnsi="Garamond"/>
          <w:sz w:val="24"/>
          <w:szCs w:val="24"/>
        </w:rPr>
        <w:t>s</w:t>
      </w:r>
      <w:r w:rsidR="0019632A" w:rsidRPr="00055865">
        <w:rPr>
          <w:rFonts w:ascii="Garamond" w:eastAsia="TimesNewRomanPSMT" w:hAnsi="Garamond"/>
          <w:sz w:val="24"/>
          <w:szCs w:val="24"/>
        </w:rPr>
        <w:t xml:space="preserve"> should have higher returns and market value.</w:t>
      </w:r>
      <w:r w:rsidR="0019632A" w:rsidRPr="00055865">
        <w:rPr>
          <w:rFonts w:ascii="Garamond" w:eastAsia="TimesNewRomanPSMT" w:hAnsi="Garamond"/>
          <w:bCs/>
          <w:sz w:val="24"/>
          <w:szCs w:val="24"/>
        </w:rPr>
        <w:t xml:space="preserve"> </w:t>
      </w:r>
      <w:r w:rsidR="00F83BC2" w:rsidRPr="00055865">
        <w:rPr>
          <w:rFonts w:ascii="Garamond" w:eastAsia="TimesNewRomanPSMT" w:hAnsi="Garamond"/>
          <w:bCs/>
          <w:sz w:val="24"/>
          <w:szCs w:val="24"/>
        </w:rPr>
        <w:t>Empirical evidence also suggest</w:t>
      </w:r>
      <w:r w:rsidR="005B6FD7">
        <w:rPr>
          <w:rFonts w:ascii="Garamond" w:eastAsia="TimesNewRomanPSMT" w:hAnsi="Garamond"/>
          <w:bCs/>
          <w:sz w:val="24"/>
          <w:szCs w:val="24"/>
        </w:rPr>
        <w:t>s</w:t>
      </w:r>
      <w:r w:rsidR="00F83BC2" w:rsidRPr="00055865">
        <w:rPr>
          <w:rFonts w:ascii="Garamond" w:eastAsia="TimesNewRomanPSMT" w:hAnsi="Garamond"/>
          <w:bCs/>
          <w:sz w:val="24"/>
          <w:szCs w:val="24"/>
        </w:rPr>
        <w:t xml:space="preserve"> that </w:t>
      </w:r>
      <w:r w:rsidR="002857D5" w:rsidRPr="00055865">
        <w:rPr>
          <w:rFonts w:ascii="Garamond" w:eastAsia="TimesNewRomanPSMT" w:hAnsi="Garamond"/>
          <w:bCs/>
          <w:sz w:val="24"/>
          <w:szCs w:val="24"/>
        </w:rPr>
        <w:t>energy savings potentially should be beneficial whenever the financial benefits surpass the lost investment opportunities</w:t>
      </w:r>
      <w:r w:rsidR="00F83BC2" w:rsidRPr="00055865">
        <w:rPr>
          <w:rFonts w:ascii="Garamond" w:eastAsia="TimesNewRomanPSMT" w:hAnsi="Garamond"/>
          <w:bCs/>
          <w:sz w:val="24"/>
          <w:szCs w:val="24"/>
        </w:rPr>
        <w:t xml:space="preserve"> (</w:t>
      </w:r>
      <w:r w:rsidR="00F83BC2" w:rsidRPr="00055865">
        <w:rPr>
          <w:rFonts w:ascii="Garamond" w:eastAsia="TimesNewRomanPSMT" w:hAnsi="Garamond"/>
          <w:bCs/>
          <w:sz w:val="24"/>
          <w:szCs w:val="24"/>
        </w:rPr>
        <w:fldChar w:fldCharType="begin" w:fldLock="1"/>
      </w:r>
      <w:r w:rsidR="00281223" w:rsidRPr="00055865">
        <w:rPr>
          <w:rFonts w:ascii="Garamond" w:eastAsia="TimesNewRomanPSMT" w:hAnsi="Garamond"/>
          <w:bCs/>
          <w:sz w:val="24"/>
          <w:szCs w:val="24"/>
        </w:rPr>
        <w:instrText>ADDIN CSL_CITATION {"citationItems":[{"id":"ITEM-1","itemData":{"DOI":"10.1108/JCRE-12-2012-0031","ISSN":"14791048","abstract":"Purpose: The purpose of this paper is to investigate the effect of energy consumption on the financial performance of German residential buildings in a large panel framework. The authors provide evidence that energy efficiency in the residential sector is a relevant factor affecting both tenant investment decisions and consequently the performance of investor portfolios. Design/methodology/approach: Based on the IPD Database and information from the German statistical office, the authors create portfolios of buildings across several energy consumption levels in order to describe the energy pricing mechanism in the context of total return and rent price. Furthermore, the authors apply conditional and unconditional regressions over the period of 2008 and 2010, to accurately quantify the energy price premium in the German residential market. Findings: The descriptive portfolio results show that energy-efficient buildings yield an up to 3.15 percent higher return and 0.76 /m2 higher rent than inefficient buildings. Furthermore, the regression results indicate that a one percent decline in energy consumption affects the total return of buildings positively by +0.015 percent. The hedonic results additionally show that one percent energy conservation boosts rent prices by +0.08 percent and market value by +0.45 percent, ceteris paribus. Originality/value: Overall, the study presents an alternative methodology for describing and estimating hedonic datasets and offers some initial empirical evidence on the energy price premium in German residential markets. The paper contributes to prior European studies regarding the use and implications of energy performance certificates and confirms their significant impact on residential housing performance variables. © Emerald Group Publishing Limited.","author":[{"dropping-particle":"","family":"Cajias","given":"Marcelo","non-dropping-particle":"","parse-names":false,"suffix":""},{"dropping-particle":"","family":"Piazolo","given":"Daniel","non-dropping-particle":"","parse-names":false,"suffix":""}],"container-title":"Journal of Corporate Real Estate","id":"ITEM-1","issued":{"date-parts":[["2013"]]},"title":"Green performs better: Energy efficiency and financial return on buildings","type":"article-journal"},"uris":["http://www.mendeley.com/documents/?uuid=c8ada6f0-3c35-4639-8293-a95f624630fb"]}],"mendeley":{"formattedCitation":"(Cajias &amp; Piazolo, 2013)","manualFormatting":"Cajias &amp; Piazolo, 2013)","plainTextFormattedCitation":"(Cajias &amp; Piazolo, 2013)","previouslyFormattedCitation":"(Cajias &amp; Piazolo, 2013)"},"properties":{"noteIndex":0},"schema":"https://github.com/citation-style-language/schema/raw/master/csl-citation.json"}</w:instrText>
      </w:r>
      <w:r w:rsidR="00F83BC2" w:rsidRPr="00055865">
        <w:rPr>
          <w:rFonts w:ascii="Garamond" w:eastAsia="TimesNewRomanPSMT" w:hAnsi="Garamond"/>
          <w:bCs/>
          <w:sz w:val="24"/>
          <w:szCs w:val="24"/>
        </w:rPr>
        <w:fldChar w:fldCharType="separate"/>
      </w:r>
      <w:r w:rsidR="00F83BC2" w:rsidRPr="00055865">
        <w:rPr>
          <w:rFonts w:ascii="Garamond" w:eastAsia="TimesNewRomanPSMT" w:hAnsi="Garamond"/>
          <w:bCs/>
          <w:noProof/>
          <w:sz w:val="24"/>
          <w:szCs w:val="24"/>
        </w:rPr>
        <w:t>Cajias &amp; Piazolo, 2013)</w:t>
      </w:r>
      <w:r w:rsidR="00F83BC2" w:rsidRPr="00055865">
        <w:rPr>
          <w:rFonts w:ascii="Garamond" w:eastAsia="TimesNewRomanPSMT" w:hAnsi="Garamond"/>
          <w:bCs/>
          <w:sz w:val="24"/>
          <w:szCs w:val="24"/>
        </w:rPr>
        <w:fldChar w:fldCharType="end"/>
      </w:r>
      <w:r w:rsidR="002857D5" w:rsidRPr="00055865">
        <w:rPr>
          <w:rFonts w:ascii="Garamond" w:eastAsia="TimesNewRomanPSMT" w:hAnsi="Garamond"/>
          <w:bCs/>
          <w:sz w:val="24"/>
          <w:szCs w:val="24"/>
        </w:rPr>
        <w:t>.</w:t>
      </w:r>
    </w:p>
    <w:p w14:paraId="46743026" w14:textId="7A2C3F82" w:rsidR="00D22F69" w:rsidRPr="00055865" w:rsidRDefault="0081411B" w:rsidP="005B6FD7">
      <w:pPr>
        <w:tabs>
          <w:tab w:val="left" w:pos="2550"/>
        </w:tabs>
        <w:spacing w:after="0" w:line="480" w:lineRule="auto"/>
        <w:contextualSpacing/>
        <w:jc w:val="both"/>
        <w:rPr>
          <w:rFonts w:ascii="Garamond" w:eastAsia="TimesNewRomanPSMT" w:hAnsi="Garamond"/>
          <w:bCs/>
          <w:sz w:val="24"/>
          <w:szCs w:val="24"/>
        </w:rPr>
      </w:pPr>
      <w:r>
        <w:rPr>
          <w:rFonts w:ascii="Garamond" w:eastAsia="TimesNewRomanPSMT" w:hAnsi="Garamond"/>
          <w:bCs/>
          <w:sz w:val="24"/>
          <w:szCs w:val="24"/>
        </w:rPr>
        <w:lastRenderedPageBreak/>
        <w:t xml:space="preserve">                Similarly,</w:t>
      </w:r>
      <w:r w:rsidR="0019632A" w:rsidRPr="00055865">
        <w:rPr>
          <w:rFonts w:ascii="Garamond" w:eastAsia="TimesNewRomanPSMT" w:hAnsi="Garamond"/>
          <w:bCs/>
          <w:sz w:val="24"/>
          <w:szCs w:val="24"/>
        </w:rPr>
        <w:t xml:space="preserve"> organisations that pride themselves</w:t>
      </w:r>
      <w:r w:rsidR="0019632A" w:rsidRPr="00055865">
        <w:rPr>
          <w:rFonts w:ascii="Garamond" w:eastAsia="TimesNewRomanPSMT" w:hAnsi="Garamond"/>
          <w:sz w:val="24"/>
          <w:szCs w:val="24"/>
        </w:rPr>
        <w:t xml:space="preserve"> with energy</w:t>
      </w:r>
      <w:r w:rsidR="00DB6768" w:rsidRPr="00055865">
        <w:rPr>
          <w:rFonts w:ascii="Garamond" w:eastAsia="TimesNewRomanPSMT" w:hAnsi="Garamond"/>
          <w:sz w:val="24"/>
          <w:szCs w:val="24"/>
        </w:rPr>
        <w:t>-</w:t>
      </w:r>
      <w:r w:rsidR="0019632A" w:rsidRPr="00055865">
        <w:rPr>
          <w:rFonts w:ascii="Garamond" w:eastAsia="TimesNewRomanPSMT" w:hAnsi="Garamond"/>
          <w:sz w:val="24"/>
          <w:szCs w:val="24"/>
        </w:rPr>
        <w:t>efficient products attract customers and improve</w:t>
      </w:r>
      <w:r w:rsidR="004637A1" w:rsidRPr="00055865">
        <w:rPr>
          <w:rFonts w:ascii="Garamond" w:eastAsia="TimesNewRomanPSMT" w:hAnsi="Garamond"/>
          <w:sz w:val="24"/>
          <w:szCs w:val="24"/>
        </w:rPr>
        <w:t xml:space="preserve"> financial performance</w:t>
      </w:r>
      <w:r w:rsidR="0019632A" w:rsidRPr="00055865">
        <w:rPr>
          <w:rFonts w:ascii="Garamond" w:eastAsia="TimesNewRomanPSMT" w:hAnsi="Garamond"/>
          <w:sz w:val="24"/>
          <w:szCs w:val="24"/>
        </w:rPr>
        <w:t xml:space="preserve">   </w:t>
      </w:r>
      <w:r w:rsidR="0019632A" w:rsidRPr="00055865">
        <w:rPr>
          <w:rFonts w:ascii="Garamond" w:eastAsia="TimesNewRomanPSMT" w:hAnsi="Garamond"/>
          <w:sz w:val="24"/>
          <w:szCs w:val="24"/>
        </w:rPr>
        <w:fldChar w:fldCharType="begin" w:fldLock="1"/>
      </w:r>
      <w:r w:rsidR="00122D52" w:rsidRPr="00055865">
        <w:rPr>
          <w:rFonts w:ascii="Garamond" w:eastAsia="TimesNewRomanPSMT" w:hAnsi="Garamond"/>
          <w:sz w:val="24"/>
          <w:szCs w:val="24"/>
        </w:rPr>
        <w:instrText>ADDIN CSL_CITATION {"citationItems":[{"id":"ITEM-1","itemData":{"DOI":"10.1108/JCRE-12-2012-0031","ISSN":"14791048","abstract":"Purpose: The purpose of this paper is to investigate the effect of energy consumption on the financial performance of German residential buildings in a large panel framework. The authors provide evidence that energy efficiency in the residential sector is a relevant factor affecting both tenant investment decisions and consequently the performance of investor portfolios. Design/methodology/approach: Based on the IPD Database and information from the German statistical office, the authors create portfolios of buildings across several energy consumption levels in order to describe the energy pricing mechanism in the context of total return and rent price. Furthermore, the authors apply conditional and unconditional regressions over the period of 2008 and 2010, to accurately quantify the energy price premium in the German residential market. Findings: The descriptive portfolio results show that energy-efficient buildings yield an up to 3.15 percent higher return and 0.76 /m2 higher rent than inefficient buildings. Furthermore, the regression results indicate that a one percent decline in energy consumption affects the total return of buildings positively by +0.015 percent. The hedonic results additionally show that one percent energy conservation boosts rent prices by +0.08 percent and market value by +0.45 percent, ceteris paribus. Originality/value: Overall, the study presents an alternative methodology for describing and estimating hedonic datasets and offers some initial empirical evidence on the energy price premium in German residential markets. The paper contributes to prior European studies regarding the use and implications of energy performance certificates and confirms their significant impact on residential housing performance variables. © Emerald Group Publishing Limited.","author":[{"dropping-particle":"","family":"Cajias","given":"Marcelo","non-dropping-particle":"","parse-names":false,"suffix":""},{"dropping-particle":"","family":"Piazolo","given":"Daniel","non-dropping-particle":"","parse-names":false,"suffix":""}],"container-title":"Journal of Corporate Real Estate","id":"ITEM-1","issued":{"date-parts":[["2013"]]},"title":"Green performs better: Energy efficiency and financial return on buildings","type":"article-journal"},"uris":["http://www.mendeley.com/documents/?uuid=c8ada6f0-3c35-4639-8293-a95f624630fb"]}],"mendeley":{"formattedCitation":"(Cajias &amp; Piazolo, 2013)","manualFormatting":"(Cajias &amp; Piazolo, 2013)","plainTextFormattedCitation":"(Cajias &amp; Piazolo, 2013)","previouslyFormattedCitation":"(Cajias &amp; Piazolo, 2013)"},"properties":{"noteIndex":0},"schema":"https://github.com/citation-style-language/schema/raw/master/csl-citation.json"}</w:instrText>
      </w:r>
      <w:r w:rsidR="0019632A" w:rsidRPr="00055865">
        <w:rPr>
          <w:rFonts w:ascii="Garamond" w:eastAsia="TimesNewRomanPSMT" w:hAnsi="Garamond"/>
          <w:sz w:val="24"/>
          <w:szCs w:val="24"/>
        </w:rPr>
        <w:fldChar w:fldCharType="separate"/>
      </w:r>
      <w:r w:rsidR="0019632A" w:rsidRPr="00055865">
        <w:rPr>
          <w:rFonts w:ascii="Garamond" w:eastAsia="TimesNewRomanPSMT" w:hAnsi="Garamond"/>
          <w:noProof/>
          <w:sz w:val="24"/>
          <w:szCs w:val="24"/>
        </w:rPr>
        <w:t>(Cajias</w:t>
      </w:r>
      <w:r w:rsidR="00122D52" w:rsidRPr="00055865">
        <w:rPr>
          <w:rFonts w:ascii="Garamond" w:eastAsia="TimesNewRomanPSMT" w:hAnsi="Garamond"/>
          <w:noProof/>
          <w:sz w:val="24"/>
          <w:szCs w:val="24"/>
        </w:rPr>
        <w:t xml:space="preserve"> &amp; </w:t>
      </w:r>
      <w:r w:rsidR="0019632A" w:rsidRPr="00055865">
        <w:rPr>
          <w:rFonts w:ascii="Garamond" w:eastAsia="TimesNewRomanPSMT" w:hAnsi="Garamond"/>
          <w:noProof/>
          <w:sz w:val="24"/>
          <w:szCs w:val="24"/>
        </w:rPr>
        <w:t>Piazolo, 2013)</w:t>
      </w:r>
      <w:r w:rsidR="0019632A" w:rsidRPr="00055865">
        <w:rPr>
          <w:rFonts w:ascii="Garamond" w:eastAsia="TimesNewRomanPSMT" w:hAnsi="Garamond"/>
          <w:sz w:val="24"/>
          <w:szCs w:val="24"/>
        </w:rPr>
        <w:fldChar w:fldCharType="end"/>
      </w:r>
      <w:r w:rsidR="0019632A" w:rsidRPr="00055865">
        <w:rPr>
          <w:rFonts w:ascii="Garamond" w:eastAsia="TimesNewRomanPSMT" w:hAnsi="Garamond"/>
          <w:sz w:val="24"/>
          <w:szCs w:val="24"/>
        </w:rPr>
        <w:t xml:space="preserve">. Research carried out </w:t>
      </w:r>
      <w:r w:rsidR="00122D52" w:rsidRPr="00055865">
        <w:rPr>
          <w:rFonts w:ascii="Garamond" w:eastAsia="TimesNewRomanPSMT" w:hAnsi="Garamond"/>
          <w:sz w:val="24"/>
          <w:szCs w:val="24"/>
        </w:rPr>
        <w:t xml:space="preserve">by </w:t>
      </w:r>
      <w:r w:rsidR="00122D52" w:rsidRPr="00055865">
        <w:rPr>
          <w:rFonts w:ascii="Garamond" w:eastAsia="TimesNewRomanPSMT" w:hAnsi="Garamond"/>
          <w:sz w:val="24"/>
          <w:szCs w:val="24"/>
        </w:rPr>
        <w:fldChar w:fldCharType="begin" w:fldLock="1"/>
      </w:r>
      <w:r w:rsidR="005F6E37" w:rsidRPr="00055865">
        <w:rPr>
          <w:rFonts w:ascii="Garamond" w:eastAsia="TimesNewRomanPSMT" w:hAnsi="Garamond"/>
          <w:sz w:val="24"/>
          <w:szCs w:val="24"/>
        </w:rPr>
        <w:instrText>ADDIN CSL_CITATION {"citationItems":[{"id":"ITEM-1","itemData":{"author":[{"dropping-particle":"","family":"US Department of Energy","given":"","non-dropping-particle":"","parse-names":false,"suffix":""}],"id":"ITEM-1","issued":{"date-parts":[["2015"]]},"publisher":"Waypoint Building Group","title":"Energy Efficiency and Financial Performance: A Review in the Markets","type":"article"},"uris":["http://www.mendeley.com/documents/?uuid=08b48534-35b9-450b-a3e0-47bbb1e4cc7c"]}],"mendeley":{"formattedCitation":"(US Department of Energy, 2015)","manualFormatting":"US Department of Energy (2015)","plainTextFormattedCitation":"(US Department of Energy, 2015)","previouslyFormattedCitation":"(US Department of Energy, 2015)"},"properties":{"noteIndex":0},"schema":"https://github.com/citation-style-language/schema/raw/master/csl-citation.json"}</w:instrText>
      </w:r>
      <w:r w:rsidR="00122D52" w:rsidRPr="00055865">
        <w:rPr>
          <w:rFonts w:ascii="Garamond" w:eastAsia="TimesNewRomanPSMT" w:hAnsi="Garamond"/>
          <w:sz w:val="24"/>
          <w:szCs w:val="24"/>
        </w:rPr>
        <w:fldChar w:fldCharType="separate"/>
      </w:r>
      <w:r w:rsidR="00122D52" w:rsidRPr="00055865">
        <w:rPr>
          <w:rFonts w:ascii="Garamond" w:eastAsia="TimesNewRomanPSMT" w:hAnsi="Garamond"/>
          <w:noProof/>
          <w:sz w:val="24"/>
          <w:szCs w:val="24"/>
        </w:rPr>
        <w:t>US Department of Energy (2015)</w:t>
      </w:r>
      <w:r w:rsidR="00122D52" w:rsidRPr="00055865">
        <w:rPr>
          <w:rFonts w:ascii="Garamond" w:eastAsia="TimesNewRomanPSMT" w:hAnsi="Garamond"/>
          <w:sz w:val="24"/>
          <w:szCs w:val="24"/>
        </w:rPr>
        <w:fldChar w:fldCharType="end"/>
      </w:r>
      <w:r w:rsidR="00122D52" w:rsidRPr="00055865">
        <w:rPr>
          <w:rFonts w:ascii="Garamond" w:eastAsia="TimesNewRomanPSMT" w:hAnsi="Garamond"/>
          <w:sz w:val="24"/>
          <w:szCs w:val="24"/>
        </w:rPr>
        <w:t xml:space="preserve"> </w:t>
      </w:r>
      <w:r w:rsidR="0019632A" w:rsidRPr="00055865">
        <w:rPr>
          <w:rFonts w:ascii="Garamond" w:eastAsia="TimesNewRomanPSMT" w:hAnsi="Garamond"/>
          <w:sz w:val="24"/>
          <w:szCs w:val="24"/>
        </w:rPr>
        <w:t>on a sample of buildings nationwide indicate</w:t>
      </w:r>
      <w:r w:rsidR="00F83BC2" w:rsidRPr="00055865">
        <w:rPr>
          <w:rFonts w:ascii="Garamond" w:eastAsia="TimesNewRomanPSMT" w:hAnsi="Garamond"/>
          <w:sz w:val="24"/>
          <w:szCs w:val="24"/>
        </w:rPr>
        <w:t>d</w:t>
      </w:r>
      <w:r w:rsidR="0019632A" w:rsidRPr="00055865">
        <w:rPr>
          <w:rFonts w:ascii="Garamond" w:eastAsia="TimesNewRomanPSMT" w:hAnsi="Garamond"/>
          <w:sz w:val="24"/>
          <w:szCs w:val="24"/>
        </w:rPr>
        <w:t xml:space="preserve"> that buildings with LEED and energy star certifications have higher rental rates, higher occupancy rate, lower utility bills, increased sales prices and lower construction premiums.</w:t>
      </w:r>
      <w:r w:rsidR="0019632A" w:rsidRPr="00055865">
        <w:rPr>
          <w:rFonts w:ascii="Garamond" w:eastAsia="TimesNewRomanPSMT" w:hAnsi="Garamond"/>
          <w:bCs/>
          <w:sz w:val="24"/>
          <w:szCs w:val="24"/>
        </w:rPr>
        <w:t xml:space="preserve"> </w:t>
      </w:r>
      <w:r w:rsidR="0028668E">
        <w:rPr>
          <w:rFonts w:ascii="Garamond" w:eastAsia="TimesNewRomanPSMT" w:hAnsi="Garamond"/>
          <w:sz w:val="24"/>
          <w:szCs w:val="24"/>
        </w:rPr>
        <w:t>As explained</w:t>
      </w:r>
      <w:r w:rsidR="0019632A" w:rsidRPr="00055865">
        <w:rPr>
          <w:rFonts w:ascii="Garamond" w:eastAsia="TimesNewRomanPSMT" w:hAnsi="Garamond"/>
          <w:sz w:val="24"/>
          <w:szCs w:val="24"/>
        </w:rPr>
        <w:t xml:space="preserve"> by </w:t>
      </w:r>
      <w:r w:rsidR="005F6E37" w:rsidRPr="00055865">
        <w:rPr>
          <w:rFonts w:ascii="Garamond" w:eastAsia="TimesNewRomanPSMT" w:hAnsi="Garamond"/>
          <w:sz w:val="24"/>
          <w:szCs w:val="24"/>
        </w:rPr>
        <w:fldChar w:fldCharType="begin" w:fldLock="1"/>
      </w:r>
      <w:r w:rsidR="004637A1" w:rsidRPr="00055865">
        <w:rPr>
          <w:rFonts w:ascii="Garamond" w:eastAsia="TimesNewRomanPSMT" w:hAnsi="Garamond"/>
          <w:sz w:val="24"/>
          <w:szCs w:val="24"/>
        </w:rPr>
        <w:instrText>ADDIN CSL_CITATION {"citationItems":[{"id":"ITEM-1","itemData":{"DOI":"10.1007/s40953-016-0034-7","ISSN":"02175908","abstract":"The objective of this study is to calculate total factor productivity and determine factors related to energy intensity for the pre-existing manufacturing plants in India, using data from the annual survey of industries from 2002 to 2008. We use Levinsohn and Petrin (Rev Econ Stud 70:317–342, 2003) technique to estimate total factor productivity. The results indicate that most of the industries achieved positive TFP growth except a few, and thus, within plant efficiency exists in the Indian manufacturing sector. In case of determinants of energy intensity, we found plants with higher TFP and higher output are energy efficient. Also, there exists a nonlinear relationship between energy intensity and output, which validates the productivity dilemma hypothesis for the Indian manufacturing sector.","author":[{"dropping-particle":"","family":"Sahu","given":"Santosh Kumar","non-dropping-particle":"","parse-names":false,"suffix":""},{"dropping-particle":"","family":"Sharma","given":"Himani","non-dropping-particle":"","parse-names":false,"suffix":""}],"container-title":"Journal of Quantitative Economics","id":"ITEM-1","issue":"August","issued":{"date-parts":[["2016"]]},"title":"Determinants of Energy and Co2 Emission Intensities: a Study of Manufacturing Firms in India","type":"article-journal"},"uris":["http://www.mendeley.com/documents/?uuid=a43c3588-35e4-480f-abeb-0b27a2d3c471"]}],"mendeley":{"formattedCitation":"(Sahu &amp; Sharma, 2016)","manualFormatting":"Sahu &amp; Sharma (2016)","plainTextFormattedCitation":"(Sahu &amp; Sharma, 2016)","previouslyFormattedCitation":"(Sahu &amp; Sharma, 2016)"},"properties":{"noteIndex":0},"schema":"https://github.com/citation-style-language/schema/raw/master/csl-citation.json"}</w:instrText>
      </w:r>
      <w:r w:rsidR="005F6E37" w:rsidRPr="00055865">
        <w:rPr>
          <w:rFonts w:ascii="Garamond" w:eastAsia="TimesNewRomanPSMT" w:hAnsi="Garamond"/>
          <w:sz w:val="24"/>
          <w:szCs w:val="24"/>
        </w:rPr>
        <w:fldChar w:fldCharType="separate"/>
      </w:r>
      <w:r w:rsidR="005F6E37" w:rsidRPr="00055865">
        <w:rPr>
          <w:rFonts w:ascii="Garamond" w:eastAsia="TimesNewRomanPSMT" w:hAnsi="Garamond"/>
          <w:noProof/>
          <w:sz w:val="24"/>
          <w:szCs w:val="24"/>
        </w:rPr>
        <w:t>Sahu &amp; Sharma (2016)</w:t>
      </w:r>
      <w:r w:rsidR="005F6E37" w:rsidRPr="00055865">
        <w:rPr>
          <w:rFonts w:ascii="Garamond" w:eastAsia="TimesNewRomanPSMT" w:hAnsi="Garamond"/>
          <w:sz w:val="24"/>
          <w:szCs w:val="24"/>
        </w:rPr>
        <w:fldChar w:fldCharType="end"/>
      </w:r>
      <w:r w:rsidR="00F83BC2" w:rsidRPr="00055865">
        <w:rPr>
          <w:rFonts w:ascii="Garamond" w:eastAsia="TimesNewRomanPSMT" w:hAnsi="Garamond"/>
          <w:sz w:val="24"/>
          <w:szCs w:val="24"/>
        </w:rPr>
        <w:t>,</w:t>
      </w:r>
      <w:r w:rsidR="0019632A" w:rsidRPr="00055865">
        <w:rPr>
          <w:rFonts w:ascii="Garamond" w:eastAsia="TimesNewRomanPSMT" w:hAnsi="Garamond"/>
          <w:sz w:val="24"/>
          <w:szCs w:val="24"/>
        </w:rPr>
        <w:t xml:space="preserve"> </w:t>
      </w:r>
      <w:r w:rsidR="005B6FD7">
        <w:rPr>
          <w:rFonts w:ascii="Garamond" w:eastAsia="TimesNewRomanPSMT" w:hAnsi="Garamond"/>
          <w:sz w:val="24"/>
          <w:szCs w:val="24"/>
        </w:rPr>
        <w:t xml:space="preserve">the </w:t>
      </w:r>
      <w:r w:rsidR="0019632A" w:rsidRPr="00055865">
        <w:rPr>
          <w:rFonts w:ascii="Garamond" w:eastAsia="TimesNewRomanPSMT" w:hAnsi="Garamond"/>
          <w:sz w:val="24"/>
          <w:szCs w:val="24"/>
        </w:rPr>
        <w:t>consumer's decision regarding the level of energy consumption and investment in energy</w:t>
      </w:r>
      <w:r w:rsidR="00DB6768" w:rsidRPr="00055865">
        <w:rPr>
          <w:rFonts w:ascii="Garamond" w:eastAsia="TimesNewRomanPSMT" w:hAnsi="Garamond"/>
          <w:sz w:val="24"/>
          <w:szCs w:val="24"/>
        </w:rPr>
        <w:t>-</w:t>
      </w:r>
      <w:r w:rsidR="0019632A" w:rsidRPr="00055865">
        <w:rPr>
          <w:rFonts w:ascii="Garamond" w:eastAsia="TimesNewRomanPSMT" w:hAnsi="Garamond"/>
          <w:sz w:val="24"/>
          <w:szCs w:val="24"/>
        </w:rPr>
        <w:t>saving technology is largely influenced by the energy market and its prices. In situations where there is a persistent increase in energy prices, it significantly affect</w:t>
      </w:r>
      <w:r w:rsidR="00DB6768" w:rsidRPr="00055865">
        <w:rPr>
          <w:rFonts w:ascii="Garamond" w:eastAsia="TimesNewRomanPSMT" w:hAnsi="Garamond"/>
          <w:sz w:val="24"/>
          <w:szCs w:val="24"/>
        </w:rPr>
        <w:t>s</w:t>
      </w:r>
      <w:r w:rsidR="0019632A" w:rsidRPr="00055865">
        <w:rPr>
          <w:rFonts w:ascii="Garamond" w:eastAsia="TimesNewRomanPSMT" w:hAnsi="Garamond"/>
          <w:sz w:val="24"/>
          <w:szCs w:val="24"/>
        </w:rPr>
        <w:t xml:space="preserve"> energy efficiency practices of firms as firms are likely to replace old equipment and develop new efficient energy products and services. </w:t>
      </w:r>
      <w:r w:rsidR="005F6E37" w:rsidRPr="00055865">
        <w:rPr>
          <w:rFonts w:ascii="Garamond" w:eastAsia="TimesNewRomanPSMT" w:hAnsi="Garamond"/>
          <w:sz w:val="24"/>
          <w:szCs w:val="24"/>
        </w:rPr>
        <w:fldChar w:fldCharType="begin" w:fldLock="1"/>
      </w:r>
      <w:r w:rsidR="00870DE5" w:rsidRPr="00055865">
        <w:rPr>
          <w:rFonts w:ascii="Garamond" w:eastAsia="TimesNewRomanPSMT" w:hAnsi="Garamond"/>
          <w:sz w:val="24"/>
          <w:szCs w:val="24"/>
        </w:rPr>
        <w:instrText>ADDIN CSL_CITATION {"citationItems":[{"id":"ITEM-1","itemData":{"DOI":"10.1016/S0140-9883(01)00083-4","ISBN":"0140-9883","ISSN":"01409883","abstract":"Promoting investments in energy-saving technologies is an important means for achieving environmental goals. Empirical evidence on success conditions of associated policies, however, is scarce. Based on a survey among Dutch firms, this paper sets out to identify the factors that determine the investment behaviour of firms, their attitude towards various types of energy policy, and their responsiveness to changes in environmental policy in the Netherlands. On the basis of discrete choice models, this paper aims to investigate empirically, whether (and how) these strategic features vary over firm characteristics and over sectors. © 2001 Elsevier Science B.V. All rights reserved.","author":[{"dropping-particle":"","family":"Groot","given":"Henri L.F.","non-dropping-particle":"De","parse-names":false,"suffix":""},{"dropping-particle":"","family":"Verhoef","given":"Erik T.","non-dropping-particle":"","parse-names":false,"suffix":""},{"dropping-particle":"","family":"Nijkamp","given":"Peter","non-dropping-particle":"","parse-names":false,"suffix":""}],"container-title":"Energy Economics","id":"ITEM-1","issue":"6","issued":{"date-parts":[["2001"]]},"page":"717-740","title":"Energy saving by firms: Decision-making, barriers and policies","type":"article-journal","volume":"23"},"uris":["http://www.mendeley.com/documents/?uuid=c76819f2-5c54-43ac-8a35-46b00e7bd847"]}],"mendeley":{"formattedCitation":"(De Groot, Verhoef, &amp; Nijkamp, 2001)","manualFormatting":"De Groot, Verhoef, &amp; Nijkamp (2001)","plainTextFormattedCitation":"(De Groot, Verhoef, &amp; Nijkamp, 2001)","previouslyFormattedCitation":"(De Groot, Verhoef, &amp; Nijkamp, 2001)"},"properties":{"noteIndex":0},"schema":"https://github.com/citation-style-language/schema/raw/master/csl-citation.json"}</w:instrText>
      </w:r>
      <w:r w:rsidR="005F6E37" w:rsidRPr="00055865">
        <w:rPr>
          <w:rFonts w:ascii="Garamond" w:eastAsia="TimesNewRomanPSMT" w:hAnsi="Garamond"/>
          <w:sz w:val="24"/>
          <w:szCs w:val="24"/>
        </w:rPr>
        <w:fldChar w:fldCharType="separate"/>
      </w:r>
      <w:r w:rsidR="005F6E37" w:rsidRPr="00055865">
        <w:rPr>
          <w:rFonts w:ascii="Garamond" w:eastAsia="TimesNewRomanPSMT" w:hAnsi="Garamond"/>
          <w:noProof/>
          <w:sz w:val="24"/>
          <w:szCs w:val="24"/>
        </w:rPr>
        <w:t>De Groot, Verhoef, &amp; Nijkamp (2001)</w:t>
      </w:r>
      <w:r w:rsidR="005F6E37" w:rsidRPr="00055865">
        <w:rPr>
          <w:rFonts w:ascii="Garamond" w:eastAsia="TimesNewRomanPSMT" w:hAnsi="Garamond"/>
          <w:sz w:val="24"/>
          <w:szCs w:val="24"/>
        </w:rPr>
        <w:fldChar w:fldCharType="end"/>
      </w:r>
      <w:r w:rsidR="005F6E37" w:rsidRPr="00055865">
        <w:rPr>
          <w:rFonts w:ascii="Garamond" w:eastAsia="TimesNewRomanPSMT" w:hAnsi="Garamond"/>
          <w:sz w:val="24"/>
          <w:szCs w:val="24"/>
        </w:rPr>
        <w:t xml:space="preserve"> </w:t>
      </w:r>
      <w:r w:rsidR="0019632A" w:rsidRPr="00055865">
        <w:rPr>
          <w:rFonts w:ascii="Garamond" w:eastAsia="TimesNewRomanPSMT" w:hAnsi="Garamond"/>
          <w:sz w:val="24"/>
          <w:szCs w:val="24"/>
        </w:rPr>
        <w:t>a</w:t>
      </w:r>
      <w:r w:rsidR="0028668E">
        <w:rPr>
          <w:rFonts w:ascii="Garamond" w:eastAsia="TimesNewRomanPSMT" w:hAnsi="Garamond"/>
          <w:sz w:val="24"/>
          <w:szCs w:val="24"/>
        </w:rPr>
        <w:t>lso highlighted the cost</w:t>
      </w:r>
      <w:r w:rsidR="005B6FD7">
        <w:rPr>
          <w:rFonts w:ascii="Garamond" w:eastAsia="TimesNewRomanPSMT" w:hAnsi="Garamond"/>
          <w:sz w:val="24"/>
          <w:szCs w:val="24"/>
        </w:rPr>
        <w:t>-</w:t>
      </w:r>
      <w:r w:rsidR="0028668E">
        <w:rPr>
          <w:rFonts w:ascii="Garamond" w:eastAsia="TimesNewRomanPSMT" w:hAnsi="Garamond"/>
          <w:sz w:val="24"/>
          <w:szCs w:val="24"/>
        </w:rPr>
        <w:t>saving</w:t>
      </w:r>
      <w:r w:rsidR="0019632A" w:rsidRPr="00055865">
        <w:rPr>
          <w:rFonts w:ascii="Garamond" w:eastAsia="TimesNewRomanPSMT" w:hAnsi="Garamond"/>
          <w:sz w:val="24"/>
          <w:szCs w:val="24"/>
        </w:rPr>
        <w:t xml:space="preserve"> that could be achieved by decreased energy us</w:t>
      </w:r>
      <w:r w:rsidR="00F83BC2" w:rsidRPr="00055865">
        <w:rPr>
          <w:rFonts w:ascii="Garamond" w:eastAsia="TimesNewRomanPSMT" w:hAnsi="Garamond"/>
          <w:sz w:val="24"/>
          <w:szCs w:val="24"/>
        </w:rPr>
        <w:t>age</w:t>
      </w:r>
      <w:r w:rsidR="0019632A" w:rsidRPr="00055865">
        <w:rPr>
          <w:rFonts w:ascii="Garamond" w:eastAsia="TimesNewRomanPSMT" w:hAnsi="Garamond"/>
          <w:sz w:val="24"/>
          <w:szCs w:val="24"/>
        </w:rPr>
        <w:t xml:space="preserve"> and adoption of efficient energy policies. Based on the evidence from Indian firms, </w:t>
      </w:r>
      <w:r w:rsidR="0019632A" w:rsidRPr="00055865">
        <w:rPr>
          <w:rFonts w:ascii="Garamond" w:eastAsia="TimesNewRomanPSMT" w:hAnsi="Garamond"/>
          <w:sz w:val="24"/>
          <w:szCs w:val="24"/>
        </w:rPr>
        <w:fldChar w:fldCharType="begin" w:fldLock="1"/>
      </w:r>
      <w:r w:rsidR="00870DE5" w:rsidRPr="00055865">
        <w:rPr>
          <w:rFonts w:ascii="Garamond" w:eastAsia="TimesNewRomanPSMT" w:hAnsi="Garamond"/>
          <w:sz w:val="24"/>
          <w:szCs w:val="24"/>
        </w:rPr>
        <w:instrText>ADDIN CSL_CITATION {"citationItems":[{"id":"ITEM-1","itemData":{"DOI":"10.1007/s40953-016-0034-7","ISSN":"02175908","abstract":"The objective of this study is to calculate total factor productivity and determine factors related to energy intensity for the pre-existing manufacturing plants in India, using data from the annual survey of industries from 2002 to 2008. We use Levinsohn and Petrin (Rev Econ Stud 70:317–342, 2003) technique to estimate total factor productivity. The results indicate that most of the industries achieved positive TFP growth except a few, and thus, within plant efficiency exists in the Indian manufacturing sector. In case of determinants of energy intensity, we found plants with higher TFP and higher output are energy efficient. Also, there exists a nonlinear relationship between energy intensity and output, which validates the productivity dilemma hypothesis for the Indian manufacturing sector.","author":[{"dropping-particle":"","family":"Sahu","given":"Santosh Kumar","non-dropping-particle":"","parse-names":false,"suffix":""},{"dropping-particle":"","family":"Sharma","given":"Himani","non-dropping-particle":"","parse-names":false,"suffix":""}],"container-title":"Journal of Quantitative Economics","id":"ITEM-1","issue":"August","issued":{"date-parts":[["2016"]]},"title":"Determinants of Energy and Co2 Emission Intensities: a Study of Manufacturing Firms in India","type":"article-journal"},"uris":["http://www.mendeley.com/documents/?uuid=a43c3588-35e4-480f-abeb-0b27a2d3c471"]}],"mendeley":{"formattedCitation":"(Sahu &amp; Sharma, 2016)","manualFormatting":"Sahu  &amp; Sharma (2016)","plainTextFormattedCitation":"(Sahu &amp; Sharma, 2016)","previouslyFormattedCitation":"(Sahu &amp; Sharma, 2016)"},"properties":{"noteIndex":0},"schema":"https://github.com/citation-style-language/schema/raw/master/csl-citation.json"}</w:instrText>
      </w:r>
      <w:r w:rsidR="0019632A" w:rsidRPr="00055865">
        <w:rPr>
          <w:rFonts w:ascii="Garamond" w:eastAsia="TimesNewRomanPSMT" w:hAnsi="Garamond"/>
          <w:sz w:val="24"/>
          <w:szCs w:val="24"/>
        </w:rPr>
        <w:fldChar w:fldCharType="separate"/>
      </w:r>
      <w:r w:rsidR="0019632A" w:rsidRPr="00055865">
        <w:rPr>
          <w:rFonts w:ascii="Garamond" w:eastAsia="TimesNewRomanPSMT" w:hAnsi="Garamond"/>
          <w:noProof/>
          <w:sz w:val="24"/>
          <w:szCs w:val="24"/>
        </w:rPr>
        <w:t xml:space="preserve">Sahu  </w:t>
      </w:r>
      <w:r w:rsidR="004637A1" w:rsidRPr="00055865">
        <w:rPr>
          <w:rFonts w:ascii="Garamond" w:eastAsia="TimesNewRomanPSMT" w:hAnsi="Garamond"/>
          <w:noProof/>
          <w:sz w:val="24"/>
          <w:szCs w:val="24"/>
        </w:rPr>
        <w:t xml:space="preserve">&amp; </w:t>
      </w:r>
      <w:r w:rsidR="0019632A" w:rsidRPr="00055865">
        <w:rPr>
          <w:rFonts w:ascii="Garamond" w:eastAsia="TimesNewRomanPSMT" w:hAnsi="Garamond"/>
          <w:noProof/>
          <w:sz w:val="24"/>
          <w:szCs w:val="24"/>
        </w:rPr>
        <w:t>Sharma (2016)</w:t>
      </w:r>
      <w:r w:rsidR="0019632A" w:rsidRPr="00055865">
        <w:rPr>
          <w:rFonts w:ascii="Garamond" w:eastAsia="TimesNewRomanPSMT" w:hAnsi="Garamond"/>
          <w:sz w:val="24"/>
          <w:szCs w:val="24"/>
        </w:rPr>
        <w:fldChar w:fldCharType="end"/>
      </w:r>
      <w:r w:rsidR="0019632A" w:rsidRPr="00055865">
        <w:rPr>
          <w:rFonts w:ascii="Garamond" w:eastAsia="TimesNewRomanPSMT" w:hAnsi="Garamond"/>
          <w:sz w:val="24"/>
          <w:szCs w:val="24"/>
        </w:rPr>
        <w:t xml:space="preserve"> found that energy intensity is positively correlated with financial performance</w:t>
      </w:r>
      <w:r w:rsidR="00102044" w:rsidRPr="00055865">
        <w:rPr>
          <w:rFonts w:ascii="Garamond" w:eastAsia="TimesNewRomanPSMT" w:hAnsi="Garamond"/>
          <w:sz w:val="24"/>
          <w:szCs w:val="24"/>
        </w:rPr>
        <w:t xml:space="preserve">. </w:t>
      </w:r>
      <w:r w:rsidR="0028668E">
        <w:rPr>
          <w:rFonts w:ascii="Garamond" w:eastAsia="TimesNewRomanPSMT" w:hAnsi="Garamond"/>
          <w:bCs/>
          <w:sz w:val="24"/>
          <w:szCs w:val="24"/>
        </w:rPr>
        <w:t xml:space="preserve">Many studies have also found that SMEs </w:t>
      </w:r>
      <w:r w:rsidR="00FD55C9" w:rsidRPr="00055865">
        <w:rPr>
          <w:rFonts w:ascii="Garamond" w:eastAsia="TimesNewRomanPSMT" w:hAnsi="Garamond"/>
          <w:bCs/>
          <w:sz w:val="24"/>
          <w:szCs w:val="24"/>
        </w:rPr>
        <w:t xml:space="preserve">can reduce their energy costs by 40% by following recommended maintenance practices such as changing filters, cleaning and sealing ducts as well as cleaning coils </w:t>
      </w:r>
      <w:r w:rsidR="00FD55C9" w:rsidRPr="00055865">
        <w:rPr>
          <w:rFonts w:ascii="Garamond" w:eastAsia="TimesNewRomanPSMT" w:hAnsi="Garamond"/>
          <w:bCs/>
          <w:sz w:val="24"/>
          <w:szCs w:val="24"/>
        </w:rPr>
        <w:fldChar w:fldCharType="begin" w:fldLock="1"/>
      </w:r>
      <w:r w:rsidR="00FD55C9" w:rsidRPr="00055865">
        <w:rPr>
          <w:rFonts w:ascii="Garamond" w:eastAsia="TimesNewRomanPSMT" w:hAnsi="Garamond"/>
          <w:bCs/>
          <w:sz w:val="24"/>
          <w:szCs w:val="24"/>
        </w:rPr>
        <w:instrText>ADDIN CSL_CITATION {"citationItems":[{"id":"ITEM-1","itemData":{"author":[{"dropping-particle":"","family":"Robinson","given":"Amy","non-dropping-particle":"","parse-names":false,"suffix":""}],"id":"ITEM-1","issued":{"date-parts":[["0"]]},"title":"SMALL- AND MEDIUM-SIZED BUSINESS ENVIRONMENTAL ROAD MAP in collaboration with","type":"article-journal"},"uris":["http://www.mendeley.com/documents/?uuid=069d8d2c-e00c-496c-bc91-a5c70a5acb32"]}],"mendeley":{"formattedCitation":"(Robinson, n.d.)","manualFormatting":"(Strandberg &amp; Robinson, 2009n.d.)","plainTextFormattedCitation":"(Robinson, n.d.)"},"properties":{"noteIndex":0},"schema":"https://github.com/citation-style-language/schema/raw/master/csl-citation.json"}</w:instrText>
      </w:r>
      <w:r w:rsidR="00FD55C9" w:rsidRPr="00055865">
        <w:rPr>
          <w:rFonts w:ascii="Garamond" w:eastAsia="TimesNewRomanPSMT" w:hAnsi="Garamond"/>
          <w:bCs/>
          <w:sz w:val="24"/>
          <w:szCs w:val="24"/>
        </w:rPr>
        <w:fldChar w:fldCharType="separate"/>
      </w:r>
      <w:r w:rsidR="00FD55C9" w:rsidRPr="00055865">
        <w:rPr>
          <w:rFonts w:ascii="Garamond" w:eastAsia="TimesNewRomanPSMT" w:hAnsi="Garamond"/>
          <w:bCs/>
          <w:noProof/>
          <w:sz w:val="24"/>
          <w:szCs w:val="24"/>
        </w:rPr>
        <w:t>(Strandberg &amp; Robinson, 2009)</w:t>
      </w:r>
      <w:r w:rsidR="00FD55C9" w:rsidRPr="00055865">
        <w:rPr>
          <w:rFonts w:ascii="Garamond" w:eastAsia="TimesNewRomanPSMT" w:hAnsi="Garamond"/>
          <w:bCs/>
          <w:sz w:val="24"/>
          <w:szCs w:val="24"/>
        </w:rPr>
        <w:fldChar w:fldCharType="end"/>
      </w:r>
      <w:r w:rsidR="00FD55C9" w:rsidRPr="00055865">
        <w:rPr>
          <w:rFonts w:ascii="Garamond" w:eastAsia="TimesNewRomanPSMT" w:hAnsi="Garamond"/>
          <w:bCs/>
          <w:sz w:val="24"/>
          <w:szCs w:val="24"/>
        </w:rPr>
        <w:t xml:space="preserve">. </w:t>
      </w:r>
      <w:r w:rsidR="00102044" w:rsidRPr="00055865">
        <w:rPr>
          <w:rFonts w:ascii="Garamond" w:eastAsia="TimesNewRomanPSMT" w:hAnsi="Garamond"/>
          <w:bCs/>
          <w:sz w:val="24"/>
          <w:szCs w:val="24"/>
        </w:rPr>
        <w:t>Pham (2015)</w:t>
      </w:r>
      <w:r w:rsidR="005B6FD7">
        <w:rPr>
          <w:rFonts w:ascii="Garamond" w:eastAsia="TimesNewRomanPSMT" w:hAnsi="Garamond"/>
          <w:bCs/>
          <w:sz w:val="24"/>
          <w:szCs w:val="24"/>
        </w:rPr>
        <w:t>,</w:t>
      </w:r>
      <w:r w:rsidR="00102044" w:rsidRPr="00055865">
        <w:rPr>
          <w:rFonts w:ascii="Garamond" w:eastAsia="TimesNewRomanPSMT" w:hAnsi="Garamond"/>
          <w:bCs/>
          <w:sz w:val="24"/>
          <w:szCs w:val="24"/>
        </w:rPr>
        <w:t xml:space="preserve"> in contrast, documented </w:t>
      </w:r>
      <w:r w:rsidR="005B6FD7">
        <w:rPr>
          <w:rFonts w:ascii="Garamond" w:eastAsia="TimesNewRomanPSMT" w:hAnsi="Garamond"/>
          <w:bCs/>
          <w:sz w:val="24"/>
          <w:szCs w:val="24"/>
        </w:rPr>
        <w:t xml:space="preserve">a </w:t>
      </w:r>
      <w:r w:rsidR="00102044" w:rsidRPr="00055865">
        <w:rPr>
          <w:rFonts w:ascii="Garamond" w:eastAsia="TimesNewRomanPSMT" w:hAnsi="Garamond"/>
          <w:bCs/>
          <w:sz w:val="24"/>
          <w:szCs w:val="24"/>
        </w:rPr>
        <w:t>negative association between energy efficiency (ISO 50001) and financial performance for sampled listed firms</w:t>
      </w:r>
      <w:r w:rsidR="0019632A" w:rsidRPr="00055865">
        <w:rPr>
          <w:rFonts w:ascii="Garamond" w:eastAsia="TimesNewRomanPSMT" w:hAnsi="Garamond"/>
          <w:bCs/>
          <w:sz w:val="24"/>
          <w:szCs w:val="24"/>
        </w:rPr>
        <w:t xml:space="preserve">. </w:t>
      </w:r>
      <w:r w:rsidR="00102044" w:rsidRPr="00055865">
        <w:rPr>
          <w:rFonts w:ascii="Garamond" w:eastAsia="TimesNewRomanPSMT" w:hAnsi="Garamond"/>
          <w:bCs/>
          <w:sz w:val="24"/>
          <w:szCs w:val="24"/>
        </w:rPr>
        <w:t>W</w:t>
      </w:r>
      <w:r w:rsidR="007E1A03" w:rsidRPr="00055865">
        <w:rPr>
          <w:rFonts w:ascii="Garamond" w:eastAsia="TimesNewRomanPSMT" w:hAnsi="Garamond"/>
          <w:bCs/>
          <w:sz w:val="24"/>
          <w:szCs w:val="24"/>
        </w:rPr>
        <w:t xml:space="preserve">e argue that as firms pursue sustainable environmental practices such as energy efficiency practices, they attain a favourable image with various stakeholders such as customers, investors, pressure groups and other stakeholders and this should </w:t>
      </w:r>
      <w:r w:rsidR="00FD55C9" w:rsidRPr="00055865">
        <w:rPr>
          <w:rFonts w:ascii="Garamond" w:eastAsia="TimesNewRomanPSMT" w:hAnsi="Garamond"/>
          <w:bCs/>
          <w:sz w:val="24"/>
          <w:szCs w:val="24"/>
        </w:rPr>
        <w:t>significantly</w:t>
      </w:r>
      <w:r w:rsidR="007E1A03" w:rsidRPr="00055865">
        <w:rPr>
          <w:rFonts w:ascii="Garamond" w:eastAsia="TimesNewRomanPSMT" w:hAnsi="Garamond"/>
          <w:bCs/>
          <w:sz w:val="24"/>
          <w:szCs w:val="24"/>
        </w:rPr>
        <w:t xml:space="preserve"> reflect on their financial performance.</w:t>
      </w:r>
      <w:r w:rsidR="00D22F69" w:rsidRPr="00055865">
        <w:rPr>
          <w:rFonts w:ascii="Garamond" w:eastAsia="TimesNewRomanPSMT" w:hAnsi="Garamond"/>
          <w:bCs/>
          <w:sz w:val="24"/>
          <w:szCs w:val="24"/>
        </w:rPr>
        <w:t xml:space="preserve"> </w:t>
      </w:r>
    </w:p>
    <w:p w14:paraId="73B4F4D9" w14:textId="19675B93" w:rsidR="0019632A" w:rsidRPr="00055865" w:rsidRDefault="007E1A03" w:rsidP="005B6FD7">
      <w:pPr>
        <w:tabs>
          <w:tab w:val="left" w:pos="2550"/>
        </w:tabs>
        <w:spacing w:after="0" w:line="480" w:lineRule="auto"/>
        <w:contextualSpacing/>
        <w:jc w:val="both"/>
        <w:rPr>
          <w:rFonts w:ascii="Garamond" w:eastAsia="TimesNewRomanPSMT" w:hAnsi="Garamond"/>
          <w:bCs/>
          <w:sz w:val="24"/>
          <w:szCs w:val="24"/>
        </w:rPr>
      </w:pPr>
      <w:r w:rsidRPr="00055865">
        <w:rPr>
          <w:rFonts w:ascii="Garamond" w:eastAsia="TimesNewRomanPSMT" w:hAnsi="Garamond"/>
          <w:bCs/>
          <w:sz w:val="24"/>
          <w:szCs w:val="24"/>
        </w:rPr>
        <w:t>Therefore, we hypothesise that:</w:t>
      </w:r>
    </w:p>
    <w:p w14:paraId="002219D4" w14:textId="2D659528" w:rsidR="0019632A" w:rsidRPr="00055865" w:rsidRDefault="0019632A" w:rsidP="005B6FD7">
      <w:pPr>
        <w:tabs>
          <w:tab w:val="left" w:pos="2550"/>
        </w:tabs>
        <w:spacing w:after="0" w:line="480" w:lineRule="auto"/>
        <w:contextualSpacing/>
        <w:jc w:val="both"/>
        <w:rPr>
          <w:rFonts w:ascii="Garamond" w:eastAsia="TimesNewRomanPSMT" w:hAnsi="Garamond"/>
          <w:bCs/>
          <w:i/>
          <w:sz w:val="24"/>
          <w:szCs w:val="24"/>
        </w:rPr>
      </w:pPr>
      <w:r w:rsidRPr="00055865">
        <w:rPr>
          <w:rFonts w:ascii="Garamond" w:eastAsia="TimesNewRomanPSMT" w:hAnsi="Garamond"/>
          <w:i/>
          <w:sz w:val="24"/>
          <w:szCs w:val="24"/>
        </w:rPr>
        <w:t>H1: There is a significant relationship between energy efficiency practices and financial performance.</w:t>
      </w:r>
    </w:p>
    <w:p w14:paraId="586A705F" w14:textId="0CC0BE85" w:rsidR="00B533D3" w:rsidRPr="00055865" w:rsidRDefault="00B533D3" w:rsidP="005B6FD7">
      <w:pPr>
        <w:tabs>
          <w:tab w:val="left" w:pos="2550"/>
        </w:tabs>
        <w:spacing w:after="0" w:line="480" w:lineRule="auto"/>
        <w:contextualSpacing/>
        <w:jc w:val="both"/>
        <w:rPr>
          <w:rFonts w:ascii="Garamond" w:eastAsia="TimesNewRomanPSMT" w:hAnsi="Garamond"/>
          <w:sz w:val="24"/>
          <w:szCs w:val="24"/>
        </w:rPr>
      </w:pPr>
    </w:p>
    <w:p w14:paraId="53E6B88E" w14:textId="2D30C41C" w:rsidR="00EA5530" w:rsidRPr="00055865" w:rsidRDefault="00207416" w:rsidP="005B6FD7">
      <w:pPr>
        <w:tabs>
          <w:tab w:val="left" w:pos="2550"/>
        </w:tabs>
        <w:spacing w:after="0" w:line="480" w:lineRule="auto"/>
        <w:contextualSpacing/>
        <w:jc w:val="both"/>
        <w:rPr>
          <w:rFonts w:ascii="Garamond" w:eastAsia="TimesNewRomanPSMT" w:hAnsi="Garamond"/>
          <w:b/>
          <w:i/>
          <w:sz w:val="24"/>
          <w:szCs w:val="24"/>
        </w:rPr>
      </w:pPr>
      <w:r w:rsidRPr="00055865">
        <w:rPr>
          <w:rFonts w:ascii="Garamond" w:eastAsia="TimesNewRomanPSMT" w:hAnsi="Garamond"/>
          <w:b/>
          <w:bCs/>
          <w:i/>
          <w:sz w:val="24"/>
          <w:szCs w:val="24"/>
        </w:rPr>
        <w:t>2</w:t>
      </w:r>
      <w:r w:rsidR="00EA5530" w:rsidRPr="00055865">
        <w:rPr>
          <w:rFonts w:ascii="Garamond" w:eastAsia="TimesNewRomanPSMT" w:hAnsi="Garamond"/>
          <w:b/>
          <w:bCs/>
          <w:i/>
          <w:sz w:val="24"/>
          <w:szCs w:val="24"/>
        </w:rPr>
        <w:t>.</w:t>
      </w:r>
      <w:r w:rsidR="00EC4911" w:rsidRPr="00055865">
        <w:rPr>
          <w:rFonts w:ascii="Garamond" w:eastAsia="TimesNewRomanPSMT" w:hAnsi="Garamond"/>
          <w:b/>
          <w:bCs/>
          <w:i/>
          <w:sz w:val="24"/>
          <w:szCs w:val="24"/>
        </w:rPr>
        <w:t>2</w:t>
      </w:r>
      <w:r w:rsidRPr="00055865">
        <w:rPr>
          <w:rFonts w:ascii="Garamond" w:eastAsia="TimesNewRomanPSMT" w:hAnsi="Garamond"/>
          <w:b/>
          <w:bCs/>
          <w:i/>
          <w:sz w:val="24"/>
          <w:szCs w:val="24"/>
        </w:rPr>
        <w:t>.2</w:t>
      </w:r>
      <w:r w:rsidR="00EA5530" w:rsidRPr="00055865">
        <w:rPr>
          <w:rFonts w:ascii="Garamond" w:eastAsia="TimesNewRomanPSMT" w:hAnsi="Garamond"/>
          <w:b/>
          <w:bCs/>
          <w:i/>
          <w:sz w:val="24"/>
          <w:szCs w:val="24"/>
        </w:rPr>
        <w:t xml:space="preserve">   </w:t>
      </w:r>
      <w:r w:rsidR="00EA5530" w:rsidRPr="00055865">
        <w:rPr>
          <w:rFonts w:ascii="Garamond" w:eastAsia="TimesNewRomanPSMT" w:hAnsi="Garamond"/>
          <w:b/>
          <w:i/>
          <w:sz w:val="24"/>
          <w:szCs w:val="24"/>
        </w:rPr>
        <w:t xml:space="preserve">Environmental Regulations/Compliance and Financial Performance </w:t>
      </w:r>
    </w:p>
    <w:p w14:paraId="06D06A91" w14:textId="0E8D590A" w:rsidR="005E5579" w:rsidRPr="00055865" w:rsidRDefault="00EA5530"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 </w:t>
      </w:r>
      <w:r w:rsidR="00794068" w:rsidRPr="00055865">
        <w:rPr>
          <w:rFonts w:ascii="Garamond" w:eastAsia="TimesNewRomanPSMT" w:hAnsi="Garamond"/>
          <w:sz w:val="24"/>
          <w:szCs w:val="24"/>
        </w:rPr>
        <w:t xml:space="preserve">            </w:t>
      </w:r>
      <w:r w:rsidR="00B61558" w:rsidRPr="00055865">
        <w:rPr>
          <w:rFonts w:ascii="Garamond" w:eastAsia="TimesNewRomanPSMT" w:hAnsi="Garamond"/>
          <w:sz w:val="24"/>
          <w:szCs w:val="24"/>
        </w:rPr>
        <w:t>Available evidence</w:t>
      </w:r>
      <w:r w:rsidR="00794068" w:rsidRPr="00055865">
        <w:rPr>
          <w:rFonts w:ascii="Garamond" w:eastAsia="TimesNewRomanPSMT" w:hAnsi="Garamond"/>
          <w:sz w:val="24"/>
          <w:szCs w:val="24"/>
        </w:rPr>
        <w:t xml:space="preserve"> </w:t>
      </w:r>
      <w:r w:rsidR="00B61558" w:rsidRPr="00055865">
        <w:rPr>
          <w:rFonts w:ascii="Garamond" w:eastAsia="TimesNewRomanPSMT" w:hAnsi="Garamond"/>
          <w:sz w:val="24"/>
          <w:szCs w:val="24"/>
        </w:rPr>
        <w:t>indicates</w:t>
      </w:r>
      <w:r w:rsidRPr="00055865">
        <w:rPr>
          <w:rFonts w:ascii="Garamond" w:eastAsia="TimesNewRomanPSMT" w:hAnsi="Garamond"/>
          <w:sz w:val="24"/>
          <w:szCs w:val="24"/>
        </w:rPr>
        <w:t xml:space="preserve"> that innovative environmental regulations could be beneficial to organisations when they invest in management systems that reduce accidental environmental </w:t>
      </w:r>
      <w:r w:rsidRPr="00055865">
        <w:rPr>
          <w:rFonts w:ascii="Garamond" w:eastAsia="TimesNewRomanPSMT" w:hAnsi="Garamond"/>
          <w:sz w:val="24"/>
          <w:szCs w:val="24"/>
        </w:rPr>
        <w:lastRenderedPageBreak/>
        <w:t>releases and liability</w:t>
      </w:r>
      <w:r w:rsidR="00794068" w:rsidRPr="00055865">
        <w:rPr>
          <w:rFonts w:ascii="Garamond" w:eastAsia="TimesNewRomanPSMT" w:hAnsi="Garamond"/>
          <w:sz w:val="24"/>
          <w:szCs w:val="24"/>
        </w:rPr>
        <w:t xml:space="preserve"> </w:t>
      </w:r>
      <w:r w:rsidR="00794068" w:rsidRPr="00055865">
        <w:rPr>
          <w:rFonts w:ascii="Garamond" w:eastAsia="TimesNewRomanPSMT" w:hAnsi="Garamond"/>
          <w:sz w:val="24"/>
          <w:szCs w:val="24"/>
        </w:rPr>
        <w:fldChar w:fldCharType="begin" w:fldLock="1"/>
      </w:r>
      <w:r w:rsidR="00217D30" w:rsidRPr="00055865">
        <w:rPr>
          <w:rFonts w:ascii="Garamond" w:eastAsia="TimesNewRomanPSMT" w:hAnsi="Garamond"/>
          <w:sz w:val="24"/>
          <w:szCs w:val="24"/>
        </w:rPr>
        <w:instrText>ADDIN CSL_CITATION {"citationItems":[{"id":"ITEM-1","itemData":{"DOI":"10.1016/S1366-5545(99)00034-4","ISBN":"1366-5545","ISSN":"13665545","abstract":"Much debate has occurred in the extant literature as to whether socially responsible actions undertaken by firms result in improved financial performance. One key dimension of social responsibility is environmental initiatives and programs. While the purchasing function can create value and significantly affect the environmental actions of a firm and its upstream supply chain, no research to date has explored the effect of environmental purchasing on firm performance. Our research provides an initial examination of this relationship. We combine survey and archival data to show that environmental purchasing is significantly related to both net income and cost of goods sold, after controlling for firm size, leverage, and primary earnings per share. (C) 2000 Elsevier Science Ltd. All rights reserved.","author":[{"dropping-particle":"","family":"Carter","given":"Craig R.","non-dropping-particle":"","parse-names":false,"suffix":""},{"dropping-particle":"","family":"Kale","given":"Rahul","non-dropping-particle":"","parse-names":false,"suffix":""},{"dropping-particle":"","family":"Grimm","given":"Curtis M.","non-dropping-particle":"","parse-names":false,"suffix":""}],"container-title":"Transportation Research Part E: Logistics and Transportation Review","id":"ITEM-1","issue":"3","issued":{"date-parts":[["2000"]]},"page":"219-228","title":"Environmental purchasing and firm performance: An empirical investigation","type":"article-journal","volume":"36"},"uris":["http://www.mendeley.com/documents/?uuid=78537446-e7c8-4cea-9e7f-b3ebde90c1e8"]}],"mendeley":{"formattedCitation":"(Carter et al., 2000)","plainTextFormattedCitation":"(Carter et al., 2000)","previouslyFormattedCitation":"(Carter et al., 2000)"},"properties":{"noteIndex":0},"schema":"https://github.com/citation-style-language/schema/raw/master/csl-citation.json"}</w:instrText>
      </w:r>
      <w:r w:rsidR="00794068" w:rsidRPr="00055865">
        <w:rPr>
          <w:rFonts w:ascii="Garamond" w:eastAsia="TimesNewRomanPSMT" w:hAnsi="Garamond"/>
          <w:sz w:val="24"/>
          <w:szCs w:val="24"/>
        </w:rPr>
        <w:fldChar w:fldCharType="separate"/>
      </w:r>
      <w:r w:rsidR="00281223" w:rsidRPr="00055865">
        <w:rPr>
          <w:rFonts w:ascii="Garamond" w:eastAsia="TimesNewRomanPSMT" w:hAnsi="Garamond"/>
          <w:noProof/>
          <w:sz w:val="24"/>
          <w:szCs w:val="24"/>
        </w:rPr>
        <w:t>(Carter et al., 2000)</w:t>
      </w:r>
      <w:r w:rsidR="00794068" w:rsidRPr="00055865">
        <w:rPr>
          <w:rFonts w:ascii="Garamond" w:eastAsia="TimesNewRomanPSMT" w:hAnsi="Garamond"/>
          <w:sz w:val="24"/>
          <w:szCs w:val="24"/>
        </w:rPr>
        <w:fldChar w:fldCharType="end"/>
      </w:r>
      <w:r w:rsidRPr="00055865">
        <w:rPr>
          <w:rFonts w:ascii="Garamond" w:eastAsia="TimesNewRomanPSMT" w:hAnsi="Garamond"/>
          <w:sz w:val="24"/>
          <w:szCs w:val="24"/>
        </w:rPr>
        <w:t>. Carter et al. (2000) assert that proactive management of environmental regulations may create barriers which provide first-mover advantages difficult to imitate by competitors.</w:t>
      </w:r>
      <w:r w:rsidR="00B61558" w:rsidRPr="00055865">
        <w:rPr>
          <w:rFonts w:ascii="Garamond" w:eastAsia="TimesNewRomanPSMT" w:hAnsi="Garamond"/>
          <w:sz w:val="24"/>
          <w:szCs w:val="24"/>
        </w:rPr>
        <w:t xml:space="preserve"> Drawing on</w:t>
      </w:r>
      <w:r w:rsidRPr="00055865">
        <w:rPr>
          <w:rFonts w:ascii="Garamond" w:eastAsia="TimesNewRomanPSMT" w:hAnsi="Garamond"/>
          <w:sz w:val="24"/>
          <w:szCs w:val="24"/>
        </w:rPr>
        <w:t xml:space="preserve"> ISO 14001 or IRRC compliance index as a proxy of environmental performance</w:t>
      </w:r>
      <w:r w:rsidR="00653176">
        <w:rPr>
          <w:rFonts w:ascii="Garamond" w:eastAsia="TimesNewRomanPSMT" w:hAnsi="Garamond"/>
          <w:sz w:val="24"/>
          <w:szCs w:val="24"/>
        </w:rPr>
        <w:t xml:space="preserve"> </w:t>
      </w:r>
      <w:r w:rsidR="005F6E37" w:rsidRPr="00055865">
        <w:rPr>
          <w:rFonts w:ascii="Garamond" w:eastAsia="TimesNewRomanPSMT" w:hAnsi="Garamond"/>
          <w:sz w:val="24"/>
          <w:szCs w:val="24"/>
        </w:rPr>
        <w:fldChar w:fldCharType="begin" w:fldLock="1"/>
      </w:r>
      <w:r w:rsidR="00217D30" w:rsidRPr="00055865">
        <w:rPr>
          <w:rFonts w:ascii="Garamond" w:eastAsia="TimesNewRomanPSMT" w:hAnsi="Garamond"/>
          <w:sz w:val="24"/>
          <w:szCs w:val="24"/>
        </w:rPr>
        <w:instrText>ADDIN CSL_CITATION {"citationItems":[{"id":"ITEM-1","itemData":{"DOI":"10.1162/00346530151143815","ISBN":"00346535","ISSN":"0034-6535","PMID":"7754995","abstract":"Previous studies that attempt to relate environmental to financial performance have often led to conflicting results due to small samples and subjective environmental performance criteria. We report on a study that relates the market value of firms in the S&amp;P 500 to objective measures of their environmental performance. After controlling for variables traditionally thought to explain firm-level financial performance, we find that bad environmental performance is negatively correlated with the intangible asset value of firms. The average ‘intangible liability’ for firms in our sample is $380 million—approximately 9% of the replacement value of tangible assets. We conclude that legally emitted toxic chemicals have a significant effect on the intangible asset value of publicly traded companies. A 10% reduction in emissions of toxic chemicals results in a $34 million increase in market value. The magnitude of these effects varies across industries, with larger losses accruing to the traditionally polluting in...","author":[{"dropping-particle":"","family":"Konar","given":"Shameek","non-dropping-particle":"","parse-names":false,"suffix":""},{"dropping-particle":"","family":"Cohen","given":"Mark A.","non-dropping-particle":"","parse-names":false,"suffix":""}],"container-title":"Review of Economics and Statistics","id":"ITEM-1","issue":"2","issued":{"date-parts":[["2001"]]},"page":"281-289","title":"Does the Market Value Environmental Performance?","type":"article-journal","volume":"83"},"uris":["http://www.mendeley.com/documents/?uuid=55bf1acf-6681-428a-881e-d773cfcd22e2"]},{"id":"ITEM-2","itemData":{"author":[{"dropping-particle":"","family":"Aiyub","given":"Kadaruddin","non-dropping-particle":"","parse-names":false,"suffix":""},{"dropping-particle":"","family":"Arifin","given":"KAdir","non-dropping-particle":"","parse-names":false,"suffix":""},{"dropping-particle":"","family":"Awang","given":"Azahan","non-dropping-particle":"","parse-names":false,"suffix":""},{"dropping-particle":"","family":"Jahi","given":"Jamaludin","non-dropping-particle":"","parse-names":false,"suffix":""}],"id":"ITEM-2","issued":{"date-parts":[["2009"]]},"title":"environmental performance in SMEs certified to ISO14001 in the UK.pdf","type":"article"},"uris":["http://www.mendeley.com/documents/?uuid=be026efd-b1e3-4fec-b445-181f7d1e758c"]},{"id":"ITEM-3","itemData":{"author":[{"dropping-particle":"","family":"Hillary","given":"Ruth","non-dropping-particle":"","parse-names":false,"suffix":""},{"dropping-particle":"","family":"Burr","given":"Paul","non-dropping-particle":"","parse-names":false,"suffix":""}],"container-title":"Final Report to the Department for Environment, Food and Rural Affairs","id":"ITEM-3","issue":"September","issued":{"date-parts":[["2011"]]},"page":"1-145","title":"Evidence-based Study into the Benefits of EMSs for SMEs (EV0440).","type":"article-journal"},"uris":["http://www.mendeley.com/documents/?uuid=6d5666c8-ea22-4348-abb9-c16cf066d06e"]}],"mendeley":{"formattedCitation":"(Aiyub et al., 2009; Hillary &amp; Burr, 2011; Konar &amp; Cohen, 2001)","plainTextFormattedCitation":"(Aiyub et al., 2009; Hillary &amp; Burr, 2011; Konar &amp; Cohen, 2001)","previouslyFormattedCitation":"(Aiyub et al., 2009; Hillary &amp; Burr, 2011; Konar &amp; Cohen, 2001)"},"properties":{"noteIndex":0},"schema":"https://github.com/citation-style-language/schema/raw/master/csl-citation.json"}</w:instrText>
      </w:r>
      <w:r w:rsidR="005F6E37" w:rsidRPr="00055865">
        <w:rPr>
          <w:rFonts w:ascii="Garamond" w:eastAsia="TimesNewRomanPSMT" w:hAnsi="Garamond"/>
          <w:sz w:val="24"/>
          <w:szCs w:val="24"/>
        </w:rPr>
        <w:fldChar w:fldCharType="separate"/>
      </w:r>
      <w:r w:rsidR="00281223" w:rsidRPr="00055865">
        <w:rPr>
          <w:rFonts w:ascii="Garamond" w:eastAsia="TimesNewRomanPSMT" w:hAnsi="Garamond"/>
          <w:noProof/>
          <w:sz w:val="24"/>
          <w:szCs w:val="24"/>
        </w:rPr>
        <w:t>(Aiyub et al., 2009; Hillary &amp; Burr, 2011; Konar &amp; Cohen, 2001)</w:t>
      </w:r>
      <w:r w:rsidR="005F6E37" w:rsidRPr="00055865">
        <w:rPr>
          <w:rFonts w:ascii="Garamond" w:eastAsia="TimesNewRomanPSMT" w:hAnsi="Garamond"/>
          <w:sz w:val="24"/>
          <w:szCs w:val="24"/>
        </w:rPr>
        <w:fldChar w:fldCharType="end"/>
      </w:r>
      <w:r w:rsidR="00B61558" w:rsidRPr="00055865">
        <w:rPr>
          <w:rFonts w:ascii="Garamond" w:eastAsia="TimesNewRomanPSMT" w:hAnsi="Garamond"/>
          <w:sz w:val="24"/>
          <w:szCs w:val="24"/>
        </w:rPr>
        <w:t xml:space="preserve"> observed </w:t>
      </w:r>
      <w:r w:rsidR="005B6FD7">
        <w:rPr>
          <w:rFonts w:ascii="Garamond" w:eastAsia="TimesNewRomanPSMT" w:hAnsi="Garamond"/>
          <w:sz w:val="24"/>
          <w:szCs w:val="24"/>
        </w:rPr>
        <w:t>a</w:t>
      </w:r>
      <w:r w:rsidRPr="00055865">
        <w:rPr>
          <w:rFonts w:ascii="Garamond" w:eastAsia="TimesNewRomanPSMT" w:hAnsi="Garamond"/>
          <w:sz w:val="24"/>
          <w:szCs w:val="24"/>
        </w:rPr>
        <w:t xml:space="preserve"> significant positive relationship between environmental practices and financial performance </w:t>
      </w:r>
      <w:r w:rsidR="00B61558" w:rsidRPr="00055865">
        <w:rPr>
          <w:rFonts w:ascii="Garamond" w:eastAsia="TimesNewRomanPSMT" w:hAnsi="Garamond"/>
          <w:sz w:val="24"/>
          <w:szCs w:val="24"/>
        </w:rPr>
        <w:t>of fi</w:t>
      </w:r>
      <w:r w:rsidR="008F0F38" w:rsidRPr="00055865">
        <w:rPr>
          <w:rFonts w:ascii="Garamond" w:eastAsia="TimesNewRomanPSMT" w:hAnsi="Garamond"/>
          <w:sz w:val="24"/>
          <w:szCs w:val="24"/>
        </w:rPr>
        <w:t>r</w:t>
      </w:r>
      <w:r w:rsidR="00B61558" w:rsidRPr="00055865">
        <w:rPr>
          <w:rFonts w:ascii="Garamond" w:eastAsia="TimesNewRomanPSMT" w:hAnsi="Garamond"/>
          <w:sz w:val="24"/>
          <w:szCs w:val="24"/>
        </w:rPr>
        <w:t>ms</w:t>
      </w:r>
      <w:r w:rsidRPr="00055865">
        <w:rPr>
          <w:rFonts w:ascii="Garamond" w:eastAsia="TimesNewRomanPSMT" w:hAnsi="Garamond"/>
          <w:sz w:val="24"/>
          <w:szCs w:val="24"/>
        </w:rPr>
        <w:t xml:space="preserve">. </w:t>
      </w:r>
    </w:p>
    <w:p w14:paraId="1240E72D" w14:textId="7CD6253B" w:rsidR="00E32A47" w:rsidRPr="00055865" w:rsidRDefault="005E5579"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               </w:t>
      </w:r>
      <w:r w:rsidR="008F0F38" w:rsidRPr="00055865">
        <w:rPr>
          <w:rFonts w:ascii="Garamond" w:eastAsia="TimesNewRomanPSMT" w:hAnsi="Garamond"/>
          <w:sz w:val="24"/>
          <w:szCs w:val="24"/>
        </w:rPr>
        <w:t xml:space="preserve">Extant literature suggests that </w:t>
      </w:r>
      <w:r w:rsidR="0067125D" w:rsidRPr="00055865">
        <w:rPr>
          <w:rFonts w:ascii="Garamond" w:eastAsia="TimesNewRomanPSMT" w:hAnsi="Garamond"/>
          <w:sz w:val="24"/>
          <w:szCs w:val="24"/>
        </w:rPr>
        <w:t>where</w:t>
      </w:r>
      <w:r w:rsidRPr="00055865">
        <w:rPr>
          <w:rFonts w:ascii="Garamond" w:eastAsia="TimesNewRomanPSMT" w:hAnsi="Garamond"/>
          <w:sz w:val="24"/>
          <w:szCs w:val="24"/>
        </w:rPr>
        <w:t xml:space="preserve"> firms</w:t>
      </w:r>
      <w:r w:rsidR="005F6E37" w:rsidRPr="00055865">
        <w:rPr>
          <w:rFonts w:ascii="Garamond" w:eastAsia="TimesNewRomanPSMT" w:hAnsi="Garamond"/>
          <w:sz w:val="24"/>
          <w:szCs w:val="24"/>
        </w:rPr>
        <w:t xml:space="preserve"> </w:t>
      </w:r>
      <w:r w:rsidRPr="00055865">
        <w:rPr>
          <w:rFonts w:ascii="Garamond" w:eastAsia="TimesNewRomanPSMT" w:hAnsi="Garamond"/>
          <w:sz w:val="24"/>
          <w:szCs w:val="24"/>
        </w:rPr>
        <w:t>fail to properly communicate with stakeholders like environmental regulators who ha</w:t>
      </w:r>
      <w:r w:rsidR="005F6E37" w:rsidRPr="00055865">
        <w:rPr>
          <w:rFonts w:ascii="Garamond" w:eastAsia="TimesNewRomanPSMT" w:hAnsi="Garamond"/>
          <w:sz w:val="24"/>
          <w:szCs w:val="24"/>
        </w:rPr>
        <w:t>ve</w:t>
      </w:r>
      <w:r w:rsidRPr="00055865">
        <w:rPr>
          <w:rFonts w:ascii="Garamond" w:eastAsia="TimesNewRomanPSMT" w:hAnsi="Garamond"/>
          <w:sz w:val="24"/>
          <w:szCs w:val="24"/>
        </w:rPr>
        <w:t xml:space="preserve"> the authority to create environmental standards and inspect firm’s compliance, they risk incurring non-compliance penalties </w:t>
      </w:r>
      <w:r w:rsidRPr="00055865">
        <w:rPr>
          <w:rFonts w:ascii="Garamond" w:eastAsia="TimesNewRomanPSMT" w:hAnsi="Garamond"/>
          <w:sz w:val="24"/>
          <w:szCs w:val="24"/>
        </w:rPr>
        <w:fldChar w:fldCharType="begin" w:fldLock="1"/>
      </w:r>
      <w:r w:rsidR="007122D5" w:rsidRPr="00055865">
        <w:rPr>
          <w:rFonts w:ascii="Garamond" w:eastAsia="TimesNewRomanPSMT" w:hAnsi="Garamond"/>
          <w:sz w:val="24"/>
          <w:szCs w:val="24"/>
        </w:rPr>
        <w:instrText>ADDIN CSL_CITATION {"citationItems":[{"id":"ITEM-1","itemData":{"DOI":"10.1111/j.1467-6486.2009.00873.x","ISSN":"14676486","abstract":"While smaller firms are less likely to undertake as many environmental practices as larger firms, extant literature suggests that smaller firms may be more responsive to stakeholder pressures. This paper contributes to the development of stakeholder theory by deriving a size moderated stakeholder model and applying it to a firm's adoption of proactive environmental practices. The empirical results show that smaller firms are more responsive to value-chain, internal, and regulatory stakeholder pressures. These findings suggest that researchers evaluating organizations and the natural environment should be cautious about associating stakeholder pressures directly with firms' environmental strategies. Rather, the relationship between stakeholder pressures and environmental strategy tends to vary with size. © Blackwell Publishing Ltd 2009.","author":[{"dropping-particle":"","family":"Darnall","given":"Nicole","non-dropping-particle":"","parse-names":false,"suffix":""},{"dropping-particle":"","family":"Henriques","given":"Irene","non-dropping-particle":"","parse-names":false,"suffix":""},{"dropping-particle":"","family":"Sadorsky","given":"Perry","non-dropping-particle":"","parse-names":false,"suffix":""}],"container-title":"Journal of Management Studies","id":"ITEM-1","issued":{"date-parts":[["2010"]]},"title":"Adopting proactive environmental strategy: The influence of stakeholders and firm size","type":"article-journal"},"uris":["http://www.mendeley.com/documents/?uuid=26510b85-df60-495e-89b2-60db7fa26037"]}],"mendeley":{"formattedCitation":"(Darnall, Henriques, &amp; Sadorsky, 2010)","plainTextFormattedCitation":"(Darnall, Henriques, &amp; Sadorsky, 2010)","previouslyFormattedCitation":"(Darnall, Henriques, &amp; Sadorsky, 2010)"},"properties":{"noteIndex":0},"schema":"https://github.com/citation-style-language/schema/raw/master/csl-citation.json"}</w:instrText>
      </w:r>
      <w:r w:rsidRPr="00055865">
        <w:rPr>
          <w:rFonts w:ascii="Garamond" w:eastAsia="TimesNewRomanPSMT" w:hAnsi="Garamond"/>
          <w:sz w:val="24"/>
          <w:szCs w:val="24"/>
        </w:rPr>
        <w:fldChar w:fldCharType="separate"/>
      </w:r>
      <w:r w:rsidR="007122D5" w:rsidRPr="00055865">
        <w:rPr>
          <w:rFonts w:ascii="Garamond" w:eastAsia="TimesNewRomanPSMT" w:hAnsi="Garamond"/>
          <w:noProof/>
          <w:sz w:val="24"/>
          <w:szCs w:val="24"/>
        </w:rPr>
        <w:t>(Darnall, Henriques, &amp; Sadorsky, 2010)</w:t>
      </w:r>
      <w:r w:rsidRPr="00055865">
        <w:rPr>
          <w:rFonts w:ascii="Garamond" w:eastAsia="TimesNewRomanPSMT" w:hAnsi="Garamond"/>
          <w:sz w:val="24"/>
          <w:szCs w:val="24"/>
        </w:rPr>
        <w:fldChar w:fldCharType="end"/>
      </w:r>
      <w:r w:rsidRPr="00055865">
        <w:rPr>
          <w:rFonts w:ascii="Garamond" w:eastAsia="TimesNewRomanPSMT" w:hAnsi="Garamond"/>
          <w:sz w:val="24"/>
          <w:szCs w:val="24"/>
        </w:rPr>
        <w:t>. Apart from the direct negative impact which financial penalties have on the bottom-line, it may also damage the reputation of the company, reduce the demand of the firm’s products and services by environmental</w:t>
      </w:r>
      <w:r w:rsidR="00DB6768" w:rsidRPr="00055865">
        <w:rPr>
          <w:rFonts w:ascii="Garamond" w:eastAsia="TimesNewRomanPSMT" w:hAnsi="Garamond"/>
          <w:sz w:val="24"/>
          <w:szCs w:val="24"/>
        </w:rPr>
        <w:t>ly</w:t>
      </w:r>
      <w:r w:rsidRPr="00055865">
        <w:rPr>
          <w:rFonts w:ascii="Garamond" w:eastAsia="TimesNewRomanPSMT" w:hAnsi="Garamond"/>
          <w:sz w:val="24"/>
          <w:szCs w:val="24"/>
        </w:rPr>
        <w:t xml:space="preserve"> conscious </w:t>
      </w:r>
      <w:r w:rsidR="00850BDE" w:rsidRPr="00055865">
        <w:rPr>
          <w:rFonts w:ascii="Garamond" w:eastAsia="TimesNewRomanPSMT" w:hAnsi="Garamond"/>
          <w:sz w:val="24"/>
          <w:szCs w:val="24"/>
        </w:rPr>
        <w:t>customers</w:t>
      </w:r>
      <w:r w:rsidR="00653176">
        <w:rPr>
          <w:rFonts w:ascii="Garamond" w:eastAsia="TimesNewRomanPSMT" w:hAnsi="Garamond"/>
          <w:sz w:val="24"/>
          <w:szCs w:val="24"/>
        </w:rPr>
        <w:t>,</w:t>
      </w:r>
      <w:r w:rsidR="00850BDE" w:rsidRPr="00055865">
        <w:rPr>
          <w:rFonts w:ascii="Garamond" w:eastAsia="TimesNewRomanPSMT" w:hAnsi="Garamond"/>
          <w:sz w:val="24"/>
          <w:szCs w:val="24"/>
        </w:rPr>
        <w:t xml:space="preserve"> and impact on financial performance negatively.</w:t>
      </w:r>
    </w:p>
    <w:p w14:paraId="762529D6" w14:textId="0E2FDF0B" w:rsidR="00850BDE" w:rsidRPr="00055865" w:rsidRDefault="007F1686"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Further</w:t>
      </w:r>
      <w:r w:rsidR="00850BDE" w:rsidRPr="00055865">
        <w:rPr>
          <w:rFonts w:ascii="Garamond" w:eastAsia="TimesNewRomanPSMT" w:hAnsi="Garamond"/>
          <w:sz w:val="24"/>
          <w:szCs w:val="24"/>
        </w:rPr>
        <w:t>, where sustainable environmental practices focus on waste reduction and emission from existing operations</w:t>
      </w:r>
      <w:r w:rsidR="00DB6768" w:rsidRPr="00055865">
        <w:rPr>
          <w:rFonts w:ascii="Garamond" w:eastAsia="TimesNewRomanPSMT" w:hAnsi="Garamond"/>
          <w:sz w:val="24"/>
          <w:szCs w:val="24"/>
        </w:rPr>
        <w:t>,</w:t>
      </w:r>
      <w:r w:rsidR="00850BDE" w:rsidRPr="00055865">
        <w:rPr>
          <w:rFonts w:ascii="Garamond" w:eastAsia="TimesNewRomanPSMT" w:hAnsi="Garamond"/>
          <w:sz w:val="24"/>
          <w:szCs w:val="24"/>
        </w:rPr>
        <w:t xml:space="preserve"> it results in </w:t>
      </w:r>
      <w:r w:rsidR="00DB6768" w:rsidRPr="00055865">
        <w:rPr>
          <w:rFonts w:ascii="Garamond" w:eastAsia="TimesNewRomanPSMT" w:hAnsi="Garamond"/>
          <w:sz w:val="24"/>
          <w:szCs w:val="24"/>
        </w:rPr>
        <w:t>a</w:t>
      </w:r>
      <w:r w:rsidR="00850BDE" w:rsidRPr="00055865">
        <w:rPr>
          <w:rFonts w:ascii="Garamond" w:eastAsia="TimesNewRomanPSMT" w:hAnsi="Garamond"/>
          <w:sz w:val="24"/>
          <w:szCs w:val="24"/>
        </w:rPr>
        <w:t xml:space="preserve"> </w:t>
      </w:r>
      <w:r w:rsidR="00DB6768" w:rsidRPr="00055865">
        <w:rPr>
          <w:rFonts w:ascii="Garamond" w:eastAsia="TimesNewRomanPSMT" w:hAnsi="Garamond"/>
          <w:sz w:val="24"/>
          <w:szCs w:val="24"/>
        </w:rPr>
        <w:t>decrease</w:t>
      </w:r>
      <w:r w:rsidR="00850BDE" w:rsidRPr="00055865">
        <w:rPr>
          <w:rFonts w:ascii="Garamond" w:eastAsia="TimesNewRomanPSMT" w:hAnsi="Garamond"/>
          <w:sz w:val="24"/>
          <w:szCs w:val="24"/>
        </w:rPr>
        <w:t xml:space="preserve"> in regulatory costs, minimised liabilities and consequently improve</w:t>
      </w:r>
      <w:r w:rsidR="00DB6768" w:rsidRPr="00055865">
        <w:rPr>
          <w:rFonts w:ascii="Garamond" w:eastAsia="TimesNewRomanPSMT" w:hAnsi="Garamond"/>
          <w:sz w:val="24"/>
          <w:szCs w:val="24"/>
        </w:rPr>
        <w:t>s</w:t>
      </w:r>
      <w:r w:rsidR="00850BDE" w:rsidRPr="00055865">
        <w:rPr>
          <w:rFonts w:ascii="Garamond" w:eastAsia="TimesNewRomanPSMT" w:hAnsi="Garamond"/>
          <w:sz w:val="24"/>
          <w:szCs w:val="24"/>
        </w:rPr>
        <w:t xml:space="preserve"> financial performance </w:t>
      </w:r>
      <w:r w:rsidR="005F6E37" w:rsidRPr="00055865">
        <w:rPr>
          <w:rFonts w:ascii="Garamond" w:eastAsia="TimesNewRomanPSMT" w:hAnsi="Garamond"/>
          <w:sz w:val="24"/>
          <w:szCs w:val="24"/>
        </w:rPr>
        <w:t xml:space="preserve"> </w:t>
      </w:r>
      <w:r w:rsidR="005F6E37" w:rsidRPr="00055865">
        <w:rPr>
          <w:rFonts w:ascii="Garamond" w:eastAsia="TimesNewRomanPSMT" w:hAnsi="Garamond"/>
          <w:sz w:val="24"/>
          <w:szCs w:val="24"/>
        </w:rPr>
        <w:fldChar w:fldCharType="begin" w:fldLock="1"/>
      </w:r>
      <w:r w:rsidR="005F6E37" w:rsidRPr="00055865">
        <w:rPr>
          <w:rFonts w:ascii="Garamond" w:eastAsia="TimesNewRomanPSMT" w:hAnsi="Garamond"/>
          <w:sz w:val="24"/>
          <w:szCs w:val="24"/>
        </w:rPr>
        <w:instrText xml:space="preserve">ADDIN CSL_CITATION {"citationItems":[{"id":"ITEM-1","itemData":{"DOI":"10.1016/S0377-2217(00)00306-4","ISSN":"03772217","author":[{"dropping-particle":"","family":"Sarkis","given":"Joseph","non-dropping-particle":"","parse-names":false,"suffix":""},{"dropping-particle":"","family":"Cordeiro","given":"James J","non-dropping-particle":"","parse-names":false,"suffix":""}],"container-title":"European Journal of Operational Research","id":"ITEM-1","issued":{"date-parts":[["2001"]]},"page":"102-113","title":"An empirical evaluation of environmental e </w:instrText>
      </w:r>
      <w:r w:rsidR="005F6E37" w:rsidRPr="00055865">
        <w:rPr>
          <w:rFonts w:ascii="Garamond" w:eastAsia="TimesNewRomanPSMT" w:hAnsi="Garamond" w:cs="Garamond"/>
          <w:sz w:val="24"/>
          <w:szCs w:val="24"/>
        </w:rPr>
        <w:instrText></w:instrText>
      </w:r>
      <w:r w:rsidR="005F6E37" w:rsidRPr="00055865">
        <w:rPr>
          <w:rFonts w:ascii="Garamond" w:eastAsia="TimesNewRomanPSMT" w:hAnsi="Garamond"/>
          <w:sz w:val="24"/>
          <w:szCs w:val="24"/>
        </w:rPr>
        <w:instrText xml:space="preserve"> ciencies and firm performance : Pollution prevention versus end-of-pipe practice q","type":"article-journal","volume":"135"},"uris":["http://www.mendeley.com/documents/?uuid=c1b0904c-bf80-40be-ad7e-36faa13e266f"]}],"mendeley":{"formattedCitation":"(Sarkis &amp; Cordeiro, 2001)","plainTextFormattedCitation":"(Sarkis &amp; Cordeiro, 2001)","previouslyFormattedCitation":"(Sarkis &amp; Cordeiro, 2001)"},"properties":{"noteIndex":0},"schema":"https://github.com/citation-style-language/schema/raw/master/csl-citation.json"}</w:instrText>
      </w:r>
      <w:r w:rsidR="005F6E37" w:rsidRPr="00055865">
        <w:rPr>
          <w:rFonts w:ascii="Garamond" w:eastAsia="TimesNewRomanPSMT" w:hAnsi="Garamond"/>
          <w:sz w:val="24"/>
          <w:szCs w:val="24"/>
        </w:rPr>
        <w:fldChar w:fldCharType="separate"/>
      </w:r>
      <w:r w:rsidR="005F6E37" w:rsidRPr="00055865">
        <w:rPr>
          <w:rFonts w:ascii="Garamond" w:eastAsia="TimesNewRomanPSMT" w:hAnsi="Garamond"/>
          <w:noProof/>
          <w:sz w:val="24"/>
          <w:szCs w:val="24"/>
        </w:rPr>
        <w:t>(Sarkis &amp; Cordeiro, 2001)</w:t>
      </w:r>
      <w:r w:rsidR="005F6E37" w:rsidRPr="00055865">
        <w:rPr>
          <w:rFonts w:ascii="Garamond" w:eastAsia="TimesNewRomanPSMT" w:hAnsi="Garamond"/>
          <w:sz w:val="24"/>
          <w:szCs w:val="24"/>
        </w:rPr>
        <w:fldChar w:fldCharType="end"/>
      </w:r>
      <w:r w:rsidR="00850BDE" w:rsidRPr="00055865">
        <w:rPr>
          <w:rFonts w:ascii="Garamond" w:eastAsia="TimesNewRomanPSMT" w:hAnsi="Garamond"/>
          <w:sz w:val="24"/>
          <w:szCs w:val="24"/>
        </w:rPr>
        <w:t xml:space="preserve">. </w:t>
      </w:r>
      <w:r w:rsidR="005F6E37" w:rsidRPr="00055865">
        <w:rPr>
          <w:rFonts w:ascii="Garamond" w:eastAsia="TimesNewRomanPSMT" w:hAnsi="Garamond"/>
          <w:sz w:val="24"/>
          <w:szCs w:val="24"/>
        </w:rPr>
        <w:fldChar w:fldCharType="begin" w:fldLock="1"/>
      </w:r>
      <w:r w:rsidR="00A752AD" w:rsidRPr="00055865">
        <w:rPr>
          <w:rFonts w:ascii="Garamond" w:eastAsia="TimesNewRomanPSMT" w:hAnsi="Garamond"/>
          <w:sz w:val="24"/>
          <w:szCs w:val="24"/>
        </w:rPr>
        <w:instrText>ADDIN CSL_CITATION {"citationItems":[{"id":"ITEM-1","itemData":{"DOI":"10.1016/j.omega.2017.02.006","ISSN":"03050483","abstract":"Operational research models have been employed to understand development issues associated with environmental sustainability. This article describes a novel application of data envelopment analysis (DEA) to help extend a specific debate in the literature on Porter's hypothesis in environmental policy. The debate deals with the impact of flexibility of regulations on the relationship between innovation capabilities on financial performance in organisations. Using the resource based view of a firm, we hypothesise that relationship between innovation capabilities and financial performance in firms depends on how flexible or inflexible environmental regulations are. We apply DEA to capture the flexibility of environmental regulations. Our results indicate that innovation capabilities significantly influence financial performance of firms if firms feel that the environmental regulations they face are flexible and offer more freedom in meeting the requirements of regulations. On the other hand, corporations that feel that they face more inflexible regulations are not so effective in improving their financial performance with their innovation capabilities.","author":[{"dropping-particle":"","family":"Ramanathan","given":"Ramakrishnan","non-dropping-particle":"","parse-names":false,"suffix":""},{"dropping-particle":"","family":"Ramanathan","given":"Usha","non-dropping-particle":"","parse-names":false,"suffix":""},{"dropping-particle":"","family":"Bentley","given":"Yongmei","non-dropping-particle":"","parse-names":false,"suffix":""}],"container-title":"Omega (United Kingdom)","id":"ITEM-1","issued":{"date-parts":[["2018"]]},"page":"131-138","title":"The debate on flexibility of environmental regulations, innovation capabilities and financial performance – A novel use of DEA","type":"article-journal","volume":"75"},"uris":["http://www.mendeley.com/documents/?uuid=c5ca4e89-2061-4426-bb96-5751fb6ae810"]}],"mendeley":{"formattedCitation":"(Ramanathan, Ramanathan, &amp; Bentley, 2018)","manualFormatting":"Ramanathan, Ramanathan, &amp; Bentley (2018)","plainTextFormattedCitation":"(Ramanathan, Ramanathan, &amp; Bentley, 2018)","previouslyFormattedCitation":"(Ramanathan, Ramanathan, &amp; Bentley, 2018)"},"properties":{"noteIndex":0},"schema":"https://github.com/citation-style-language/schema/raw/master/csl-citation.json"}</w:instrText>
      </w:r>
      <w:r w:rsidR="005F6E37" w:rsidRPr="00055865">
        <w:rPr>
          <w:rFonts w:ascii="Garamond" w:eastAsia="TimesNewRomanPSMT" w:hAnsi="Garamond"/>
          <w:sz w:val="24"/>
          <w:szCs w:val="24"/>
        </w:rPr>
        <w:fldChar w:fldCharType="separate"/>
      </w:r>
      <w:r w:rsidR="005F6E37" w:rsidRPr="00055865">
        <w:rPr>
          <w:rFonts w:ascii="Garamond" w:eastAsia="TimesNewRomanPSMT" w:hAnsi="Garamond"/>
          <w:noProof/>
          <w:sz w:val="24"/>
          <w:szCs w:val="24"/>
        </w:rPr>
        <w:t>Ramanathan, Ramanathan, &amp; Bentley (2018)</w:t>
      </w:r>
      <w:r w:rsidR="005F6E37" w:rsidRPr="00055865">
        <w:rPr>
          <w:rFonts w:ascii="Garamond" w:eastAsia="TimesNewRomanPSMT" w:hAnsi="Garamond"/>
          <w:sz w:val="24"/>
          <w:szCs w:val="24"/>
        </w:rPr>
        <w:fldChar w:fldCharType="end"/>
      </w:r>
      <w:r w:rsidR="005F6E37" w:rsidRPr="00055865">
        <w:rPr>
          <w:rFonts w:ascii="Garamond" w:eastAsia="TimesNewRomanPSMT" w:hAnsi="Garamond"/>
          <w:sz w:val="24"/>
          <w:szCs w:val="24"/>
        </w:rPr>
        <w:t xml:space="preserve"> </w:t>
      </w:r>
      <w:r w:rsidR="00850BDE" w:rsidRPr="00055865">
        <w:rPr>
          <w:rFonts w:ascii="Garamond" w:eastAsia="TimesNewRomanPSMT" w:hAnsi="Garamond"/>
          <w:sz w:val="24"/>
          <w:szCs w:val="24"/>
        </w:rPr>
        <w:t xml:space="preserve">observed that the mechanism </w:t>
      </w:r>
      <w:r w:rsidR="00FD55C9" w:rsidRPr="00055865">
        <w:rPr>
          <w:rFonts w:ascii="Garamond" w:eastAsia="TimesNewRomanPSMT" w:hAnsi="Garamond"/>
          <w:sz w:val="24"/>
          <w:szCs w:val="24"/>
        </w:rPr>
        <w:t>through</w:t>
      </w:r>
      <w:r w:rsidR="00850BDE" w:rsidRPr="00055865">
        <w:rPr>
          <w:rFonts w:ascii="Garamond" w:eastAsia="TimesNewRomanPSMT" w:hAnsi="Garamond"/>
          <w:sz w:val="24"/>
          <w:szCs w:val="24"/>
        </w:rPr>
        <w:t xml:space="preserve"> which regulations can enhance efficiency is based on the notion that green regulations provide adequate flexibility to the firm to develop new processes and products that firms have innovative capabilities to take advantage of. </w:t>
      </w:r>
      <w:r w:rsidR="00ED155F" w:rsidRPr="00055865">
        <w:rPr>
          <w:rFonts w:ascii="Garamond" w:eastAsia="TimesNewRomanPSMT" w:hAnsi="Garamond"/>
          <w:sz w:val="24"/>
          <w:szCs w:val="24"/>
        </w:rPr>
        <w:t xml:space="preserve"> </w:t>
      </w:r>
      <w:r w:rsidR="009838A4" w:rsidRPr="00055865">
        <w:rPr>
          <w:rFonts w:ascii="Garamond" w:eastAsia="TimesNewRomanPSMT" w:hAnsi="Garamond"/>
          <w:sz w:val="24"/>
          <w:szCs w:val="24"/>
        </w:rPr>
        <w:fldChar w:fldCharType="begin" w:fldLock="1"/>
      </w:r>
      <w:r w:rsidR="00870DE5" w:rsidRPr="00055865">
        <w:rPr>
          <w:rFonts w:ascii="Garamond" w:eastAsia="TimesNewRomanPSMT" w:hAnsi="Garamond"/>
          <w:sz w:val="24"/>
          <w:szCs w:val="24"/>
        </w:rPr>
        <w:instrText>ADDIN CSL_CITATION {"citationItems":[{"id":"ITEM-1","itemData":{"DOI":"10.1257/jep.9.4.97","ISBN":"08953309","ISSN":"0895-3309","PMID":"5978921","abstract":"The relationship between environmental goals and industrial competitive- ness has normally been thought of as involving a tradeoff between social benefits and private costs. The issue was how to balance society's desire for environmental protection with the economic burden on industry. Framed this way, environmental improvement becomes a kind of arm-wrestling match. One side pushes for tougher standards; the other side tries to beat the standards back. Our central message is that the environment-competitiveness debate has been framed incorrectly. The notion of an inevitable struggle between ecology and the economy grows out of a static view of environmental regulation, in which technol- ogy, products, processes and customer needs are all fixed. In this static world, where firms have already made their cost-minimizing choices, environmental regulation inevitably raises costs and will tend to reduce the market share of domestic com- panies on global markets.","author":[{"dropping-particle":"","family":"Porter","given":"Michael E","non-dropping-particle":"","parse-names":false,"suffix":""},{"dropping-particle":"van der","family":"Linde","given":"Claas","non-dropping-particle":"","parse-names":false,"suffix":""}],"container-title":"Journal of Economic Perspectives","id":"ITEM-1","issue":"4","issued":{"date-parts":[["1995"]]},"page":"97-118","title":"Toward a New Conception of the Environment-Competitiveness Relationship","type":"article-journal","volume":"9"},"uris":["http://www.mendeley.com/documents/?uuid=f23fd9a0-c8e5-4f99-8e64-dc4ad4b58dda"]}],"mendeley":{"formattedCitation":"(Porter &amp; Linde, 1995)","manualFormatting":"Porter &amp; Linde (1995)","plainTextFormattedCitation":"(Porter &amp; Linde, 1995)","previouslyFormattedCitation":"(Porter &amp; Linde, 1995)"},"properties":{"noteIndex":0},"schema":"https://github.com/citation-style-language/schema/raw/master/csl-citation.json"}</w:instrText>
      </w:r>
      <w:r w:rsidR="009838A4" w:rsidRPr="00055865">
        <w:rPr>
          <w:rFonts w:ascii="Garamond" w:eastAsia="TimesNewRomanPSMT" w:hAnsi="Garamond"/>
          <w:sz w:val="24"/>
          <w:szCs w:val="24"/>
        </w:rPr>
        <w:fldChar w:fldCharType="separate"/>
      </w:r>
      <w:r w:rsidR="009838A4" w:rsidRPr="00055865">
        <w:rPr>
          <w:rFonts w:ascii="Garamond" w:eastAsia="TimesNewRomanPSMT" w:hAnsi="Garamond"/>
          <w:noProof/>
          <w:sz w:val="24"/>
          <w:szCs w:val="24"/>
        </w:rPr>
        <w:t>Porter &amp; Linde (1995)</w:t>
      </w:r>
      <w:r w:rsidR="009838A4" w:rsidRPr="00055865">
        <w:rPr>
          <w:rFonts w:ascii="Garamond" w:eastAsia="TimesNewRomanPSMT" w:hAnsi="Garamond"/>
          <w:sz w:val="24"/>
          <w:szCs w:val="24"/>
        </w:rPr>
        <w:fldChar w:fldCharType="end"/>
      </w:r>
      <w:r w:rsidR="00ED155F" w:rsidRPr="00055865">
        <w:rPr>
          <w:rFonts w:ascii="Garamond" w:eastAsia="TimesNewRomanPSMT" w:hAnsi="Garamond"/>
          <w:sz w:val="24"/>
          <w:szCs w:val="24"/>
        </w:rPr>
        <w:t xml:space="preserve"> </w:t>
      </w:r>
      <w:r w:rsidRPr="00055865">
        <w:rPr>
          <w:rFonts w:ascii="Garamond" w:eastAsia="TimesNewRomanPSMT" w:hAnsi="Garamond"/>
          <w:sz w:val="24"/>
          <w:szCs w:val="24"/>
        </w:rPr>
        <w:t xml:space="preserve">argue </w:t>
      </w:r>
      <w:r w:rsidR="00ED155F" w:rsidRPr="00055865">
        <w:rPr>
          <w:rFonts w:ascii="Garamond" w:eastAsia="TimesNewRomanPSMT" w:hAnsi="Garamond"/>
          <w:sz w:val="24"/>
          <w:szCs w:val="24"/>
        </w:rPr>
        <w:t xml:space="preserve">that environmental regulations can enhance efficiency through the introduction of innovative processes </w:t>
      </w:r>
      <w:r w:rsidR="00F657FE" w:rsidRPr="00055865">
        <w:rPr>
          <w:rFonts w:ascii="Garamond" w:eastAsia="TimesNewRomanPSMT" w:hAnsi="Garamond"/>
          <w:sz w:val="24"/>
          <w:szCs w:val="24"/>
        </w:rPr>
        <w:t>and consequently impact positively on</w:t>
      </w:r>
      <w:r w:rsidR="00ED155F" w:rsidRPr="00055865">
        <w:rPr>
          <w:rFonts w:ascii="Garamond" w:eastAsia="TimesNewRomanPSMT" w:hAnsi="Garamond"/>
          <w:sz w:val="24"/>
          <w:szCs w:val="24"/>
        </w:rPr>
        <w:t xml:space="preserve"> financial performance.</w:t>
      </w:r>
      <w:r w:rsidR="00870DE5" w:rsidRPr="00055865">
        <w:rPr>
          <w:rFonts w:ascii="Garamond" w:eastAsia="TimesNewRomanPSMT" w:hAnsi="Garamond"/>
          <w:sz w:val="24"/>
          <w:szCs w:val="24"/>
        </w:rPr>
        <w:t xml:space="preserve"> Studies conducted in the UK revealed that both SMEs and larger firms that adhered to environmental compliance measures (ISO 14001) obtain </w:t>
      </w:r>
      <w:r w:rsidR="005B6FD7">
        <w:rPr>
          <w:rFonts w:ascii="Garamond" w:eastAsia="TimesNewRomanPSMT" w:hAnsi="Garamond"/>
          <w:sz w:val="24"/>
          <w:szCs w:val="24"/>
        </w:rPr>
        <w:t xml:space="preserve">a </w:t>
      </w:r>
      <w:r w:rsidR="00870DE5" w:rsidRPr="00055865">
        <w:rPr>
          <w:rFonts w:ascii="Garamond" w:eastAsia="TimesNewRomanPSMT" w:hAnsi="Garamond"/>
          <w:sz w:val="24"/>
          <w:szCs w:val="24"/>
        </w:rPr>
        <w:t xml:space="preserve">positive impact on their financial performance </w:t>
      </w:r>
      <w:r w:rsidR="00870DE5" w:rsidRPr="00055865">
        <w:rPr>
          <w:rFonts w:ascii="Garamond" w:eastAsia="TimesNewRomanPSMT" w:hAnsi="Garamond"/>
          <w:sz w:val="24"/>
          <w:szCs w:val="24"/>
        </w:rPr>
        <w:fldChar w:fldCharType="begin" w:fldLock="1"/>
      </w:r>
      <w:r w:rsidR="00D22F69" w:rsidRPr="00055865">
        <w:rPr>
          <w:rFonts w:ascii="Garamond" w:eastAsia="TimesNewRomanPSMT" w:hAnsi="Garamond"/>
          <w:sz w:val="24"/>
          <w:szCs w:val="24"/>
        </w:rPr>
        <w:instrText>ADDIN CSL_CITATION {"citationItems":[{"id":"ITEM-1","itemData":{"author":[{"dropping-particle":"","family":"Aiyub","given":"Kadaruddin","non-dropping-particle":"","parse-names":false,"suffix":""},{"dropping-particle":"","family":"Arifin","given":"KAdir","non-dropping-particle":"","parse-names":false,"suffix":""},{"dropping-particle":"","family":"Awang","given":"Azahan","non-dropping-particle":"","parse-names":false,"suffix":""},{"dropping-particle":"","family":"Jahi","given":"Jamaludin","non-dropping-particle":"","parse-names":false,"suffix":""}],"id":"ITEM-1","issued":{"date-parts":[["2009"]]},"title":"environmental performance in SMEs certified to ISO14001 in the UK.pdf","type":"article"},"uris":["http://www.mendeley.com/documents/?uuid=be026efd-b1e3-4fec-b445-181f7d1e758c"]},{"id":"ITEM-2","itemData":{"author":[{"dropping-particle":"","family":"Hillary","given":"Ruth","non-dropping-particle":"","parse-names":false,"suffix":""},{"dropping-particle":"","family":"Burr","given":"Paul","non-dropping-particle":"","parse-names":false,"suffix":""}],"container-title":"Final Report to the Department for Environment, Food and Rural Affairs","id":"ITEM-2","issue":"September","issued":{"date-parts":[["2011"]]},"page":"1-145","title":"Evidence-based Study into the Benefits of EMSs for SMEs (EV0440).","type":"article-journal"},"uris":["http://www.mendeley.com/documents/?uuid=6d5666c8-ea22-4348-abb9-c16cf066d06e"]}],"mendeley":{"formattedCitation":"(Aiyub et al., 2009; Hillary &amp; Burr, 2011)","plainTextFormattedCitation":"(Aiyub et al., 2009; Hillary &amp; Burr, 2011)","previouslyFormattedCitation":"(Aiyub et al., 2009; Hillary &amp; Burr, 2011)"},"properties":{"noteIndex":0},"schema":"https://github.com/citation-style-language/schema/raw/master/csl-citation.json"}</w:instrText>
      </w:r>
      <w:r w:rsidR="00870DE5" w:rsidRPr="00055865">
        <w:rPr>
          <w:rFonts w:ascii="Garamond" w:eastAsia="TimesNewRomanPSMT" w:hAnsi="Garamond"/>
          <w:sz w:val="24"/>
          <w:szCs w:val="24"/>
        </w:rPr>
        <w:fldChar w:fldCharType="separate"/>
      </w:r>
      <w:r w:rsidR="00870DE5" w:rsidRPr="00055865">
        <w:rPr>
          <w:rFonts w:ascii="Garamond" w:eastAsia="TimesNewRomanPSMT" w:hAnsi="Garamond"/>
          <w:noProof/>
          <w:sz w:val="24"/>
          <w:szCs w:val="24"/>
        </w:rPr>
        <w:t>(Aiyub et al., 2009; Hillary &amp; Burr, 2011)</w:t>
      </w:r>
      <w:r w:rsidR="00870DE5" w:rsidRPr="00055865">
        <w:rPr>
          <w:rFonts w:ascii="Garamond" w:eastAsia="TimesNewRomanPSMT" w:hAnsi="Garamond"/>
          <w:sz w:val="24"/>
          <w:szCs w:val="24"/>
        </w:rPr>
        <w:fldChar w:fldCharType="end"/>
      </w:r>
      <w:r w:rsidR="005B6FD7">
        <w:rPr>
          <w:rFonts w:ascii="Garamond" w:eastAsia="TimesNewRomanPSMT" w:hAnsi="Garamond"/>
          <w:sz w:val="24"/>
          <w:szCs w:val="24"/>
        </w:rPr>
        <w:t>.</w:t>
      </w:r>
      <w:r w:rsidR="00870DE5" w:rsidRPr="00055865">
        <w:rPr>
          <w:rFonts w:ascii="Garamond" w:eastAsia="TimesNewRomanPSMT" w:hAnsi="Garamond"/>
          <w:sz w:val="24"/>
          <w:szCs w:val="24"/>
        </w:rPr>
        <w:t xml:space="preserve"> </w:t>
      </w:r>
      <w:r w:rsidRPr="00055865">
        <w:rPr>
          <w:rFonts w:ascii="Garamond" w:eastAsia="TimesNewRomanPSMT" w:hAnsi="Garamond"/>
          <w:sz w:val="24"/>
          <w:szCs w:val="24"/>
        </w:rPr>
        <w:t xml:space="preserve">Drawing on Porter </w:t>
      </w:r>
      <w:r w:rsidR="00A752AD" w:rsidRPr="00055865">
        <w:rPr>
          <w:rFonts w:ascii="Garamond" w:eastAsia="TimesNewRomanPSMT" w:hAnsi="Garamond"/>
          <w:sz w:val="24"/>
          <w:szCs w:val="24"/>
        </w:rPr>
        <w:t xml:space="preserve"> &amp;</w:t>
      </w:r>
      <w:r w:rsidRPr="00055865">
        <w:rPr>
          <w:rFonts w:ascii="Garamond" w:eastAsia="TimesNewRomanPSMT" w:hAnsi="Garamond"/>
          <w:sz w:val="24"/>
          <w:szCs w:val="24"/>
        </w:rPr>
        <w:t xml:space="preserve"> Linde (1995) and in agreement with the above discussions</w:t>
      </w:r>
      <w:r w:rsidR="00F657FE" w:rsidRPr="00055865">
        <w:rPr>
          <w:rFonts w:ascii="Garamond" w:eastAsia="TimesNewRomanPSMT" w:hAnsi="Garamond"/>
          <w:sz w:val="24"/>
          <w:szCs w:val="24"/>
        </w:rPr>
        <w:t>,</w:t>
      </w:r>
      <w:r w:rsidR="00ED155F" w:rsidRPr="00055865">
        <w:rPr>
          <w:rFonts w:ascii="Garamond" w:eastAsia="TimesNewRomanPSMT" w:hAnsi="Garamond"/>
          <w:sz w:val="24"/>
          <w:szCs w:val="24"/>
        </w:rPr>
        <w:t xml:space="preserve"> we hypothesize that</w:t>
      </w:r>
      <w:r w:rsidR="00F657FE" w:rsidRPr="00055865">
        <w:rPr>
          <w:rFonts w:ascii="Garamond" w:eastAsia="TimesNewRomanPSMT" w:hAnsi="Garamond"/>
          <w:sz w:val="24"/>
          <w:szCs w:val="24"/>
        </w:rPr>
        <w:t>:</w:t>
      </w:r>
    </w:p>
    <w:p w14:paraId="071F687D" w14:textId="496A9702" w:rsidR="00EA5530" w:rsidRPr="00055865" w:rsidRDefault="00EA5530" w:rsidP="005B6FD7">
      <w:pPr>
        <w:tabs>
          <w:tab w:val="left" w:pos="2550"/>
        </w:tabs>
        <w:spacing w:after="0" w:line="480" w:lineRule="auto"/>
        <w:contextualSpacing/>
        <w:jc w:val="both"/>
        <w:rPr>
          <w:rFonts w:ascii="Garamond" w:eastAsia="TimesNewRomanPSMT" w:hAnsi="Garamond"/>
          <w:bCs/>
          <w:i/>
          <w:sz w:val="24"/>
          <w:szCs w:val="24"/>
        </w:rPr>
      </w:pPr>
      <w:r w:rsidRPr="00055865">
        <w:rPr>
          <w:rFonts w:ascii="Garamond" w:eastAsia="TimesNewRomanPSMT" w:hAnsi="Garamond"/>
          <w:bCs/>
          <w:i/>
          <w:sz w:val="24"/>
          <w:szCs w:val="24"/>
        </w:rPr>
        <w:lastRenderedPageBreak/>
        <w:t xml:space="preserve">H2: The relationship between compliance with environmental regulations and financial performance is expected to be significant. </w:t>
      </w:r>
    </w:p>
    <w:p w14:paraId="193008B0" w14:textId="2444520C" w:rsidR="00017F15" w:rsidRPr="00055865" w:rsidRDefault="00017F15" w:rsidP="005B6FD7">
      <w:pPr>
        <w:tabs>
          <w:tab w:val="left" w:pos="2550"/>
        </w:tabs>
        <w:spacing w:after="0" w:line="480" w:lineRule="auto"/>
        <w:contextualSpacing/>
        <w:jc w:val="both"/>
        <w:rPr>
          <w:rFonts w:ascii="Garamond" w:eastAsia="TimesNewRomanPSMT" w:hAnsi="Garamond"/>
          <w:bCs/>
          <w:i/>
          <w:sz w:val="24"/>
          <w:szCs w:val="24"/>
        </w:rPr>
      </w:pPr>
    </w:p>
    <w:p w14:paraId="6C0C63FC" w14:textId="77777777" w:rsidR="007F1686" w:rsidRPr="00055865" w:rsidRDefault="007F1686" w:rsidP="005B6FD7">
      <w:pPr>
        <w:tabs>
          <w:tab w:val="left" w:pos="2550"/>
        </w:tabs>
        <w:spacing w:after="0" w:line="480" w:lineRule="auto"/>
        <w:contextualSpacing/>
        <w:jc w:val="both"/>
        <w:rPr>
          <w:rFonts w:ascii="Garamond" w:eastAsia="TimesNewRomanPSMT" w:hAnsi="Garamond"/>
          <w:bCs/>
          <w:i/>
          <w:sz w:val="24"/>
          <w:szCs w:val="24"/>
        </w:rPr>
      </w:pPr>
    </w:p>
    <w:p w14:paraId="2F77983A" w14:textId="70747EDC" w:rsidR="00017F15" w:rsidRPr="00055865" w:rsidRDefault="00207416" w:rsidP="005B6FD7">
      <w:pPr>
        <w:tabs>
          <w:tab w:val="left" w:pos="2550"/>
        </w:tabs>
        <w:spacing w:after="0" w:line="480" w:lineRule="auto"/>
        <w:contextualSpacing/>
        <w:jc w:val="both"/>
        <w:rPr>
          <w:rFonts w:ascii="Garamond" w:eastAsia="TimesNewRomanPSMT" w:hAnsi="Garamond"/>
          <w:b/>
          <w:i/>
          <w:sz w:val="24"/>
          <w:szCs w:val="24"/>
        </w:rPr>
      </w:pPr>
      <w:r w:rsidRPr="00055865">
        <w:rPr>
          <w:rFonts w:ascii="Garamond" w:eastAsia="TimesNewRomanPSMT" w:hAnsi="Garamond"/>
          <w:b/>
          <w:bCs/>
          <w:i/>
          <w:sz w:val="24"/>
          <w:szCs w:val="24"/>
        </w:rPr>
        <w:t xml:space="preserve"> 2.2.3</w:t>
      </w:r>
      <w:r w:rsidR="00017F15" w:rsidRPr="00055865">
        <w:rPr>
          <w:rFonts w:ascii="Garamond" w:eastAsia="TimesNewRomanPSMT" w:hAnsi="Garamond"/>
          <w:b/>
          <w:bCs/>
          <w:i/>
          <w:sz w:val="24"/>
          <w:szCs w:val="24"/>
        </w:rPr>
        <w:t xml:space="preserve">   </w:t>
      </w:r>
      <w:r w:rsidR="00017F15" w:rsidRPr="00055865">
        <w:rPr>
          <w:rFonts w:ascii="Garamond" w:eastAsia="TimesNewRomanPSMT" w:hAnsi="Garamond"/>
          <w:b/>
          <w:i/>
          <w:sz w:val="24"/>
          <w:szCs w:val="24"/>
        </w:rPr>
        <w:t xml:space="preserve">Waste control and Financial Performance </w:t>
      </w:r>
    </w:p>
    <w:p w14:paraId="7FBAC33D" w14:textId="5C94D477" w:rsidR="001F52DC" w:rsidRPr="00055865" w:rsidRDefault="00017F15"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           Waste control and its impact on financial performance have received much attention from theoretical and empirical perspectives. Much of this evidence supports the view that environmental waste significantly affects the firm's financial performance</w:t>
      </w:r>
      <w:r w:rsidR="00D53A79" w:rsidRPr="00055865">
        <w:rPr>
          <w:rFonts w:ascii="Garamond" w:eastAsia="TimesNewRomanPSMT" w:hAnsi="Garamond"/>
          <w:sz w:val="24"/>
          <w:szCs w:val="24"/>
        </w:rPr>
        <w:t xml:space="preserve">  </w:t>
      </w:r>
      <w:r w:rsidR="00D53A79" w:rsidRPr="00055865">
        <w:rPr>
          <w:rFonts w:ascii="Garamond" w:eastAsia="TimesNewRomanPSMT" w:hAnsi="Garamond"/>
          <w:sz w:val="24"/>
          <w:szCs w:val="24"/>
        </w:rPr>
        <w:fldChar w:fldCharType="begin" w:fldLock="1"/>
      </w:r>
      <w:r w:rsidR="00D53A79" w:rsidRPr="00055865">
        <w:rPr>
          <w:rFonts w:ascii="Garamond" w:eastAsia="TimesNewRomanPSMT" w:hAnsi="Garamond"/>
          <w:sz w:val="24"/>
          <w:szCs w:val="24"/>
        </w:rPr>
        <w:instrText>ADDIN CSL_CITATION {"citationItems":[{"id":"ITEM-1","itemData":{"DOI":"10.1111/j.1937-5956.2003.tb00212.x","ISBN":"10591478","ISSN":"10591478","abstract":"To date, it is unclear as to how Environmental Management Systems (EMS) are implemented and what effects these systems have on other environmental and operational practices. This study reports empirical insights to EMS practices based on the largest EMS survey of manufacturing firms in the United States. The objective of the study is to test for a relationship between environmental management systems and perceived operations performance while considering direct and indirect effects of various environmental practices. The results of this study are supported by several field studies and provide a new source of information regarding EMS theory development. The results also indicate a positive relationship between an EMS, the environmental practices a firm engages, and operations performance measures. [Publication Abstract]","author":[{"dropping-particle":"","family":"Sroufe","given":"Robert","non-dropping-particle":"","parse-names":false,"suffix":""}],"container-title":"Production and Operations Management","id":"ITEM-1","issue":"3","issued":{"date-parts":[["2003"]]},"page":"416-431","title":"Effects of Environmental Management Systems on Environmental Management Practices and Operations","type":"article-journal","volume":"12"},"uris":["http://www.mendeley.com/documents/?uuid=c7f164d8-a742-42a9-a1eb-c5da6d9bf624"]},{"id":"ITEM-2","itemData":{"DOI":"10.1002/bse.1900","ISSN":"10990836","abstract":"Despite 40 years of research on the relationship between corporate environmental performance (CEP) and corporate financial performance (CFP), there is no generally accepted theoretical framework that explains the contradictory results that have emerged. This unsatisfactory status may be attributed to the fact that linear models dominate the research. Based on an international sample of 2361 firm</w:instrText>
      </w:r>
      <w:r w:rsidR="00D53A79" w:rsidRPr="00055865">
        <w:rPr>
          <w:rFonts w:ascii="Times New Roman" w:eastAsia="TimesNewRomanPSMT" w:hAnsi="Times New Roman" w:cs="Times New Roman"/>
          <w:sz w:val="24"/>
          <w:szCs w:val="24"/>
        </w:rPr>
        <w:instrText>‐</w:instrText>
      </w:r>
      <w:r w:rsidR="00D53A79" w:rsidRPr="00055865">
        <w:rPr>
          <w:rFonts w:ascii="Garamond" w:eastAsia="TimesNewRomanPSMT" w:hAnsi="Garamond"/>
          <w:sz w:val="24"/>
          <w:szCs w:val="24"/>
        </w:rPr>
        <w:instrText>years from 2008 to 2012, we find empirical evidence of a non</w:instrText>
      </w:r>
      <w:r w:rsidR="00D53A79" w:rsidRPr="00055865">
        <w:rPr>
          <w:rFonts w:ascii="Times New Roman" w:eastAsia="TimesNewRomanPSMT" w:hAnsi="Times New Roman" w:cs="Times New Roman"/>
          <w:sz w:val="24"/>
          <w:szCs w:val="24"/>
        </w:rPr>
        <w:instrText>‐</w:instrText>
      </w:r>
      <w:r w:rsidR="00D53A79" w:rsidRPr="00055865">
        <w:rPr>
          <w:rFonts w:ascii="Garamond" w:eastAsia="TimesNewRomanPSMT" w:hAnsi="Garamond"/>
          <w:sz w:val="24"/>
          <w:szCs w:val="24"/>
        </w:rPr>
        <w:instrText>linear, specifically a U</w:instrText>
      </w:r>
      <w:r w:rsidR="00D53A79" w:rsidRPr="00055865">
        <w:rPr>
          <w:rFonts w:ascii="Times New Roman" w:eastAsia="TimesNewRomanPSMT" w:hAnsi="Times New Roman" w:cs="Times New Roman"/>
          <w:sz w:val="24"/>
          <w:szCs w:val="24"/>
        </w:rPr>
        <w:instrText>‐</w:instrText>
      </w:r>
      <w:r w:rsidR="00D53A79" w:rsidRPr="00055865">
        <w:rPr>
          <w:rFonts w:ascii="Garamond" w:eastAsia="TimesNewRomanPSMT" w:hAnsi="Garamond"/>
          <w:sz w:val="24"/>
          <w:szCs w:val="24"/>
        </w:rPr>
        <w:instrText>shaped, relationship between carbon performance and profitability as well as between waste intensity and profitability. The same result holds for the relationship between carbon performance and stock market performance, but solely for manufacturing industries. Our empirical findings provide evidence for the theoretical framework of a ‘too</w:instrText>
      </w:r>
      <w:r w:rsidR="00D53A79" w:rsidRPr="00055865">
        <w:rPr>
          <w:rFonts w:ascii="Times New Roman" w:eastAsia="TimesNewRomanPSMT" w:hAnsi="Times New Roman" w:cs="Times New Roman"/>
          <w:sz w:val="24"/>
          <w:szCs w:val="24"/>
        </w:rPr>
        <w:instrText>‐</w:instrText>
      </w:r>
      <w:r w:rsidR="00D53A79" w:rsidRPr="00055865">
        <w:rPr>
          <w:rFonts w:ascii="Garamond" w:eastAsia="TimesNewRomanPSMT" w:hAnsi="Garamond"/>
          <w:sz w:val="24"/>
          <w:szCs w:val="24"/>
        </w:rPr>
        <w:instrText>little</w:instrText>
      </w:r>
      <w:r w:rsidR="00D53A79" w:rsidRPr="00055865">
        <w:rPr>
          <w:rFonts w:ascii="Times New Roman" w:eastAsia="TimesNewRomanPSMT" w:hAnsi="Times New Roman" w:cs="Times New Roman"/>
          <w:sz w:val="24"/>
          <w:szCs w:val="24"/>
        </w:rPr>
        <w:instrText>‐</w:instrText>
      </w:r>
      <w:r w:rsidR="00D53A79" w:rsidRPr="00055865">
        <w:rPr>
          <w:rFonts w:ascii="Garamond" w:eastAsia="TimesNewRomanPSMT" w:hAnsi="Garamond"/>
          <w:sz w:val="24"/>
          <w:szCs w:val="24"/>
        </w:rPr>
        <w:instrText>of</w:instrText>
      </w:r>
      <w:r w:rsidR="00D53A79" w:rsidRPr="00055865">
        <w:rPr>
          <w:rFonts w:ascii="Times New Roman" w:eastAsia="TimesNewRomanPSMT" w:hAnsi="Times New Roman" w:cs="Times New Roman"/>
          <w:sz w:val="24"/>
          <w:szCs w:val="24"/>
        </w:rPr>
        <w:instrText>‐</w:instrText>
      </w:r>
      <w:r w:rsidR="00D53A79" w:rsidRPr="00055865">
        <w:rPr>
          <w:rFonts w:ascii="Garamond" w:eastAsia="TimesNewRomanPSMT" w:hAnsi="Garamond"/>
          <w:sz w:val="24"/>
          <w:szCs w:val="24"/>
        </w:rPr>
        <w:instrText>a</w:instrText>
      </w:r>
      <w:r w:rsidR="00D53A79" w:rsidRPr="00055865">
        <w:rPr>
          <w:rFonts w:ascii="Times New Roman" w:eastAsia="TimesNewRomanPSMT" w:hAnsi="Times New Roman" w:cs="Times New Roman"/>
          <w:sz w:val="24"/>
          <w:szCs w:val="24"/>
        </w:rPr>
        <w:instrText>‐</w:instrText>
      </w:r>
      <w:r w:rsidR="00D53A79" w:rsidRPr="00055865">
        <w:rPr>
          <w:rFonts w:ascii="Garamond" w:eastAsia="TimesNewRomanPSMT" w:hAnsi="Garamond"/>
          <w:sz w:val="24"/>
          <w:szCs w:val="24"/>
        </w:rPr>
        <w:instrText>good</w:instrText>
      </w:r>
      <w:r w:rsidR="00D53A79" w:rsidRPr="00055865">
        <w:rPr>
          <w:rFonts w:ascii="Times New Roman" w:eastAsia="TimesNewRomanPSMT" w:hAnsi="Times New Roman" w:cs="Times New Roman"/>
          <w:sz w:val="24"/>
          <w:szCs w:val="24"/>
        </w:rPr>
        <w:instrText>‐</w:instrText>
      </w:r>
      <w:r w:rsidR="00D53A79" w:rsidRPr="00055865">
        <w:rPr>
          <w:rFonts w:ascii="Garamond" w:eastAsia="TimesNewRomanPSMT" w:hAnsi="Garamond"/>
          <w:sz w:val="24"/>
          <w:szCs w:val="24"/>
        </w:rPr>
        <w:instrText>thing</w:instrText>
      </w:r>
      <w:r w:rsidR="00D53A79" w:rsidRPr="00055865">
        <w:rPr>
          <w:rFonts w:ascii="Garamond" w:eastAsia="TimesNewRomanPSMT" w:hAnsi="Garamond" w:cs="Garamond"/>
          <w:sz w:val="24"/>
          <w:szCs w:val="24"/>
        </w:rPr>
        <w:instrText>’</w:instrText>
      </w:r>
      <w:r w:rsidR="00D53A79" w:rsidRPr="00055865">
        <w:rPr>
          <w:rFonts w:ascii="Garamond" w:eastAsia="TimesNewRomanPSMT" w:hAnsi="Garamond"/>
          <w:sz w:val="24"/>
          <w:szCs w:val="24"/>
        </w:rPr>
        <w:instrText xml:space="preserve"> (TLGT) effect, which indicates that the type of relationship (positive, negative) depends on the level of CEP. More precisely, there is a negative CEP–CFP relationship for companies with low CEP and a positive association for high CEP. Copyright © 2015 John Wiley &amp; Sons, Ltd and ERP Environment (PsycINFO Database Record (c) 2015 APA, all rights reserved). (journal abstract)","author":[{"dropping-particle":"","family":"Trumpp","given":"Christoph","non-dropping-particle":"","parse-names":false,"suffix":""},{"dropping-particle":"","family":"Guenther","given":"Thomas","non-dropping-particle":"","parse-names":false,"suffix":""}],"container-title":"Business Strategy and the Environment","id":"ITEM-2","issue":"1","issued":{"date-parts":[["2017"]]},"page":"49-68","title":"Too Little or too much? Exploring U-shaped Relationships between Corporate Environmental Performance and Corporate Financial Performance","type":"article-journal","volume":"26"},"uris":["http://www.mendeley.com/documents/?uuid=3dd93099-98aa-4420-a4ff-be056f9071bb"]}],"mendeley":{"formattedCitation":"(Sroufe, 2003; Trumpp &amp; Guenther, 2017)","plainTextFormattedCitation":"(Sroufe, 2003; Trumpp &amp; Guenther, 2017)","previouslyFormattedCitation":"(Sroufe, 2003; Trumpp &amp; Guenther, 2017)"},"properties":{"noteIndex":0},"schema":"https://github.com/citation-style-language/schema/raw/master/csl-citation.json"}</w:instrText>
      </w:r>
      <w:r w:rsidR="00D53A79" w:rsidRPr="00055865">
        <w:rPr>
          <w:rFonts w:ascii="Garamond" w:eastAsia="TimesNewRomanPSMT" w:hAnsi="Garamond"/>
          <w:sz w:val="24"/>
          <w:szCs w:val="24"/>
        </w:rPr>
        <w:fldChar w:fldCharType="separate"/>
      </w:r>
      <w:r w:rsidR="00D53A79" w:rsidRPr="00055865">
        <w:rPr>
          <w:rFonts w:ascii="Garamond" w:eastAsia="TimesNewRomanPSMT" w:hAnsi="Garamond"/>
          <w:noProof/>
          <w:sz w:val="24"/>
          <w:szCs w:val="24"/>
        </w:rPr>
        <w:t>(Sroufe, 2003; Trumpp &amp; Guenther, 2017)</w:t>
      </w:r>
      <w:r w:rsidR="00D53A79"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w:t>
      </w:r>
      <w:r w:rsidR="00D53A79" w:rsidRPr="00055865">
        <w:rPr>
          <w:rFonts w:ascii="Garamond" w:eastAsia="TimesNewRomanPSMT" w:hAnsi="Garamond"/>
          <w:sz w:val="24"/>
          <w:szCs w:val="24"/>
        </w:rPr>
        <w:t xml:space="preserve"> </w:t>
      </w:r>
      <w:r w:rsidR="00D53A79" w:rsidRPr="00055865">
        <w:rPr>
          <w:rFonts w:ascii="Garamond" w:eastAsia="TimesNewRomanPSMT" w:hAnsi="Garamond"/>
          <w:sz w:val="24"/>
          <w:szCs w:val="24"/>
        </w:rPr>
        <w:fldChar w:fldCharType="begin" w:fldLock="1"/>
      </w:r>
      <w:r w:rsidR="00342085" w:rsidRPr="00055865">
        <w:rPr>
          <w:rFonts w:ascii="Garamond" w:eastAsia="TimesNewRomanPSMT" w:hAnsi="Garamond"/>
          <w:sz w:val="24"/>
          <w:szCs w:val="24"/>
        </w:rPr>
        <w:instrText>ADDIN CSL_CITATION {"citationItems":[{"id":"ITEM-1","itemData":{"author":[{"dropping-particle":"","family":"Bartolacci","given":"Francesca","non-dropping-particle":"","parse-names":false,"suffix":""},{"dropping-particle":"","family":"Zigiotti","given":"Ermanno","non-dropping-particle":"","parse-names":false,"suffix":""}],"container-title":"Management International Conference","id":"ITEM-1","issued":{"date-parts":[["2015"]]},"page":"389-401","title":"Environmental and Economic-Financial Performance in Waste Management Firms","type":"article-journal"},"uris":["http://www.mendeley.com/documents/?uuid=5bc92fa9-a139-4f56-9f99-527f412b55f7"]}],"mendeley":{"formattedCitation":"(Bartolacci &amp; Zigiotti, 2015)","manualFormatting":"Bartolacci &amp; Zigiotti (2015)","plainTextFormattedCitation":"(Bartolacci &amp; Zigiotti, 2015)","previouslyFormattedCitation":"(Bartolacci &amp; Zigiotti, 2015)"},"properties":{"noteIndex":0},"schema":"https://github.com/citation-style-language/schema/raw/master/csl-citation.json"}</w:instrText>
      </w:r>
      <w:r w:rsidR="00D53A79" w:rsidRPr="00055865">
        <w:rPr>
          <w:rFonts w:ascii="Garamond" w:eastAsia="TimesNewRomanPSMT" w:hAnsi="Garamond"/>
          <w:sz w:val="24"/>
          <w:szCs w:val="24"/>
        </w:rPr>
        <w:fldChar w:fldCharType="separate"/>
      </w:r>
      <w:r w:rsidR="00D53A79" w:rsidRPr="00055865">
        <w:rPr>
          <w:rFonts w:ascii="Garamond" w:eastAsia="TimesNewRomanPSMT" w:hAnsi="Garamond"/>
          <w:noProof/>
          <w:sz w:val="24"/>
          <w:szCs w:val="24"/>
        </w:rPr>
        <w:t>Bartolacci &amp; Zigiotti (2015)</w:t>
      </w:r>
      <w:r w:rsidR="00D53A79"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arguing from the</w:t>
      </w:r>
      <w:r w:rsidR="00FD55C9" w:rsidRPr="00055865">
        <w:rPr>
          <w:rFonts w:ascii="Garamond" w:eastAsia="TimesNewRomanPSMT" w:hAnsi="Garamond"/>
          <w:sz w:val="24"/>
          <w:szCs w:val="24"/>
        </w:rPr>
        <w:t xml:space="preserve"> natural</w:t>
      </w:r>
      <w:r w:rsidRPr="00055865">
        <w:rPr>
          <w:rFonts w:ascii="Garamond" w:eastAsia="TimesNewRomanPSMT" w:hAnsi="Garamond"/>
          <w:sz w:val="24"/>
          <w:szCs w:val="24"/>
        </w:rPr>
        <w:t xml:space="preserve"> resource-based view</w:t>
      </w:r>
      <w:r w:rsidR="00DB6768" w:rsidRPr="00055865">
        <w:rPr>
          <w:rFonts w:ascii="Garamond" w:eastAsia="TimesNewRomanPSMT" w:hAnsi="Garamond"/>
          <w:sz w:val="24"/>
          <w:szCs w:val="24"/>
        </w:rPr>
        <w:t>,</w:t>
      </w:r>
      <w:r w:rsidRPr="00055865">
        <w:rPr>
          <w:rFonts w:ascii="Garamond" w:eastAsia="TimesNewRomanPSMT" w:hAnsi="Garamond"/>
          <w:sz w:val="24"/>
          <w:szCs w:val="24"/>
        </w:rPr>
        <w:t xml:space="preserve"> indicated that where waste is used as a differential resource through recycling and reuse, it significantly saves costs, which impact</w:t>
      </w:r>
      <w:r w:rsidR="007F1686" w:rsidRPr="00055865">
        <w:rPr>
          <w:rFonts w:ascii="Garamond" w:eastAsia="TimesNewRomanPSMT" w:hAnsi="Garamond"/>
          <w:sz w:val="24"/>
          <w:szCs w:val="24"/>
        </w:rPr>
        <w:t>s</w:t>
      </w:r>
      <w:r w:rsidRPr="00055865">
        <w:rPr>
          <w:rFonts w:ascii="Garamond" w:eastAsia="TimesNewRomanPSMT" w:hAnsi="Garamond"/>
          <w:sz w:val="24"/>
          <w:szCs w:val="24"/>
        </w:rPr>
        <w:t xml:space="preserve"> positively on financial performance.  Extant literature also show</w:t>
      </w:r>
      <w:r w:rsidR="00DB6768" w:rsidRPr="00055865">
        <w:rPr>
          <w:rFonts w:ascii="Garamond" w:eastAsia="TimesNewRomanPSMT" w:hAnsi="Garamond"/>
          <w:sz w:val="24"/>
          <w:szCs w:val="24"/>
        </w:rPr>
        <w:t>s</w:t>
      </w:r>
      <w:r w:rsidRPr="00055865">
        <w:rPr>
          <w:rFonts w:ascii="Garamond" w:eastAsia="TimesNewRomanPSMT" w:hAnsi="Garamond"/>
          <w:sz w:val="24"/>
          <w:szCs w:val="24"/>
        </w:rPr>
        <w:t xml:space="preserve"> that waste reduction ensures that resources and energy used in the production process are minimised and significantly impact on costs and </w:t>
      </w:r>
      <w:r w:rsidR="007F1686" w:rsidRPr="00055865">
        <w:rPr>
          <w:rFonts w:ascii="Garamond" w:eastAsia="TimesNewRomanPSMT" w:hAnsi="Garamond"/>
          <w:sz w:val="24"/>
          <w:szCs w:val="24"/>
        </w:rPr>
        <w:t xml:space="preserve">financial </w:t>
      </w:r>
      <w:r w:rsidRPr="00055865">
        <w:rPr>
          <w:rFonts w:ascii="Garamond" w:eastAsia="TimesNewRomanPSMT" w:hAnsi="Garamond"/>
          <w:sz w:val="24"/>
          <w:szCs w:val="24"/>
        </w:rPr>
        <w:t>performance</w:t>
      </w:r>
      <w:r w:rsidR="00D53A79" w:rsidRPr="00055865">
        <w:rPr>
          <w:rFonts w:ascii="Garamond" w:eastAsia="TimesNewRomanPSMT" w:hAnsi="Garamond"/>
          <w:sz w:val="24"/>
          <w:szCs w:val="24"/>
        </w:rPr>
        <w:t xml:space="preserve"> </w:t>
      </w:r>
      <w:r w:rsidR="00D53A79" w:rsidRPr="00055865">
        <w:rPr>
          <w:rFonts w:ascii="Garamond" w:eastAsia="TimesNewRomanPSMT" w:hAnsi="Garamond"/>
          <w:sz w:val="24"/>
          <w:szCs w:val="24"/>
        </w:rPr>
        <w:fldChar w:fldCharType="begin" w:fldLock="1"/>
      </w:r>
      <w:r w:rsidR="00D53A79" w:rsidRPr="00055865">
        <w:rPr>
          <w:rFonts w:ascii="Garamond" w:eastAsia="TimesNewRomanPSMT" w:hAnsi="Garamond"/>
          <w:sz w:val="24"/>
          <w:szCs w:val="24"/>
        </w:rPr>
        <w:instrText>ADDIN CSL_CITATION {"citationItems":[{"id":"ITEM-1","itemData":{"DOI":"10.1111/j.1937-5956.2003.tb00212.x","ISBN":"10591478","ISSN":"10591478","abstract":"To date, it is unclear as to how Environmental Management Systems (EMS) are implemented and what effects these systems have on other environmental and operational practices. This study reports empirical insights to EMS practices based on the largest EMS survey of manufacturing firms in the United States. The objective of the study is to test for a relationship between environmental management systems and perceived operations performance while considering direct and indirect effects of various environmental practices. The results of this study are supported by several field studies and provide a new source of information regarding EMS theory development. The results also indicate a positive relationship between an EMS, the environmental practices a firm engages, and operations performance measures. [Publication Abstract]","author":[{"dropping-particle":"","family":"Sroufe","given":"Robert","non-dropping-particle":"","parse-names":false,"suffix":""}],"container-title":"Production and Operations Management","id":"ITEM-1","issue":"3","issued":{"date-parts":[["2003"]]},"page":"416-431","title":"Effects of Environmental Management Systems on Environmental Management Practices and Operations","type":"article-journal","volume":"12"},"uris":["http://www.mendeley.com/documents/?uuid=c7f164d8-a742-42a9-a1eb-c5da6d9bf624"]},{"id":"ITEM-2","itemData":{"abstract":"This study focuses on the effect of waste reduction strategy on the performance of publishing firms in Kenya. Kenya is a regional publishing powerhouse (newspaper publications selling) in East and Central Africa. The industry contributes about 10% of the GDP and one of the fastest growing in the manufacturing sector. Unfortunately, Kenya does not produce most of the raw materials for publishing. In addition, the publishing industry in Kenya is faced with high rate of waste and returns. The study focused on the effect of adopting waste reduction strategy as a possible solution to the dwindling raw materials, increasing costs and high rate of returns. It used descriptive research design. The study population consisted of 357 firms from which a sample of 189 firms was taken using stratified random sampling and 138 responses were obtained. The data collection instrument was pre-tested before launching the final test. Empirical findings confirmed that indeed returns and wastes were high in publishing industry in addition to establishing that indeed adopting waste reduction would enhance performance of publishing forms. The study recommends that the firms view waste reduction as an investment with returns and not a cost.","author":[{"dropping-particle":"","family":"Ochiri","given":"George","non-dropping-particle":"","parse-names":false,"suffix":""},{"dropping-particle":"","family":"Wario","given":"Guyo","non-dropping-particle":"","parse-names":false,"suffix":""},{"dropping-particle":"","family":"Odhiambo","given":"Romanus","non-dropping-particle":"","parse-names":false,"suffix":""},{"dropping-particle":"","family":"Arasa","given":"Robert","non-dropping-particle":"","parse-names":false,"suffix":""}],"container-title":"International Journal of Economics, Commerce and Management United Kingdom","id":"ITEM-2","issue":"5","issued":{"date-parts":[["2015"]]},"page":"1228-1241","title":"Effects of Waste Reduction Strategy on Firm Performance: a Survey of Publishing Firms in Kenya","type":"article-journal","volume":"III"},"uris":["http://www.mendeley.com/documents/?uuid=d3f41b20-d959-4d33-8a87-8d7473eb7e4c"]}],"mendeley":{"formattedCitation":"(Ochiri, Wario, Odhiambo, &amp; Arasa, 2015; Sroufe, 2003)","plainTextFormattedCitation":"(Ochiri, Wario, Odhiambo, &amp; Arasa, 2015; Sroufe, 2003)","previouslyFormattedCitation":"(Ochiri, Wario, Odhiambo, &amp; Arasa, 2015; Sroufe, 2003)"},"properties":{"noteIndex":0},"schema":"https://github.com/citation-style-language/schema/raw/master/csl-citation.json"}</w:instrText>
      </w:r>
      <w:r w:rsidR="00D53A79" w:rsidRPr="00055865">
        <w:rPr>
          <w:rFonts w:ascii="Garamond" w:eastAsia="TimesNewRomanPSMT" w:hAnsi="Garamond"/>
          <w:sz w:val="24"/>
          <w:szCs w:val="24"/>
        </w:rPr>
        <w:fldChar w:fldCharType="separate"/>
      </w:r>
      <w:r w:rsidR="00D53A79" w:rsidRPr="00055865">
        <w:rPr>
          <w:rFonts w:ascii="Garamond" w:eastAsia="TimesNewRomanPSMT" w:hAnsi="Garamond"/>
          <w:noProof/>
          <w:sz w:val="24"/>
          <w:szCs w:val="24"/>
        </w:rPr>
        <w:t>(Ochiri, Wario, Odhiambo, &amp; Arasa, 2015; Sroufe, 2003)</w:t>
      </w:r>
      <w:r w:rsidR="00D53A79" w:rsidRPr="00055865">
        <w:rPr>
          <w:rFonts w:ascii="Garamond" w:eastAsia="TimesNewRomanPSMT" w:hAnsi="Garamond"/>
          <w:sz w:val="24"/>
          <w:szCs w:val="24"/>
        </w:rPr>
        <w:fldChar w:fldCharType="end"/>
      </w:r>
      <w:r w:rsidRPr="00055865">
        <w:rPr>
          <w:rFonts w:ascii="Garamond" w:eastAsia="TimesNewRomanPSMT" w:hAnsi="Garamond"/>
          <w:sz w:val="24"/>
          <w:szCs w:val="24"/>
        </w:rPr>
        <w:t>. Based on the</w:t>
      </w:r>
      <w:r w:rsidR="00FD55C9" w:rsidRPr="00055865">
        <w:rPr>
          <w:rFonts w:ascii="Garamond" w:eastAsia="TimesNewRomanPSMT" w:hAnsi="Garamond"/>
          <w:sz w:val="24"/>
          <w:szCs w:val="24"/>
        </w:rPr>
        <w:t xml:space="preserve"> natural</w:t>
      </w:r>
      <w:r w:rsidRPr="00055865">
        <w:rPr>
          <w:rFonts w:ascii="Garamond" w:eastAsia="TimesNewRomanPSMT" w:hAnsi="Garamond"/>
          <w:sz w:val="24"/>
          <w:szCs w:val="24"/>
        </w:rPr>
        <w:t xml:space="preserve"> resource-based view</w:t>
      </w:r>
      <w:r w:rsidR="007F1686" w:rsidRPr="00055865">
        <w:rPr>
          <w:rFonts w:ascii="Garamond" w:eastAsia="TimesNewRomanPSMT" w:hAnsi="Garamond"/>
          <w:sz w:val="24"/>
          <w:szCs w:val="24"/>
        </w:rPr>
        <w:t>,</w:t>
      </w:r>
      <w:r w:rsidRPr="00055865">
        <w:rPr>
          <w:rFonts w:ascii="Garamond" w:eastAsia="TimesNewRomanPSMT" w:hAnsi="Garamond"/>
          <w:sz w:val="24"/>
          <w:szCs w:val="24"/>
        </w:rPr>
        <w:t xml:space="preserve"> </w:t>
      </w:r>
      <w:r w:rsidR="00DB6768" w:rsidRPr="00055865">
        <w:rPr>
          <w:rFonts w:ascii="Garamond" w:eastAsia="TimesNewRomanPSMT" w:hAnsi="Garamond"/>
          <w:sz w:val="24"/>
          <w:szCs w:val="24"/>
        </w:rPr>
        <w:t>Ochiri et al. (2015) aver that</w:t>
      </w:r>
      <w:r w:rsidRPr="00055865">
        <w:rPr>
          <w:rFonts w:ascii="Garamond" w:eastAsia="TimesNewRomanPSMT" w:hAnsi="Garamond"/>
          <w:sz w:val="24"/>
          <w:szCs w:val="24"/>
        </w:rPr>
        <w:t xml:space="preserve"> waste management</w:t>
      </w:r>
      <w:r w:rsidR="00DB6768" w:rsidRPr="00055865">
        <w:rPr>
          <w:rFonts w:ascii="Garamond" w:eastAsia="TimesNewRomanPSMT" w:hAnsi="Garamond"/>
          <w:sz w:val="24"/>
          <w:szCs w:val="24"/>
        </w:rPr>
        <w:t xml:space="preserve"> is</w:t>
      </w:r>
      <w:r w:rsidRPr="00055865">
        <w:rPr>
          <w:rFonts w:ascii="Garamond" w:eastAsia="TimesNewRomanPSMT" w:hAnsi="Garamond"/>
          <w:sz w:val="24"/>
          <w:szCs w:val="24"/>
        </w:rPr>
        <w:t xml:space="preserve"> a strategic resource which </w:t>
      </w:r>
      <w:r w:rsidR="00DB6768" w:rsidRPr="00055865">
        <w:rPr>
          <w:rFonts w:ascii="Garamond" w:eastAsia="TimesNewRomanPSMT" w:hAnsi="Garamond"/>
          <w:sz w:val="24"/>
          <w:szCs w:val="24"/>
        </w:rPr>
        <w:t>provides</w:t>
      </w:r>
      <w:r w:rsidRPr="00055865">
        <w:rPr>
          <w:rFonts w:ascii="Garamond" w:eastAsia="TimesNewRomanPSMT" w:hAnsi="Garamond"/>
          <w:sz w:val="24"/>
          <w:szCs w:val="24"/>
        </w:rPr>
        <w:t xml:space="preserve"> </w:t>
      </w:r>
      <w:r w:rsidR="005B6FD7">
        <w:rPr>
          <w:rFonts w:ascii="Garamond" w:eastAsia="TimesNewRomanPSMT" w:hAnsi="Garamond"/>
          <w:sz w:val="24"/>
          <w:szCs w:val="24"/>
        </w:rPr>
        <w:t xml:space="preserve">an </w:t>
      </w:r>
      <w:r w:rsidRPr="00055865">
        <w:rPr>
          <w:rFonts w:ascii="Garamond" w:eastAsia="TimesNewRomanPSMT" w:hAnsi="Garamond"/>
          <w:sz w:val="24"/>
          <w:szCs w:val="24"/>
        </w:rPr>
        <w:t>opportunity</w:t>
      </w:r>
      <w:r w:rsidR="00DB6768" w:rsidRPr="00055865">
        <w:rPr>
          <w:rFonts w:ascii="Garamond" w:eastAsia="TimesNewRomanPSMT" w:hAnsi="Garamond"/>
          <w:sz w:val="24"/>
          <w:szCs w:val="24"/>
        </w:rPr>
        <w:t xml:space="preserve"> for</w:t>
      </w:r>
      <w:r w:rsidRPr="00055865">
        <w:rPr>
          <w:rFonts w:ascii="Garamond" w:eastAsia="TimesNewRomanPSMT" w:hAnsi="Garamond"/>
          <w:sz w:val="24"/>
          <w:szCs w:val="24"/>
        </w:rPr>
        <w:t xml:space="preserve"> minimising costs </w:t>
      </w:r>
      <w:r w:rsidR="007F1686" w:rsidRPr="00055865">
        <w:rPr>
          <w:rFonts w:ascii="Garamond" w:eastAsia="TimesNewRomanPSMT" w:hAnsi="Garamond"/>
          <w:sz w:val="24"/>
          <w:szCs w:val="24"/>
        </w:rPr>
        <w:t xml:space="preserve">through the </w:t>
      </w:r>
      <w:r w:rsidRPr="00055865">
        <w:rPr>
          <w:rFonts w:ascii="Garamond" w:eastAsia="TimesNewRomanPSMT" w:hAnsi="Garamond"/>
          <w:sz w:val="24"/>
          <w:szCs w:val="24"/>
        </w:rPr>
        <w:t xml:space="preserve">lowering </w:t>
      </w:r>
      <w:r w:rsidR="007F1686" w:rsidRPr="00055865">
        <w:rPr>
          <w:rFonts w:ascii="Garamond" w:eastAsia="TimesNewRomanPSMT" w:hAnsi="Garamond"/>
          <w:sz w:val="24"/>
          <w:szCs w:val="24"/>
        </w:rPr>
        <w:t xml:space="preserve">of </w:t>
      </w:r>
      <w:r w:rsidRPr="00055865">
        <w:rPr>
          <w:rFonts w:ascii="Garamond" w:eastAsia="TimesNewRomanPSMT" w:hAnsi="Garamond"/>
          <w:sz w:val="24"/>
          <w:szCs w:val="24"/>
        </w:rPr>
        <w:t xml:space="preserve">waste management fees, hazardous materials management fees, reduces reporting time and costs; </w:t>
      </w:r>
      <w:r w:rsidR="00DB6768" w:rsidRPr="00055865">
        <w:rPr>
          <w:rFonts w:ascii="Garamond" w:eastAsia="TimesNewRomanPSMT" w:hAnsi="Garamond"/>
          <w:sz w:val="24"/>
          <w:szCs w:val="24"/>
        </w:rPr>
        <w:t xml:space="preserve">and </w:t>
      </w:r>
      <w:r w:rsidR="007F1686" w:rsidRPr="00055865">
        <w:rPr>
          <w:rFonts w:ascii="Garamond" w:eastAsia="TimesNewRomanPSMT" w:hAnsi="Garamond"/>
          <w:sz w:val="24"/>
          <w:szCs w:val="24"/>
        </w:rPr>
        <w:t>consequently,</w:t>
      </w:r>
      <w:r w:rsidRPr="00055865">
        <w:rPr>
          <w:rFonts w:ascii="Garamond" w:eastAsia="TimesNewRomanPSMT" w:hAnsi="Garamond"/>
          <w:sz w:val="24"/>
          <w:szCs w:val="24"/>
        </w:rPr>
        <w:t xml:space="preserve"> impact </w:t>
      </w:r>
      <w:r w:rsidR="00DB6768" w:rsidRPr="00055865">
        <w:rPr>
          <w:rFonts w:ascii="Garamond" w:eastAsia="TimesNewRomanPSMT" w:hAnsi="Garamond"/>
          <w:sz w:val="24"/>
          <w:szCs w:val="24"/>
        </w:rPr>
        <w:t xml:space="preserve">positively </w:t>
      </w:r>
      <w:r w:rsidRPr="00055865">
        <w:rPr>
          <w:rFonts w:ascii="Garamond" w:eastAsia="TimesNewRomanPSMT" w:hAnsi="Garamond"/>
          <w:sz w:val="24"/>
          <w:szCs w:val="24"/>
        </w:rPr>
        <w:t xml:space="preserve">on financial performance. Empirical evidence </w:t>
      </w:r>
      <w:r w:rsidR="007F1686" w:rsidRPr="00055865">
        <w:rPr>
          <w:rFonts w:ascii="Garamond" w:eastAsia="TimesNewRomanPSMT" w:hAnsi="Garamond"/>
          <w:sz w:val="24"/>
          <w:szCs w:val="24"/>
        </w:rPr>
        <w:t xml:space="preserve">also </w:t>
      </w:r>
      <w:r w:rsidRPr="00055865">
        <w:rPr>
          <w:rFonts w:ascii="Garamond" w:eastAsia="TimesNewRomanPSMT" w:hAnsi="Garamond"/>
          <w:sz w:val="24"/>
          <w:szCs w:val="24"/>
        </w:rPr>
        <w:t xml:space="preserve">confirms </w:t>
      </w:r>
      <w:r w:rsidR="007F1686" w:rsidRPr="00055865">
        <w:rPr>
          <w:rFonts w:ascii="Garamond" w:eastAsia="TimesNewRomanPSMT" w:hAnsi="Garamond"/>
          <w:sz w:val="24"/>
          <w:szCs w:val="24"/>
        </w:rPr>
        <w:t xml:space="preserve">the environmental practices and financial performance </w:t>
      </w:r>
      <w:r w:rsidRPr="00055865">
        <w:rPr>
          <w:rFonts w:ascii="Garamond" w:eastAsia="TimesNewRomanPSMT" w:hAnsi="Garamond"/>
          <w:sz w:val="24"/>
          <w:szCs w:val="24"/>
        </w:rPr>
        <w:t>relationship</w:t>
      </w:r>
      <w:r w:rsidR="007F1686" w:rsidRPr="00055865">
        <w:rPr>
          <w:rFonts w:ascii="Garamond" w:eastAsia="TimesNewRomanPSMT" w:hAnsi="Garamond"/>
          <w:sz w:val="24"/>
          <w:szCs w:val="24"/>
        </w:rPr>
        <w:t>s</w:t>
      </w:r>
      <w:r w:rsidR="00D53A79" w:rsidRPr="00055865">
        <w:rPr>
          <w:rFonts w:ascii="Garamond" w:eastAsia="TimesNewRomanPSMT" w:hAnsi="Garamond"/>
          <w:sz w:val="24"/>
          <w:szCs w:val="24"/>
        </w:rPr>
        <w:t xml:space="preserve"> </w:t>
      </w:r>
      <w:r w:rsidR="00D53A79" w:rsidRPr="00055865">
        <w:rPr>
          <w:rFonts w:ascii="Garamond" w:eastAsia="TimesNewRomanPSMT" w:hAnsi="Garamond"/>
          <w:sz w:val="24"/>
          <w:szCs w:val="24"/>
        </w:rPr>
        <w:fldChar w:fldCharType="begin" w:fldLock="1"/>
      </w:r>
      <w:r w:rsidR="00CB65F9" w:rsidRPr="00055865">
        <w:rPr>
          <w:rFonts w:ascii="Garamond" w:eastAsia="TimesNewRomanPSMT" w:hAnsi="Garamond"/>
          <w:sz w:val="24"/>
          <w:szCs w:val="24"/>
        </w:rPr>
        <w:instrText>ADDIN CSL_CITATION {"citationItems":[{"id":"ITEM-1","itemData":{"abstract":"This study focuses on the effect of waste reduction strategy on the performance of publishing firms in Kenya. Kenya is a regional publishing powerhouse (newspaper publications selling) in East and Central Africa. The industry contributes about 10% of the GDP and one of the fastest growing in the manufacturing sector. Unfortunately, Kenya does not produce most of the raw materials for publishing. In addition, the publishing industry in Kenya is faced with high rate of waste and returns. The study focused on the effect of adopting waste reduction strategy as a possible solution to the dwindling raw materials, increasing costs and high rate of returns. It used descriptive research design. The study population consisted of 357 firms from which a sample of 189 firms was taken using stratified random sampling and 138 responses were obtained. The data collection instrument was pre-tested before launching the final test. Empirical findings confirmed that indeed returns and wastes were high in publishing industry in addition to establishing that indeed adopting waste reduction would enhance performance of publishing forms. The study recommends that the firms view waste reduction as an investment with returns and not a cost.","author":[{"dropping-particle":"","family":"Ochiri","given":"George","non-dropping-particle":"","parse-names":false,"suffix":""},{"dropping-particle":"","family":"Wario","given":"Guyo","non-dropping-particle":"","parse-names":false,"suffix":""},{"dropping-particle":"","family":"Odhiambo","given":"Romanus","non-dropping-particle":"","parse-names":false,"suffix":""},{"dropping-particle":"","family":"Arasa","given":"Robert","non-dropping-particle":"","parse-names":false,"suffix":""}],"container-title":"International Journal of Economics, Commerce and Management United Kingdom","id":"ITEM-1","issue":"5","issued":{"date-parts":[["2015"]]},"page":"1228-1241","title":"Effects of Waste Reduction Strategy on Firm Performance: a Survey of Publishing Firms in Kenya","type":"article-journal","volume":"III"},"uris":["http://www.mendeley.com/documents/?uuid=d3f41b20-d959-4d33-8a87-8d7473eb7e4c"]},{"id":"ITEM-2","itemData":{"DOI":"10.1111/j.1937-5956.2003.tb00212.x","ISBN":"10591478","ISSN":"10591478","abstract":"To date, it is unclear as to how Environmental Management Systems (EMS) are implemented and what effects these systems have on other environmental and operational practices. This study reports empirical insights to EMS practices based on the largest EMS survey of manufacturing firms in the United States. The objective of the study is to test for a relationship between environmental management systems and perceived operations performance while considering direct and indirect effects of various environmental practices. The results of this study are supported by several field studies and provide a new source of information regarding EMS theory development. The results also indicate a positive relationship between an EMS, the environmental practices a firm engages, and operations performance measures. [Publication Abstract]","author":[{"dropping-particle":"","family":"Sroufe","given":"Robert","non-dropping-particle":"","parse-names":false,"suffix":""}],"container-title":"Production and Operations Management","id":"ITEM-2","issue":"3","issued":{"date-parts":[["2003"]]},"page":"416-431","title":"Effects of Environmental Management Systems on Environmental Management Practices and Operations","type":"article-journal","volume":"12"},"uris":["http://www.mendeley.com/documents/?uuid=c7f164d8-a742-42a9-a1eb-c5da6d9bf624"]}],"mendeley":{"formattedCitation":"(Ochiri et al., 2015; Sroufe, 2003)","plainTextFormattedCitation":"(Ochiri et al., 2015; Sroufe, 2003)","previouslyFormattedCitation":"(Ochiri et al., 2015; Sroufe, 2003)"},"properties":{"noteIndex":0},"schema":"https://github.com/citation-style-language/schema/raw/master/csl-citation.json"}</w:instrText>
      </w:r>
      <w:r w:rsidR="00D53A79" w:rsidRPr="00055865">
        <w:rPr>
          <w:rFonts w:ascii="Garamond" w:eastAsia="TimesNewRomanPSMT" w:hAnsi="Garamond"/>
          <w:sz w:val="24"/>
          <w:szCs w:val="24"/>
        </w:rPr>
        <w:fldChar w:fldCharType="separate"/>
      </w:r>
      <w:r w:rsidR="00D53A79" w:rsidRPr="00055865">
        <w:rPr>
          <w:rFonts w:ascii="Garamond" w:eastAsia="TimesNewRomanPSMT" w:hAnsi="Garamond"/>
          <w:noProof/>
          <w:sz w:val="24"/>
          <w:szCs w:val="24"/>
        </w:rPr>
        <w:t>(Ochiri et al., 2015; Sroufe, 2003)</w:t>
      </w:r>
      <w:r w:rsidR="00D53A79" w:rsidRPr="00055865">
        <w:rPr>
          <w:rFonts w:ascii="Garamond" w:eastAsia="TimesNewRomanPSMT" w:hAnsi="Garamond"/>
          <w:sz w:val="24"/>
          <w:szCs w:val="24"/>
        </w:rPr>
        <w:fldChar w:fldCharType="end"/>
      </w:r>
      <w:r w:rsidRPr="00055865">
        <w:rPr>
          <w:rFonts w:ascii="Garamond" w:eastAsia="TimesNewRomanPSMT" w:hAnsi="Garamond"/>
          <w:sz w:val="24"/>
          <w:szCs w:val="24"/>
        </w:rPr>
        <w:t>.</w:t>
      </w:r>
      <w:r w:rsidR="007F1686" w:rsidRPr="00055865">
        <w:rPr>
          <w:rFonts w:ascii="Garamond" w:eastAsia="TimesNewRomanPSMT" w:hAnsi="Garamond"/>
          <w:sz w:val="24"/>
          <w:szCs w:val="24"/>
        </w:rPr>
        <w:t xml:space="preserve"> For instance,</w:t>
      </w:r>
      <w:r w:rsidRPr="00055865">
        <w:rPr>
          <w:rFonts w:ascii="Garamond" w:eastAsia="TimesNewRomanPSMT" w:hAnsi="Garamond"/>
          <w:sz w:val="24"/>
          <w:szCs w:val="24"/>
        </w:rPr>
        <w:t xml:space="preserve">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{"citationItems":[{"id":"ITEM-1","itemData":{"DOI":"10.1111/j.1937-5956.2003.tb00212.x","ISBN":"10591478","ISSN":"10591478","abstract":"To date, it is unclear as to how Environmental Management Systems (EMS) are implemented and what effects these systems have on other environmental and operational practices. This study reports empirical insights to EMS practices based on the largest EMS survey of manufacturing firms in the United States. The objective of the study is to test for a relationship between environmental management systems and perceived operations performance while considering direct and indirect effects of various environmental practices. The results of this study are supported by several field studies and provide a new source of information regarding EMS theory development. The results also indicate a positive relationship between an EMS, the environmental practices a firm engages, and operations performance measures. [Publication Abstract]","author":[{"dropping-particle":"","family":"Sroufe","given":"Robert","non-dropping-particle":"","parse-names":false,"suffix":""}],"container-title":"Production and Operations Management","id":"ITEM-1","issue":"3","issued":{"date-parts":[["2003"]]},"page":"416-431","title":"Effects of Environmental Management Systems on Environmental Management Practices and Operations","type":"article-journal","volume":"12"},"uris":["http://www.mendeley.com/documents/?uuid=c7f164d8-a742-42a9-a1eb-c5da6d9bf624"]}],"mendeley":{"formattedCitation":"(Sroufe, 2003)","manualFormatting":"Sroufe (2003)","plainTextFormattedCitation":"(Sroufe, 2003)","previouslyFormattedCitation":"(Sroufe, 2003)"},"properties":{"noteIndex":0},"schema":"https://github.com/citation-style-language/schema/raw/master/csl-citation.json"}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Sroufe (2003)</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empirically studied the relationship between waste reduction and financial performance of firms and observed that the more a firm is involved i</w:t>
      </w:r>
      <w:r w:rsidR="00653176">
        <w:rPr>
          <w:rFonts w:ascii="Garamond" w:eastAsia="TimesNewRomanPSMT" w:hAnsi="Garamond"/>
          <w:sz w:val="24"/>
          <w:szCs w:val="24"/>
        </w:rPr>
        <w:t>n waste practices; the more it</w:t>
      </w:r>
      <w:r w:rsidRPr="00055865">
        <w:rPr>
          <w:rFonts w:ascii="Garamond" w:eastAsia="TimesNewRomanPSMT" w:hAnsi="Garamond"/>
          <w:sz w:val="24"/>
          <w:szCs w:val="24"/>
        </w:rPr>
        <w:t xml:space="preserve"> enjoy</w:t>
      </w:r>
      <w:r w:rsidR="00653176">
        <w:rPr>
          <w:rFonts w:ascii="Garamond" w:eastAsia="TimesNewRomanPSMT" w:hAnsi="Garamond"/>
          <w:sz w:val="24"/>
          <w:szCs w:val="24"/>
        </w:rPr>
        <w:t>s</w:t>
      </w:r>
      <w:r w:rsidR="005B6FD7">
        <w:rPr>
          <w:rFonts w:ascii="Garamond" w:eastAsia="TimesNewRomanPSMT" w:hAnsi="Garamond"/>
          <w:sz w:val="24"/>
          <w:szCs w:val="24"/>
        </w:rPr>
        <w:t>,</w:t>
      </w:r>
      <w:r w:rsidRPr="00055865">
        <w:rPr>
          <w:rFonts w:ascii="Garamond" w:eastAsia="TimesNewRomanPSMT" w:hAnsi="Garamond"/>
          <w:sz w:val="24"/>
          <w:szCs w:val="24"/>
        </w:rPr>
        <w:t xml:space="preserve"> </w:t>
      </w:r>
      <w:r w:rsidR="005B6FD7">
        <w:rPr>
          <w:rFonts w:ascii="Garamond" w:eastAsia="TimesNewRomanPSMT" w:hAnsi="Garamond"/>
          <w:sz w:val="24"/>
          <w:szCs w:val="24"/>
        </w:rPr>
        <w:t>the</w:t>
      </w:r>
      <w:r w:rsidR="00DB6768" w:rsidRPr="00055865">
        <w:rPr>
          <w:rFonts w:ascii="Garamond" w:eastAsia="TimesNewRomanPSMT" w:hAnsi="Garamond"/>
          <w:sz w:val="24"/>
          <w:szCs w:val="24"/>
        </w:rPr>
        <w:t xml:space="preserve"> </w:t>
      </w:r>
      <w:r w:rsidRPr="00055865">
        <w:rPr>
          <w:rFonts w:ascii="Garamond" w:eastAsia="TimesNewRomanPSMT" w:hAnsi="Garamond"/>
          <w:sz w:val="24"/>
          <w:szCs w:val="24"/>
        </w:rPr>
        <w:t xml:space="preserve">stronger and positive financial performance. </w:t>
      </w:r>
      <w:r w:rsidR="00D22F69" w:rsidRPr="00055865">
        <w:rPr>
          <w:rFonts w:ascii="Garamond" w:eastAsia="TimesNewRomanPSMT" w:hAnsi="Garamond"/>
          <w:sz w:val="24"/>
          <w:szCs w:val="24"/>
        </w:rPr>
        <w:t>Strandberg &amp; Robinson (2009)</w:t>
      </w:r>
      <w:r w:rsidR="005B6FD7">
        <w:rPr>
          <w:rFonts w:ascii="Garamond" w:eastAsia="TimesNewRomanPSMT" w:hAnsi="Garamond"/>
          <w:sz w:val="24"/>
          <w:szCs w:val="24"/>
        </w:rPr>
        <w:t>,</w:t>
      </w:r>
      <w:r w:rsidR="00D22F69" w:rsidRPr="00055865">
        <w:rPr>
          <w:rFonts w:ascii="Garamond" w:eastAsia="TimesNewRomanPSMT" w:hAnsi="Garamond"/>
          <w:sz w:val="24"/>
          <w:szCs w:val="24"/>
        </w:rPr>
        <w:t xml:space="preserve"> </w:t>
      </w:r>
      <w:r w:rsidR="003E3DD2" w:rsidRPr="00055865">
        <w:rPr>
          <w:rFonts w:ascii="Garamond" w:eastAsia="TimesNewRomanPSMT" w:hAnsi="Garamond"/>
          <w:sz w:val="24"/>
          <w:szCs w:val="24"/>
        </w:rPr>
        <w:t>for instance</w:t>
      </w:r>
      <w:r w:rsidR="005B6FD7">
        <w:rPr>
          <w:rFonts w:ascii="Garamond" w:eastAsia="TimesNewRomanPSMT" w:hAnsi="Garamond"/>
          <w:sz w:val="24"/>
          <w:szCs w:val="24"/>
        </w:rPr>
        <w:t>,</w:t>
      </w:r>
      <w:r w:rsidR="003E3DD2" w:rsidRPr="00055865">
        <w:rPr>
          <w:rFonts w:ascii="Garamond" w:eastAsia="TimesNewRomanPSMT" w:hAnsi="Garamond"/>
          <w:sz w:val="24"/>
          <w:szCs w:val="24"/>
        </w:rPr>
        <w:t xml:space="preserve"> proposed that SMEs are likely to gain a market share and stay ahead of competitors if the</w:t>
      </w:r>
      <w:r w:rsidR="00AB7C08">
        <w:rPr>
          <w:rFonts w:ascii="Garamond" w:eastAsia="TimesNewRomanPSMT" w:hAnsi="Garamond"/>
          <w:sz w:val="24"/>
          <w:szCs w:val="24"/>
        </w:rPr>
        <w:t>y</w:t>
      </w:r>
      <w:r w:rsidR="003E3DD2" w:rsidRPr="00055865">
        <w:rPr>
          <w:rFonts w:ascii="Garamond" w:eastAsia="TimesNewRomanPSMT" w:hAnsi="Garamond"/>
          <w:sz w:val="24"/>
          <w:szCs w:val="24"/>
        </w:rPr>
        <w:t xml:space="preserve"> green their operations such as reducing waste from their product packaging.</w:t>
      </w:r>
      <w:r w:rsidR="001F52DC" w:rsidRPr="00055865">
        <w:rPr>
          <w:rFonts w:ascii="Garamond" w:eastAsia="TimesNewRomanPSMT" w:hAnsi="Garamond"/>
          <w:sz w:val="24"/>
          <w:szCs w:val="24"/>
        </w:rPr>
        <w:t xml:space="preserve">  On the other hand, King and Lenox (2002) found </w:t>
      </w:r>
      <w:r w:rsidR="00AB7C08">
        <w:rPr>
          <w:rFonts w:ascii="Garamond" w:eastAsia="TimesNewRomanPSMT" w:hAnsi="Garamond"/>
          <w:sz w:val="24"/>
          <w:szCs w:val="24"/>
        </w:rPr>
        <w:t xml:space="preserve">that although </w:t>
      </w:r>
      <w:r w:rsidR="001F52DC" w:rsidRPr="00055865">
        <w:rPr>
          <w:rFonts w:ascii="Garamond" w:eastAsia="TimesNewRomanPSMT" w:hAnsi="Garamond"/>
          <w:sz w:val="24"/>
          <w:szCs w:val="24"/>
        </w:rPr>
        <w:t>waste prevention</w:t>
      </w:r>
      <w:r w:rsidR="00AB7C08">
        <w:rPr>
          <w:rFonts w:ascii="Garamond" w:eastAsia="TimesNewRomanPSMT" w:hAnsi="Garamond"/>
          <w:sz w:val="24"/>
          <w:szCs w:val="24"/>
        </w:rPr>
        <w:t xml:space="preserve"> impact</w:t>
      </w:r>
      <w:r w:rsidR="005B6FD7">
        <w:rPr>
          <w:rFonts w:ascii="Garamond" w:eastAsia="TimesNewRomanPSMT" w:hAnsi="Garamond"/>
          <w:sz w:val="24"/>
          <w:szCs w:val="24"/>
        </w:rPr>
        <w:t>s</w:t>
      </w:r>
      <w:r w:rsidR="00AB7C08">
        <w:rPr>
          <w:rFonts w:ascii="Garamond" w:eastAsia="TimesNewRomanPSMT" w:hAnsi="Garamond"/>
          <w:sz w:val="24"/>
          <w:szCs w:val="24"/>
        </w:rPr>
        <w:t xml:space="preserve"> positively on financial performance, they</w:t>
      </w:r>
      <w:r w:rsidR="001F52DC" w:rsidRPr="00055865">
        <w:rPr>
          <w:rFonts w:ascii="Garamond" w:eastAsia="TimesNewRomanPSMT" w:hAnsi="Garamond"/>
          <w:sz w:val="24"/>
          <w:szCs w:val="24"/>
        </w:rPr>
        <w:t xml:space="preserve"> d</w:t>
      </w:r>
      <w:r w:rsidR="00AB7C08">
        <w:rPr>
          <w:rFonts w:ascii="Garamond" w:eastAsia="TimesNewRomanPSMT" w:hAnsi="Garamond"/>
          <w:sz w:val="24"/>
          <w:szCs w:val="24"/>
        </w:rPr>
        <w:t>id</w:t>
      </w:r>
      <w:r w:rsidR="001F52DC" w:rsidRPr="00055865">
        <w:rPr>
          <w:rFonts w:ascii="Garamond" w:eastAsia="TimesNewRomanPSMT" w:hAnsi="Garamond"/>
          <w:sz w:val="24"/>
          <w:szCs w:val="24"/>
        </w:rPr>
        <w:t xml:space="preserve"> not</w:t>
      </w:r>
      <w:r w:rsidR="00AB7C08">
        <w:rPr>
          <w:rFonts w:ascii="Garamond" w:eastAsia="TimesNewRomanPSMT" w:hAnsi="Garamond"/>
          <w:sz w:val="24"/>
          <w:szCs w:val="24"/>
        </w:rPr>
        <w:t xml:space="preserve"> discover that other measures of waste reduction also </w:t>
      </w:r>
      <w:r w:rsidR="001F52DC" w:rsidRPr="00055865">
        <w:rPr>
          <w:rFonts w:ascii="Garamond" w:eastAsia="TimesNewRomanPSMT" w:hAnsi="Garamond"/>
          <w:sz w:val="24"/>
          <w:szCs w:val="24"/>
        </w:rPr>
        <w:t xml:space="preserve">positively impact on the bottom line. This may be due to the suggestion that product quality </w:t>
      </w:r>
      <w:r w:rsidR="001F52DC" w:rsidRPr="00055865">
        <w:rPr>
          <w:rFonts w:ascii="Garamond" w:eastAsia="TimesNewRomanPSMT" w:hAnsi="Garamond"/>
          <w:sz w:val="24"/>
          <w:szCs w:val="24"/>
        </w:rPr>
        <w:lastRenderedPageBreak/>
        <w:t>and reliability may suffer as a result of usage of recycled materials and re</w:t>
      </w:r>
      <w:r w:rsidR="005B6FD7">
        <w:rPr>
          <w:rFonts w:ascii="Garamond" w:eastAsia="TimesNewRomanPSMT" w:hAnsi="Garamond"/>
          <w:sz w:val="24"/>
          <w:szCs w:val="24"/>
        </w:rPr>
        <w:t>-</w:t>
      </w:r>
      <w:r w:rsidR="001F52DC" w:rsidRPr="00055865">
        <w:rPr>
          <w:rFonts w:ascii="Garamond" w:eastAsia="TimesNewRomanPSMT" w:hAnsi="Garamond"/>
          <w:sz w:val="24"/>
          <w:szCs w:val="24"/>
        </w:rPr>
        <w:t xml:space="preserve">utilisation of components which eventually reduces firm performance </w:t>
      </w:r>
      <w:r w:rsidR="001F52DC" w:rsidRPr="00055865">
        <w:rPr>
          <w:rFonts w:ascii="Garamond" w:eastAsia="TimesNewRomanPSMT" w:hAnsi="Garamond"/>
          <w:sz w:val="24"/>
          <w:szCs w:val="24"/>
        </w:rPr>
        <w:fldChar w:fldCharType="begin" w:fldLock="1"/>
      </w:r>
      <w:r w:rsidR="001F52DC" w:rsidRPr="00055865">
        <w:rPr>
          <w:rFonts w:ascii="Garamond" w:eastAsia="TimesNewRomanPSMT" w:hAnsi="Garamond"/>
          <w:sz w:val="24"/>
          <w:szCs w:val="24"/>
        </w:rPr>
        <w:instrText>ADDIN CSL_CITATION { "citationItems" : [ { "id" : "ITEM-1", "itemData" : { "DOI" : "10.1016/j.omega.2004.03.002", "ISSN" : "03050483", "author" : [ { "dropping-particle" : "", "family" : "Gonz\u00e1lez-Benito", "given" : "Javier", "non-dropping-particle" : "", "parse-names" : false, "suffix" : "" }, { "dropping-particle" : "", "family" : "Gonz\u00e1lez-Benito", "given" : "\u00d3scar", "non-dropping-particle" : "", "parse-names" : false, "suffix" : "" } ], "container-title" : "Omega", "id" : "ITEM-1", "issue" : "1", "issued" : { "date-parts" : [ [ "2005" ] ] }, "page" : "1-15", "title" : "Environmental proactivity and business performance: an empirical analysis", "type" : "article-journal", "volume" : "33" }, "uris" : [ "http://www.mendeley.com/documents/?uuid=24171e25-2a31-4aac-820e-b028f3fa3268" ] } ], "mendeley" : { "formattedCitation" : "(Gonz\u00e1lez-Benito and Gonz\u00e1lez-Benito 2005a)", "plainTextFormattedCitation" : "(Gonz\u00e1lez-Benito and Gonz\u00e1lez-Benito 2005a)", "previouslyFormattedCitation" : "(Gonz\u00e1lez-Benito and Gonz\u00e1lez-Benito 2005a)" }, "properties" : { "noteIndex" : 0 }, "schema" : "https://github.com/citation-style-language/schema/raw/master/csl-citation.json" }</w:instrText>
      </w:r>
      <w:r w:rsidR="001F52DC" w:rsidRPr="00055865">
        <w:rPr>
          <w:rFonts w:ascii="Garamond" w:eastAsia="TimesNewRomanPSMT" w:hAnsi="Garamond"/>
          <w:sz w:val="24"/>
          <w:szCs w:val="24"/>
        </w:rPr>
        <w:fldChar w:fldCharType="separate"/>
      </w:r>
      <w:r w:rsidR="001F52DC" w:rsidRPr="00055865">
        <w:rPr>
          <w:rFonts w:ascii="Garamond" w:eastAsia="TimesNewRomanPSMT" w:hAnsi="Garamond"/>
          <w:sz w:val="24"/>
          <w:szCs w:val="24"/>
        </w:rPr>
        <w:t>(González-Benito and González-Benito, 2005)</w:t>
      </w:r>
      <w:r w:rsidR="001F52DC" w:rsidRPr="00055865">
        <w:rPr>
          <w:rFonts w:ascii="Garamond" w:eastAsia="TimesNewRomanPSMT" w:hAnsi="Garamond"/>
          <w:sz w:val="24"/>
          <w:szCs w:val="24"/>
        </w:rPr>
        <w:fldChar w:fldCharType="end"/>
      </w:r>
      <w:r w:rsidR="001F52DC" w:rsidRPr="00055865">
        <w:rPr>
          <w:rFonts w:ascii="Garamond" w:eastAsia="TimesNewRomanPSMT" w:hAnsi="Garamond"/>
          <w:sz w:val="24"/>
          <w:szCs w:val="24"/>
        </w:rPr>
        <w:t>.</w:t>
      </w:r>
    </w:p>
    <w:p w14:paraId="50311327" w14:textId="091A103A" w:rsidR="00017F15" w:rsidRPr="00055865" w:rsidRDefault="001F52DC"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Based on the above arguments on the financial implications of waste control, it is hypothesised that:</w:t>
      </w:r>
    </w:p>
    <w:p w14:paraId="1AF98933" w14:textId="77777777" w:rsidR="00017F15" w:rsidRPr="00055865" w:rsidRDefault="00017F15" w:rsidP="005B6FD7">
      <w:pPr>
        <w:tabs>
          <w:tab w:val="left" w:pos="2550"/>
        </w:tabs>
        <w:spacing w:after="0" w:line="480" w:lineRule="auto"/>
        <w:contextualSpacing/>
        <w:jc w:val="both"/>
        <w:rPr>
          <w:rFonts w:ascii="Garamond" w:eastAsia="TimesNewRomanPSMT" w:hAnsi="Garamond"/>
          <w:bCs/>
          <w:i/>
          <w:sz w:val="24"/>
          <w:szCs w:val="24"/>
        </w:rPr>
      </w:pPr>
      <w:r w:rsidRPr="00055865">
        <w:rPr>
          <w:rFonts w:ascii="Garamond" w:eastAsia="TimesNewRomanPSMT" w:hAnsi="Garamond"/>
          <w:bCs/>
          <w:i/>
          <w:sz w:val="24"/>
          <w:szCs w:val="24"/>
        </w:rPr>
        <w:t>H3: The relationship between waste management practices and financial performance is expected to be significant.</w:t>
      </w:r>
    </w:p>
    <w:p w14:paraId="79FE2055" w14:textId="77777777" w:rsidR="00017F15" w:rsidRPr="00055865" w:rsidRDefault="00017F15" w:rsidP="005B6FD7">
      <w:pPr>
        <w:tabs>
          <w:tab w:val="left" w:pos="2550"/>
        </w:tabs>
        <w:spacing w:after="0" w:line="480" w:lineRule="auto"/>
        <w:contextualSpacing/>
        <w:jc w:val="both"/>
        <w:rPr>
          <w:rFonts w:ascii="Garamond" w:eastAsia="TimesNewRomanPSMT" w:hAnsi="Garamond"/>
          <w:bCs/>
          <w:i/>
          <w:sz w:val="24"/>
          <w:szCs w:val="24"/>
        </w:rPr>
      </w:pPr>
    </w:p>
    <w:p w14:paraId="33D18927" w14:textId="6FDE260B" w:rsidR="00744667" w:rsidRPr="00055865" w:rsidRDefault="00744667" w:rsidP="005B6FD7">
      <w:pPr>
        <w:tabs>
          <w:tab w:val="left" w:pos="2550"/>
        </w:tabs>
        <w:spacing w:after="0" w:line="480" w:lineRule="auto"/>
        <w:contextualSpacing/>
        <w:jc w:val="both"/>
        <w:rPr>
          <w:rFonts w:ascii="Garamond" w:eastAsia="TimesNewRomanPSMT" w:hAnsi="Garamond"/>
          <w:bCs/>
          <w:i/>
          <w:sz w:val="24"/>
          <w:szCs w:val="24"/>
        </w:rPr>
      </w:pPr>
    </w:p>
    <w:p w14:paraId="5F628CB2" w14:textId="7638F9F1" w:rsidR="00744667" w:rsidRPr="00055865" w:rsidRDefault="00207416" w:rsidP="005B6FD7">
      <w:pPr>
        <w:tabs>
          <w:tab w:val="left" w:pos="2550"/>
        </w:tabs>
        <w:spacing w:after="0" w:line="480" w:lineRule="auto"/>
        <w:contextualSpacing/>
        <w:jc w:val="both"/>
        <w:rPr>
          <w:rFonts w:ascii="Garamond" w:eastAsia="TimesNewRomanPSMT" w:hAnsi="Garamond"/>
          <w:b/>
          <w:i/>
          <w:sz w:val="24"/>
          <w:szCs w:val="24"/>
        </w:rPr>
      </w:pPr>
      <w:r w:rsidRPr="00055865">
        <w:rPr>
          <w:rFonts w:ascii="Garamond" w:eastAsia="TimesNewRomanPSMT" w:hAnsi="Garamond"/>
          <w:b/>
          <w:bCs/>
          <w:i/>
          <w:sz w:val="24"/>
          <w:szCs w:val="24"/>
        </w:rPr>
        <w:t xml:space="preserve"> 2.2.4</w:t>
      </w:r>
      <w:r w:rsidR="00744667" w:rsidRPr="00055865">
        <w:rPr>
          <w:rFonts w:ascii="Garamond" w:eastAsia="TimesNewRomanPSMT" w:hAnsi="Garamond"/>
          <w:b/>
          <w:bCs/>
          <w:i/>
          <w:sz w:val="24"/>
          <w:szCs w:val="24"/>
        </w:rPr>
        <w:t xml:space="preserve">   </w:t>
      </w:r>
      <w:r w:rsidR="00744667" w:rsidRPr="00055865">
        <w:rPr>
          <w:rFonts w:ascii="Garamond" w:eastAsia="TimesNewRomanPSMT" w:hAnsi="Garamond"/>
          <w:b/>
          <w:i/>
          <w:sz w:val="24"/>
          <w:szCs w:val="24"/>
        </w:rPr>
        <w:t xml:space="preserve">Pollution Control and Financial Performance </w:t>
      </w:r>
    </w:p>
    <w:p w14:paraId="2D6D25C2" w14:textId="3EC06EAD" w:rsidR="00744667" w:rsidRPr="00055865" w:rsidRDefault="005116E6"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E</w:t>
      </w:r>
      <w:r w:rsidR="00744667" w:rsidRPr="00055865">
        <w:rPr>
          <w:rFonts w:ascii="Garamond" w:eastAsia="TimesNewRomanPSMT" w:hAnsi="Garamond"/>
          <w:sz w:val="24"/>
          <w:szCs w:val="24"/>
        </w:rPr>
        <w:t>xt</w:t>
      </w:r>
      <w:r w:rsidRPr="00055865">
        <w:rPr>
          <w:rFonts w:ascii="Garamond" w:eastAsia="TimesNewRomanPSMT" w:hAnsi="Garamond"/>
          <w:sz w:val="24"/>
          <w:szCs w:val="24"/>
        </w:rPr>
        <w:t>ensive</w:t>
      </w:r>
      <w:r w:rsidR="00744667" w:rsidRPr="00055865">
        <w:rPr>
          <w:rFonts w:ascii="Garamond" w:eastAsia="TimesNewRomanPSMT" w:hAnsi="Garamond"/>
          <w:sz w:val="24"/>
          <w:szCs w:val="24"/>
        </w:rPr>
        <w:t xml:space="preserve"> studies show a link between pollution control (greenhouse gases) and financial performance. </w:t>
      </w:r>
      <w:r w:rsidR="00CB65F9" w:rsidRPr="00055865">
        <w:rPr>
          <w:rFonts w:ascii="Garamond" w:eastAsia="TimesNewRomanPSMT" w:hAnsi="Garamond"/>
          <w:sz w:val="24"/>
          <w:szCs w:val="24"/>
        </w:rPr>
        <w:fldChar w:fldCharType="begin" w:fldLock="1"/>
      </w:r>
      <w:r w:rsidR="00281223" w:rsidRPr="00055865">
        <w:rPr>
          <w:rFonts w:ascii="Garamond" w:eastAsia="TimesNewRomanPSMT" w:hAnsi="Garamond"/>
          <w:sz w:val="24"/>
          <w:szCs w:val="24"/>
        </w:rPr>
        <w:instrText>ADDIN CSL_CITATION {"citationItems":[{"id":"ITEM-1","itemData":{"DOI":"10.1002/eet","ISSN":"09610405","author":[{"dropping-particle":"","family":"Earnhart","given":"Dietrich","non-dropping-particle":"","parse-names":false,"suffix":""},{"dropping-particle":"","family":"Lizal","given":"Lubomir","non-dropping-particle":"","parse-names":false,"suffix":""}],"container-title":"European Environment","id":"ITEM-1","issued":{"date-parts":[["2007"]]},"page":"247-266","title":"Effect of pollution control on corporate financial performance in a transition economy","type":"article-journal","volume":"266"},"uris":["http://www.mendeley.com/documents/?uuid=d6fa97d4-7bc2-413d-b5ff-0c7393d48b10"]}],"mendeley":{"formattedCitation":"(Earnhart &amp; Lizal, 2007)","manualFormatting":"Earnhart and Lizal (2007)","plainTextFormattedCitation":"(Earnhart &amp; Lizal, 2007)","previouslyFormattedCitation":"(Earnhart &amp; Lizal, 2007)"},"properties":{"noteIndex":0},"schema":"https://github.com/citation-style-language/schema/raw/master/csl-citation.json"}</w:instrText>
      </w:r>
      <w:r w:rsidR="00CB65F9" w:rsidRPr="00055865">
        <w:rPr>
          <w:rFonts w:ascii="Garamond" w:eastAsia="TimesNewRomanPSMT" w:hAnsi="Garamond"/>
          <w:sz w:val="24"/>
          <w:szCs w:val="24"/>
        </w:rPr>
        <w:fldChar w:fldCharType="separate"/>
      </w:r>
      <w:r w:rsidR="00CB65F9" w:rsidRPr="00055865">
        <w:rPr>
          <w:rFonts w:ascii="Garamond" w:eastAsia="TimesNewRomanPSMT" w:hAnsi="Garamond"/>
          <w:noProof/>
          <w:sz w:val="24"/>
          <w:szCs w:val="24"/>
        </w:rPr>
        <w:t xml:space="preserve">Earnhart </w:t>
      </w:r>
      <w:r w:rsidRPr="00055865">
        <w:rPr>
          <w:rFonts w:ascii="Garamond" w:eastAsia="TimesNewRomanPSMT" w:hAnsi="Garamond"/>
          <w:noProof/>
          <w:sz w:val="24"/>
          <w:szCs w:val="24"/>
        </w:rPr>
        <w:t>and</w:t>
      </w:r>
      <w:r w:rsidR="00CB65F9" w:rsidRPr="00055865">
        <w:rPr>
          <w:rFonts w:ascii="Garamond" w:eastAsia="TimesNewRomanPSMT" w:hAnsi="Garamond"/>
          <w:noProof/>
          <w:sz w:val="24"/>
          <w:szCs w:val="24"/>
        </w:rPr>
        <w:t xml:space="preserve"> Lizal (2007)</w:t>
      </w:r>
      <w:r w:rsidR="00CB65F9" w:rsidRPr="00055865">
        <w:rPr>
          <w:rFonts w:ascii="Garamond" w:eastAsia="TimesNewRomanPSMT" w:hAnsi="Garamond"/>
          <w:sz w:val="24"/>
          <w:szCs w:val="24"/>
        </w:rPr>
        <w:fldChar w:fldCharType="end"/>
      </w:r>
      <w:r w:rsidR="00CB65F9" w:rsidRPr="00055865">
        <w:rPr>
          <w:rFonts w:ascii="Garamond" w:eastAsia="TimesNewRomanPSMT" w:hAnsi="Garamond"/>
          <w:sz w:val="24"/>
          <w:szCs w:val="24"/>
        </w:rPr>
        <w:t xml:space="preserve"> </w:t>
      </w:r>
      <w:r w:rsidR="00744667" w:rsidRPr="00055865">
        <w:rPr>
          <w:rFonts w:ascii="Garamond" w:eastAsia="TimesNewRomanPSMT" w:hAnsi="Garamond"/>
          <w:sz w:val="24"/>
          <w:szCs w:val="24"/>
        </w:rPr>
        <w:t>foun</w:t>
      </w:r>
      <w:r w:rsidR="00B423C8">
        <w:rPr>
          <w:rFonts w:ascii="Garamond" w:eastAsia="TimesNewRomanPSMT" w:hAnsi="Garamond"/>
          <w:sz w:val="24"/>
          <w:szCs w:val="24"/>
        </w:rPr>
        <w:t>d that lower emissions and cost reduction</w:t>
      </w:r>
      <w:r w:rsidR="00744667" w:rsidRPr="00055865">
        <w:rPr>
          <w:rFonts w:ascii="Garamond" w:eastAsia="TimesNewRomanPSMT" w:hAnsi="Garamond"/>
          <w:sz w:val="24"/>
          <w:szCs w:val="24"/>
        </w:rPr>
        <w:t xml:space="preserve"> were achieved by Czech firms that invested in</w:t>
      </w:r>
      <w:r w:rsidR="00B423C8">
        <w:rPr>
          <w:rFonts w:ascii="Garamond" w:eastAsia="TimesNewRomanPSMT" w:hAnsi="Garamond"/>
          <w:sz w:val="24"/>
          <w:szCs w:val="24"/>
        </w:rPr>
        <w:t xml:space="preserve"> </w:t>
      </w:r>
      <w:r w:rsidR="00744667" w:rsidRPr="00055865">
        <w:rPr>
          <w:rFonts w:ascii="Garamond" w:eastAsia="TimesNewRomanPSMT" w:hAnsi="Garamond"/>
          <w:sz w:val="24"/>
          <w:szCs w:val="24"/>
        </w:rPr>
        <w:t>efficient and environmentally friendly machinery. They further observed that the new production process required less use of materials, generated less waste and demanded fewer toxic inputs. Thus, apart from the companies saving the environment through pollution reduction, the companies also benefited financially; and in effect</w:t>
      </w:r>
      <w:r w:rsidRPr="00055865">
        <w:rPr>
          <w:rFonts w:ascii="Garamond" w:eastAsia="TimesNewRomanPSMT" w:hAnsi="Garamond"/>
          <w:sz w:val="24"/>
          <w:szCs w:val="24"/>
        </w:rPr>
        <w:t>,</w:t>
      </w:r>
      <w:r w:rsidR="00B423C8">
        <w:rPr>
          <w:rFonts w:ascii="Garamond" w:eastAsia="TimesNewRomanPSMT" w:hAnsi="Garamond"/>
          <w:sz w:val="24"/>
          <w:szCs w:val="24"/>
        </w:rPr>
        <w:t xml:space="preserve"> provided</w:t>
      </w:r>
      <w:r w:rsidR="00744667" w:rsidRPr="00055865">
        <w:rPr>
          <w:rFonts w:ascii="Garamond" w:eastAsia="TimesNewRomanPSMT" w:hAnsi="Garamond"/>
          <w:sz w:val="24"/>
          <w:szCs w:val="24"/>
        </w:rPr>
        <w:t xml:space="preserve"> stronger support to the Porter "win-win” hypothesis</w:t>
      </w:r>
      <w:r w:rsidRPr="00055865">
        <w:rPr>
          <w:rFonts w:ascii="Garamond" w:eastAsia="TimesNewRomanPSMT" w:hAnsi="Garamond"/>
          <w:sz w:val="24"/>
          <w:szCs w:val="24"/>
        </w:rPr>
        <w:t xml:space="preserve"> (Porter </w:t>
      </w:r>
      <w:r w:rsidR="00BA2AA1" w:rsidRPr="00055865">
        <w:rPr>
          <w:rFonts w:ascii="Garamond" w:eastAsia="TimesNewRomanPSMT" w:hAnsi="Garamond"/>
          <w:sz w:val="24"/>
          <w:szCs w:val="24"/>
        </w:rPr>
        <w:t>&amp; Linde, 1995</w:t>
      </w:r>
      <w:r w:rsidRPr="00055865">
        <w:rPr>
          <w:rFonts w:ascii="Garamond" w:eastAsia="TimesNewRomanPSMT" w:hAnsi="Garamond"/>
          <w:sz w:val="24"/>
          <w:szCs w:val="24"/>
        </w:rPr>
        <w:t>)</w:t>
      </w:r>
      <w:r w:rsidR="00744667" w:rsidRPr="00055865">
        <w:rPr>
          <w:rFonts w:ascii="Garamond" w:eastAsia="TimesNewRomanPSMT" w:hAnsi="Garamond"/>
          <w:sz w:val="24"/>
          <w:szCs w:val="24"/>
        </w:rPr>
        <w:t>.  In explaining how companies benefit financially by investing in pollution control practices</w:t>
      </w:r>
      <w:r w:rsidR="001F52DC" w:rsidRPr="00055865">
        <w:rPr>
          <w:rFonts w:ascii="Garamond" w:eastAsia="TimesNewRomanPSMT" w:hAnsi="Garamond"/>
          <w:sz w:val="24"/>
          <w:szCs w:val="24"/>
        </w:rPr>
        <w:t xml:space="preserve"> and </w:t>
      </w:r>
      <w:r w:rsidR="00744667" w:rsidRPr="00055865">
        <w:rPr>
          <w:rFonts w:ascii="Garamond" w:eastAsia="TimesNewRomanPSMT" w:hAnsi="Garamond"/>
          <w:sz w:val="24"/>
          <w:szCs w:val="24"/>
        </w:rPr>
        <w:t xml:space="preserve">policies,  </w:t>
      </w:r>
      <w:r w:rsidR="00744667" w:rsidRPr="00055865">
        <w:rPr>
          <w:rFonts w:ascii="Garamond" w:eastAsia="TimesNewRomanPSMT" w:hAnsi="Garamond"/>
          <w:sz w:val="24"/>
          <w:szCs w:val="24"/>
        </w:rPr>
        <w:fldChar w:fldCharType="begin" w:fldLock="1"/>
      </w:r>
      <w:r w:rsidR="00744667" w:rsidRPr="00055865">
        <w:rPr>
          <w:rFonts w:ascii="Garamond" w:eastAsia="TimesNewRomanPSMT" w:hAnsi="Garamond"/>
          <w:sz w:val="24"/>
          <w:szCs w:val="24"/>
        </w:rPr>
        <w:instrText>ADDIN CSL_CITATION {"citationItems":[{"id":"ITEM-1","itemData":{"DOI":"10.1007/s10551-016-3088-8","ISSN":"15730697","abstract":"The nature of the relationship between environmental performance (EP) and firm performance (FP) of corporations is a long standing and contentious issue in the literature. This study is intended to advance this debate by arguing for the existence of curvilinear relationship and empirically testing the same using survey data on UK manufacturing firms. FP is captured in terms of growth in sales and market share. Our results show evidence for a quadratic relationship---as firms improve their EP, they seem to achieve much higher levels of FP. These results are consistent with the resource-based view of a firm; as firms engage in EP activities, they are able to gain inimitable knowledge that helps in further learning to further improve performance. Based on our results, we suggest that new studies focus on strategies to extend the period of increasing returns and maximizing the benefits of the positive association between EP and FP.","author":[{"dropping-particle":"","family":"Ramanathan","given":"Ramakrishnan","non-dropping-particle":"","parse-names":false,"suffix":""}],"container-title":"Journal of Business Ethics","id":"ITEM-1","issue":"2008","issued":{"date-parts":[["2016"]]},"page":"1-11","publisher":"Springer Netherlands","title":"Understanding Complexity: the Curvilinear Relationship Between Environmental Performance and Firm Performance","type":"article-journal"},"uris":["http://www.mendeley.com/documents/?uuid=021fac6e-0468-46e7-93b7-897425764cea"]}],"mendeley":{"formattedCitation":"(Ramanathan, 2016)","manualFormatting":"Ramanathan (2016)","plainTextFormattedCitation":"(Ramanathan, 2016)","previouslyFormattedCitation":"(Ramanathan, 2016)"},"properties":{"noteIndex":0},"schema":"https://github.com/citation-style-language/schema/raw/master/csl-citation.json"}</w:instrText>
      </w:r>
      <w:r w:rsidR="00744667" w:rsidRPr="00055865">
        <w:rPr>
          <w:rFonts w:ascii="Garamond" w:eastAsia="TimesNewRomanPSMT" w:hAnsi="Garamond"/>
          <w:sz w:val="24"/>
          <w:szCs w:val="24"/>
        </w:rPr>
        <w:fldChar w:fldCharType="separate"/>
      </w:r>
      <w:r w:rsidR="00744667" w:rsidRPr="00055865">
        <w:rPr>
          <w:rFonts w:ascii="Garamond" w:eastAsia="TimesNewRomanPSMT" w:hAnsi="Garamond"/>
          <w:noProof/>
          <w:sz w:val="24"/>
          <w:szCs w:val="24"/>
        </w:rPr>
        <w:t>Ramanathan (2016)</w:t>
      </w:r>
      <w:r w:rsidR="00744667" w:rsidRPr="00055865">
        <w:rPr>
          <w:rFonts w:ascii="Garamond" w:eastAsia="TimesNewRomanPSMT" w:hAnsi="Garamond"/>
          <w:sz w:val="24"/>
          <w:szCs w:val="24"/>
        </w:rPr>
        <w:fldChar w:fldCharType="end"/>
      </w:r>
      <w:r w:rsidR="00744667" w:rsidRPr="00055865">
        <w:rPr>
          <w:rFonts w:ascii="Garamond" w:eastAsia="TimesNewRomanPSMT" w:hAnsi="Garamond"/>
          <w:sz w:val="24"/>
          <w:szCs w:val="24"/>
        </w:rPr>
        <w:t xml:space="preserve"> buttressed the position of </w:t>
      </w:r>
      <w:r w:rsidR="00CB65F9" w:rsidRPr="00055865">
        <w:rPr>
          <w:rFonts w:ascii="Garamond" w:eastAsia="TimesNewRomanPSMT" w:hAnsi="Garamond"/>
          <w:sz w:val="24"/>
          <w:szCs w:val="24"/>
        </w:rPr>
        <w:fldChar w:fldCharType="begin" w:fldLock="1"/>
      </w:r>
      <w:r w:rsidR="00910D29" w:rsidRPr="00055865">
        <w:rPr>
          <w:rFonts w:ascii="Garamond" w:eastAsia="TimesNewRomanPSMT" w:hAnsi="Garamond"/>
          <w:sz w:val="24"/>
          <w:szCs w:val="24"/>
        </w:rPr>
        <w:instrText>ADDIN CSL_CITATION {"citationItems":[{"id":"ITEM-1","itemData":{"DOI":"10.1002/eet","ISSN":"09610405","author":[{"dropping-particle":"","family":"Earnhart","given":"Dietrich","non-dropping-particle":"","parse-names":false,"suffix":""},{"dropping-particle":"","family":"Lizal","given":"Lubomir","non-dropping-particle":"","parse-names":false,"suffix":""}],"container-title":"European Environment","id":"ITEM-1","issued":{"date-parts":[["2007"]]},"page":"247-266","title":"Effect of pollution control on corporate financial performance in a transition economy","type":"article-journal","volume":"266"},"uris":["http://www.mendeley.com/documents/?uuid=d6fa97d4-7bc2-413d-b5ff-0c7393d48b10"]}],"mendeley":{"formattedCitation":"(Earnhart &amp; Lizal, 2007)","manualFormatting":"Earnhart &amp; Lizal (2007)","plainTextFormattedCitation":"(Earnhart &amp; Lizal, 2007)","previouslyFormattedCitation":"(Earnhart &amp; Lizal, 2007)"},"properties":{"noteIndex":0},"schema":"https://github.com/citation-style-language/schema/raw/master/csl-citation.json"}</w:instrText>
      </w:r>
      <w:r w:rsidR="00CB65F9" w:rsidRPr="00055865">
        <w:rPr>
          <w:rFonts w:ascii="Garamond" w:eastAsia="TimesNewRomanPSMT" w:hAnsi="Garamond"/>
          <w:sz w:val="24"/>
          <w:szCs w:val="24"/>
        </w:rPr>
        <w:fldChar w:fldCharType="separate"/>
      </w:r>
      <w:r w:rsidR="00CB65F9" w:rsidRPr="00055865">
        <w:rPr>
          <w:rFonts w:ascii="Garamond" w:eastAsia="TimesNewRomanPSMT" w:hAnsi="Garamond"/>
          <w:noProof/>
          <w:sz w:val="24"/>
          <w:szCs w:val="24"/>
        </w:rPr>
        <w:t>Earnhart &amp; Lizal (2007)</w:t>
      </w:r>
      <w:r w:rsidR="00CB65F9" w:rsidRPr="00055865">
        <w:rPr>
          <w:rFonts w:ascii="Garamond" w:eastAsia="TimesNewRomanPSMT" w:hAnsi="Garamond"/>
          <w:sz w:val="24"/>
          <w:szCs w:val="24"/>
        </w:rPr>
        <w:fldChar w:fldCharType="end"/>
      </w:r>
      <w:r w:rsidR="00CB65F9" w:rsidRPr="00055865">
        <w:rPr>
          <w:rFonts w:ascii="Garamond" w:eastAsia="TimesNewRomanPSMT" w:hAnsi="Garamond"/>
          <w:sz w:val="24"/>
          <w:szCs w:val="24"/>
        </w:rPr>
        <w:t xml:space="preserve"> </w:t>
      </w:r>
      <w:r w:rsidR="00B423C8">
        <w:rPr>
          <w:rFonts w:ascii="Garamond" w:eastAsia="TimesNewRomanPSMT" w:hAnsi="Garamond"/>
          <w:sz w:val="24"/>
          <w:szCs w:val="24"/>
        </w:rPr>
        <w:t>and explained</w:t>
      </w:r>
      <w:r w:rsidR="00744667" w:rsidRPr="00055865">
        <w:rPr>
          <w:rFonts w:ascii="Garamond" w:eastAsia="TimesNewRomanPSMT" w:hAnsi="Garamond"/>
          <w:sz w:val="24"/>
          <w:szCs w:val="24"/>
        </w:rPr>
        <w:t xml:space="preserve"> that firms which redesign their production process or service delivery would achieve possible efficiency through an accumulation of valuable know-how on pollution prevention;  which is inimitable and that becomes a source of competitive advantage. </w:t>
      </w:r>
    </w:p>
    <w:p w14:paraId="512BA695" w14:textId="4CDDE5BD" w:rsidR="00744667" w:rsidRPr="00055865" w:rsidRDefault="00744667" w:rsidP="005B6FD7">
      <w:pPr>
        <w:tabs>
          <w:tab w:val="left" w:pos="2550"/>
        </w:tabs>
        <w:spacing w:after="0" w:line="480" w:lineRule="auto"/>
        <w:ind w:firstLine="720"/>
        <w:contextualSpacing/>
        <w:jc w:val="both"/>
        <w:rPr>
          <w:rFonts w:ascii="Garamond" w:eastAsia="TimesNewRomanPSMT" w:hAnsi="Garamond"/>
          <w:sz w:val="24"/>
          <w:szCs w:val="24"/>
        </w:rPr>
      </w:pPr>
      <w:r w:rsidRPr="00055865">
        <w:rPr>
          <w:rFonts w:ascii="Garamond" w:eastAsia="TimesNewRomanPSMT" w:hAnsi="Garamond"/>
          <w:sz w:val="24"/>
          <w:szCs w:val="24"/>
        </w:rPr>
        <w:t xml:space="preserve">The strategic benefit of pollution control </w:t>
      </w:r>
      <w:r w:rsidR="001677EC" w:rsidRPr="00055865">
        <w:rPr>
          <w:rFonts w:ascii="Garamond" w:eastAsia="TimesNewRomanPSMT" w:hAnsi="Garamond"/>
          <w:sz w:val="24"/>
          <w:szCs w:val="24"/>
        </w:rPr>
        <w:t>which creates</w:t>
      </w:r>
      <w:r w:rsidRPr="00055865">
        <w:rPr>
          <w:rFonts w:ascii="Garamond" w:eastAsia="TimesNewRomanPSMT" w:hAnsi="Garamond"/>
          <w:sz w:val="24"/>
          <w:szCs w:val="24"/>
        </w:rPr>
        <w:t xml:space="preserve"> opportunities for firms to modify the production process to translate into competitive advantage has resulted in</w:t>
      </w:r>
      <w:r w:rsidR="00B423C8">
        <w:rPr>
          <w:rFonts w:ascii="Garamond" w:eastAsia="TimesNewRomanPSMT" w:hAnsi="Garamond"/>
          <w:sz w:val="24"/>
          <w:szCs w:val="24"/>
        </w:rPr>
        <w:t xml:space="preserve"> firms lowering their pollution levels</w:t>
      </w:r>
      <w:r w:rsidRPr="00055865">
        <w:rPr>
          <w:rFonts w:ascii="Garamond" w:eastAsia="TimesNewRomanPSMT" w:hAnsi="Garamond"/>
          <w:sz w:val="24"/>
          <w:szCs w:val="24"/>
        </w:rPr>
        <w:t xml:space="preserve"> below the legal levels </w:t>
      </w:r>
      <w:r w:rsidR="00910D29" w:rsidRPr="00055865">
        <w:rPr>
          <w:rFonts w:ascii="Garamond" w:eastAsia="TimesNewRomanPSMT" w:hAnsi="Garamond"/>
          <w:sz w:val="24"/>
          <w:szCs w:val="24"/>
        </w:rPr>
        <w:t xml:space="preserve"> </w:t>
      </w:r>
      <w:r w:rsidR="00910D29" w:rsidRPr="00055865">
        <w:rPr>
          <w:rFonts w:ascii="Garamond" w:eastAsia="TimesNewRomanPSMT" w:hAnsi="Garamond"/>
          <w:sz w:val="24"/>
          <w:szCs w:val="24"/>
        </w:rPr>
        <w:fldChar w:fldCharType="begin" w:fldLock="1"/>
      </w:r>
      <w:r w:rsidR="00910D29" w:rsidRPr="00055865">
        <w:rPr>
          <w:rFonts w:ascii="Garamond" w:eastAsia="TimesNewRomanPSMT" w:hAnsi="Garamond"/>
          <w:sz w:val="24"/>
          <w:szCs w:val="24"/>
        </w:rPr>
        <w:instrText>ADDIN CSL_CITATION {"citationItems":[{"id":"ITEM-1","itemData":{"DOI":"10.1162/00346530151143815","ISBN":"00346535","ISSN":"0034-6535","PMID":"7754995","abstract":"Previous studies that attempt to relate environmental to financial performance have often led to conflicting results due to small samples and subjective environmental performance criteria. We report on a study that relates the market value of firms in the S&amp;P 500 to objective measures of their environmental performance. After controlling for variables traditionally thought to explain firm-level financial performance, we find that bad environmental performance is negatively correlated with the intangible asset value of firms. The average ‘intangible liability’ for firms in our sample is $380 million—approximately 9% of the replacement value of tangible assets. We conclude that legally emitted toxic chemicals have a significant effect on the intangible asset value of publicly traded companies. A 10% reduction in emissions of toxic chemicals results in a $34 million increase in market value. The magnitude of these effects varies across industries, with larger losses accruing to the traditionally polluting in...","author":[{"dropping-particle":"","family":"Konar","given":"Shameek","non-dropping-particle":"","parse-names":false,"suffix":""},{"dropping-particle":"","family":"Cohen","given":"Mark A.","non-dropping-particle":"","parse-names":false,"suffix":""}],"container-title":"Review of Economics and Statistics","id":"ITEM-1","issue":"2","issued":{"date-parts":[["2001"]]},"page":"281-289","title":"Does the Market Value Environmental Performance?","type":"article-journal","volume":"83"},"uris":["http://www.mendeley.com/documents/?uuid=55bf1acf-6681-428a-881e-d773cfcd22e2"]}],"mendeley":{"formattedCitation":"(Konar &amp; Cohen, 2001)","plainTextFormattedCitation":"(Konar &amp; Cohen, 2001)","previouslyFormattedCitation":"(Konar &amp; Cohen, 2001)"},"properties":{"noteIndex":0},"schema":"https://github.com/citation-style-language/schema/raw/master/csl-citation.json"}</w:instrText>
      </w:r>
      <w:r w:rsidR="00910D29" w:rsidRPr="00055865">
        <w:rPr>
          <w:rFonts w:ascii="Garamond" w:eastAsia="TimesNewRomanPSMT" w:hAnsi="Garamond"/>
          <w:sz w:val="24"/>
          <w:szCs w:val="24"/>
        </w:rPr>
        <w:fldChar w:fldCharType="separate"/>
      </w:r>
      <w:r w:rsidR="00910D29" w:rsidRPr="00055865">
        <w:rPr>
          <w:rFonts w:ascii="Garamond" w:eastAsia="TimesNewRomanPSMT" w:hAnsi="Garamond"/>
          <w:noProof/>
          <w:sz w:val="24"/>
          <w:szCs w:val="24"/>
        </w:rPr>
        <w:t>(Konar &amp; Cohen, 2001)</w:t>
      </w:r>
      <w:r w:rsidR="00910D29"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w:t>
      </w:r>
      <w:r w:rsidR="001677EC" w:rsidRPr="00055865">
        <w:rPr>
          <w:rFonts w:ascii="Garamond" w:eastAsia="TimesNewRomanPSMT" w:hAnsi="Garamond"/>
          <w:sz w:val="24"/>
          <w:szCs w:val="24"/>
        </w:rPr>
        <w:t xml:space="preserve"> </w:t>
      </w:r>
      <w:r w:rsidRPr="00055865">
        <w:rPr>
          <w:rFonts w:ascii="Garamond" w:eastAsia="TimesNewRomanPSMT" w:hAnsi="Garamond"/>
          <w:sz w:val="24"/>
          <w:szCs w:val="24"/>
        </w:rPr>
        <w:t xml:space="preserve">As shown by </w:t>
      </w:r>
      <w:r w:rsidR="00910D29" w:rsidRPr="00055865">
        <w:rPr>
          <w:rFonts w:ascii="Garamond" w:eastAsia="TimesNewRomanPSMT" w:hAnsi="Garamond"/>
          <w:sz w:val="24"/>
          <w:szCs w:val="24"/>
        </w:rPr>
        <w:fldChar w:fldCharType="begin" w:fldLock="1"/>
      </w:r>
      <w:r w:rsidR="00281223" w:rsidRPr="00055865">
        <w:rPr>
          <w:rFonts w:ascii="Garamond" w:eastAsia="TimesNewRomanPSMT" w:hAnsi="Garamond"/>
          <w:sz w:val="24"/>
          <w:szCs w:val="24"/>
        </w:rPr>
        <w:instrText>ADDIN CSL_CITATION {"citationItems":[{"id":"ITEM-1","itemData":{"ISBN":"8778732972","author":[{"dropping-particle":"","family":"Earnhart","given":"Dietrich","non-dropping-particle":"","parse-names":false,"suffix":""},{"dropping-particle":"","family":"Lizal","given":"Lubomir","non-dropping-particle":"","parse-names":false,"suffix":""}],"container-title":"Environmental &amp; Resource Economics, European Association of Environmental and Resource Economists","id":"ITEM-1","issue":"3","issued":{"date-parts":[["2010"]]},"page":"1-44","title":"The Effect of Corporate Environmental Performance on Financial Outcomes – Profits , Revenues , and Costs : Evidence from the Czech Transition Economy * Dietrich Earnhart # The Effect of Corporate Environmental Performance on Financial Outcomes – Profits ,","type":"article-journal","volume":"46"},"uris":["http://www.mendeley.com/documents/?uuid=cd7f8406-e21f-4516-bf58-32914212d635"]}],"mendeley":{"formattedCitation":"(Earnhart &amp; Lizal, 2010)","manualFormatting":"Earnhart and Lizal (2010)","plainTextFormattedCitation":"(Earnhart &amp; Lizal, 2010)","previouslyFormattedCitation":"(Earnhart &amp; Lizal, 2010)"},"properties":{"noteIndex":0},"schema":"https://github.com/citation-style-language/schema/raw/master/csl-citation.json"}</w:instrText>
      </w:r>
      <w:r w:rsidR="00910D29" w:rsidRPr="00055865">
        <w:rPr>
          <w:rFonts w:ascii="Garamond" w:eastAsia="TimesNewRomanPSMT" w:hAnsi="Garamond"/>
          <w:sz w:val="24"/>
          <w:szCs w:val="24"/>
        </w:rPr>
        <w:fldChar w:fldCharType="separate"/>
      </w:r>
      <w:r w:rsidR="00910D29" w:rsidRPr="00055865">
        <w:rPr>
          <w:rFonts w:ascii="Garamond" w:eastAsia="TimesNewRomanPSMT" w:hAnsi="Garamond"/>
          <w:noProof/>
          <w:sz w:val="24"/>
          <w:szCs w:val="24"/>
        </w:rPr>
        <w:t>Earnhart  Lizal (2010)</w:t>
      </w:r>
      <w:r w:rsidR="00910D29" w:rsidRPr="00055865">
        <w:rPr>
          <w:rFonts w:ascii="Garamond" w:eastAsia="TimesNewRomanPSMT" w:hAnsi="Garamond"/>
          <w:sz w:val="24"/>
          <w:szCs w:val="24"/>
        </w:rPr>
        <w:fldChar w:fldCharType="end"/>
      </w:r>
      <w:r w:rsidR="00DB6768" w:rsidRPr="00055865">
        <w:rPr>
          <w:rFonts w:ascii="Garamond" w:eastAsia="TimesNewRomanPSMT" w:hAnsi="Garamond"/>
          <w:sz w:val="24"/>
          <w:szCs w:val="24"/>
        </w:rPr>
        <w:t>,</w:t>
      </w:r>
      <w:r w:rsidRPr="00055865">
        <w:rPr>
          <w:rFonts w:ascii="Garamond" w:eastAsia="TimesNewRomanPSMT" w:hAnsi="Garamond"/>
          <w:sz w:val="24"/>
          <w:szCs w:val="24"/>
        </w:rPr>
        <w:t xml:space="preserve"> firms are</w:t>
      </w:r>
      <w:r w:rsidR="00910D29" w:rsidRPr="00055865">
        <w:rPr>
          <w:rFonts w:ascii="Garamond" w:eastAsia="TimesNewRomanPSMT" w:hAnsi="Garamond"/>
          <w:sz w:val="24"/>
          <w:szCs w:val="24"/>
        </w:rPr>
        <w:t xml:space="preserve"> </w:t>
      </w:r>
      <w:r w:rsidRPr="00055865">
        <w:rPr>
          <w:rFonts w:ascii="Garamond" w:eastAsia="TimesNewRomanPSMT" w:hAnsi="Garamond"/>
          <w:sz w:val="24"/>
          <w:szCs w:val="24"/>
        </w:rPr>
        <w:t xml:space="preserve">embracing riskier pollution prevention strategies by modifying their production process instead of treating it. </w:t>
      </w:r>
      <w:r w:rsidR="001677EC" w:rsidRPr="00055865">
        <w:rPr>
          <w:rFonts w:ascii="Garamond" w:eastAsia="TimesNewRomanPSMT" w:hAnsi="Garamond"/>
          <w:sz w:val="24"/>
          <w:szCs w:val="24"/>
        </w:rPr>
        <w:fldChar w:fldCharType="begin" w:fldLock="1"/>
      </w:r>
      <w:r w:rsidR="0089722B" w:rsidRPr="00055865">
        <w:rPr>
          <w:rFonts w:ascii="Garamond" w:eastAsia="TimesNewRomanPSMT" w:hAnsi="Garamond"/>
          <w:sz w:val="24"/>
          <w:szCs w:val="24"/>
        </w:rPr>
        <w:instrText>ADDIN CSL_CITATION {"citationItems":[{"id":"ITEM-1","itemData":{"ISBN":"8778732972","author":[{"dropping-particle":"","family":"Earnhart","given":"Dietrich","non-dropping-particle":"","parse-names":false,"suffix":""},{"dropping-particle":"","family":"Lizal","given":"Lubomir","non-dropping-particle":"","parse-names":false,"suffix":""}],"container-title":"Environmental &amp; Resource Economics, European Association of Environmental and Resource Economists","id":"ITEM-1","issue":"3","issued":{"date-parts":[["2010"]]},"page":"1-44","title":"The Effect of Corporate Environmental Performance on Financial Outcomes – Profits , Revenues , and Costs : Evidence from the Czech Transition Economy * Dietrich Earnhart # The Effect of Corporate Environmental Performance on Financial Outcomes – Profits ,","type":"article-journal","volume":"46"},"uris":["http://www.mendeley.com/documents/?uuid=cd7f8406-e21f-4516-bf58-32914212d635"]}],"mendeley":{"formattedCitation":"(Earnhart &amp; Lizal, 2010)","manualFormatting":"Earnhart &amp; and Lizal (2010)","plainTextFormattedCitation":"(Earnhart &amp; Lizal, 2010)","previouslyFormattedCitation":"(Earnhart &amp; Lizal, 2010)"},"properties":{"noteIndex":0},"schema":"https://github.com/citation-style-language/schema/raw/master/csl-citation.json"}</w:instrText>
      </w:r>
      <w:r w:rsidR="001677EC" w:rsidRPr="00055865">
        <w:rPr>
          <w:rFonts w:ascii="Garamond" w:eastAsia="TimesNewRomanPSMT" w:hAnsi="Garamond"/>
          <w:sz w:val="24"/>
          <w:szCs w:val="24"/>
        </w:rPr>
        <w:fldChar w:fldCharType="separate"/>
      </w:r>
      <w:r w:rsidR="001677EC" w:rsidRPr="00055865">
        <w:rPr>
          <w:rFonts w:ascii="Garamond" w:eastAsia="TimesNewRomanPSMT" w:hAnsi="Garamond"/>
          <w:noProof/>
          <w:sz w:val="24"/>
          <w:szCs w:val="24"/>
        </w:rPr>
        <w:t xml:space="preserve">Earnhart </w:t>
      </w:r>
      <w:r w:rsidR="0089722B" w:rsidRPr="00055865">
        <w:rPr>
          <w:rFonts w:ascii="Garamond" w:eastAsia="TimesNewRomanPSMT" w:hAnsi="Garamond"/>
          <w:noProof/>
          <w:sz w:val="24"/>
          <w:szCs w:val="24"/>
        </w:rPr>
        <w:t xml:space="preserve">&amp; </w:t>
      </w:r>
      <w:r w:rsidR="001677EC" w:rsidRPr="00055865">
        <w:rPr>
          <w:rFonts w:ascii="Garamond" w:eastAsia="TimesNewRomanPSMT" w:hAnsi="Garamond"/>
          <w:noProof/>
          <w:sz w:val="24"/>
          <w:szCs w:val="24"/>
        </w:rPr>
        <w:t xml:space="preserve"> Lizal (2010)</w:t>
      </w:r>
      <w:r w:rsidR="001677EC"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recognise that while </w:t>
      </w:r>
      <w:r w:rsidR="00B423C8">
        <w:rPr>
          <w:rFonts w:ascii="Garamond" w:eastAsia="TimesNewRomanPSMT" w:hAnsi="Garamond"/>
          <w:sz w:val="24"/>
          <w:szCs w:val="24"/>
        </w:rPr>
        <w:t>pollution prevention initiative</w:t>
      </w:r>
      <w:r w:rsidR="001677EC" w:rsidRPr="00055865">
        <w:rPr>
          <w:rFonts w:ascii="Garamond" w:eastAsia="TimesNewRomanPSMT" w:hAnsi="Garamond"/>
          <w:sz w:val="24"/>
          <w:szCs w:val="24"/>
        </w:rPr>
        <w:t xml:space="preserve"> strategies are</w:t>
      </w:r>
      <w:r w:rsidRPr="00055865">
        <w:rPr>
          <w:rFonts w:ascii="Garamond" w:eastAsia="TimesNewRomanPSMT" w:hAnsi="Garamond"/>
          <w:sz w:val="24"/>
          <w:szCs w:val="24"/>
        </w:rPr>
        <w:t xml:space="preserve"> riskier, proactive pollution abatement strategies may reduce pollution and </w:t>
      </w:r>
      <w:r w:rsidRPr="00055865">
        <w:rPr>
          <w:rFonts w:ascii="Garamond" w:eastAsia="TimesNewRomanPSMT" w:hAnsi="Garamond"/>
          <w:sz w:val="24"/>
          <w:szCs w:val="24"/>
        </w:rPr>
        <w:lastRenderedPageBreak/>
        <w:t>reduce costs</w:t>
      </w:r>
      <w:r w:rsidR="005B6FD7">
        <w:rPr>
          <w:rFonts w:ascii="Garamond" w:eastAsia="TimesNewRomanPSMT" w:hAnsi="Garamond"/>
          <w:sz w:val="24"/>
          <w:szCs w:val="24"/>
        </w:rPr>
        <w:t>,</w:t>
      </w:r>
      <w:r w:rsidR="00B423C8">
        <w:rPr>
          <w:rFonts w:ascii="Garamond" w:eastAsia="TimesNewRomanPSMT" w:hAnsi="Garamond"/>
          <w:sz w:val="24"/>
          <w:szCs w:val="24"/>
        </w:rPr>
        <w:t xml:space="preserve"> thereby</w:t>
      </w:r>
      <w:r w:rsidR="001677EC" w:rsidRPr="00055865">
        <w:rPr>
          <w:rFonts w:ascii="Garamond" w:eastAsia="TimesNewRomanPSMT" w:hAnsi="Garamond"/>
          <w:sz w:val="24"/>
          <w:szCs w:val="24"/>
        </w:rPr>
        <w:t xml:space="preserve"> impacting positively on </w:t>
      </w:r>
      <w:r w:rsidR="005B6FD7">
        <w:rPr>
          <w:rFonts w:ascii="Garamond" w:eastAsia="TimesNewRomanPSMT" w:hAnsi="Garamond"/>
          <w:sz w:val="24"/>
          <w:szCs w:val="24"/>
        </w:rPr>
        <w:t xml:space="preserve">the </w:t>
      </w:r>
      <w:r w:rsidR="001677EC" w:rsidRPr="00055865">
        <w:rPr>
          <w:rFonts w:ascii="Garamond" w:eastAsia="TimesNewRomanPSMT" w:hAnsi="Garamond"/>
          <w:sz w:val="24"/>
          <w:szCs w:val="24"/>
        </w:rPr>
        <w:t>financial performance of the firm</w:t>
      </w:r>
      <w:r w:rsidRPr="00055865">
        <w:rPr>
          <w:rFonts w:ascii="Garamond" w:eastAsia="TimesNewRomanPSMT" w:hAnsi="Garamond"/>
          <w:sz w:val="24"/>
          <w:szCs w:val="24"/>
        </w:rPr>
        <w:t>. Pollution is also cons</w:t>
      </w:r>
      <w:r w:rsidR="00B423C8">
        <w:rPr>
          <w:rFonts w:ascii="Garamond" w:eastAsia="TimesNewRomanPSMT" w:hAnsi="Garamond"/>
          <w:sz w:val="24"/>
          <w:szCs w:val="24"/>
        </w:rPr>
        <w:t>idered as a sign of inefficient</w:t>
      </w:r>
      <w:r w:rsidRPr="00055865">
        <w:rPr>
          <w:rFonts w:ascii="Garamond" w:eastAsia="TimesNewRomanPSMT" w:hAnsi="Garamond"/>
          <w:sz w:val="24"/>
          <w:szCs w:val="24"/>
        </w:rPr>
        <w:t xml:space="preserve"> and ineffective use of resources</w:t>
      </w:r>
      <w:r w:rsidR="001424BB" w:rsidRPr="00055865">
        <w:rPr>
          <w:rFonts w:ascii="Garamond" w:eastAsia="TimesNewRomanPSMT" w:hAnsi="Garamond"/>
          <w:sz w:val="24"/>
          <w:szCs w:val="24"/>
        </w:rPr>
        <w:t xml:space="preserve"> </w:t>
      </w:r>
      <w:r w:rsidR="000F3FB9" w:rsidRPr="00055865">
        <w:rPr>
          <w:rFonts w:ascii="Garamond" w:eastAsia="TimesNewRomanPSMT" w:hAnsi="Garamond"/>
          <w:sz w:val="24"/>
          <w:szCs w:val="24"/>
        </w:rPr>
        <w:fldChar w:fldCharType="begin" w:fldLock="1"/>
      </w:r>
      <w:r w:rsidR="000F3FB9" w:rsidRPr="00055865">
        <w:rPr>
          <w:rFonts w:ascii="Garamond" w:eastAsia="TimesNewRomanPSMT" w:hAnsi="Garamond"/>
          <w:sz w:val="24"/>
          <w:szCs w:val="24"/>
        </w:rPr>
        <w:instrText>ADDIN CSL_CITATION {"citationItems":[{"id":"ITEM-1","itemData":{"DOI":"10.1177/1086026613510301","ISBN":"1086-0266\\r1552-7417","ISSN":"1086-0266","abstract":"The relationship between corporate environmental performance and\\nfinancial performance has received a high degree of attention in\\nresearch literature and the results are still contradictory. Most of the\\nfindings have shown that environmental performance improves financial\\nperformance while others have suggested that the relationship is neutral\\nor even negative. Our article integrates prior research studying this\\nrelationship and identifies the potential moderators that may have\\nplayed a role in the apparent inconsistent results observed to date. We\\nconducted a meta-analysis of 52 studies over a 35-year period that\\nconfirms a positive relationship between environmental performance and\\nfinancial performance. Moderators' analysis reveals that the\\nrelationship is significantly influenced by the environmental and\\nfinancial performance measures, the regional differences, the activity\\nsector and the duration of the studies. After discussing the theoretical\\nand managerial implications, this meta-analysis tries to answer the\\nquestion: When and how does it pay to be green?","author":[{"dropping-particle":"","family":"Albertini","given":"Elisabeth","non-dropping-particle":"","parse-names":false,"suffix":""}],"container-title":"Organization &amp; Environment","id":"ITEM-1","issue":"4","issued":{"date-parts":[["2013"]]},"page":"431-457","title":"Does Environmental Management Improve Financial Performance? A Meta-Analytical Review","type":"article-journal","volume":"26"},"uris":["http://www.mendeley.com/documents/?uuid=a619668d-77c6-4b3b-9195-86d8d94ab175"]}],"mendeley":{"formattedCitation":"(Albertini, 2013)","plainTextFormattedCitation":"(Albertini, 2013)","previouslyFormattedCitation":"(Albertini, 2013)"},"properties":{"noteIndex":0},"schema":"https://github.com/citation-style-language/schema/raw/master/csl-citation.json"}</w:instrText>
      </w:r>
      <w:r w:rsidR="000F3FB9" w:rsidRPr="00055865">
        <w:rPr>
          <w:rFonts w:ascii="Garamond" w:eastAsia="TimesNewRomanPSMT" w:hAnsi="Garamond"/>
          <w:sz w:val="24"/>
          <w:szCs w:val="24"/>
        </w:rPr>
        <w:fldChar w:fldCharType="separate"/>
      </w:r>
      <w:r w:rsidR="000F3FB9" w:rsidRPr="00055865">
        <w:rPr>
          <w:rFonts w:ascii="Garamond" w:eastAsia="TimesNewRomanPSMT" w:hAnsi="Garamond"/>
          <w:noProof/>
          <w:sz w:val="24"/>
          <w:szCs w:val="24"/>
        </w:rPr>
        <w:t>(Albertini, 2013)</w:t>
      </w:r>
      <w:r w:rsidR="000F3FB9" w:rsidRPr="00055865">
        <w:rPr>
          <w:rFonts w:ascii="Garamond" w:eastAsia="TimesNewRomanPSMT" w:hAnsi="Garamond"/>
          <w:sz w:val="24"/>
          <w:szCs w:val="24"/>
        </w:rPr>
        <w:fldChar w:fldCharType="end"/>
      </w:r>
      <w:r w:rsidR="00B423C8">
        <w:rPr>
          <w:rFonts w:ascii="Garamond" w:eastAsia="TimesNewRomanPSMT" w:hAnsi="Garamond"/>
          <w:sz w:val="24"/>
          <w:szCs w:val="24"/>
        </w:rPr>
        <w:t>,</w:t>
      </w:r>
      <w:r w:rsidR="001677EC" w:rsidRPr="00055865">
        <w:rPr>
          <w:rFonts w:ascii="Garamond" w:eastAsia="TimesNewRomanPSMT" w:hAnsi="Garamond"/>
          <w:sz w:val="24"/>
          <w:szCs w:val="24"/>
        </w:rPr>
        <w:t xml:space="preserve"> and as such</w:t>
      </w:r>
      <w:r w:rsidR="000F3FB9" w:rsidRPr="00055865">
        <w:rPr>
          <w:rFonts w:ascii="Garamond" w:eastAsia="TimesNewRomanPSMT" w:hAnsi="Garamond"/>
          <w:sz w:val="24"/>
          <w:szCs w:val="24"/>
        </w:rPr>
        <w:t xml:space="preserve"> prevention and control</w:t>
      </w:r>
      <w:r w:rsidR="001677EC" w:rsidRPr="00055865">
        <w:rPr>
          <w:rFonts w:ascii="Garamond" w:eastAsia="TimesNewRomanPSMT" w:hAnsi="Garamond"/>
          <w:sz w:val="24"/>
          <w:szCs w:val="24"/>
        </w:rPr>
        <w:t>ling</w:t>
      </w:r>
      <w:r w:rsidR="000F3FB9" w:rsidRPr="00055865">
        <w:rPr>
          <w:rFonts w:ascii="Garamond" w:eastAsia="TimesNewRomanPSMT" w:hAnsi="Garamond"/>
          <w:sz w:val="24"/>
          <w:szCs w:val="24"/>
        </w:rPr>
        <w:t xml:space="preserve"> strategies are likely to</w:t>
      </w:r>
      <w:r w:rsidR="001677EC" w:rsidRPr="00055865">
        <w:rPr>
          <w:rFonts w:ascii="Garamond" w:eastAsia="TimesNewRomanPSMT" w:hAnsi="Garamond"/>
          <w:sz w:val="24"/>
          <w:szCs w:val="24"/>
        </w:rPr>
        <w:t xml:space="preserve"> </w:t>
      </w:r>
      <w:r w:rsidR="005B6FD7">
        <w:rPr>
          <w:rFonts w:ascii="Garamond" w:eastAsia="TimesNewRomanPSMT" w:hAnsi="Garamond"/>
          <w:sz w:val="24"/>
          <w:szCs w:val="24"/>
        </w:rPr>
        <w:t>impact on financial performance through cost savings positively</w:t>
      </w:r>
      <w:r w:rsidR="000F3FB9" w:rsidRPr="00055865">
        <w:rPr>
          <w:rFonts w:ascii="Garamond" w:eastAsia="TimesNewRomanPSMT" w:hAnsi="Garamond"/>
          <w:sz w:val="24"/>
          <w:szCs w:val="24"/>
        </w:rPr>
        <w:t xml:space="preserve">.  </w:t>
      </w:r>
      <w:r w:rsidR="001677EC" w:rsidRPr="00055865">
        <w:rPr>
          <w:rFonts w:ascii="Garamond" w:eastAsia="TimesNewRomanPSMT" w:hAnsi="Garamond"/>
          <w:sz w:val="24"/>
          <w:szCs w:val="24"/>
        </w:rPr>
        <w:t xml:space="preserve">Drawing </w:t>
      </w:r>
      <w:r w:rsidR="000F3FB9" w:rsidRPr="00055865">
        <w:rPr>
          <w:rFonts w:ascii="Garamond" w:eastAsia="TimesNewRomanPSMT" w:hAnsi="Garamond"/>
          <w:sz w:val="24"/>
          <w:szCs w:val="24"/>
        </w:rPr>
        <w:t>on the Natural-Resource-Based View of</w:t>
      </w:r>
      <w:r w:rsidR="00910D29" w:rsidRPr="00055865">
        <w:rPr>
          <w:rFonts w:ascii="Garamond" w:eastAsia="TimesNewRomanPSMT" w:hAnsi="Garamond"/>
          <w:sz w:val="24"/>
          <w:szCs w:val="24"/>
        </w:rPr>
        <w:t xml:space="preserve"> </w:t>
      </w:r>
      <w:r w:rsidR="00910D29" w:rsidRPr="00055865">
        <w:rPr>
          <w:rFonts w:ascii="Garamond" w:eastAsia="TimesNewRomanPSMT" w:hAnsi="Garamond"/>
          <w:sz w:val="24"/>
          <w:szCs w:val="24"/>
        </w:rPr>
        <w:fldChar w:fldCharType="begin" w:fldLock="1"/>
      </w:r>
      <w:r w:rsidR="00910D29" w:rsidRPr="00055865">
        <w:rPr>
          <w:rFonts w:ascii="Garamond" w:eastAsia="TimesNewRomanPSMT" w:hAnsi="Garamond"/>
          <w:sz w:val="24"/>
          <w:szCs w:val="24"/>
        </w:rPr>
        <w:instrText>ADDIN CSL_CITATION {"citationItems":[{"id":"ITEM-1","itemData":{"abstract":"Hart, S. L. (1995), A natural – resource – based view of the firm, Academy Management Review, 20(4), pp. 966-1014.","author":[{"dropping-particle":"","family":"Hart","given":"S. L.","non-dropping-particle":"","parse-names":false,"suffix":""}],"container-title":"Academy Management Review","id":"ITEM-1","issue":"4","issued":{"date-parts":[["1995"]]},"page":"966-1014","title":"A natural – resource – based view of the firm","type":"article-journal","volume":"20"},"uris":["http://www.mendeley.com/documents/?uuid=249e5a9c-e0d6-4e3b-b7fe-42bd71f3b4ab"]}],"mendeley":{"formattedCitation":"(S. L. Hart, 1995)","manualFormatting":"Hart (1995)","plainTextFormattedCitation":"(S. L. Hart, 1995)","previouslyFormattedCitation":"(S. L. Hart, 1995)"},"properties":{"noteIndex":0},"schema":"https://github.com/citation-style-language/schema/raw/master/csl-citation.json"}</w:instrText>
      </w:r>
      <w:r w:rsidR="00910D29" w:rsidRPr="00055865">
        <w:rPr>
          <w:rFonts w:ascii="Garamond" w:eastAsia="TimesNewRomanPSMT" w:hAnsi="Garamond"/>
          <w:sz w:val="24"/>
          <w:szCs w:val="24"/>
        </w:rPr>
        <w:fldChar w:fldCharType="separate"/>
      </w:r>
      <w:r w:rsidR="00910D29" w:rsidRPr="00055865">
        <w:rPr>
          <w:rFonts w:ascii="Garamond" w:eastAsia="TimesNewRomanPSMT" w:hAnsi="Garamond"/>
          <w:noProof/>
          <w:sz w:val="24"/>
          <w:szCs w:val="24"/>
        </w:rPr>
        <w:t>Hart (1995)</w:t>
      </w:r>
      <w:r w:rsidR="00910D29" w:rsidRPr="00055865">
        <w:rPr>
          <w:rFonts w:ascii="Garamond" w:eastAsia="TimesNewRomanPSMT" w:hAnsi="Garamond"/>
          <w:sz w:val="24"/>
          <w:szCs w:val="24"/>
        </w:rPr>
        <w:fldChar w:fldCharType="end"/>
      </w:r>
      <w:r w:rsidR="000F3FB9" w:rsidRPr="00055865">
        <w:rPr>
          <w:rFonts w:ascii="Garamond" w:eastAsia="TimesNewRomanPSMT" w:hAnsi="Garamond"/>
          <w:sz w:val="24"/>
          <w:szCs w:val="24"/>
        </w:rPr>
        <w:t xml:space="preserve">, Albertini </w:t>
      </w:r>
      <w:r w:rsidR="00407C5C" w:rsidRPr="00055865">
        <w:rPr>
          <w:rFonts w:ascii="Garamond" w:eastAsia="TimesNewRomanPSMT" w:hAnsi="Garamond"/>
          <w:sz w:val="24"/>
          <w:szCs w:val="24"/>
        </w:rPr>
        <w:t xml:space="preserve">(2013) indicated that product stewardship and </w:t>
      </w:r>
      <w:r w:rsidR="00B423C8">
        <w:rPr>
          <w:rFonts w:ascii="Garamond" w:eastAsia="TimesNewRomanPSMT" w:hAnsi="Garamond"/>
          <w:sz w:val="24"/>
          <w:szCs w:val="24"/>
        </w:rPr>
        <w:t>the incorporation of</w:t>
      </w:r>
      <w:r w:rsidR="00407C5C" w:rsidRPr="00055865">
        <w:rPr>
          <w:rFonts w:ascii="Garamond" w:eastAsia="TimesNewRomanPSMT" w:hAnsi="Garamond"/>
          <w:sz w:val="24"/>
          <w:szCs w:val="24"/>
        </w:rPr>
        <w:t xml:space="preserve"> environmental concerns into product design and </w:t>
      </w:r>
      <w:r w:rsidR="00B423C8">
        <w:rPr>
          <w:rFonts w:ascii="Garamond" w:eastAsia="TimesNewRomanPSMT" w:hAnsi="Garamond"/>
          <w:sz w:val="24"/>
          <w:szCs w:val="24"/>
        </w:rPr>
        <w:t xml:space="preserve">the </w:t>
      </w:r>
      <w:r w:rsidR="00407C5C" w:rsidRPr="00055865">
        <w:rPr>
          <w:rFonts w:ascii="Garamond" w:eastAsia="TimesNewRomanPSMT" w:hAnsi="Garamond"/>
          <w:sz w:val="24"/>
          <w:szCs w:val="24"/>
        </w:rPr>
        <w:t>production process c</w:t>
      </w:r>
      <w:r w:rsidR="00DB6768" w:rsidRPr="00055865">
        <w:rPr>
          <w:rFonts w:ascii="Garamond" w:eastAsia="TimesNewRomanPSMT" w:hAnsi="Garamond"/>
          <w:sz w:val="24"/>
          <w:szCs w:val="24"/>
        </w:rPr>
        <w:t>ould</w:t>
      </w:r>
      <w:r w:rsidR="00407C5C" w:rsidRPr="00055865">
        <w:rPr>
          <w:rFonts w:ascii="Garamond" w:eastAsia="TimesNewRomanPSMT" w:hAnsi="Garamond"/>
          <w:sz w:val="24"/>
          <w:szCs w:val="24"/>
        </w:rPr>
        <w:t xml:space="preserve"> result in competitive advantage through first</w:t>
      </w:r>
      <w:r w:rsidR="00DB6768" w:rsidRPr="00055865">
        <w:rPr>
          <w:rFonts w:ascii="Garamond" w:eastAsia="TimesNewRomanPSMT" w:hAnsi="Garamond"/>
          <w:sz w:val="24"/>
          <w:szCs w:val="24"/>
        </w:rPr>
        <w:t>-</w:t>
      </w:r>
      <w:r w:rsidR="00407C5C" w:rsidRPr="00055865">
        <w:rPr>
          <w:rFonts w:ascii="Garamond" w:eastAsia="TimesNewRomanPSMT" w:hAnsi="Garamond"/>
          <w:sz w:val="24"/>
          <w:szCs w:val="24"/>
        </w:rPr>
        <w:t>mover strategy in emerging environmental sustainability product markets.</w:t>
      </w:r>
    </w:p>
    <w:p w14:paraId="200B1BF3" w14:textId="1D820231" w:rsidR="001F52DC" w:rsidRPr="00055865" w:rsidRDefault="00181684"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fldChar w:fldCharType="begin" w:fldLock="1"/>
      </w:r>
      <w:r w:rsidR="00910D29" w:rsidRPr="00055865">
        <w:rPr>
          <w:rFonts w:ascii="Garamond" w:eastAsia="TimesNewRomanPSMT" w:hAnsi="Garamond"/>
          <w:sz w:val="24"/>
          <w:szCs w:val="24"/>
        </w:rPr>
        <w:instrText>ADDIN CSL_CITATION {"citationItems":[{"id":"ITEM-1","itemData":{"DOI":"10.1177/0149206310390219","ISBN":"01492063","ISSN":"01492063","PMID":"9512280033","abstract":"The authors revisit Hart's natural-resource-based view (NRBV) of the firm and summarize progress that has been made in testing elements of that theory and reevaluate the NRBV in light of a number of important developments that have emerged in recent years in both the resource-based view literature and in research on sustainable enterprise. First, the authors consider how the NRBV can both benefit from recent work in dynamic capabilities and can itself inform such work. Second, they review recent research in the areas of clean technology and business at the base of the pyramid and suggest how the NRBV can help inform research on the resources and capabilities needed to enter and succeed in these domains.","author":[{"dropping-particle":"","family":"Hart","given":"Stuart L.","non-dropping-particle":"","parse-names":false,"suffix":""},{"dropping-particle":"","family":"Dowell","given":"Glen","non-dropping-particle":"","parse-names":false,"suffix":""}],"container-title":"Journal of Management","id":"ITEM-1","issue":"5","issued":{"date-parts":[["2011"]]},"page":"1464-1479","title":"A natural-resource-based view of the firm: Fifteen years after","type":"article","volume":"37"},"uris":["http://www.mendeley.com/documents/?uuid=678cb056-55f8-44f9-b1a8-d8dae135c825"]}],"mendeley":{"formattedCitation":"(Stuart L. Hart &amp; Dowell, 2011)","manualFormatting":"              Similarly,  ","plainTextFormattedCitation":"(Stuart L. Hart &amp; Dowell, 2011)","previouslyFormattedCitation":"(Stuart L. Hart &amp; Dowell, 2011)"},"properties":{"noteIndex":0},"schema":"https://github.com/citation-style-language/schema/raw/master/csl-citation.json"}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 xml:space="preserve">              Similarly,  </w:t>
      </w:r>
      <w:r w:rsidRPr="00055865">
        <w:rPr>
          <w:rFonts w:ascii="Garamond" w:eastAsia="TimesNewRomanPSMT" w:hAnsi="Garamond"/>
          <w:sz w:val="24"/>
          <w:szCs w:val="24"/>
        </w:rPr>
        <w:fldChar w:fldCharType="end"/>
      </w:r>
      <w:r w:rsidR="00910D29" w:rsidRPr="00055865">
        <w:rPr>
          <w:rFonts w:ascii="Garamond" w:eastAsia="TimesNewRomanPSMT" w:hAnsi="Garamond"/>
          <w:sz w:val="24"/>
          <w:szCs w:val="24"/>
        </w:rPr>
        <w:fldChar w:fldCharType="begin" w:fldLock="1"/>
      </w:r>
      <w:r w:rsidR="00281223" w:rsidRPr="00055865">
        <w:rPr>
          <w:rFonts w:ascii="Garamond" w:eastAsia="TimesNewRomanPSMT" w:hAnsi="Garamond"/>
          <w:sz w:val="24"/>
          <w:szCs w:val="24"/>
        </w:rPr>
        <w:instrText>ADDIN CSL_CITATION {"citationItems":[{"id":"ITEM-1","itemData":{"DOI":"10.1177/0149206310390219","ISBN":"01492063","ISSN":"01492063","PMID":"9512280033","abstract":"The authors revisit Hart's natural-resource-based view (NRBV) of the firm and summarize progress that has been made in testing elements of that theory and reevaluate the NRBV in light of a number of important developments that have emerged in recent years in both the resource-based view literature and in research on sustainable enterprise. First, the authors consider how the NRBV can both benefit from recent work in dynamic capabilities and can itself inform such work. Second, they review recent research in the areas of clean technology and business at the base of the pyramid and suggest how the NRBV can help inform research on the resources and capabilities needed to enter and succeed in these domains.","author":[{"dropping-particle":"","family":"Hart","given":"Stuart L.","non-dropping-particle":"","parse-names":false,"suffix":""},{"dropping-particle":"","family":"Dowell","given":"Glen","non-dropping-particle":"","parse-names":false,"suffix":""}],"container-title":"Journal of Management","id":"ITEM-1","issue":"5","issued":{"date-parts":[["2011"]]},"page":"1464-1479","title":"A natural-resource-based view of the firm: Fifteen years after","type":"article","volume":"37"},"uris":["http://www.mendeley.com/documents/?uuid=678cb056-55f8-44f9-b1a8-d8dae135c825"]}],"mendeley":{"formattedCitation":"(Stuart L. Hart &amp; Dowell, 2011)","manualFormatting":"Hart and Dowell (2011)","plainTextFormattedCitation":"(Stuart L. Hart &amp; Dowell, 2011)","previouslyFormattedCitation":"(Stuart L. Hart &amp; Dowell, 2011)"},"properties":{"noteIndex":0},"schema":"https://github.com/citation-style-language/schema/raw/master/csl-citation.json"}</w:instrText>
      </w:r>
      <w:r w:rsidR="00910D29" w:rsidRPr="00055865">
        <w:rPr>
          <w:rFonts w:ascii="Garamond" w:eastAsia="TimesNewRomanPSMT" w:hAnsi="Garamond"/>
          <w:sz w:val="24"/>
          <w:szCs w:val="24"/>
        </w:rPr>
        <w:fldChar w:fldCharType="separate"/>
      </w:r>
      <w:r w:rsidR="00910D29" w:rsidRPr="00055865">
        <w:rPr>
          <w:rFonts w:ascii="Garamond" w:eastAsia="TimesNewRomanPSMT" w:hAnsi="Garamond"/>
          <w:noProof/>
          <w:sz w:val="24"/>
          <w:szCs w:val="24"/>
        </w:rPr>
        <w:t xml:space="preserve">Hart </w:t>
      </w:r>
      <w:r w:rsidR="001677EC" w:rsidRPr="00055865">
        <w:rPr>
          <w:rFonts w:ascii="Garamond" w:eastAsia="TimesNewRomanPSMT" w:hAnsi="Garamond"/>
          <w:noProof/>
          <w:sz w:val="24"/>
          <w:szCs w:val="24"/>
        </w:rPr>
        <w:t>and</w:t>
      </w:r>
      <w:r w:rsidR="00910D29" w:rsidRPr="00055865">
        <w:rPr>
          <w:rFonts w:ascii="Garamond" w:eastAsia="TimesNewRomanPSMT" w:hAnsi="Garamond"/>
          <w:noProof/>
          <w:sz w:val="24"/>
          <w:szCs w:val="24"/>
        </w:rPr>
        <w:t xml:space="preserve"> Dowell (2011)</w:t>
      </w:r>
      <w:r w:rsidR="00910D29"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w:t>
      </w:r>
      <w:r w:rsidR="001F52DC" w:rsidRPr="00055865">
        <w:rPr>
          <w:rFonts w:ascii="Garamond" w:eastAsia="TimesNewRomanPSMT" w:hAnsi="Garamond"/>
          <w:sz w:val="24"/>
          <w:szCs w:val="24"/>
        </w:rPr>
        <w:t xml:space="preserve">using </w:t>
      </w:r>
      <w:r w:rsidRPr="00055865">
        <w:rPr>
          <w:rFonts w:ascii="Garamond" w:eastAsia="TimesNewRomanPSMT" w:hAnsi="Garamond"/>
          <w:sz w:val="24"/>
          <w:szCs w:val="24"/>
        </w:rPr>
        <w:t xml:space="preserve">both the </w:t>
      </w:r>
      <w:r w:rsidR="001F52DC" w:rsidRPr="00055865">
        <w:rPr>
          <w:rFonts w:ascii="Garamond" w:eastAsia="TimesNewRomanPSMT" w:hAnsi="Garamond"/>
          <w:sz w:val="24"/>
          <w:szCs w:val="24"/>
        </w:rPr>
        <w:t xml:space="preserve">natural </w:t>
      </w:r>
      <w:r w:rsidRPr="00055865">
        <w:rPr>
          <w:rFonts w:ascii="Garamond" w:eastAsia="TimesNewRomanPSMT" w:hAnsi="Garamond"/>
          <w:sz w:val="24"/>
          <w:szCs w:val="24"/>
        </w:rPr>
        <w:t>resource-based view and stakeholder theory</w:t>
      </w:r>
      <w:r w:rsidR="00B423C8">
        <w:rPr>
          <w:rFonts w:ascii="Garamond" w:eastAsia="TimesNewRomanPSMT" w:hAnsi="Garamond"/>
          <w:sz w:val="24"/>
          <w:szCs w:val="24"/>
        </w:rPr>
        <w:t>,</w:t>
      </w:r>
      <w:r w:rsidRPr="00055865">
        <w:rPr>
          <w:rFonts w:ascii="Garamond" w:eastAsia="TimesNewRomanPSMT" w:hAnsi="Garamond"/>
          <w:sz w:val="24"/>
          <w:szCs w:val="24"/>
        </w:rPr>
        <w:t xml:space="preserve"> </w:t>
      </w:r>
      <w:r w:rsidR="00B423C8">
        <w:rPr>
          <w:rFonts w:ascii="Garamond" w:eastAsia="TimesNewRomanPSMT" w:hAnsi="Garamond"/>
          <w:sz w:val="24"/>
          <w:szCs w:val="24"/>
        </w:rPr>
        <w:t>posited</w:t>
      </w:r>
      <w:r w:rsidR="001677EC" w:rsidRPr="00055865">
        <w:rPr>
          <w:rFonts w:ascii="Garamond" w:eastAsia="TimesNewRomanPSMT" w:hAnsi="Garamond"/>
          <w:sz w:val="24"/>
          <w:szCs w:val="24"/>
        </w:rPr>
        <w:t xml:space="preserve"> </w:t>
      </w:r>
      <w:r w:rsidRPr="00055865">
        <w:rPr>
          <w:rFonts w:ascii="Garamond" w:eastAsia="TimesNewRomanPSMT" w:hAnsi="Garamond"/>
          <w:sz w:val="24"/>
          <w:szCs w:val="24"/>
        </w:rPr>
        <w:t xml:space="preserve">that pollution prevention has a lower cost implication, product stewardship </w:t>
      </w:r>
      <w:r w:rsidR="009E2B87" w:rsidRPr="00055865">
        <w:rPr>
          <w:rFonts w:ascii="Garamond" w:eastAsia="TimesNewRomanPSMT" w:hAnsi="Garamond"/>
          <w:sz w:val="24"/>
          <w:szCs w:val="24"/>
        </w:rPr>
        <w:t>involving</w:t>
      </w:r>
      <w:r w:rsidRPr="00055865">
        <w:rPr>
          <w:rFonts w:ascii="Garamond" w:eastAsia="TimesNewRomanPSMT" w:hAnsi="Garamond"/>
          <w:sz w:val="24"/>
          <w:szCs w:val="24"/>
        </w:rPr>
        <w:t xml:space="preserve"> stakeholder</w:t>
      </w:r>
      <w:r w:rsidR="009E2B87" w:rsidRPr="00055865">
        <w:rPr>
          <w:rFonts w:ascii="Garamond" w:eastAsia="TimesNewRomanPSMT" w:hAnsi="Garamond"/>
          <w:sz w:val="24"/>
          <w:szCs w:val="24"/>
        </w:rPr>
        <w:t>s</w:t>
      </w:r>
      <w:r w:rsidRPr="00055865">
        <w:rPr>
          <w:rFonts w:ascii="Garamond" w:eastAsia="TimesNewRomanPSMT" w:hAnsi="Garamond"/>
          <w:sz w:val="24"/>
          <w:szCs w:val="24"/>
        </w:rPr>
        <w:t xml:space="preserve"> integration</w:t>
      </w:r>
      <w:r w:rsidR="009E2B87" w:rsidRPr="00055865">
        <w:rPr>
          <w:rFonts w:ascii="Garamond" w:eastAsia="TimesNewRomanPSMT" w:hAnsi="Garamond"/>
          <w:sz w:val="24"/>
          <w:szCs w:val="24"/>
        </w:rPr>
        <w:t xml:space="preserve">. They further argue that stakeholder integration </w:t>
      </w:r>
      <w:r w:rsidRPr="00055865">
        <w:rPr>
          <w:rFonts w:ascii="Garamond" w:eastAsia="TimesNewRomanPSMT" w:hAnsi="Garamond"/>
          <w:sz w:val="24"/>
          <w:szCs w:val="24"/>
        </w:rPr>
        <w:t xml:space="preserve">ensures that stakeholders’ position on the environment can be effectively integrated into </w:t>
      </w:r>
      <w:r w:rsidR="005B6FD7">
        <w:rPr>
          <w:rFonts w:ascii="Garamond" w:eastAsia="TimesNewRomanPSMT" w:hAnsi="Garamond"/>
          <w:sz w:val="24"/>
          <w:szCs w:val="24"/>
        </w:rPr>
        <w:t xml:space="preserve">the </w:t>
      </w:r>
      <w:r w:rsidRPr="00055865">
        <w:rPr>
          <w:rFonts w:ascii="Garamond" w:eastAsia="TimesNewRomanPSMT" w:hAnsi="Garamond"/>
          <w:sz w:val="24"/>
          <w:szCs w:val="24"/>
        </w:rPr>
        <w:t xml:space="preserve">product design and development process. Sustainable development, on the other hand, does not only ensure less damage to the environment but </w:t>
      </w:r>
      <w:r w:rsidR="009E2B87" w:rsidRPr="00055865">
        <w:rPr>
          <w:rFonts w:ascii="Garamond" w:eastAsia="TimesNewRomanPSMT" w:hAnsi="Garamond"/>
          <w:sz w:val="24"/>
          <w:szCs w:val="24"/>
        </w:rPr>
        <w:t xml:space="preserve">also </w:t>
      </w:r>
      <w:r w:rsidRPr="00055865">
        <w:rPr>
          <w:rFonts w:ascii="Garamond" w:eastAsia="TimesNewRomanPSMT" w:hAnsi="Garamond"/>
          <w:sz w:val="24"/>
          <w:szCs w:val="24"/>
        </w:rPr>
        <w:t xml:space="preserve">ensure that production is economically undertaken </w:t>
      </w:r>
      <w:r w:rsidR="001F52DC" w:rsidRPr="00055865">
        <w:rPr>
          <w:rFonts w:ascii="Garamond" w:eastAsia="TimesNewRomanPSMT" w:hAnsi="Garamond"/>
          <w:sz w:val="24"/>
          <w:szCs w:val="24"/>
        </w:rPr>
        <w:t>while at the same time</w:t>
      </w:r>
      <w:r w:rsidR="009A4253" w:rsidRPr="00055865">
        <w:rPr>
          <w:rFonts w:ascii="Garamond" w:eastAsia="TimesNewRomanPSMT" w:hAnsi="Garamond"/>
          <w:sz w:val="24"/>
          <w:szCs w:val="24"/>
        </w:rPr>
        <w:t xml:space="preserve"> improving</w:t>
      </w:r>
      <w:r w:rsidRPr="00055865">
        <w:rPr>
          <w:rFonts w:ascii="Garamond" w:eastAsia="TimesNewRomanPSMT" w:hAnsi="Garamond"/>
          <w:sz w:val="24"/>
          <w:szCs w:val="24"/>
        </w:rPr>
        <w:t xml:space="preserve"> environmental sustainability. </w:t>
      </w:r>
    </w:p>
    <w:p w14:paraId="4D3C8994" w14:textId="3BE50B02" w:rsidR="00D838CF" w:rsidRPr="00055865" w:rsidRDefault="00684DCA"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It is asserted that SMEs that demonstrate that they are </w:t>
      </w:r>
      <w:r w:rsidR="00FC0D96">
        <w:rPr>
          <w:rFonts w:ascii="Garamond" w:eastAsia="TimesNewRomanPSMT" w:hAnsi="Garamond"/>
          <w:sz w:val="24"/>
          <w:szCs w:val="24"/>
        </w:rPr>
        <w:t>managing their pollution impact</w:t>
      </w:r>
      <w:r w:rsidRPr="00055865">
        <w:rPr>
          <w:rFonts w:ascii="Garamond" w:eastAsia="TimesNewRomanPSMT" w:hAnsi="Garamond"/>
          <w:sz w:val="24"/>
          <w:szCs w:val="24"/>
        </w:rPr>
        <w:t xml:space="preserve"> </w:t>
      </w:r>
      <w:r w:rsidR="005B6FD7">
        <w:rPr>
          <w:rFonts w:ascii="Garamond" w:eastAsia="TimesNewRomanPSMT" w:hAnsi="Garamond"/>
          <w:sz w:val="24"/>
          <w:szCs w:val="24"/>
        </w:rPr>
        <w:t>is</w:t>
      </w:r>
      <w:r w:rsidRPr="00055865">
        <w:rPr>
          <w:rFonts w:ascii="Garamond" w:eastAsia="TimesNewRomanPSMT" w:hAnsi="Garamond"/>
          <w:sz w:val="24"/>
          <w:szCs w:val="24"/>
        </w:rPr>
        <w:t xml:space="preserve"> likely to save costs on insurance bills as insurance companies perceive them as having a lower risk profile (Stra</w:t>
      </w:r>
      <w:r w:rsidR="001C7745" w:rsidRPr="00055865">
        <w:rPr>
          <w:rFonts w:ascii="Garamond" w:eastAsia="TimesNewRomanPSMT" w:hAnsi="Garamond"/>
          <w:sz w:val="24"/>
          <w:szCs w:val="24"/>
        </w:rPr>
        <w:t>n</w:t>
      </w:r>
      <w:r w:rsidRPr="00055865">
        <w:rPr>
          <w:rFonts w:ascii="Garamond" w:eastAsia="TimesNewRomanPSMT" w:hAnsi="Garamond"/>
          <w:sz w:val="24"/>
          <w:szCs w:val="24"/>
        </w:rPr>
        <w:t xml:space="preserve">dberg &amp; Anderson, 2009). </w:t>
      </w:r>
      <w:r w:rsidR="009E2B87" w:rsidRPr="00055865">
        <w:rPr>
          <w:rFonts w:ascii="Garamond" w:eastAsia="TimesNewRomanPSMT" w:hAnsi="Garamond"/>
          <w:sz w:val="24"/>
          <w:szCs w:val="24"/>
        </w:rPr>
        <w:t xml:space="preserve">Similarly, </w:t>
      </w:r>
      <w:r w:rsidR="00930FCA" w:rsidRPr="00055865">
        <w:rPr>
          <w:rFonts w:ascii="Garamond" w:eastAsia="TimesNewRomanPSMT" w:hAnsi="Garamond"/>
          <w:sz w:val="24"/>
          <w:szCs w:val="24"/>
        </w:rPr>
        <w:fldChar w:fldCharType="begin" w:fldLock="1"/>
      </w:r>
      <w:r w:rsidR="00281223" w:rsidRPr="00055865">
        <w:rPr>
          <w:rFonts w:ascii="Garamond" w:eastAsia="TimesNewRomanPSMT" w:hAnsi="Garamond"/>
          <w:sz w:val="24"/>
          <w:szCs w:val="24"/>
        </w:rPr>
        <w:instrText>ADDIN CSL_CITATION {"citationItems":[{"id":"ITEM-1","itemData":{"DOI":"10.1023/B:EARE.0000044602.86367.ff","ISBN":"0924-6460","abstract":"A growing body of research has centered on the issue of the relationship between financial and environmental performance. The lack of consensus in this literature can be attributed to several factors. The cost of complying with environmental regulation can be significant and detrimental to shareholder wealth maximization. Conversely, a firm that can effectively control pollution might also be able to effectively control other costs of production and hence earn a higher rate of return. We utilize data from the Investor Responsibility Research Center as well as a proprietary database to investigate the relationship between environmental performance and financial performance in electric utilities. Utilities, as producers and distributors of energy, produce substantial amounts of pollution. However, since public utilities are regulated, studying the financial and environmental performance of utilities affords us the opportunity to see what role regulation plays in enhancing or diminishing the relationship between financial and environmental performance. Our results differ from earlier studies in that we find do not find a positive relationship between holding period returns and an industry-adjusted measure of environmental performance nor do we find that regulatory climate appears to explain returns. While there does not appear to be a clearly defined relationship between regulatory climate and a compliance based measure of environmental performance, there is evidence of a negative relationship between financial return and a more pro-active measure of environmental performance. We offer several possible interpretations of these results and extensions for future research.","author":[{"dropping-particle":"","family":"Filbeck","given":"G","non-dropping-particle":"","parse-names":false,"suffix":""},{"dropping-particle":"","family":"Gorman","given":"R F","non-dropping-particle":"","parse-names":false,"suffix":""}],"container-title":"Environmental &amp; Resource Economics","id":"ITEM-1","issue":"2","issued":{"date-parts":[["2004"]]},"page":"137-157","title":"The relationship between the environmental and financial performance of public utilities","type":"article-journal","volume":"29"},"uris":["http://www.mendeley.com/documents/?uuid=4cfa7e42-4a8f-434d-a9e2-4c0cdd36f901"]}],"mendeley":{"formattedCitation":"(Filbeck &amp; Gorman, 2004)","manualFormatting":"Filbeck and Gorman (2004)","plainTextFormattedCitation":"(Filbeck &amp; Gorman, 2004)","previouslyFormattedCitation":"(Filbeck &amp; Gorman, 2004)"},"properties":{"noteIndex":0},"schema":"https://github.com/citation-style-language/schema/raw/master/csl-citation.json"}</w:instrText>
      </w:r>
      <w:r w:rsidR="00930FCA" w:rsidRPr="00055865">
        <w:rPr>
          <w:rFonts w:ascii="Garamond" w:eastAsia="TimesNewRomanPSMT" w:hAnsi="Garamond"/>
          <w:sz w:val="24"/>
          <w:szCs w:val="24"/>
        </w:rPr>
        <w:fldChar w:fldCharType="separate"/>
      </w:r>
      <w:r w:rsidR="00930FCA" w:rsidRPr="00055865">
        <w:rPr>
          <w:rFonts w:ascii="Garamond" w:eastAsia="TimesNewRomanPSMT" w:hAnsi="Garamond"/>
          <w:noProof/>
          <w:sz w:val="24"/>
          <w:szCs w:val="24"/>
        </w:rPr>
        <w:t xml:space="preserve">Filbeck </w:t>
      </w:r>
      <w:r w:rsidR="009E2B87" w:rsidRPr="00055865">
        <w:rPr>
          <w:rFonts w:ascii="Garamond" w:eastAsia="TimesNewRomanPSMT" w:hAnsi="Garamond"/>
          <w:noProof/>
          <w:sz w:val="24"/>
          <w:szCs w:val="24"/>
        </w:rPr>
        <w:t>and</w:t>
      </w:r>
      <w:r w:rsidR="00930FCA" w:rsidRPr="00055865">
        <w:rPr>
          <w:rFonts w:ascii="Garamond" w:eastAsia="TimesNewRomanPSMT" w:hAnsi="Garamond"/>
          <w:noProof/>
          <w:sz w:val="24"/>
          <w:szCs w:val="24"/>
        </w:rPr>
        <w:t xml:space="preserve"> Gorman (2004)</w:t>
      </w:r>
      <w:r w:rsidR="00930FCA" w:rsidRPr="00055865">
        <w:rPr>
          <w:rFonts w:ascii="Garamond" w:eastAsia="TimesNewRomanPSMT" w:hAnsi="Garamond"/>
          <w:sz w:val="24"/>
          <w:szCs w:val="24"/>
        </w:rPr>
        <w:fldChar w:fldCharType="end"/>
      </w:r>
      <w:r w:rsidR="009E2B87" w:rsidRPr="00055865">
        <w:rPr>
          <w:rFonts w:ascii="Garamond" w:eastAsia="TimesNewRomanPSMT" w:hAnsi="Garamond"/>
          <w:sz w:val="24"/>
          <w:szCs w:val="24"/>
        </w:rPr>
        <w:t xml:space="preserve"> argue</w:t>
      </w:r>
      <w:r w:rsidR="00181684" w:rsidRPr="00055865">
        <w:rPr>
          <w:rFonts w:ascii="Garamond" w:eastAsia="TimesNewRomanPSMT" w:hAnsi="Garamond"/>
          <w:sz w:val="24"/>
          <w:szCs w:val="24"/>
        </w:rPr>
        <w:t xml:space="preserve"> that investment in pollution reduction measures</w:t>
      </w:r>
      <w:r w:rsidR="00FC0D96">
        <w:rPr>
          <w:rFonts w:ascii="Garamond" w:eastAsia="TimesNewRomanPSMT" w:hAnsi="Garamond"/>
          <w:sz w:val="24"/>
          <w:szCs w:val="24"/>
        </w:rPr>
        <w:t>,</w:t>
      </w:r>
      <w:r w:rsidR="00181684" w:rsidRPr="00055865">
        <w:rPr>
          <w:rFonts w:ascii="Garamond" w:eastAsia="TimesNewRomanPSMT" w:hAnsi="Garamond"/>
          <w:sz w:val="24"/>
          <w:szCs w:val="24"/>
        </w:rPr>
        <w:t xml:space="preserve"> through prevention</w:t>
      </w:r>
      <w:r w:rsidR="00FC0D96">
        <w:rPr>
          <w:rFonts w:ascii="Garamond" w:eastAsia="TimesNewRomanPSMT" w:hAnsi="Garamond"/>
          <w:sz w:val="24"/>
          <w:szCs w:val="24"/>
        </w:rPr>
        <w:t>,</w:t>
      </w:r>
      <w:r w:rsidR="00181684" w:rsidRPr="00055865">
        <w:rPr>
          <w:rFonts w:ascii="Garamond" w:eastAsia="TimesNewRomanPSMT" w:hAnsi="Garamond"/>
          <w:sz w:val="24"/>
          <w:szCs w:val="24"/>
        </w:rPr>
        <w:t xml:space="preserve"> allow firms to establish a competitive edge through </w:t>
      </w:r>
      <w:r w:rsidR="00DB6768" w:rsidRPr="00055865">
        <w:rPr>
          <w:rFonts w:ascii="Garamond" w:eastAsia="TimesNewRomanPSMT" w:hAnsi="Garamond"/>
          <w:sz w:val="24"/>
          <w:szCs w:val="24"/>
        </w:rPr>
        <w:t xml:space="preserve">the </w:t>
      </w:r>
      <w:r w:rsidR="00181684" w:rsidRPr="00055865">
        <w:rPr>
          <w:rFonts w:ascii="Garamond" w:eastAsia="TimesNewRomanPSMT" w:hAnsi="Garamond"/>
          <w:sz w:val="24"/>
          <w:szCs w:val="24"/>
        </w:rPr>
        <w:t>marketing of sustainable environmental products</w:t>
      </w:r>
      <w:r w:rsidR="00FE267A" w:rsidRPr="00055865">
        <w:rPr>
          <w:rFonts w:ascii="Garamond" w:eastAsia="TimesNewRomanPSMT" w:hAnsi="Garamond"/>
          <w:sz w:val="24"/>
          <w:szCs w:val="24"/>
        </w:rPr>
        <w:t>.</w:t>
      </w:r>
      <w:r w:rsidR="00181684" w:rsidRPr="00055865">
        <w:rPr>
          <w:rFonts w:ascii="Garamond" w:eastAsia="TimesNewRomanPSMT" w:hAnsi="Garamond"/>
          <w:sz w:val="24"/>
          <w:szCs w:val="24"/>
        </w:rPr>
        <w:t xml:space="preserve"> </w:t>
      </w:r>
      <w:r w:rsidR="005B6FD7">
        <w:rPr>
          <w:rFonts w:ascii="Garamond" w:eastAsia="TimesNewRomanPSMT" w:hAnsi="Garamond"/>
          <w:sz w:val="24"/>
          <w:szCs w:val="24"/>
        </w:rPr>
        <w:t>A p</w:t>
      </w:r>
      <w:r w:rsidR="00FE267A" w:rsidRPr="00055865">
        <w:rPr>
          <w:rFonts w:ascii="Garamond" w:eastAsia="TimesNewRomanPSMT" w:hAnsi="Garamond"/>
          <w:sz w:val="24"/>
          <w:szCs w:val="24"/>
        </w:rPr>
        <w:t xml:space="preserve">ositive association between pollution control and financial management has been documented by several studies (Smale et al., 2006; </w:t>
      </w:r>
      <w:bookmarkStart w:id="1" w:name="_Hlk36568563"/>
      <w:r w:rsidR="00FE267A" w:rsidRPr="00055865">
        <w:rPr>
          <w:rFonts w:ascii="Garamond" w:eastAsia="TimesNewRomanPSMT" w:hAnsi="Garamond"/>
          <w:sz w:val="24"/>
          <w:szCs w:val="24"/>
        </w:rPr>
        <w:t xml:space="preserve">Earnhart &amp; Lizal </w:t>
      </w:r>
      <w:bookmarkEnd w:id="1"/>
      <w:r w:rsidR="00FE267A" w:rsidRPr="00055865">
        <w:rPr>
          <w:rFonts w:ascii="Garamond" w:eastAsia="TimesNewRomanPSMT" w:hAnsi="Garamond"/>
          <w:sz w:val="24"/>
          <w:szCs w:val="24"/>
        </w:rPr>
        <w:t>2010;</w:t>
      </w:r>
      <w:r w:rsidR="00FE267A" w:rsidRPr="00055865">
        <w:rPr>
          <w:rFonts w:ascii="Garamond" w:hAnsi="Garamond"/>
          <w:sz w:val="24"/>
          <w:szCs w:val="24"/>
        </w:rPr>
        <w:t xml:space="preserve"> </w:t>
      </w:r>
      <w:r w:rsidR="00FE267A" w:rsidRPr="00055865">
        <w:rPr>
          <w:rFonts w:ascii="Garamond" w:eastAsia="TimesNewRomanPSMT" w:hAnsi="Garamond"/>
          <w:sz w:val="24"/>
          <w:szCs w:val="24"/>
        </w:rPr>
        <w:t>Qian &amp; Xing, 2016).</w:t>
      </w:r>
      <w:r w:rsidR="00FE267A" w:rsidRPr="00055865">
        <w:rPr>
          <w:rFonts w:ascii="Garamond" w:eastAsia="TimesNewRomanPSMT" w:hAnsi="Garamond"/>
          <w:sz w:val="24"/>
          <w:szCs w:val="24"/>
        </w:rPr>
        <w:fldChar w:fldCharType="begin" w:fldLock="1"/>
      </w:r>
      <w:r w:rsidR="00FE267A" w:rsidRPr="00055865">
        <w:rPr>
          <w:rFonts w:ascii="Garamond" w:eastAsia="TimesNewRomanPSMT" w:hAnsi="Garamond"/>
          <w:sz w:val="24"/>
          <w:szCs w:val="24"/>
        </w:rPr>
        <w:instrText>ADDIN CSL_CITATION { "citationItems" : [ { "id" : "ITEM-1", "itemData" : { "DOI" : "10.1016/1045-2354(92)90024-L", "ISBN" : "1045-2354", "ISSN" : "10452354", "abstract" : "Studies in environmental economics have tended to examine the impact of pollution performance on economic performance from a macro perspective. Management and accounting studies have focused on the short run. No real consensus has emerged from these studies taken as a whole as to the relationship between pollution performance and economic performance. In this study the economic impact of pollution performance is examined from a micro long-run perspective. Pollution is measured at the plant level and economic performance is measured both using the company as a whole and using just the segment specifically affected by pollution abatement. The analysis is done for both a 6-year and a 9-year time horizon. The association between three measures of pollution performance and five measures of economic performance for the company as a whole is tested using the Spearman rank correlation coefficients. To test the association between the pulp and paper segment and the three measures of pollution, two measures of economic performance were correlated with the pollution measures. The results indicate that the firms were not negatively impacted economically by abating water pollution in their pulp and paper mills. These results do not support the expectation that there would be a negative impact on the economic performance from pollution abatement activities of the firms. These findings are consistent with the finding of earlier studies. Furthermore, it may have policy implications when the US considers future environmental legislation.", "author" : [ { "dropping-particle" : "", "family" : "Freedman", "given" : "Martin", "non-dropping-particle" : "", "parse-names" : false, "suffix" : "" }, { "dropping-particle" : "", "family" : "Jaggi", "given" : "Bikki", "non-dropping-particle" : "", "parse-names" : false, "suffix" : "" } ], "container-title" : "Critical Perspectives on Accounting", "id" : "ITEM-1", "issue" : "4", "issued" : { "date-parts" : [ [ "1992" ] ] }, "page" : "315-336", "title" : "An investigation of the long-run relationship between pollution performance and economic performance: The case of pulp and paper firms", "type" : "article-journal", "volume" : "3" }, "uris" : [ "http://www.mendeley.com/documents/?uuid=e97fc374-2c0f-4bf3-a14a-f6810fa3c40c" ] } ], "mendeley" : { "formattedCitation" : "(Freedman and Jaggi 1992)", "manualFormatting" : "Freedman and Jaggi (1992)", "plainTextFormattedCitation" : "(Freedman and Jaggi 1992)", "previouslyFormattedCitation" : "(Freedman and Jaggi 1992)" }, "properties" : { "noteIndex" : 0 }, "schema" : "https://github.com/citation-style-language/schema/raw/master/csl-citation.json" }</w:instrText>
      </w:r>
      <w:r w:rsidR="00FE267A" w:rsidRPr="00055865">
        <w:rPr>
          <w:rFonts w:ascii="Garamond" w:eastAsia="TimesNewRomanPSMT" w:hAnsi="Garamond"/>
          <w:sz w:val="24"/>
          <w:szCs w:val="24"/>
        </w:rPr>
        <w:fldChar w:fldCharType="separate"/>
      </w:r>
      <w:r w:rsidR="00FE267A" w:rsidRPr="00055865">
        <w:rPr>
          <w:rFonts w:ascii="Garamond" w:eastAsia="TimesNewRomanPSMT" w:hAnsi="Garamond"/>
          <w:sz w:val="24"/>
          <w:szCs w:val="24"/>
        </w:rPr>
        <w:t xml:space="preserve"> Earnhart &amp; Lizal (2007)</w:t>
      </w:r>
      <w:r w:rsidR="00FE267A" w:rsidRPr="00055865">
        <w:rPr>
          <w:rFonts w:ascii="Garamond" w:eastAsia="TimesNewRomanPSMT" w:hAnsi="Garamond"/>
          <w:sz w:val="24"/>
          <w:szCs w:val="24"/>
        </w:rPr>
        <w:fldChar w:fldCharType="end"/>
      </w:r>
      <w:r w:rsidR="00FE267A" w:rsidRPr="00055865">
        <w:rPr>
          <w:rFonts w:ascii="Garamond" w:eastAsia="TimesNewRomanPSMT" w:hAnsi="Garamond"/>
          <w:sz w:val="24"/>
          <w:szCs w:val="24"/>
        </w:rPr>
        <w:t xml:space="preserve"> and </w:t>
      </w:r>
      <w:r w:rsidR="00FE267A" w:rsidRPr="00055865">
        <w:rPr>
          <w:rFonts w:ascii="Garamond" w:eastAsia="TimesNewRomanPSMT" w:hAnsi="Garamond"/>
          <w:sz w:val="24"/>
          <w:szCs w:val="24"/>
        </w:rPr>
        <w:fldChar w:fldCharType="begin" w:fldLock="1"/>
      </w:r>
      <w:r w:rsidR="00FE267A" w:rsidRPr="00055865">
        <w:rPr>
          <w:rFonts w:ascii="Garamond" w:eastAsia="TimesNewRomanPSMT" w:hAnsi="Garamond"/>
          <w:sz w:val="24"/>
          <w:szCs w:val="24"/>
        </w:rPr>
        <w:instrText>ADDIN CSL_CITATION { "citationItems" : [ { "id" : "ITEM-1", "itemData" : { "author" : [ { "dropping-particle" : "", "family" : "Hart", "given" : "L.S", "non-dropping-particle" : "", "parse-names" : false, "suffix" : "" }, { "dropping-particle" : "", "family" : "Ahuja", "given" : "G", "non-dropping-particle" : "", "parse-names" : false, "suffix" : "" } ], "container-title" : "Business Strategy &amp; the Environment", "id" : "ITEM-1", "issued" : { "date-parts" : [ [ "1996" ] ] }, "page" : "30-37", "title" : "Does it pay to be green? An empirical examination of the relationship between emission reduction and firm performance", "type" : "article-journal", "volume" : "5" }, "uris" : [ "http://www.mendeley.com/documents/?uuid=7d99183e-9bad-41ee-b9e5-c2e3611fa7cc" ] } ], "mendeley" : { "formattedCitation" : "(Hart and Ahuja 1996)", "manualFormatting" : "Hart and Ahuja 1996", "plainTextFormattedCitation" : "(Hart and Ahuja 1996)", "previouslyFormattedCitation" : "(Hart and Ahuja 1996)" }, "properties" : { "noteIndex" : 0 }, "schema" : "https://github.com/citation-style-language/schema/raw/master/csl-citation.json" }</w:instrText>
      </w:r>
      <w:r w:rsidR="00FE267A" w:rsidRPr="00055865">
        <w:rPr>
          <w:rFonts w:ascii="Garamond" w:eastAsia="TimesNewRomanPSMT" w:hAnsi="Garamond"/>
          <w:sz w:val="24"/>
          <w:szCs w:val="24"/>
        </w:rPr>
        <w:fldChar w:fldCharType="separate"/>
      </w:r>
      <w:r w:rsidR="00FE267A" w:rsidRPr="00055865">
        <w:rPr>
          <w:rFonts w:ascii="Garamond" w:eastAsia="TimesNewRomanPSMT" w:hAnsi="Garamond"/>
          <w:sz w:val="24"/>
          <w:szCs w:val="24"/>
        </w:rPr>
        <w:t>Hart &amp; Ahuja (1996</w:t>
      </w:r>
      <w:r w:rsidR="00FE267A" w:rsidRPr="00055865">
        <w:rPr>
          <w:rFonts w:ascii="Garamond" w:eastAsia="TimesNewRomanPSMT" w:hAnsi="Garamond"/>
          <w:sz w:val="24"/>
          <w:szCs w:val="24"/>
        </w:rPr>
        <w:fldChar w:fldCharType="end"/>
      </w:r>
      <w:r w:rsidR="00FE267A" w:rsidRPr="00055865">
        <w:rPr>
          <w:rFonts w:ascii="Garamond" w:eastAsia="TimesNewRomanPSMT" w:hAnsi="Garamond"/>
          <w:sz w:val="24"/>
          <w:szCs w:val="24"/>
        </w:rPr>
        <w:t xml:space="preserve">) however, found negative association when examining the pollution control-financial performance link. </w:t>
      </w:r>
      <w:r w:rsidR="009E2B87" w:rsidRPr="00055865">
        <w:rPr>
          <w:rFonts w:ascii="Garamond" w:eastAsia="TimesNewRomanPSMT" w:hAnsi="Garamond"/>
          <w:sz w:val="24"/>
          <w:szCs w:val="24"/>
        </w:rPr>
        <w:t xml:space="preserve">Therefore, in line with the arguments, </w:t>
      </w:r>
      <w:r w:rsidR="00181684" w:rsidRPr="00055865">
        <w:rPr>
          <w:rFonts w:ascii="Garamond" w:eastAsia="TimesNewRomanPSMT" w:hAnsi="Garamond"/>
          <w:sz w:val="24"/>
          <w:szCs w:val="24"/>
        </w:rPr>
        <w:t>we hypothesise</w:t>
      </w:r>
      <w:r w:rsidR="00B63B14" w:rsidRPr="00055865">
        <w:rPr>
          <w:rFonts w:ascii="Garamond" w:eastAsia="TimesNewRomanPSMT" w:hAnsi="Garamond"/>
          <w:sz w:val="24"/>
          <w:szCs w:val="24"/>
        </w:rPr>
        <w:t>:</w:t>
      </w:r>
      <w:r w:rsidR="00181684" w:rsidRPr="00055865">
        <w:rPr>
          <w:rFonts w:ascii="Garamond" w:eastAsia="TimesNewRomanPSMT" w:hAnsi="Garamond"/>
          <w:sz w:val="24"/>
          <w:szCs w:val="24"/>
        </w:rPr>
        <w:t xml:space="preserve"> </w:t>
      </w:r>
    </w:p>
    <w:p w14:paraId="5AAC2062" w14:textId="77777777" w:rsidR="00B63B14" w:rsidRPr="00055865" w:rsidRDefault="00B63B14" w:rsidP="005B6FD7">
      <w:pPr>
        <w:tabs>
          <w:tab w:val="left" w:pos="2550"/>
        </w:tabs>
        <w:spacing w:after="0" w:line="480" w:lineRule="auto"/>
        <w:contextualSpacing/>
        <w:jc w:val="both"/>
        <w:rPr>
          <w:rFonts w:ascii="Garamond" w:eastAsia="TimesNewRomanPSMT" w:hAnsi="Garamond"/>
          <w:i/>
          <w:sz w:val="24"/>
          <w:szCs w:val="24"/>
        </w:rPr>
      </w:pPr>
      <w:r w:rsidRPr="00055865">
        <w:rPr>
          <w:rFonts w:ascii="Garamond" w:eastAsia="TimesNewRomanPSMT" w:hAnsi="Garamond"/>
          <w:bCs/>
          <w:i/>
          <w:sz w:val="24"/>
          <w:szCs w:val="24"/>
        </w:rPr>
        <w:t>H4: There is a significant relationship between pollution control (GHG) and financial performance.</w:t>
      </w:r>
    </w:p>
    <w:p w14:paraId="50C20FD4" w14:textId="75D5AAE8" w:rsidR="00744667" w:rsidRPr="00055865" w:rsidRDefault="00744667" w:rsidP="005B6FD7">
      <w:pPr>
        <w:tabs>
          <w:tab w:val="left" w:pos="2550"/>
        </w:tabs>
        <w:spacing w:after="0" w:line="480" w:lineRule="auto"/>
        <w:contextualSpacing/>
        <w:jc w:val="both"/>
        <w:rPr>
          <w:rFonts w:ascii="Garamond" w:eastAsia="TimesNewRomanPSMT" w:hAnsi="Garamond"/>
          <w:noProof/>
          <w:sz w:val="24"/>
          <w:szCs w:val="24"/>
        </w:rPr>
      </w:pPr>
    </w:p>
    <w:p w14:paraId="210A71BB" w14:textId="28B9D8B2" w:rsidR="00B63B14" w:rsidRPr="00055865" w:rsidRDefault="00B63B14" w:rsidP="005B6FD7">
      <w:pPr>
        <w:tabs>
          <w:tab w:val="left" w:pos="2550"/>
        </w:tabs>
        <w:spacing w:after="0" w:line="480" w:lineRule="auto"/>
        <w:contextualSpacing/>
        <w:jc w:val="both"/>
        <w:rPr>
          <w:rFonts w:ascii="Garamond" w:eastAsia="TimesNewRomanPSMT" w:hAnsi="Garamond"/>
          <w:noProof/>
          <w:sz w:val="24"/>
          <w:szCs w:val="24"/>
        </w:rPr>
      </w:pPr>
    </w:p>
    <w:p w14:paraId="2CFD6C1E" w14:textId="7C554AD9" w:rsidR="0023579E" w:rsidRPr="00055865" w:rsidRDefault="00207416" w:rsidP="005B6FD7">
      <w:pPr>
        <w:tabs>
          <w:tab w:val="left" w:pos="2550"/>
        </w:tabs>
        <w:spacing w:after="0" w:line="480" w:lineRule="auto"/>
        <w:contextualSpacing/>
        <w:jc w:val="both"/>
        <w:rPr>
          <w:rFonts w:ascii="Garamond" w:eastAsia="TimesNewRomanPSMT" w:hAnsi="Garamond"/>
          <w:b/>
          <w:i/>
          <w:sz w:val="24"/>
          <w:szCs w:val="24"/>
        </w:rPr>
      </w:pPr>
      <w:r w:rsidRPr="00055865">
        <w:rPr>
          <w:rFonts w:ascii="Garamond" w:eastAsia="TimesNewRomanPSMT" w:hAnsi="Garamond"/>
          <w:b/>
          <w:bCs/>
          <w:i/>
          <w:sz w:val="24"/>
          <w:szCs w:val="24"/>
        </w:rPr>
        <w:lastRenderedPageBreak/>
        <w:t xml:space="preserve">2.2.5 </w:t>
      </w:r>
      <w:r w:rsidR="0023579E" w:rsidRPr="00055865">
        <w:rPr>
          <w:rFonts w:ascii="Garamond" w:eastAsia="TimesNewRomanPSMT" w:hAnsi="Garamond"/>
          <w:b/>
          <w:i/>
          <w:sz w:val="24"/>
          <w:szCs w:val="24"/>
        </w:rPr>
        <w:t xml:space="preserve">Material and Resources Efficiency and Financial Performance </w:t>
      </w:r>
    </w:p>
    <w:p w14:paraId="7D225479" w14:textId="5CE41DD9" w:rsidR="00FE267A" w:rsidRPr="00055865" w:rsidRDefault="0023579E"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              M</w:t>
      </w:r>
      <w:r w:rsidR="008235A4">
        <w:rPr>
          <w:rFonts w:ascii="Garamond" w:eastAsia="TimesNewRomanPSMT" w:hAnsi="Garamond"/>
          <w:sz w:val="24"/>
          <w:szCs w:val="24"/>
        </w:rPr>
        <w:t>aterial and resource efficiency constitute</w:t>
      </w:r>
      <w:r w:rsidRPr="00055865">
        <w:rPr>
          <w:rFonts w:ascii="Garamond" w:eastAsia="TimesNewRomanPSMT" w:hAnsi="Garamond"/>
          <w:sz w:val="24"/>
          <w:szCs w:val="24"/>
        </w:rPr>
        <w:t xml:space="preserve"> another area of environmental sustainability practice in which firms can benefit financially. Packaging and the use of lightweight materials are considered an efficient way of managing resources. Lightweight packaging does not only reduce material cost, but it can also reduce the transportation cost by increasing the volume of products which can be shipped</w:t>
      </w:r>
      <w:r w:rsidR="00CC23E4" w:rsidRPr="00055865">
        <w:rPr>
          <w:rFonts w:ascii="Garamond" w:eastAsia="TimesNewRomanPSMT" w:hAnsi="Garamond"/>
          <w:sz w:val="24"/>
          <w:szCs w:val="24"/>
        </w:rPr>
        <w:t xml:space="preserve"> </w:t>
      </w:r>
      <w:r w:rsidR="00CC23E4" w:rsidRPr="00055865">
        <w:rPr>
          <w:rFonts w:ascii="Garamond" w:eastAsia="TimesNewRomanPSMT" w:hAnsi="Garamond"/>
          <w:sz w:val="24"/>
          <w:szCs w:val="24"/>
        </w:rPr>
        <w:fldChar w:fldCharType="begin" w:fldLock="1"/>
      </w:r>
      <w:r w:rsidR="00581A3D" w:rsidRPr="00055865">
        <w:rPr>
          <w:rFonts w:ascii="Garamond" w:eastAsia="TimesNewRomanPSMT" w:hAnsi="Garamond"/>
          <w:sz w:val="24"/>
          <w:szCs w:val="24"/>
        </w:rPr>
        <w:instrText>ADDIN CSL_CITATION {"citationItems":[{"id":"ITEM-1","itemData":{"DOI":"10.1108/09600039010138965","ISBN":"0007070091099","ISSN":"0960-0035","abstract":"There is little doubt that consumers and manufacturers are becoming more environmentally conscious about packaging. An overview is provided of recent trends in packaging from the points of view of the consumer, the legislators, and the manufacturers. The opportunities open to the marketer are highlighted as this new consumer group emerges and discusses the need for the companies involved to address the whole issue of their own ethical standards within the company.","author":[{"dropping-particle":"","family":"Gray","given":"Victor","non-dropping-particle":"","parse-names":false,"suffix":""},{"dropping-particle":"","family":"Guthrie","given":"John","non-dropping-particle":"","parse-names":false,"suffix":""}],"container-title":"International Journal of Physical Distribution &amp; Logistics Management","id":"ITEM-1","issue":"8","issued":{"date-parts":[["1990"]]},"page":"31-36","title":"Ethical Issues of Environmentally Friendly Packaging","type":"article-journal","volume":"20"},"uris":["http://www.mendeley.com/documents/?uuid=ef508bda-ace7-4187-bb5c-015c2c412ef3"]}],"mendeley":{"formattedCitation":"(Gray &amp; Guthrie, 1990)","plainTextFormattedCitation":"(Gray &amp; Guthrie, 1990)","previouslyFormattedCitation":"(Gray &amp; Guthrie, 1990)"},"properties":{"noteIndex":0},"schema":"https://github.com/citation-style-language/schema/raw/master/csl-citation.json"}</w:instrText>
      </w:r>
      <w:r w:rsidR="00CC23E4" w:rsidRPr="00055865">
        <w:rPr>
          <w:rFonts w:ascii="Garamond" w:eastAsia="TimesNewRomanPSMT" w:hAnsi="Garamond"/>
          <w:sz w:val="24"/>
          <w:szCs w:val="24"/>
        </w:rPr>
        <w:fldChar w:fldCharType="separate"/>
      </w:r>
      <w:r w:rsidR="00B7236C" w:rsidRPr="00055865">
        <w:rPr>
          <w:rFonts w:ascii="Garamond" w:eastAsia="TimesNewRomanPSMT" w:hAnsi="Garamond"/>
          <w:noProof/>
          <w:sz w:val="24"/>
          <w:szCs w:val="24"/>
        </w:rPr>
        <w:t>(Gray &amp; Guthrie, 1990)</w:t>
      </w:r>
      <w:r w:rsidR="00CC23E4"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w:t>
      </w:r>
      <w:r w:rsidR="00CC23E4" w:rsidRPr="00055865">
        <w:rPr>
          <w:rFonts w:ascii="Garamond" w:eastAsia="TimesNewRomanPSMT" w:hAnsi="Garamond"/>
          <w:sz w:val="24"/>
          <w:szCs w:val="24"/>
        </w:rPr>
        <w:fldChar w:fldCharType="begin" w:fldLock="1"/>
      </w:r>
      <w:r w:rsidR="00281223" w:rsidRPr="00055865">
        <w:rPr>
          <w:rFonts w:ascii="Garamond" w:eastAsia="TimesNewRomanPSMT" w:hAnsi="Garamond"/>
          <w:sz w:val="24"/>
          <w:szCs w:val="24"/>
        </w:rPr>
        <w:instrText>ADDIN CSL_CITATION {"citationItems":[{"id":"ITEM-1","itemData":{"DOI":"10.1016/j.jom.2011.01.002","ISBN":"0272-6963","ISSN":"02726963","abstract":"Extant research in operations management has revealed divergent insights into the value potential of resource efficiency. While one view relates efficiency with good operations management and asserts that slack resources are a form of waste that should be minimized, the other view suggests that limited resource slack can impose heavy costs on firms by making them brittle. In this research, the authors build on these views to investigate the relationship of inventory, production, and marketing resource efficiency of firms with three metrics of financial performance (i.e., Stock-Returns, Tobin's Q, and Returns-on-Assets). The authors evaluate the theoretical framework using secondary information on all U.S. based publicly-owned manufacturing firms across the 16-year time period of 1991-2006. Analysis utilizing a mixed-model approach reveals that a focus on resource efficiency is positively associated with firm financial performance. However, findings also support the arguments favoring slack, indicating that the financial gains from resource efficiency exhibit diminishing returns. © 2011 Elsevier B.V. All rights reserved.","author":[{"dropping-particle":"","family":"Modi","given":"Sachin B.","non-dropping-particle":"","parse-names":false,"suffix":""},{"dropping-particle":"","family":"Mishra","given":"Saurabh","non-dropping-particle":"","parse-names":false,"suffix":""}],"container-title":"Journal of Operations Management","id":"ITEM-1","issue":"3","issued":{"date-parts":[["2011"]]},"page":"254-273","title":"What drives financial performance-resource efficiency or resource slack?: Evidence from U.S. based manufacturing firms from 1991 to 2006","type":"article-journal","volume":"29"},"uris":["http://www.mendeley.com/documents/?uuid=bbad8c76-7a59-4e01-a577-e0f8937ff90e"]}],"mendeley":{"formattedCitation":"(Modi &amp; Mishra, 2011)","manualFormatting":"Modi and Mishra (2011)","plainTextFormattedCitation":"(Modi &amp; Mishra, 2011)","previouslyFormattedCitation":"(Modi &amp; Mishra, 2011)"},"properties":{"noteIndex":0},"schema":"https://github.com/citation-style-language/schema/raw/master/csl-citation.json"}</w:instrText>
      </w:r>
      <w:r w:rsidR="00CC23E4" w:rsidRPr="00055865">
        <w:rPr>
          <w:rFonts w:ascii="Garamond" w:eastAsia="TimesNewRomanPSMT" w:hAnsi="Garamond"/>
          <w:sz w:val="24"/>
          <w:szCs w:val="24"/>
        </w:rPr>
        <w:fldChar w:fldCharType="separate"/>
      </w:r>
      <w:r w:rsidR="00CC23E4" w:rsidRPr="00055865">
        <w:rPr>
          <w:rFonts w:ascii="Garamond" w:eastAsia="TimesNewRomanPSMT" w:hAnsi="Garamond"/>
          <w:noProof/>
          <w:sz w:val="24"/>
          <w:szCs w:val="24"/>
        </w:rPr>
        <w:t xml:space="preserve">Modi </w:t>
      </w:r>
      <w:r w:rsidR="00BC1F9C" w:rsidRPr="00055865">
        <w:rPr>
          <w:rFonts w:ascii="Garamond" w:eastAsia="TimesNewRomanPSMT" w:hAnsi="Garamond"/>
          <w:noProof/>
          <w:sz w:val="24"/>
          <w:szCs w:val="24"/>
        </w:rPr>
        <w:t>and</w:t>
      </w:r>
      <w:r w:rsidR="00CC23E4" w:rsidRPr="00055865">
        <w:rPr>
          <w:rFonts w:ascii="Garamond" w:eastAsia="TimesNewRomanPSMT" w:hAnsi="Garamond"/>
          <w:noProof/>
          <w:sz w:val="24"/>
          <w:szCs w:val="24"/>
        </w:rPr>
        <w:t xml:space="preserve"> Mishra (2011)</w:t>
      </w:r>
      <w:r w:rsidR="00CC23E4" w:rsidRPr="00055865">
        <w:rPr>
          <w:rFonts w:ascii="Garamond" w:eastAsia="TimesNewRomanPSMT" w:hAnsi="Garamond"/>
          <w:sz w:val="24"/>
          <w:szCs w:val="24"/>
        </w:rPr>
        <w:fldChar w:fldCharType="end"/>
      </w:r>
      <w:r w:rsidR="00CC23E4" w:rsidRPr="00055865">
        <w:rPr>
          <w:rFonts w:ascii="Garamond" w:eastAsia="TimesNewRomanPSMT" w:hAnsi="Garamond"/>
          <w:sz w:val="24"/>
          <w:szCs w:val="24"/>
        </w:rPr>
        <w:t xml:space="preserve"> </w:t>
      </w:r>
      <w:r w:rsidRPr="00055865">
        <w:rPr>
          <w:rFonts w:ascii="Garamond" w:eastAsia="TimesNewRomanPSMT" w:hAnsi="Garamond"/>
          <w:sz w:val="24"/>
          <w:szCs w:val="24"/>
        </w:rPr>
        <w:t xml:space="preserve">explained that a focus on resource efficiency permits organisational stability and affords them lower overall costs. A study by </w:t>
      </w:r>
      <w:r w:rsidR="00CC23E4" w:rsidRPr="00055865">
        <w:rPr>
          <w:rFonts w:ascii="Garamond" w:eastAsia="TimesNewRomanPSMT" w:hAnsi="Garamond"/>
          <w:sz w:val="24"/>
          <w:szCs w:val="24"/>
        </w:rPr>
        <w:fldChar w:fldCharType="begin" w:fldLock="1"/>
      </w:r>
      <w:r w:rsidR="009D0D31" w:rsidRPr="00055865">
        <w:rPr>
          <w:rFonts w:ascii="Garamond" w:eastAsia="TimesNewRomanPSMT" w:hAnsi="Garamond"/>
          <w:sz w:val="24"/>
          <w:szCs w:val="24"/>
        </w:rPr>
        <w:instrText>ADDIN CSL_CITATION {"citationItems":[{"id":"ITEM-1","itemData":{"DOI":"10.1177/014920630002600607","ISBN":"0149-2063","ISSN":"0149-2063","PMID":"288","abstract":"We investigate the influence of environmental initiatives on firms' anticipated economic performance using an event study methodology. Framing our arguments within an organizational reputation framework, we propose that, due to potential positive effects of these initiatives on firm performance (through increases in reputation), shareholders will react positively to announced environmental initiatives. Contrary to our hypothesis, we found no overall effect of announced environmental initiatives on stock returns. However, our findings indicate that reactions to product-driven initiatives are significantly different than reactions to process-driven ones.\\r\\n","author":[{"dropping-particle":"","family":"Gilley","given":"K. Matthew","non-dropping-particle":"","parse-names":false,"suffix":""},{"dropping-particle":"","family":"Worrell","given":"Dan L.","non-dropping-particle":"","parse-names":false,"suffix":""},{"dropping-particle":"","family":"Davidson","given":"Wallace N.","non-dropping-particle":"","parse-names":false,"suffix":""},{"dropping-particle":"","family":"El–Jelly","given":"Abuzar","non-dropping-particle":"","parse-names":false,"suffix":""}],"container-title":"Journal of Management","id":"ITEM-1","issue":"6","issued":{"date-parts":[["2000"]]},"page":"1199-1216","title":"Corporate Environmental Initiatives and Anticipated Firm Performance: The Differential Effects of Process-Driven Versus Product-Driven Greening Initiatives","type":"article-journal","volume":"26"},"uris":["http://www.mendeley.com/documents/?uuid=45ab783d-8753-476b-bd73-90c175cb6418"]}],"mendeley":{"formattedCitation":"(Gilley, Worrell, Davidson, &amp; El–Jelly, 2000)","manualFormatting":"Gilley et al. (2000)","plainTextFormattedCitation":"(Gilley, Worrell, Davidson, &amp; El–Jelly, 2000)","previouslyFormattedCitation":"(Gilley, Worrell, Davidson, &amp; El–Jelly, 2000)"},"properties":{"noteIndex":0},"schema":"https://github.com/citation-style-language/schema/raw/master/csl-citation.json"}</w:instrText>
      </w:r>
      <w:r w:rsidR="00CC23E4" w:rsidRPr="00055865">
        <w:rPr>
          <w:rFonts w:ascii="Garamond" w:eastAsia="TimesNewRomanPSMT" w:hAnsi="Garamond"/>
          <w:sz w:val="24"/>
          <w:szCs w:val="24"/>
        </w:rPr>
        <w:fldChar w:fldCharType="separate"/>
      </w:r>
      <w:r w:rsidR="00CC23E4" w:rsidRPr="00055865">
        <w:rPr>
          <w:rFonts w:ascii="Garamond" w:eastAsia="TimesNewRomanPSMT" w:hAnsi="Garamond"/>
          <w:noProof/>
          <w:sz w:val="24"/>
          <w:szCs w:val="24"/>
        </w:rPr>
        <w:t>Gilley et al. (2000)</w:t>
      </w:r>
      <w:r w:rsidR="00CC23E4" w:rsidRPr="00055865">
        <w:rPr>
          <w:rFonts w:ascii="Garamond" w:eastAsia="TimesNewRomanPSMT" w:hAnsi="Garamond"/>
          <w:sz w:val="24"/>
          <w:szCs w:val="24"/>
        </w:rPr>
        <w:fldChar w:fldCharType="end"/>
      </w:r>
      <w:r w:rsidR="00CC23E4" w:rsidRPr="00055865">
        <w:rPr>
          <w:rFonts w:ascii="Garamond" w:eastAsia="TimesNewRomanPSMT" w:hAnsi="Garamond"/>
          <w:sz w:val="24"/>
          <w:szCs w:val="24"/>
        </w:rPr>
        <w:t xml:space="preserve"> </w:t>
      </w:r>
      <w:r w:rsidRPr="00055865">
        <w:rPr>
          <w:rFonts w:ascii="Garamond" w:eastAsia="TimesNewRomanPSMT" w:hAnsi="Garamond"/>
          <w:sz w:val="24"/>
          <w:szCs w:val="24"/>
        </w:rPr>
        <w:t>also support</w:t>
      </w:r>
      <w:r w:rsidR="00DB6768" w:rsidRPr="00055865">
        <w:rPr>
          <w:rFonts w:ascii="Garamond" w:eastAsia="TimesNewRomanPSMT" w:hAnsi="Garamond"/>
          <w:sz w:val="24"/>
          <w:szCs w:val="24"/>
        </w:rPr>
        <w:t>s</w:t>
      </w:r>
      <w:r w:rsidRPr="00055865">
        <w:rPr>
          <w:rFonts w:ascii="Garamond" w:eastAsia="TimesNewRomanPSMT" w:hAnsi="Garamond"/>
          <w:sz w:val="24"/>
          <w:szCs w:val="24"/>
        </w:rPr>
        <w:t xml:space="preserve"> th</w:t>
      </w:r>
      <w:r w:rsidR="00FE267A" w:rsidRPr="00055865">
        <w:rPr>
          <w:rFonts w:ascii="Garamond" w:eastAsia="TimesNewRomanPSMT" w:hAnsi="Garamond"/>
          <w:sz w:val="24"/>
          <w:szCs w:val="24"/>
        </w:rPr>
        <w:t>e</w:t>
      </w:r>
      <w:r w:rsidRPr="00055865">
        <w:rPr>
          <w:rFonts w:ascii="Garamond" w:eastAsia="TimesNewRomanPSMT" w:hAnsi="Garamond"/>
          <w:sz w:val="24"/>
          <w:szCs w:val="24"/>
        </w:rPr>
        <w:t xml:space="preserve"> argument that material and resource efficiency could be pursued through process-driven initiative or product-driven green initiatives through recycle or environmentally friendly inputs to product</w:t>
      </w:r>
      <w:r w:rsidR="008235A4">
        <w:rPr>
          <w:rFonts w:ascii="Garamond" w:eastAsia="TimesNewRomanPSMT" w:hAnsi="Garamond"/>
          <w:sz w:val="24"/>
          <w:szCs w:val="24"/>
        </w:rPr>
        <w:t xml:space="preserve">ion and reduction of costs. Again, as firms move toward </w:t>
      </w:r>
      <w:r w:rsidRPr="00055865">
        <w:rPr>
          <w:rFonts w:ascii="Garamond" w:eastAsia="TimesNewRomanPSMT" w:hAnsi="Garamond"/>
          <w:sz w:val="24"/>
          <w:szCs w:val="24"/>
        </w:rPr>
        <w:t>pollution prevention strategies whic</w:t>
      </w:r>
      <w:r w:rsidR="008235A4">
        <w:rPr>
          <w:rFonts w:ascii="Garamond" w:eastAsia="TimesNewRomanPSMT" w:hAnsi="Garamond"/>
          <w:sz w:val="24"/>
          <w:szCs w:val="24"/>
        </w:rPr>
        <w:t>h may involve redesigning of</w:t>
      </w:r>
      <w:r w:rsidRPr="00055865">
        <w:rPr>
          <w:rFonts w:ascii="Garamond" w:eastAsia="TimesNewRomanPSMT" w:hAnsi="Garamond"/>
          <w:sz w:val="24"/>
          <w:szCs w:val="24"/>
        </w:rPr>
        <w:t xml:space="preserve"> production process</w:t>
      </w:r>
      <w:r w:rsidR="008235A4">
        <w:rPr>
          <w:rFonts w:ascii="Garamond" w:eastAsia="TimesNewRomanPSMT" w:hAnsi="Garamond"/>
          <w:sz w:val="24"/>
          <w:szCs w:val="24"/>
        </w:rPr>
        <w:t>es</w:t>
      </w:r>
      <w:r w:rsidRPr="00055865">
        <w:rPr>
          <w:rFonts w:ascii="Garamond" w:eastAsia="TimesNewRomanPSMT" w:hAnsi="Garamond"/>
          <w:sz w:val="24"/>
          <w:szCs w:val="24"/>
        </w:rPr>
        <w:t xml:space="preserve"> to </w:t>
      </w:r>
      <w:r w:rsidR="00BC1F9C" w:rsidRPr="00055865">
        <w:rPr>
          <w:rFonts w:ascii="Garamond" w:eastAsia="TimesNewRomanPSMT" w:hAnsi="Garamond"/>
          <w:sz w:val="24"/>
          <w:szCs w:val="24"/>
        </w:rPr>
        <w:t xml:space="preserve">the </w:t>
      </w:r>
      <w:r w:rsidRPr="00055865">
        <w:rPr>
          <w:rFonts w:ascii="Garamond" w:eastAsia="TimesNewRomanPSMT" w:hAnsi="Garamond"/>
          <w:sz w:val="24"/>
          <w:szCs w:val="24"/>
        </w:rPr>
        <w:t xml:space="preserve">use </w:t>
      </w:r>
      <w:r w:rsidR="00BC1F9C" w:rsidRPr="00055865">
        <w:rPr>
          <w:rFonts w:ascii="Garamond" w:eastAsia="TimesNewRomanPSMT" w:hAnsi="Garamond"/>
          <w:sz w:val="24"/>
          <w:szCs w:val="24"/>
        </w:rPr>
        <w:t xml:space="preserve">of </w:t>
      </w:r>
      <w:r w:rsidRPr="00055865">
        <w:rPr>
          <w:rFonts w:ascii="Garamond" w:eastAsia="TimesNewRomanPSMT" w:hAnsi="Garamond"/>
          <w:sz w:val="24"/>
          <w:szCs w:val="24"/>
        </w:rPr>
        <w:t>less raw materials and minimis</w:t>
      </w:r>
      <w:r w:rsidR="00BC1F9C" w:rsidRPr="00055865">
        <w:rPr>
          <w:rFonts w:ascii="Garamond" w:eastAsia="TimesNewRomanPSMT" w:hAnsi="Garamond"/>
          <w:sz w:val="24"/>
          <w:szCs w:val="24"/>
        </w:rPr>
        <w:t>ation of</w:t>
      </w:r>
      <w:r w:rsidRPr="00055865">
        <w:rPr>
          <w:rFonts w:ascii="Garamond" w:eastAsia="TimesNewRomanPSMT" w:hAnsi="Garamond"/>
          <w:sz w:val="24"/>
          <w:szCs w:val="24"/>
        </w:rPr>
        <w:t xml:space="preserve"> waste, </w:t>
      </w:r>
      <w:r w:rsidR="008235A4">
        <w:rPr>
          <w:rFonts w:ascii="Garamond" w:eastAsia="TimesNewRomanPSMT" w:hAnsi="Garamond"/>
          <w:sz w:val="24"/>
          <w:szCs w:val="24"/>
        </w:rPr>
        <w:t>they</w:t>
      </w:r>
      <w:r w:rsidRPr="00055865">
        <w:rPr>
          <w:rFonts w:ascii="Garamond" w:eastAsia="TimesNewRomanPSMT" w:hAnsi="Garamond"/>
          <w:sz w:val="24"/>
          <w:szCs w:val="24"/>
        </w:rPr>
        <w:t xml:space="preserve"> ensure t</w:t>
      </w:r>
      <w:r w:rsidR="008235A4">
        <w:rPr>
          <w:rFonts w:ascii="Garamond" w:eastAsia="TimesNewRomanPSMT" w:hAnsi="Garamond"/>
          <w:sz w:val="24"/>
          <w:szCs w:val="24"/>
        </w:rPr>
        <w:t>hat fewer waste products are</w:t>
      </w:r>
      <w:r w:rsidRPr="00055865">
        <w:rPr>
          <w:rFonts w:ascii="Garamond" w:eastAsia="TimesNewRomanPSMT" w:hAnsi="Garamond"/>
          <w:sz w:val="24"/>
          <w:szCs w:val="24"/>
        </w:rPr>
        <w:t xml:space="preserve"> available for recycling. </w:t>
      </w:r>
      <w:r w:rsidR="00684DCA" w:rsidRPr="00055865">
        <w:rPr>
          <w:rFonts w:ascii="Garamond" w:eastAsia="TimesNewRomanPSMT" w:hAnsi="Garamond"/>
          <w:sz w:val="24"/>
          <w:szCs w:val="24"/>
        </w:rPr>
        <w:t xml:space="preserve">Stradberg &amp; Anderson (2009) indicated that green practices reduce operating costs through </w:t>
      </w:r>
      <w:r w:rsidR="005B6FD7">
        <w:rPr>
          <w:rFonts w:ascii="Garamond" w:eastAsia="TimesNewRomanPSMT" w:hAnsi="Garamond"/>
          <w:sz w:val="24"/>
          <w:szCs w:val="24"/>
        </w:rPr>
        <w:t xml:space="preserve">a </w:t>
      </w:r>
      <w:r w:rsidR="00684DCA" w:rsidRPr="00055865">
        <w:rPr>
          <w:rFonts w:ascii="Garamond" w:eastAsia="TimesNewRomanPSMT" w:hAnsi="Garamond"/>
          <w:sz w:val="24"/>
          <w:szCs w:val="24"/>
        </w:rPr>
        <w:t>reduction in material and resource costs.  They aver that efficient use of materials such a</w:t>
      </w:r>
      <w:r w:rsidR="00240093" w:rsidRPr="00055865">
        <w:rPr>
          <w:rFonts w:ascii="Garamond" w:eastAsia="TimesNewRomanPSMT" w:hAnsi="Garamond"/>
          <w:sz w:val="24"/>
          <w:szCs w:val="24"/>
        </w:rPr>
        <w:t>s using less water, paper and toner, energy and sewage reduce</w:t>
      </w:r>
      <w:r w:rsidR="008235A4">
        <w:rPr>
          <w:rFonts w:ascii="Garamond" w:eastAsia="TimesNewRomanPSMT" w:hAnsi="Garamond"/>
          <w:sz w:val="24"/>
          <w:szCs w:val="24"/>
        </w:rPr>
        <w:t>s</w:t>
      </w:r>
      <w:r w:rsidR="00240093" w:rsidRPr="00055865">
        <w:rPr>
          <w:rFonts w:ascii="Garamond" w:eastAsia="TimesNewRomanPSMT" w:hAnsi="Garamond"/>
          <w:sz w:val="24"/>
          <w:szCs w:val="24"/>
        </w:rPr>
        <w:t xml:space="preserve"> utility and maintenance costs and consequently impact on financial performance.</w:t>
      </w:r>
      <w:r w:rsidR="009A4253" w:rsidRPr="00055865">
        <w:rPr>
          <w:rFonts w:ascii="Garamond" w:eastAsia="TimesNewRomanPSMT" w:hAnsi="Garamond"/>
          <w:sz w:val="24"/>
          <w:szCs w:val="24"/>
        </w:rPr>
        <w:t xml:space="preserve"> </w:t>
      </w:r>
    </w:p>
    <w:p w14:paraId="1129830F" w14:textId="299DAA12" w:rsidR="0023579E" w:rsidRPr="00055865" w:rsidRDefault="00FE267A"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 "citationItems" : [ { "id" : "ITEM-1", "itemData" : { "DOI" : "10.1108/01443570910977698", "ISBN" : "0144357091097", "ISSN" : "0144-3577", "PMID" : "43861572", "abstract" : "Purpose - The purpose of this paper is to study the relationship between inventory performance, both total inventory (INV) and its discrete components (raw material (RMI), work-in-process (WIP), and finished goods (FGI)), and financial performance in manufacturing companies. Design/methodology/approach - Statistical analysis is applied to the financial information of US-based manufacturing firms over the 26-year period from 1980 to 2005. Findings - The paper finds a significant positive correlation between inventory performance (total as well as the discrete components of inventory) and measures of financial performance (at both the gross and operating levels) for firms in manufacturing industries. The correlation between the performance of discrete types of inventory and financial performance varies significantly across inventory types. RMI performance has the highest correlation with all financial performance measures. Between WIP inventory and FGI performance, the former is more highly correlated with gross profit measures while the latter is more highly correlated with operating profit measures. Originality/value - This paper is the first to systematically analyze the relationship between inventory performance and financial performance for a large sample of firms across all manufacturing industries. The paper adds to prior literature by discussing and testing the relationship between both INV performance and the discrete types of inventory (RMI, WIP, and FGI) and profitability of operations, both at the gross and at the operating profit levels. The paper also analyzes the results for firms across as well as within manufacturing industries. The results obtained support the operations management literature's claim that a managerial focus on inventory performance results in value creation for manufacturing firms. [PUBLICATION ABSTRACT]", "author" : [ { "dropping-particle" : "", "family" : "Capkun", "given" : "Vedran", "non-dropping-particle" : "", "parse-names" : false, "suffix" : "" }, { "dropping-particle" : "", "family" : "Hameri", "given" : "Ari-Pekka", "non-dropping-particle" : "", "parse-names" : false, "suffix" : "" }, { "dropping-particle" : "", "family" : "Weiss", "given" : "Lawrence a.", "non-dropping-particle" : "", "parse-names" : false, "suffix" : "" } ], "container-title" : "International Journal of Operations &amp; Production Management", "id" : "ITEM-1", "issue" : "8", "issued" : { "date-parts" : [ [ "2009" ] ] }, "page" : "789-806", "title" : "On the relationship between inventory and financial performance in manufacturing companies", "type" : "article-journal", "volume" : "29" }, "uris" : [ "http://www.mendeley.com/documents/?uuid=22086fe8-86bc-4d44-8777-34cf4144a365" ] } ], "mendeley" : { "formattedCitation" : "(Capkun et al. 2009)", "manualFormatting" : "Capkun et al (2009)", "plainTextFormattedCitation" : "(Capkun et al. 2009)", "previouslyFormattedCitation" : "(Capkun et al. 2009)" }, "properties" : { "noteIndex" : 0 }, "schema" : "https://github.com/citation-style-language/schema/raw/master/csl-citation.json" }</w:instrText>
      </w:r>
      <w:r w:rsidRPr="00055865">
        <w:rPr>
          <w:rFonts w:ascii="Garamond" w:eastAsia="TimesNewRomanPSMT" w:hAnsi="Garamond"/>
          <w:sz w:val="24"/>
          <w:szCs w:val="24"/>
        </w:rPr>
        <w:fldChar w:fldCharType="separate"/>
      </w:r>
      <w:r w:rsidRPr="00055865">
        <w:rPr>
          <w:rFonts w:ascii="Garamond" w:eastAsia="TimesNewRomanPSMT" w:hAnsi="Garamond"/>
          <w:sz w:val="24"/>
          <w:szCs w:val="24"/>
        </w:rPr>
        <w:t>Capkun et al. (2009)</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analysing the effect of material efficiency on </w:t>
      </w:r>
      <w:r w:rsidR="005B6FD7">
        <w:rPr>
          <w:rFonts w:ascii="Garamond" w:eastAsia="TimesNewRomanPSMT" w:hAnsi="Garamond"/>
          <w:sz w:val="24"/>
          <w:szCs w:val="24"/>
        </w:rPr>
        <w:t xml:space="preserve">the </w:t>
      </w:r>
      <w:r w:rsidRPr="00055865">
        <w:rPr>
          <w:rFonts w:ascii="Garamond" w:eastAsia="TimesNewRomanPSMT" w:hAnsi="Garamond"/>
          <w:sz w:val="24"/>
          <w:szCs w:val="24"/>
        </w:rPr>
        <w:t xml:space="preserve">financial performance of US-based firms over </w:t>
      </w:r>
      <w:r w:rsidR="005B6FD7">
        <w:rPr>
          <w:rFonts w:ascii="Garamond" w:eastAsia="TimesNewRomanPSMT" w:hAnsi="Garamond"/>
          <w:sz w:val="24"/>
          <w:szCs w:val="24"/>
        </w:rPr>
        <w:t>26 years</w:t>
      </w:r>
      <w:r w:rsidRPr="00055865">
        <w:rPr>
          <w:rFonts w:ascii="Garamond" w:eastAsia="TimesNewRomanPSMT" w:hAnsi="Garamond"/>
          <w:sz w:val="24"/>
          <w:szCs w:val="24"/>
        </w:rPr>
        <w:t xml:space="preserve"> from 1980 to 2005, concluded that material efficiency is positively correlated with financial performance</w:t>
      </w:r>
      <w:r w:rsidR="005B6FD7">
        <w:rPr>
          <w:rFonts w:ascii="Garamond" w:eastAsia="TimesNewRomanPSMT" w:hAnsi="Garamond"/>
          <w:sz w:val="24"/>
          <w:szCs w:val="24"/>
        </w:rPr>
        <w:t>.</w:t>
      </w:r>
      <w:r w:rsidRPr="00055865">
        <w:rPr>
          <w:rFonts w:ascii="Garamond" w:eastAsia="TimesNewRomanPSMT" w:hAnsi="Garamond"/>
          <w:sz w:val="24"/>
          <w:szCs w:val="24"/>
        </w:rPr>
        <w:t xml:space="preserve"> </w:t>
      </w:r>
      <w:r w:rsidR="0023579E" w:rsidRPr="00055865">
        <w:rPr>
          <w:rFonts w:ascii="Garamond" w:eastAsia="TimesNewRomanPSMT" w:hAnsi="Garamond"/>
          <w:sz w:val="24"/>
          <w:szCs w:val="24"/>
        </w:rPr>
        <w:t>Therefore, it is expected that efficient use of materials such as lightweight packaging, recycling of waste materials</w:t>
      </w:r>
      <w:r w:rsidR="008235A4">
        <w:rPr>
          <w:rFonts w:ascii="Garamond" w:eastAsia="TimesNewRomanPSMT" w:hAnsi="Garamond"/>
          <w:sz w:val="24"/>
          <w:szCs w:val="24"/>
        </w:rPr>
        <w:t>,</w:t>
      </w:r>
      <w:r w:rsidR="0023579E" w:rsidRPr="00055865">
        <w:rPr>
          <w:rFonts w:ascii="Garamond" w:eastAsia="TimesNewRomanPSMT" w:hAnsi="Garamond"/>
          <w:sz w:val="24"/>
          <w:szCs w:val="24"/>
        </w:rPr>
        <w:t xml:space="preserve"> and reduction in the use of transport for material supply etc. can lead to significant cost savings and t</w:t>
      </w:r>
      <w:r w:rsidR="00E1409E" w:rsidRPr="00055865">
        <w:rPr>
          <w:rFonts w:ascii="Garamond" w:eastAsia="TimesNewRomanPSMT" w:hAnsi="Garamond"/>
          <w:sz w:val="24"/>
          <w:szCs w:val="24"/>
        </w:rPr>
        <w:t>herefore</w:t>
      </w:r>
      <w:r w:rsidR="008235A4">
        <w:rPr>
          <w:rFonts w:ascii="Garamond" w:eastAsia="TimesNewRomanPSMT" w:hAnsi="Garamond"/>
          <w:sz w:val="24"/>
          <w:szCs w:val="24"/>
        </w:rPr>
        <w:t>,</w:t>
      </w:r>
      <w:r w:rsidR="0023579E" w:rsidRPr="00055865">
        <w:rPr>
          <w:rFonts w:ascii="Garamond" w:eastAsia="TimesNewRomanPSMT" w:hAnsi="Garamond"/>
          <w:sz w:val="24"/>
          <w:szCs w:val="24"/>
        </w:rPr>
        <w:t xml:space="preserve"> </w:t>
      </w:r>
      <w:r w:rsidR="00E1409E" w:rsidRPr="00055865">
        <w:rPr>
          <w:rFonts w:ascii="Garamond" w:eastAsia="TimesNewRomanPSMT" w:hAnsi="Garamond"/>
          <w:sz w:val="24"/>
          <w:szCs w:val="24"/>
        </w:rPr>
        <w:t xml:space="preserve">we </w:t>
      </w:r>
      <w:r w:rsidR="0023579E" w:rsidRPr="00055865">
        <w:rPr>
          <w:rFonts w:ascii="Garamond" w:eastAsia="TimesNewRomanPSMT" w:hAnsi="Garamond"/>
          <w:sz w:val="24"/>
          <w:szCs w:val="24"/>
        </w:rPr>
        <w:t>hypothesise that:</w:t>
      </w:r>
    </w:p>
    <w:p w14:paraId="009586DB" w14:textId="26CA7D93" w:rsidR="0023579E" w:rsidRPr="00055865" w:rsidRDefault="0023579E" w:rsidP="005B6FD7">
      <w:pPr>
        <w:tabs>
          <w:tab w:val="left" w:pos="2550"/>
        </w:tabs>
        <w:spacing w:after="0" w:line="480" w:lineRule="auto"/>
        <w:contextualSpacing/>
        <w:jc w:val="both"/>
        <w:rPr>
          <w:rFonts w:ascii="Garamond" w:eastAsia="TimesNewRomanPSMT" w:hAnsi="Garamond"/>
          <w:i/>
          <w:sz w:val="24"/>
          <w:szCs w:val="24"/>
        </w:rPr>
      </w:pPr>
      <w:r w:rsidRPr="00055865">
        <w:rPr>
          <w:rFonts w:ascii="Garamond" w:eastAsia="TimesNewRomanPSMT" w:hAnsi="Garamond"/>
          <w:i/>
          <w:sz w:val="24"/>
          <w:szCs w:val="24"/>
        </w:rPr>
        <w:t>H5: There is a significant relationship between material/resource efficiency and financial performance.</w:t>
      </w:r>
    </w:p>
    <w:p w14:paraId="5E179533" w14:textId="49C3AF53" w:rsidR="00B63B14" w:rsidRPr="00055865" w:rsidRDefault="00B63B14" w:rsidP="005B6FD7">
      <w:pPr>
        <w:tabs>
          <w:tab w:val="left" w:pos="2550"/>
        </w:tabs>
        <w:spacing w:after="0" w:line="480" w:lineRule="auto"/>
        <w:contextualSpacing/>
        <w:jc w:val="both"/>
        <w:rPr>
          <w:rFonts w:ascii="Garamond" w:eastAsia="TimesNewRomanPSMT" w:hAnsi="Garamond"/>
          <w:noProof/>
          <w:sz w:val="24"/>
          <w:szCs w:val="24"/>
        </w:rPr>
      </w:pPr>
    </w:p>
    <w:p w14:paraId="7329EF45" w14:textId="77777777" w:rsidR="00B63B14" w:rsidRPr="00055865" w:rsidRDefault="00B63B14" w:rsidP="005B6FD7">
      <w:pPr>
        <w:tabs>
          <w:tab w:val="left" w:pos="2550"/>
        </w:tabs>
        <w:spacing w:after="0" w:line="480" w:lineRule="auto"/>
        <w:contextualSpacing/>
        <w:jc w:val="both"/>
        <w:rPr>
          <w:rFonts w:ascii="Garamond" w:eastAsia="TimesNewRomanPSMT" w:hAnsi="Garamond"/>
          <w:bCs/>
          <w:i/>
          <w:sz w:val="24"/>
          <w:szCs w:val="24"/>
        </w:rPr>
      </w:pPr>
    </w:p>
    <w:p w14:paraId="78814DA4" w14:textId="138C86A4" w:rsidR="00744667" w:rsidRPr="00055865" w:rsidRDefault="00744667" w:rsidP="005B6FD7">
      <w:pPr>
        <w:tabs>
          <w:tab w:val="left" w:pos="2550"/>
        </w:tabs>
        <w:spacing w:after="0" w:line="480" w:lineRule="auto"/>
        <w:contextualSpacing/>
        <w:jc w:val="both"/>
        <w:rPr>
          <w:rFonts w:ascii="Garamond" w:eastAsia="TimesNewRomanPSMT" w:hAnsi="Garamond"/>
          <w:bCs/>
          <w:i/>
          <w:sz w:val="24"/>
          <w:szCs w:val="24"/>
        </w:rPr>
      </w:pPr>
    </w:p>
    <w:p w14:paraId="00C8E25C" w14:textId="52C19F0F" w:rsidR="001507A1" w:rsidRPr="00055865" w:rsidRDefault="00207416" w:rsidP="005B6FD7">
      <w:pPr>
        <w:tabs>
          <w:tab w:val="left" w:pos="2550"/>
        </w:tabs>
        <w:spacing w:after="0" w:line="480" w:lineRule="auto"/>
        <w:contextualSpacing/>
        <w:jc w:val="both"/>
        <w:rPr>
          <w:rFonts w:ascii="Garamond" w:eastAsia="TimesNewRomanPSMT" w:hAnsi="Garamond"/>
          <w:b/>
          <w:i/>
          <w:sz w:val="24"/>
          <w:szCs w:val="24"/>
        </w:rPr>
      </w:pPr>
      <w:r w:rsidRPr="00055865">
        <w:rPr>
          <w:rFonts w:ascii="Garamond" w:eastAsia="TimesNewRomanPSMT" w:hAnsi="Garamond"/>
          <w:b/>
          <w:bCs/>
          <w:i/>
          <w:sz w:val="24"/>
          <w:szCs w:val="24"/>
        </w:rPr>
        <w:lastRenderedPageBreak/>
        <w:t xml:space="preserve"> 2.2.6</w:t>
      </w:r>
      <w:r w:rsidR="001507A1" w:rsidRPr="00055865">
        <w:rPr>
          <w:rFonts w:ascii="Garamond" w:eastAsia="TimesNewRomanPSMT" w:hAnsi="Garamond"/>
          <w:b/>
          <w:bCs/>
          <w:i/>
          <w:sz w:val="24"/>
          <w:szCs w:val="24"/>
        </w:rPr>
        <w:t xml:space="preserve">   </w:t>
      </w:r>
      <w:r w:rsidR="001507A1" w:rsidRPr="00055865">
        <w:rPr>
          <w:rFonts w:ascii="Garamond" w:eastAsia="TimesNewRomanPSMT" w:hAnsi="Garamond"/>
          <w:b/>
          <w:i/>
          <w:sz w:val="24"/>
          <w:szCs w:val="24"/>
        </w:rPr>
        <w:t xml:space="preserve">Stakeholder Engagement and Financial Performance </w:t>
      </w:r>
    </w:p>
    <w:p w14:paraId="2660FDC6" w14:textId="35438A15" w:rsidR="001507A1" w:rsidRPr="00055865" w:rsidRDefault="001507A1" w:rsidP="005B6FD7">
      <w:pPr>
        <w:tabs>
          <w:tab w:val="left" w:pos="2550"/>
        </w:tabs>
        <w:spacing w:after="0" w:line="480" w:lineRule="auto"/>
        <w:contextualSpacing/>
        <w:jc w:val="both"/>
        <w:rPr>
          <w:rFonts w:ascii="Garamond" w:eastAsia="TimesNewRomanPSMT" w:hAnsi="Garamond"/>
          <w:sz w:val="24"/>
          <w:szCs w:val="24"/>
        </w:rPr>
      </w:pPr>
      <w:r w:rsidRPr="00055865">
        <w:rPr>
          <w:rFonts w:ascii="Garamond" w:eastAsia="TimesNewRomanPSMT" w:hAnsi="Garamond"/>
          <w:sz w:val="24"/>
          <w:szCs w:val="24"/>
        </w:rPr>
        <w:t xml:space="preserve">            Firms can use various means to manage their relationship with stakeholders to enhance their environmental practices and consequently improve financial performance </w:t>
      </w:r>
      <w:r w:rsidR="009D0D31" w:rsidRPr="00055865">
        <w:rPr>
          <w:rFonts w:ascii="Garamond" w:eastAsia="TimesNewRomanPSMT" w:hAnsi="Garamond"/>
          <w:sz w:val="24"/>
          <w:szCs w:val="24"/>
        </w:rPr>
        <w:t xml:space="preserve"> </w:t>
      </w:r>
      <w:r w:rsidR="009D0D31" w:rsidRPr="00055865">
        <w:rPr>
          <w:rFonts w:ascii="Garamond" w:eastAsia="TimesNewRomanPSMT" w:hAnsi="Garamond"/>
          <w:sz w:val="24"/>
          <w:szCs w:val="24"/>
        </w:rPr>
        <w:fldChar w:fldCharType="begin" w:fldLock="1"/>
      </w:r>
      <w:r w:rsidR="009D0D31" w:rsidRPr="00055865">
        <w:rPr>
          <w:rFonts w:ascii="Garamond" w:eastAsia="TimesNewRomanPSMT" w:hAnsi="Garamond"/>
          <w:sz w:val="24"/>
          <w:szCs w:val="24"/>
        </w:rPr>
        <w:instrText>ADDIN CSL_CITATION {"citationItems":[{"id":"ITEM-1","itemData":{"DOI":"10.1016/S1366-5545(99)00034-4","ISBN":"1366-5545","ISSN":"13665545","abstract":"Much debate has occurred in the extant literature as to whether socially responsible actions undertaken by firms result in improved financial performance. One key dimension of social responsibility is environmental initiatives and programs. While the purchasing function can create value and significantly affect the environmental actions of a firm and its upstream supply chain, no research to date has explored the effect of environmental purchasing on firm performance. Our research provides an initial examination of this relationship. We combine survey and archival data to show that environmental purchasing is significantly related to both net income and cost of goods sold, after controlling for firm size, leverage, and primary earnings per share. (C) 2000 Elsevier Science Ltd. All rights reserved.","author":[{"dropping-particle":"","family":"Carter","given":"Craig R.","non-dropping-particle":"","parse-names":false,"suffix":""},{"dropping-particle":"","family":"Kale","given":"Rahul","non-dropping-particle":"","parse-names":false,"suffix":""},{"dropping-particle":"","family":"Grimm","given":"Curtis M.","non-dropping-particle":"","parse-names":false,"suffix":""}],"container-title":"Transportation Research Part E: Logistics and Transportation Review","id":"ITEM-1","issue":"3","issued":{"date-parts":[["2000"]]},"page":"219-228","title":"Environmental purchasing and firm performance: An empirical investigation","type":"article-journal","volume":"36"},"uris":["http://www.mendeley.com/documents/?uuid=78537446-e7c8-4cea-9e7f-b3ebde90c1e8"]},{"id":"ITEM-2","itemData":{"abstract":"Hart, S. L. (1995), A natural – resource – based view of the firm, Academy Management Review, 20(4), pp. 966-1014.","author":[{"dropping-particle":"","family":"Hart","given":"S. L.","non-dropping-particle":"","parse-names":false,"suffix":""}],"container-title":"Academy Management Review","id":"ITEM-2","issue":"4","issued":{"date-parts":[["1995"]]},"page":"966-1014","title":"A natural – resource – based view of the firm","type":"article-journal","volume":"20"},"uris":["http://www.mendeley.com/documents/?uuid=249e5a9c-e0d6-4e3b-b7fe-42bd71f3b4ab"]}],"mendeley":{"formattedCitation":"(Carter et al., 2000; S. L. Hart, 1995)","manualFormatting":"(Carter et al., 2000; Hart, 1995)","plainTextFormattedCitation":"(Carter et al., 2000; S. L. Hart, 1995)","previouslyFormattedCitation":"(Carter et al., 2000; S. L. Hart, 1995)"},"properties":{"noteIndex":0},"schema":"https://github.com/citation-style-language/schema/raw/master/csl-citation.json"}</w:instrText>
      </w:r>
      <w:r w:rsidR="009D0D31" w:rsidRPr="00055865">
        <w:rPr>
          <w:rFonts w:ascii="Garamond" w:eastAsia="TimesNewRomanPSMT" w:hAnsi="Garamond"/>
          <w:sz w:val="24"/>
          <w:szCs w:val="24"/>
        </w:rPr>
        <w:fldChar w:fldCharType="separate"/>
      </w:r>
      <w:r w:rsidR="009D0D31" w:rsidRPr="00055865">
        <w:rPr>
          <w:rFonts w:ascii="Garamond" w:eastAsia="TimesNewRomanPSMT" w:hAnsi="Garamond"/>
          <w:noProof/>
          <w:sz w:val="24"/>
          <w:szCs w:val="24"/>
        </w:rPr>
        <w:t>(Carter et al., 2000; Hart, 1995)</w:t>
      </w:r>
      <w:r w:rsidR="009D0D31" w:rsidRPr="00055865">
        <w:rPr>
          <w:rFonts w:ascii="Garamond" w:eastAsia="TimesNewRomanPSMT" w:hAnsi="Garamond"/>
          <w:sz w:val="24"/>
          <w:szCs w:val="24"/>
        </w:rPr>
        <w:fldChar w:fldCharType="end"/>
      </w:r>
      <w:r w:rsidRPr="00055865">
        <w:rPr>
          <w:rFonts w:ascii="Garamond" w:eastAsia="TimesNewRomanPSMT" w:hAnsi="Garamond"/>
          <w:sz w:val="24"/>
          <w:szCs w:val="24"/>
        </w:rPr>
        <w:t>. Internal stakeholders</w:t>
      </w:r>
      <w:r w:rsidR="00DB6768" w:rsidRPr="00055865">
        <w:rPr>
          <w:rFonts w:ascii="Garamond" w:eastAsia="TimesNewRomanPSMT" w:hAnsi="Garamond"/>
          <w:sz w:val="24"/>
          <w:szCs w:val="24"/>
        </w:rPr>
        <w:t>,</w:t>
      </w:r>
      <w:r w:rsidRPr="00055865">
        <w:rPr>
          <w:rFonts w:ascii="Garamond" w:eastAsia="TimesNewRomanPSMT" w:hAnsi="Garamond"/>
          <w:sz w:val="24"/>
          <w:szCs w:val="24"/>
        </w:rPr>
        <w:t xml:space="preserve"> such as management and employees</w:t>
      </w:r>
      <w:r w:rsidR="00DB6768" w:rsidRPr="00055865">
        <w:rPr>
          <w:rFonts w:ascii="Garamond" w:eastAsia="TimesNewRomanPSMT" w:hAnsi="Garamond"/>
          <w:sz w:val="24"/>
          <w:szCs w:val="24"/>
        </w:rPr>
        <w:t>,</w:t>
      </w:r>
      <w:r w:rsidRPr="00055865">
        <w:rPr>
          <w:rFonts w:ascii="Garamond" w:eastAsia="TimesNewRomanPSMT" w:hAnsi="Garamond"/>
          <w:sz w:val="24"/>
          <w:szCs w:val="24"/>
        </w:rPr>
        <w:t xml:space="preserve"> are critical to the success or failure of any strategy that may be pursued by the firm </w:t>
      </w:r>
      <w:r w:rsidR="009D0D31" w:rsidRPr="00055865">
        <w:rPr>
          <w:rFonts w:ascii="Garamond" w:eastAsia="TimesNewRomanPSMT" w:hAnsi="Garamond"/>
          <w:sz w:val="24"/>
          <w:szCs w:val="24"/>
        </w:rPr>
        <w:fldChar w:fldCharType="begin" w:fldLock="1"/>
      </w:r>
      <w:r w:rsidR="009D0D31" w:rsidRPr="00055865">
        <w:rPr>
          <w:rFonts w:ascii="Garamond" w:eastAsia="TimesNewRomanPSMT" w:hAnsi="Garamond"/>
          <w:sz w:val="24"/>
          <w:szCs w:val="24"/>
        </w:rPr>
        <w:instrText>ADDIN CSL_CITATION {"citationItems":[{"id":"ITEM-1","itemData":{"author":[{"dropping-particle":"","family":"Freeman","given":"E R","non-dropping-particle":"","parse-names":false,"suffix":""}],"id":"ITEM-1","issued":{"date-parts":[["1984"]]},"publisher":"Pitman/Ballinger","publisher-place":"Boston, MA","title":"Strategic Management: A Stakeholder Approach","type":"article"},"uris":["http://www.mendeley.com/documents/?uuid=e27d7887-5a82-4b38-b864-ce64dea23e42"]}],"mendeley":{"formattedCitation":"(Freeman, 1984)","plainTextFormattedCitation":"(Freeman, 1984)","previouslyFormattedCitation":"(Freeman, 1984)"},"properties":{"noteIndex":0},"schema":"https://github.com/citation-style-language/schema/raw/master/csl-citation.json"}</w:instrText>
      </w:r>
      <w:r w:rsidR="009D0D31" w:rsidRPr="00055865">
        <w:rPr>
          <w:rFonts w:ascii="Garamond" w:eastAsia="TimesNewRomanPSMT" w:hAnsi="Garamond"/>
          <w:sz w:val="24"/>
          <w:szCs w:val="24"/>
        </w:rPr>
        <w:fldChar w:fldCharType="separate"/>
      </w:r>
      <w:r w:rsidR="009D0D31" w:rsidRPr="00055865">
        <w:rPr>
          <w:rFonts w:ascii="Garamond" w:eastAsia="TimesNewRomanPSMT" w:hAnsi="Garamond"/>
          <w:noProof/>
          <w:sz w:val="24"/>
          <w:szCs w:val="24"/>
        </w:rPr>
        <w:t>(Freeman, 1984)</w:t>
      </w:r>
      <w:r w:rsidR="009D0D31" w:rsidRPr="00055865">
        <w:rPr>
          <w:rFonts w:ascii="Garamond" w:eastAsia="TimesNewRomanPSMT" w:hAnsi="Garamond"/>
          <w:sz w:val="24"/>
          <w:szCs w:val="24"/>
        </w:rPr>
        <w:fldChar w:fldCharType="end"/>
      </w:r>
      <w:r w:rsidRPr="00055865">
        <w:rPr>
          <w:rFonts w:ascii="Garamond" w:eastAsia="TimesNewRomanPSMT" w:hAnsi="Garamond"/>
          <w:sz w:val="24"/>
          <w:szCs w:val="24"/>
        </w:rPr>
        <w:t>. Where employees, both management and non-management</w:t>
      </w:r>
      <w:r w:rsidR="00DB6768" w:rsidRPr="00055865">
        <w:rPr>
          <w:rFonts w:ascii="Garamond" w:eastAsia="TimesNewRomanPSMT" w:hAnsi="Garamond"/>
          <w:sz w:val="24"/>
          <w:szCs w:val="24"/>
        </w:rPr>
        <w:t>,</w:t>
      </w:r>
      <w:r w:rsidRPr="00055865">
        <w:rPr>
          <w:rFonts w:ascii="Garamond" w:eastAsia="TimesNewRomanPSMT" w:hAnsi="Garamond"/>
          <w:sz w:val="24"/>
          <w:szCs w:val="24"/>
        </w:rPr>
        <w:t xml:space="preserve"> are in support of </w:t>
      </w:r>
      <w:r w:rsidR="00DB6768" w:rsidRPr="00055865">
        <w:rPr>
          <w:rFonts w:ascii="Garamond" w:eastAsia="TimesNewRomanPSMT" w:hAnsi="Garamond"/>
          <w:sz w:val="24"/>
          <w:szCs w:val="24"/>
        </w:rPr>
        <w:t xml:space="preserve">the </w:t>
      </w:r>
      <w:r w:rsidRPr="00055865">
        <w:rPr>
          <w:rFonts w:ascii="Garamond" w:eastAsia="TimesNewRomanPSMT" w:hAnsi="Garamond"/>
          <w:sz w:val="24"/>
          <w:szCs w:val="24"/>
        </w:rPr>
        <w:t>firm’s environmental practices</w:t>
      </w:r>
      <w:r w:rsidR="00DB6768" w:rsidRPr="00055865">
        <w:rPr>
          <w:rFonts w:ascii="Garamond" w:eastAsia="TimesNewRomanPSMT" w:hAnsi="Garamond"/>
          <w:sz w:val="24"/>
          <w:szCs w:val="24"/>
        </w:rPr>
        <w:t>,</w:t>
      </w:r>
      <w:r w:rsidRPr="00055865">
        <w:rPr>
          <w:rFonts w:ascii="Garamond" w:eastAsia="TimesNewRomanPSMT" w:hAnsi="Garamond"/>
          <w:sz w:val="24"/>
          <w:szCs w:val="24"/>
        </w:rPr>
        <w:t xml:space="preserve"> they are more likely to seek work within it and continue their employment </w:t>
      </w:r>
      <w:r w:rsidR="009D0D31" w:rsidRPr="00055865">
        <w:rPr>
          <w:rFonts w:ascii="Garamond" w:eastAsia="TimesNewRomanPSMT" w:hAnsi="Garamond"/>
          <w:sz w:val="24"/>
          <w:szCs w:val="24"/>
        </w:rPr>
        <w:fldChar w:fldCharType="begin" w:fldLock="1"/>
      </w:r>
      <w:r w:rsidR="009D0D31" w:rsidRPr="00055865">
        <w:rPr>
          <w:rFonts w:ascii="Garamond" w:eastAsia="TimesNewRomanPSMT" w:hAnsi="Garamond"/>
          <w:sz w:val="24"/>
          <w:szCs w:val="24"/>
        </w:rPr>
        <w:instrText>ADDIN CSL_CITATION {"citationItems":[{"id":"ITEM-1","itemData":{"DOI":"10.1111/j.1467-6486.2009.00873.x","ISSN":"14676486","abstract":"While smaller firms are less likely to undertake as many environmental practices as larger firms, extant literature suggests that smaller firms may be more responsive to stakeholder pressures. This paper contributes to the development of stakeholder theory by deriving a size moderated stakeholder model and applying it to a firm's adoption of proactive environmental practices. The empirical results show that smaller firms are more responsive to value-chain, internal, and regulatory stakeholder pressures. These findings suggest that researchers evaluating organizations and the natural environment should be cautious about associating stakeholder pressures directly with firms' environmental strategies. Rather, the relationship between stakeholder pressures and environmental strategy tends to vary with size. © Blackwell Publishing Ltd 2009.","author":[{"dropping-particle":"","family":"Darnall","given":"Nicole","non-dropping-particle":"","parse-names":false,"suffix":""},{"dropping-particle":"","family":"Henriques","given":"Irene","non-dropping-particle":"","parse-names":false,"suffix":""},{"dropping-particle":"","family":"Sadorsky","given":"Perry","non-dropping-particle":"","parse-names":false,"suffix":""}],"container-title":"Journal of Management Studies","id":"ITEM-1","issued":{"date-parts":[["2010"]]},"title":"Adopting proactive environmental strategy: The influence of stakeholders and firm size","type":"article-journal"},"uris":["http://www.mendeley.com/documents/?uuid=26510b85-df60-495e-89b2-60db7fa26037"]}],"mendeley":{"formattedCitation":"(Darnall et al., 2010)","plainTextFormattedCitation":"(Darnall et al., 2010)","previouslyFormattedCitation":"(Darnall et al., 2010)"},"properties":{"noteIndex":0},"schema":"https://github.com/citation-style-language/schema/raw/master/csl-citation.json"}</w:instrText>
      </w:r>
      <w:r w:rsidR="009D0D31" w:rsidRPr="00055865">
        <w:rPr>
          <w:rFonts w:ascii="Garamond" w:eastAsia="TimesNewRomanPSMT" w:hAnsi="Garamond"/>
          <w:sz w:val="24"/>
          <w:szCs w:val="24"/>
        </w:rPr>
        <w:fldChar w:fldCharType="separate"/>
      </w:r>
      <w:r w:rsidR="009D0D31" w:rsidRPr="00055865">
        <w:rPr>
          <w:rFonts w:ascii="Garamond" w:eastAsia="TimesNewRomanPSMT" w:hAnsi="Garamond"/>
          <w:noProof/>
          <w:sz w:val="24"/>
          <w:szCs w:val="24"/>
        </w:rPr>
        <w:t>(Darnall et al., 2010)</w:t>
      </w:r>
      <w:r w:rsidR="009D0D31" w:rsidRPr="00055865">
        <w:rPr>
          <w:rFonts w:ascii="Garamond" w:eastAsia="TimesNewRomanPSMT" w:hAnsi="Garamond"/>
          <w:sz w:val="24"/>
          <w:szCs w:val="24"/>
        </w:rPr>
        <w:fldChar w:fldCharType="end"/>
      </w:r>
      <w:r w:rsidR="004970D9" w:rsidRPr="00055865">
        <w:rPr>
          <w:rFonts w:ascii="Garamond" w:eastAsia="TimesNewRomanPSMT" w:hAnsi="Garamond"/>
          <w:sz w:val="24"/>
          <w:szCs w:val="24"/>
        </w:rPr>
        <w:t xml:space="preserve">. </w:t>
      </w:r>
      <w:r w:rsidR="00BA14E6" w:rsidRPr="00055865">
        <w:rPr>
          <w:rFonts w:ascii="Garamond" w:eastAsia="TimesNewRomanPSMT" w:hAnsi="Garamond"/>
          <w:sz w:val="24"/>
          <w:szCs w:val="24"/>
        </w:rPr>
        <w:t>Darnall et al. (2010)</w:t>
      </w:r>
      <w:r w:rsidR="00FE267A" w:rsidRPr="00055865">
        <w:rPr>
          <w:rFonts w:ascii="Garamond" w:eastAsia="TimesNewRomanPSMT" w:hAnsi="Garamond"/>
          <w:sz w:val="24"/>
          <w:szCs w:val="24"/>
        </w:rPr>
        <w:t xml:space="preserve"> </w:t>
      </w:r>
      <w:r w:rsidR="004970D9" w:rsidRPr="00055865">
        <w:rPr>
          <w:rFonts w:ascii="Garamond" w:eastAsia="TimesNewRomanPSMT" w:hAnsi="Garamond"/>
          <w:sz w:val="24"/>
          <w:szCs w:val="24"/>
        </w:rPr>
        <w:t xml:space="preserve">aver that </w:t>
      </w:r>
      <w:r w:rsidR="00BA14E6" w:rsidRPr="00055865">
        <w:rPr>
          <w:rFonts w:ascii="Garamond" w:eastAsia="TimesNewRomanPSMT" w:hAnsi="Garamond"/>
          <w:sz w:val="24"/>
          <w:szCs w:val="24"/>
        </w:rPr>
        <w:t>stakeholders</w:t>
      </w:r>
      <w:r w:rsidR="004970D9" w:rsidRPr="00055865">
        <w:rPr>
          <w:rFonts w:ascii="Garamond" w:eastAsia="TimesNewRomanPSMT" w:hAnsi="Garamond"/>
          <w:sz w:val="24"/>
          <w:szCs w:val="24"/>
        </w:rPr>
        <w:t xml:space="preserve"> are likely to express satisfaction or dissatisfaction with the firm executives and dissatisfaction can be voiced through employment termination. </w:t>
      </w:r>
      <w:r w:rsidR="009D0D31" w:rsidRPr="00055865">
        <w:rPr>
          <w:rFonts w:ascii="Garamond" w:eastAsia="TimesNewRomanPSMT" w:hAnsi="Garamond"/>
          <w:sz w:val="24"/>
          <w:szCs w:val="24"/>
        </w:rPr>
        <w:t xml:space="preserve"> </w:t>
      </w:r>
      <w:r w:rsidR="00BA14E6" w:rsidRPr="00055865">
        <w:rPr>
          <w:rFonts w:ascii="Garamond" w:eastAsia="TimesNewRomanPSMT" w:hAnsi="Garamond"/>
          <w:sz w:val="24"/>
          <w:szCs w:val="24"/>
        </w:rPr>
        <w:t xml:space="preserve">Similarly, </w:t>
      </w:r>
      <w:r w:rsidR="009D0D31" w:rsidRPr="00055865">
        <w:rPr>
          <w:rFonts w:ascii="Garamond" w:eastAsia="TimesNewRomanPSMT" w:hAnsi="Garamond"/>
          <w:sz w:val="24"/>
          <w:szCs w:val="24"/>
        </w:rPr>
        <w:fldChar w:fldCharType="begin" w:fldLock="1"/>
      </w:r>
      <w:r w:rsidR="00281223" w:rsidRPr="00055865">
        <w:rPr>
          <w:rFonts w:ascii="Garamond" w:eastAsia="TimesNewRomanPSMT" w:hAnsi="Garamond"/>
          <w:sz w:val="24"/>
          <w:szCs w:val="24"/>
        </w:rPr>
        <w:instrText>ADDIN CSL_CITATION {"citationItems":[{"id":"ITEM-1","itemData":{"DOI":"10.1006/jeem.1996.0026","ISBN":"0095-0696","ISSN":"00950696","PMID":"321","abstract":"Our empirical results indicate that a firm's formulation of an environmental plan is positively influenced by customer pressure, shareholder pressure, government regulatory pressure, and neighborhood and community group pressure but negatively influenced by other lobby group pressure sources and a firm's sales-to-asset ratio. Firms which view environmental issues as important in the next 5 years are also more likely to have a plan. Relative to the manufacturing sector, firms in the natural resource sector are more likely to formulate environmental plans while firms in the service sector are less likely to have plans. Our results provide insight into how firms react to environmental issues. They also offer policymakers a list of determinants which can be used either as an alternative or complement to environmental regulation.","author":[{"dropping-particle":"","family":"Henriques","given":"Irene","non-dropping-particle":"","parse-names":false,"suffix":""},{"dropping-particle":"","family":"Sadorsky","given":"Perry","non-dropping-particle":"","parse-names":false,"suffix":""}],"container-title":"Journal of Environmental Economics and Management","id":"ITEM-1","issue":"3","issued":{"date-parts":[["1996"]]},"page":"381-395","title":"The determinants of an environmentally responsive firm: An empirical approach","type":"article-journal","volume":"30"},"uris":["http://www.mendeley.com/documents/?uuid=1b2a28d1-65d2-4c6d-abda-d071f01d888d"]}],"mendeley":{"formattedCitation":"(Henriques &amp; Sadorsky, 1996)","manualFormatting":"Henriques and Sadorsky (1996)","plainTextFormattedCitation":"(Henriques &amp; Sadorsky, 1996)","previouslyFormattedCitation":"(Henriques &amp; Sadorsky, 1996)"},"properties":{"noteIndex":0},"schema":"https://github.com/citation-style-language/schema/raw/master/csl-citation.json"}</w:instrText>
      </w:r>
      <w:r w:rsidR="009D0D31" w:rsidRPr="00055865">
        <w:rPr>
          <w:rFonts w:ascii="Garamond" w:eastAsia="TimesNewRomanPSMT" w:hAnsi="Garamond"/>
          <w:sz w:val="24"/>
          <w:szCs w:val="24"/>
        </w:rPr>
        <w:fldChar w:fldCharType="separate"/>
      </w:r>
      <w:r w:rsidR="009D0D31" w:rsidRPr="00055865">
        <w:rPr>
          <w:rFonts w:ascii="Garamond" w:eastAsia="TimesNewRomanPSMT" w:hAnsi="Garamond"/>
          <w:noProof/>
          <w:sz w:val="24"/>
          <w:szCs w:val="24"/>
        </w:rPr>
        <w:t xml:space="preserve">Henriques </w:t>
      </w:r>
      <w:r w:rsidR="00BA14E6" w:rsidRPr="00055865">
        <w:rPr>
          <w:rFonts w:ascii="Garamond" w:eastAsia="TimesNewRomanPSMT" w:hAnsi="Garamond"/>
          <w:noProof/>
          <w:sz w:val="24"/>
          <w:szCs w:val="24"/>
        </w:rPr>
        <w:t>and</w:t>
      </w:r>
      <w:r w:rsidR="009D0D31" w:rsidRPr="00055865">
        <w:rPr>
          <w:rFonts w:ascii="Garamond" w:eastAsia="TimesNewRomanPSMT" w:hAnsi="Garamond"/>
          <w:noProof/>
          <w:sz w:val="24"/>
          <w:szCs w:val="24"/>
        </w:rPr>
        <w:t xml:space="preserve"> Sadorsky</w:t>
      </w:r>
      <w:r w:rsidR="00D14ECA" w:rsidRPr="00055865">
        <w:rPr>
          <w:rFonts w:ascii="Garamond" w:eastAsia="TimesNewRomanPSMT" w:hAnsi="Garamond"/>
          <w:noProof/>
          <w:sz w:val="24"/>
          <w:szCs w:val="24"/>
        </w:rPr>
        <w:t xml:space="preserve"> (</w:t>
      </w:r>
      <w:r w:rsidR="009D0D31" w:rsidRPr="00055865">
        <w:rPr>
          <w:rFonts w:ascii="Garamond" w:eastAsia="TimesNewRomanPSMT" w:hAnsi="Garamond"/>
          <w:noProof/>
          <w:sz w:val="24"/>
          <w:szCs w:val="24"/>
        </w:rPr>
        <w:t>1996)</w:t>
      </w:r>
      <w:r w:rsidR="009D0D31" w:rsidRPr="00055865">
        <w:rPr>
          <w:rFonts w:ascii="Garamond" w:eastAsia="TimesNewRomanPSMT" w:hAnsi="Garamond"/>
          <w:sz w:val="24"/>
          <w:szCs w:val="24"/>
        </w:rPr>
        <w:fldChar w:fldCharType="end"/>
      </w:r>
      <w:r w:rsidR="00BA14E6" w:rsidRPr="00055865">
        <w:rPr>
          <w:rFonts w:ascii="Garamond" w:eastAsia="TimesNewRomanPSMT" w:hAnsi="Garamond"/>
          <w:sz w:val="24"/>
          <w:szCs w:val="24"/>
        </w:rPr>
        <w:t xml:space="preserve"> </w:t>
      </w:r>
      <w:r w:rsidR="004970D9" w:rsidRPr="00055865">
        <w:rPr>
          <w:rFonts w:ascii="Garamond" w:eastAsia="TimesNewRomanPSMT" w:hAnsi="Garamond"/>
          <w:sz w:val="24"/>
          <w:szCs w:val="24"/>
        </w:rPr>
        <w:t xml:space="preserve"> pointed out that where there is poor engagement with </w:t>
      </w:r>
      <w:r w:rsidR="00DB6768" w:rsidRPr="00055865">
        <w:rPr>
          <w:rFonts w:ascii="Garamond" w:eastAsia="TimesNewRomanPSMT" w:hAnsi="Garamond"/>
          <w:sz w:val="24"/>
          <w:szCs w:val="24"/>
        </w:rPr>
        <w:t>relev</w:t>
      </w:r>
      <w:r w:rsidR="004970D9" w:rsidRPr="00055865">
        <w:rPr>
          <w:rFonts w:ascii="Garamond" w:eastAsia="TimesNewRomanPSMT" w:hAnsi="Garamond"/>
          <w:sz w:val="24"/>
          <w:szCs w:val="24"/>
        </w:rPr>
        <w:t>ant stakeholders like employees</w:t>
      </w:r>
      <w:r w:rsidR="000A095C">
        <w:rPr>
          <w:rFonts w:ascii="Garamond" w:eastAsia="TimesNewRomanPSMT" w:hAnsi="Garamond"/>
          <w:sz w:val="24"/>
          <w:szCs w:val="24"/>
        </w:rPr>
        <w:t xml:space="preserve"> or not</w:t>
      </w:r>
      <w:r w:rsidR="004970D9" w:rsidRPr="00055865">
        <w:rPr>
          <w:rFonts w:ascii="Garamond" w:eastAsia="TimesNewRomanPSMT" w:hAnsi="Garamond"/>
          <w:sz w:val="24"/>
          <w:szCs w:val="24"/>
        </w:rPr>
        <w:t>, in extreme cases</w:t>
      </w:r>
      <w:r w:rsidR="00DB6768" w:rsidRPr="00055865">
        <w:rPr>
          <w:rFonts w:ascii="Garamond" w:eastAsia="TimesNewRomanPSMT" w:hAnsi="Garamond"/>
          <w:sz w:val="24"/>
          <w:szCs w:val="24"/>
        </w:rPr>
        <w:t>,</w:t>
      </w:r>
      <w:r w:rsidR="004970D9" w:rsidRPr="00055865">
        <w:rPr>
          <w:rFonts w:ascii="Garamond" w:eastAsia="TimesNewRomanPSMT" w:hAnsi="Garamond"/>
          <w:sz w:val="24"/>
          <w:szCs w:val="24"/>
        </w:rPr>
        <w:t xml:space="preserve"> employees can engage in public </w:t>
      </w:r>
      <w:r w:rsidR="008C6E14" w:rsidRPr="00055865">
        <w:rPr>
          <w:rFonts w:ascii="Garamond" w:eastAsia="TimesNewRomanPSMT" w:hAnsi="Garamond"/>
          <w:sz w:val="24"/>
          <w:szCs w:val="24"/>
        </w:rPr>
        <w:t>whistleblowing</w:t>
      </w:r>
      <w:r w:rsidR="00DB6768" w:rsidRPr="00055865">
        <w:rPr>
          <w:rFonts w:ascii="Garamond" w:eastAsia="TimesNewRomanPSMT" w:hAnsi="Garamond"/>
          <w:sz w:val="24"/>
          <w:szCs w:val="24"/>
        </w:rPr>
        <w:t>,</w:t>
      </w:r>
      <w:r w:rsidR="004970D9" w:rsidRPr="00055865">
        <w:rPr>
          <w:rFonts w:ascii="Garamond" w:eastAsia="TimesNewRomanPSMT" w:hAnsi="Garamond"/>
          <w:sz w:val="24"/>
          <w:szCs w:val="24"/>
        </w:rPr>
        <w:t xml:space="preserve"> thereby exposing potentially poor environmental practices.</w:t>
      </w:r>
    </w:p>
    <w:p w14:paraId="5D9C01A2" w14:textId="354E86AD" w:rsidR="008C6E14" w:rsidRPr="00055865" w:rsidRDefault="001507A1" w:rsidP="005B6FD7">
      <w:pPr>
        <w:tabs>
          <w:tab w:val="left" w:pos="2550"/>
        </w:tabs>
        <w:spacing w:after="0" w:line="480" w:lineRule="auto"/>
        <w:contextualSpacing/>
        <w:jc w:val="both"/>
        <w:rPr>
          <w:rFonts w:ascii="Garamond" w:eastAsia="TimesNewRomanPSMT" w:hAnsi="Garamond"/>
          <w:bCs/>
          <w:sz w:val="24"/>
          <w:szCs w:val="24"/>
        </w:rPr>
      </w:pPr>
      <w:r w:rsidRPr="00055865">
        <w:rPr>
          <w:rFonts w:ascii="Garamond" w:eastAsia="TimesNewRomanPSMT" w:hAnsi="Garamond"/>
          <w:sz w:val="24"/>
          <w:szCs w:val="24"/>
        </w:rPr>
        <w:t xml:space="preserve">            Further, extant literature suggests that effective</w:t>
      </w:r>
      <w:r w:rsidR="00BA14E6" w:rsidRPr="00055865">
        <w:rPr>
          <w:rFonts w:ascii="Garamond" w:eastAsia="TimesNewRomanPSMT" w:hAnsi="Garamond"/>
          <w:sz w:val="24"/>
          <w:szCs w:val="24"/>
        </w:rPr>
        <w:t xml:space="preserve"> stakeholder management on </w:t>
      </w:r>
      <w:r w:rsidRPr="00055865">
        <w:rPr>
          <w:rFonts w:ascii="Garamond" w:eastAsia="TimesNewRomanPSMT" w:hAnsi="Garamond"/>
          <w:sz w:val="24"/>
          <w:szCs w:val="24"/>
        </w:rPr>
        <w:t>sustainable environmental practices improve</w:t>
      </w:r>
      <w:r w:rsidR="00BA14E6" w:rsidRPr="00055865">
        <w:rPr>
          <w:rFonts w:ascii="Garamond" w:eastAsia="TimesNewRomanPSMT" w:hAnsi="Garamond"/>
          <w:sz w:val="24"/>
          <w:szCs w:val="24"/>
        </w:rPr>
        <w:t>s</w:t>
      </w:r>
      <w:r w:rsidRPr="00055865">
        <w:rPr>
          <w:rFonts w:ascii="Garamond" w:eastAsia="TimesNewRomanPSMT" w:hAnsi="Garamond"/>
          <w:sz w:val="24"/>
          <w:szCs w:val="24"/>
        </w:rPr>
        <w:t xml:space="preserve"> the stakeholders</w:t>
      </w:r>
      <w:r w:rsidR="000A095C">
        <w:rPr>
          <w:rFonts w:ascii="Garamond" w:eastAsia="TimesNewRomanPSMT" w:hAnsi="Garamond"/>
          <w:sz w:val="24"/>
          <w:szCs w:val="24"/>
        </w:rPr>
        <w:t>’</w:t>
      </w:r>
      <w:r w:rsidRPr="00055865">
        <w:rPr>
          <w:rFonts w:ascii="Garamond" w:eastAsia="TimesNewRomanPSMT" w:hAnsi="Garamond"/>
          <w:sz w:val="24"/>
          <w:szCs w:val="24"/>
        </w:rPr>
        <w:t xml:space="preserve"> </w:t>
      </w:r>
      <w:r w:rsidR="00BA14E6" w:rsidRPr="00055865">
        <w:rPr>
          <w:rFonts w:ascii="Garamond" w:eastAsia="TimesNewRomanPSMT" w:hAnsi="Garamond"/>
          <w:sz w:val="24"/>
          <w:szCs w:val="24"/>
        </w:rPr>
        <w:t>perception</w:t>
      </w:r>
      <w:r w:rsidR="000A095C">
        <w:rPr>
          <w:rFonts w:ascii="Garamond" w:eastAsia="TimesNewRomanPSMT" w:hAnsi="Garamond"/>
          <w:sz w:val="24"/>
          <w:szCs w:val="24"/>
        </w:rPr>
        <w:t xml:space="preserve"> of the firms,</w:t>
      </w:r>
      <w:r w:rsidR="00454E3A">
        <w:rPr>
          <w:rFonts w:ascii="Garamond" w:eastAsia="TimesNewRomanPSMT" w:hAnsi="Garamond"/>
          <w:sz w:val="24"/>
          <w:szCs w:val="24"/>
        </w:rPr>
        <w:t xml:space="preserve"> and this positively impacts on the firm’s</w:t>
      </w:r>
      <w:r w:rsidR="005B27A4" w:rsidRPr="00055865">
        <w:rPr>
          <w:rFonts w:ascii="Garamond" w:eastAsia="TimesNewRomanPSMT" w:hAnsi="Garamond"/>
          <w:sz w:val="24"/>
          <w:szCs w:val="24"/>
        </w:rPr>
        <w:t xml:space="preserve"> commitment to the sustainable environmental investment initiatives </w:t>
      </w:r>
      <w:r w:rsidRPr="00055865">
        <w:rPr>
          <w:rFonts w:ascii="Garamond" w:eastAsia="TimesNewRomanPSMT" w:hAnsi="Garamond"/>
          <w:sz w:val="24"/>
          <w:szCs w:val="24"/>
        </w:rPr>
        <w:fldChar w:fldCharType="begin" w:fldLock="1"/>
      </w:r>
      <w:r w:rsidR="007122D5" w:rsidRPr="00055865">
        <w:rPr>
          <w:rFonts w:ascii="Garamond" w:eastAsia="TimesNewRomanPSMT" w:hAnsi="Garamond"/>
          <w:sz w:val="24"/>
          <w:szCs w:val="24"/>
        </w:rPr>
        <w:instrText>ADDIN CSL_CITATION {"citationItems":[{"id":"ITEM-1","itemData":{"abstract":"Hart, S. L. (1995), A natural – resource – based view of the firm, Academy Management Review, 20(4), pp. 966-1014.","author":[{"dropping-particle":"","family":"Hart","given":"S. L.","non-dropping-particle":"","parse-names":false,"suffix":""}],"container-title":"Academy Management Review","id":"ITEM-1","issue":"4","issued":{"date-parts":[["1995"]]},"page":"966-1014","title":"A natural – resource – based view of the firm","type":"article-journal","volume":"20"},"uris":["http://www.mendeley.com/documents/?uuid=249e5a9c-e0d6-4e3b-b7fe-42bd71f3b4ab"]}],"mendeley":{"formattedCitation":"(S. L. Hart, 1995)","manualFormatting":"(Hart, 1995)","plainTextFormattedCitation":"(S. L. Hart, 1995)","previouslyFormattedCitation":"(S. L. Hart, 1995)"},"properties":{"noteIndex":0},"schema":"https://github.com/citation-style-language/schema/raw/master/csl-citation.json"}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(Hart, 1995)</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w:t>
      </w:r>
      <w:r w:rsidRPr="00055865">
        <w:rPr>
          <w:rFonts w:ascii="Garamond" w:eastAsia="TimesNewRomanPSMT" w:hAnsi="Garamond"/>
          <w:sz w:val="24"/>
          <w:szCs w:val="24"/>
        </w:rPr>
        <w:fldChar w:fldCharType="begin" w:fldLock="1"/>
      </w:r>
      <w:r w:rsidRPr="00055865">
        <w:rPr>
          <w:rFonts w:ascii="Garamond" w:eastAsia="TimesNewRomanPSMT" w:hAnsi="Garamond"/>
          <w:sz w:val="24"/>
          <w:szCs w:val="24"/>
        </w:rPr>
        <w:instrText>ADDIN CSL_CITATION {"citationItems":[{"id":"ITEM-1","itemData":{"DOI":"10.1007/s10551-016-3088-8","ISSN":"15730697","abstract":"The nature of the relationship between environmental performance (EP) and firm performance (FP) of corporations is a long standing and contentious issue in the literature. This study is intended to advance this debate by arguing for the existence of curvilinear relationship and empirically testing the same using survey data on UK manufacturing firms. FP is captured in terms of growth in sales and market share. Our results show evidence for a quadratic relationship---as firms improve their EP, they seem to achieve much higher levels of FP. These results are consistent with the resource-based view of a firm; as firms engage in EP activities, they are able to gain inimitable knowledge that helps in further learning to further improve performance. Based on our results, we suggest that new studies focus on strategies to extend the period of increasing returns and maximizing the benefits of the positive association between EP and FP.","author":[{"dropping-particle":"","family":"Ramanathan","given":"Ramakrishnan","non-dropping-particle":"","parse-names":false,"suffix":""}],"container-title":"Journal of Business Ethics","id":"ITEM-1","issue":"2008","issued":{"date-parts":[["2016"]]},"page":"1-11","publisher":"Springer Netherlands","title":"Understanding Complexity: the Curvilinear Relationship Between Environmental Performance and Firm Performance","type":"article-journal"},"uris":["http://www.mendeley.com/documents/?uuid=021fac6e-0468-46e7-93b7-897425764cea"]}],"mendeley":{"formattedCitation":"(Ramanathan, 2016)","manualFormatting":"Ramanathan (2016)","plainTextFormattedCitation":"(Ramanathan, 2016)","previouslyFormattedCitation":"(Ramanathan, 2016)"},"properties":{"noteIndex":0},"schema":"https://github.com/citation-style-language/schema/raw/master/csl-citation.json"}</w:instrText>
      </w:r>
      <w:r w:rsidRPr="00055865">
        <w:rPr>
          <w:rFonts w:ascii="Garamond" w:eastAsia="TimesNewRomanPSMT" w:hAnsi="Garamond"/>
          <w:sz w:val="24"/>
          <w:szCs w:val="24"/>
        </w:rPr>
        <w:fldChar w:fldCharType="separate"/>
      </w:r>
      <w:r w:rsidRPr="00055865">
        <w:rPr>
          <w:rFonts w:ascii="Garamond" w:eastAsia="TimesNewRomanPSMT" w:hAnsi="Garamond"/>
          <w:noProof/>
          <w:sz w:val="24"/>
          <w:szCs w:val="24"/>
        </w:rPr>
        <w:t>Ramanathan (2016)</w:t>
      </w:r>
      <w:r w:rsidRPr="00055865">
        <w:rPr>
          <w:rFonts w:ascii="Garamond" w:eastAsia="TimesNewRomanPSMT" w:hAnsi="Garamond"/>
          <w:sz w:val="24"/>
          <w:szCs w:val="24"/>
        </w:rPr>
        <w:fldChar w:fldCharType="end"/>
      </w:r>
      <w:r w:rsidRPr="00055865">
        <w:rPr>
          <w:rFonts w:ascii="Garamond" w:eastAsia="TimesNewRomanPSMT" w:hAnsi="Garamond"/>
          <w:sz w:val="24"/>
          <w:szCs w:val="24"/>
        </w:rPr>
        <w:t xml:space="preserve"> aver that such </w:t>
      </w:r>
      <w:r w:rsidR="00454E3A">
        <w:rPr>
          <w:rFonts w:ascii="Garamond" w:eastAsia="TimesNewRomanPSMT" w:hAnsi="Garamond"/>
          <w:sz w:val="24"/>
          <w:szCs w:val="24"/>
        </w:rPr>
        <w:t xml:space="preserve">an </w:t>
      </w:r>
      <w:r w:rsidRPr="00055865">
        <w:rPr>
          <w:rFonts w:ascii="Garamond" w:eastAsia="TimesNewRomanPSMT" w:hAnsi="Garamond"/>
          <w:sz w:val="24"/>
          <w:szCs w:val="24"/>
        </w:rPr>
        <w:t>action w</w:t>
      </w:r>
      <w:r w:rsidR="00DB6768" w:rsidRPr="00055865">
        <w:rPr>
          <w:rFonts w:ascii="Garamond" w:eastAsia="TimesNewRomanPSMT" w:hAnsi="Garamond"/>
          <w:sz w:val="24"/>
          <w:szCs w:val="24"/>
        </w:rPr>
        <w:t>ould</w:t>
      </w:r>
      <w:r w:rsidRPr="00055865">
        <w:rPr>
          <w:rFonts w:ascii="Garamond" w:eastAsia="TimesNewRomanPSMT" w:hAnsi="Garamond"/>
          <w:sz w:val="24"/>
          <w:szCs w:val="24"/>
        </w:rPr>
        <w:t xml:space="preserve"> help improve employees’ motivation, improve</w:t>
      </w:r>
      <w:r w:rsidR="005B27A4" w:rsidRPr="00055865">
        <w:rPr>
          <w:rFonts w:ascii="Garamond" w:eastAsia="TimesNewRomanPSMT" w:hAnsi="Garamond"/>
          <w:sz w:val="24"/>
          <w:szCs w:val="24"/>
        </w:rPr>
        <w:t xml:space="preserve"> customers</w:t>
      </w:r>
      <w:r w:rsidR="00454E3A">
        <w:rPr>
          <w:rFonts w:ascii="Garamond" w:eastAsia="TimesNewRomanPSMT" w:hAnsi="Garamond"/>
          <w:sz w:val="24"/>
          <w:szCs w:val="24"/>
        </w:rPr>
        <w:t>’</w:t>
      </w:r>
      <w:r w:rsidR="005B27A4" w:rsidRPr="00055865">
        <w:rPr>
          <w:rFonts w:ascii="Garamond" w:eastAsia="TimesNewRomanPSMT" w:hAnsi="Garamond"/>
          <w:sz w:val="24"/>
          <w:szCs w:val="24"/>
        </w:rPr>
        <w:t xml:space="preserve"> and investors’</w:t>
      </w:r>
      <w:r w:rsidRPr="00055865">
        <w:rPr>
          <w:rFonts w:ascii="Garamond" w:eastAsia="TimesNewRomanPSMT" w:hAnsi="Garamond"/>
          <w:sz w:val="24"/>
          <w:szCs w:val="24"/>
        </w:rPr>
        <w:t xml:space="preserve"> patronage</w:t>
      </w:r>
      <w:r w:rsidR="005B27A4" w:rsidRPr="00055865">
        <w:rPr>
          <w:rFonts w:ascii="Garamond" w:eastAsia="TimesNewRomanPSMT" w:hAnsi="Garamond"/>
          <w:sz w:val="24"/>
          <w:szCs w:val="24"/>
        </w:rPr>
        <w:t>,</w:t>
      </w:r>
      <w:r w:rsidR="009A4253" w:rsidRPr="00055865">
        <w:rPr>
          <w:rFonts w:ascii="Garamond" w:eastAsia="TimesNewRomanPSMT" w:hAnsi="Garamond"/>
          <w:sz w:val="24"/>
          <w:szCs w:val="24"/>
        </w:rPr>
        <w:t xml:space="preserve"> </w:t>
      </w:r>
      <w:r w:rsidR="00454E3A">
        <w:rPr>
          <w:rFonts w:ascii="Garamond" w:eastAsia="TimesNewRomanPSMT" w:hAnsi="Garamond"/>
          <w:sz w:val="24"/>
          <w:szCs w:val="24"/>
        </w:rPr>
        <w:t>thereby</w:t>
      </w:r>
      <w:r w:rsidRPr="00055865">
        <w:rPr>
          <w:rFonts w:ascii="Garamond" w:eastAsia="TimesNewRomanPSMT" w:hAnsi="Garamond"/>
          <w:sz w:val="24"/>
          <w:szCs w:val="24"/>
        </w:rPr>
        <w:t xml:space="preserve"> leading to an improvement in financial performance</w:t>
      </w:r>
      <w:r w:rsidR="008C6E14" w:rsidRPr="00055865">
        <w:rPr>
          <w:rFonts w:ascii="Garamond" w:eastAsia="TimesNewRomanPSMT" w:hAnsi="Garamond"/>
          <w:sz w:val="24"/>
          <w:szCs w:val="24"/>
        </w:rPr>
        <w:t>. Aside</w:t>
      </w:r>
      <w:r w:rsidR="005B6FD7">
        <w:rPr>
          <w:rFonts w:ascii="Garamond" w:eastAsia="TimesNewRomanPSMT" w:hAnsi="Garamond"/>
          <w:sz w:val="24"/>
          <w:szCs w:val="24"/>
        </w:rPr>
        <w:t xml:space="preserve"> from</w:t>
      </w:r>
      <w:r w:rsidR="005B27A4" w:rsidRPr="00055865">
        <w:rPr>
          <w:rFonts w:ascii="Garamond" w:eastAsia="TimesNewRomanPSMT" w:hAnsi="Garamond"/>
          <w:sz w:val="24"/>
          <w:szCs w:val="24"/>
        </w:rPr>
        <w:t xml:space="preserve"> the impact of </w:t>
      </w:r>
      <w:r w:rsidR="00E656E7" w:rsidRPr="00055865">
        <w:rPr>
          <w:rFonts w:ascii="Garamond" w:eastAsia="TimesNewRomanPSMT" w:hAnsi="Garamond"/>
          <w:sz w:val="24"/>
          <w:szCs w:val="24"/>
        </w:rPr>
        <w:t>stakeholder</w:t>
      </w:r>
      <w:r w:rsidR="00E656E7">
        <w:rPr>
          <w:rFonts w:ascii="Garamond" w:eastAsia="TimesNewRomanPSMT" w:hAnsi="Garamond"/>
          <w:sz w:val="24"/>
          <w:szCs w:val="24"/>
        </w:rPr>
        <w:t>s’</w:t>
      </w:r>
      <w:r w:rsidR="005B27A4" w:rsidRPr="00055865">
        <w:rPr>
          <w:rFonts w:ascii="Garamond" w:eastAsia="TimesNewRomanPSMT" w:hAnsi="Garamond"/>
          <w:sz w:val="24"/>
          <w:szCs w:val="24"/>
        </w:rPr>
        <w:t xml:space="preserve"> engagement on e</w:t>
      </w:r>
      <w:r w:rsidR="00454E3A">
        <w:rPr>
          <w:rFonts w:ascii="Garamond" w:eastAsia="TimesNewRomanPSMT" w:hAnsi="Garamond"/>
          <w:sz w:val="24"/>
          <w:szCs w:val="24"/>
        </w:rPr>
        <w:t>nvironmental practices and their</w:t>
      </w:r>
      <w:r w:rsidR="005B27A4" w:rsidRPr="00055865">
        <w:rPr>
          <w:rFonts w:ascii="Garamond" w:eastAsia="TimesNewRomanPSMT" w:hAnsi="Garamond"/>
          <w:sz w:val="24"/>
          <w:szCs w:val="24"/>
        </w:rPr>
        <w:t xml:space="preserve"> impact on </w:t>
      </w:r>
      <w:r w:rsidR="008C6E14" w:rsidRPr="00055865">
        <w:rPr>
          <w:rFonts w:ascii="Garamond" w:eastAsia="TimesNewRomanPSMT" w:hAnsi="Garamond"/>
          <w:sz w:val="24"/>
          <w:szCs w:val="24"/>
        </w:rPr>
        <w:t>primary sta</w:t>
      </w:r>
      <w:r w:rsidR="00BA5A9B" w:rsidRPr="00055865">
        <w:rPr>
          <w:rFonts w:ascii="Garamond" w:eastAsia="TimesNewRomanPSMT" w:hAnsi="Garamond"/>
          <w:sz w:val="24"/>
          <w:szCs w:val="24"/>
        </w:rPr>
        <w:t>k</w:t>
      </w:r>
      <w:r w:rsidR="008C6E14" w:rsidRPr="00055865">
        <w:rPr>
          <w:rFonts w:ascii="Garamond" w:eastAsia="TimesNewRomanPSMT" w:hAnsi="Garamond"/>
          <w:sz w:val="24"/>
          <w:szCs w:val="24"/>
        </w:rPr>
        <w:t>eholders</w:t>
      </w:r>
      <w:r w:rsidR="00BA5A9B" w:rsidRPr="00055865">
        <w:rPr>
          <w:rFonts w:ascii="Garamond" w:eastAsia="TimesNewRomanPSMT" w:hAnsi="Garamond"/>
          <w:sz w:val="24"/>
          <w:szCs w:val="24"/>
        </w:rPr>
        <w:t xml:space="preserve">, </w:t>
      </w:r>
      <w:r w:rsidR="005B27A4" w:rsidRPr="00055865">
        <w:rPr>
          <w:rFonts w:ascii="Garamond" w:eastAsia="TimesNewRomanPSMT" w:hAnsi="Garamond"/>
          <w:sz w:val="24"/>
          <w:szCs w:val="24"/>
        </w:rPr>
        <w:t xml:space="preserve">secondary stakeholders such as the </w:t>
      </w:r>
      <w:r w:rsidR="00BA5A9B" w:rsidRPr="00055865">
        <w:rPr>
          <w:rFonts w:ascii="Garamond" w:eastAsia="TimesNewRomanPSMT" w:hAnsi="Garamond"/>
          <w:sz w:val="24"/>
          <w:szCs w:val="24"/>
        </w:rPr>
        <w:t xml:space="preserve">societal stakeholders </w:t>
      </w:r>
      <w:r w:rsidR="005B27A4" w:rsidRPr="00055865">
        <w:rPr>
          <w:rFonts w:ascii="Garamond" w:eastAsia="TimesNewRomanPSMT" w:hAnsi="Garamond"/>
          <w:sz w:val="24"/>
          <w:szCs w:val="24"/>
        </w:rPr>
        <w:t>could also</w:t>
      </w:r>
      <w:r w:rsidR="00BA5A9B" w:rsidRPr="00055865">
        <w:rPr>
          <w:rFonts w:ascii="Garamond" w:eastAsia="TimesNewRomanPSMT" w:hAnsi="Garamond"/>
          <w:sz w:val="24"/>
          <w:szCs w:val="24"/>
        </w:rPr>
        <w:t xml:space="preserve"> significant</w:t>
      </w:r>
      <w:r w:rsidR="005B27A4" w:rsidRPr="00055865">
        <w:rPr>
          <w:rFonts w:ascii="Garamond" w:eastAsia="TimesNewRomanPSMT" w:hAnsi="Garamond"/>
          <w:sz w:val="24"/>
          <w:szCs w:val="24"/>
        </w:rPr>
        <w:t>ly impact on the</w:t>
      </w:r>
      <w:r w:rsidR="00BA5A9B" w:rsidRPr="00055865">
        <w:rPr>
          <w:rFonts w:ascii="Garamond" w:eastAsia="TimesNewRomanPSMT" w:hAnsi="Garamond"/>
          <w:sz w:val="24"/>
          <w:szCs w:val="24"/>
        </w:rPr>
        <w:t xml:space="preserve"> development o</w:t>
      </w:r>
      <w:r w:rsidR="005B6FD7">
        <w:rPr>
          <w:rFonts w:ascii="Garamond" w:eastAsia="TimesNewRomanPSMT" w:hAnsi="Garamond"/>
          <w:sz w:val="24"/>
          <w:szCs w:val="24"/>
        </w:rPr>
        <w:t>f</w:t>
      </w:r>
      <w:r w:rsidR="00BA5A9B" w:rsidRPr="00055865">
        <w:rPr>
          <w:rFonts w:ascii="Garamond" w:eastAsia="TimesNewRomanPSMT" w:hAnsi="Garamond"/>
          <w:sz w:val="24"/>
          <w:szCs w:val="24"/>
        </w:rPr>
        <w:t xml:space="preserve"> </w:t>
      </w:r>
      <w:r w:rsidR="005B27A4" w:rsidRPr="00055865">
        <w:rPr>
          <w:rFonts w:ascii="Garamond" w:eastAsia="TimesNewRomanPSMT" w:hAnsi="Garamond"/>
          <w:sz w:val="24"/>
          <w:szCs w:val="24"/>
        </w:rPr>
        <w:t xml:space="preserve">sustainable </w:t>
      </w:r>
      <w:r w:rsidR="00BA5A9B" w:rsidRPr="00055865">
        <w:rPr>
          <w:rFonts w:ascii="Garamond" w:eastAsia="TimesNewRomanPSMT" w:hAnsi="Garamond"/>
          <w:sz w:val="24"/>
          <w:szCs w:val="24"/>
        </w:rPr>
        <w:t>environmental management</w:t>
      </w:r>
      <w:r w:rsidR="005B27A4" w:rsidRPr="00055865">
        <w:rPr>
          <w:rFonts w:ascii="Garamond" w:eastAsia="TimesNewRomanPSMT" w:hAnsi="Garamond"/>
          <w:sz w:val="24"/>
          <w:szCs w:val="24"/>
        </w:rPr>
        <w:t xml:space="preserve"> practices</w:t>
      </w:r>
      <w:r w:rsidR="00BA5A9B" w:rsidRPr="00055865">
        <w:rPr>
          <w:rFonts w:ascii="Garamond" w:eastAsia="TimesNewRomanPSMT" w:hAnsi="Garamond"/>
          <w:sz w:val="24"/>
          <w:szCs w:val="24"/>
        </w:rPr>
        <w:t xml:space="preserve">. </w:t>
      </w:r>
      <w:r w:rsidR="005B27A4" w:rsidRPr="00055865">
        <w:rPr>
          <w:rFonts w:ascii="Garamond" w:eastAsia="TimesNewRomanPSMT" w:hAnsi="Garamond"/>
          <w:sz w:val="24"/>
          <w:szCs w:val="24"/>
        </w:rPr>
        <w:t>Thus, s</w:t>
      </w:r>
      <w:r w:rsidR="00BA5A9B" w:rsidRPr="00055865">
        <w:rPr>
          <w:rFonts w:ascii="Garamond" w:eastAsia="TimesNewRomanPSMT" w:hAnsi="Garamond"/>
          <w:sz w:val="24"/>
          <w:szCs w:val="24"/>
        </w:rPr>
        <w:t xml:space="preserve">ocietal stakeholders </w:t>
      </w:r>
      <w:r w:rsidR="008C4E2E" w:rsidRPr="00055865">
        <w:rPr>
          <w:rFonts w:ascii="Garamond" w:eastAsia="TimesNewRomanPSMT" w:hAnsi="Garamond"/>
          <w:sz w:val="24"/>
          <w:szCs w:val="24"/>
        </w:rPr>
        <w:t>such as</w:t>
      </w:r>
      <w:r w:rsidR="00BA5A9B" w:rsidRPr="00055865">
        <w:rPr>
          <w:rFonts w:ascii="Garamond" w:eastAsia="TimesNewRomanPSMT" w:hAnsi="Garamond"/>
          <w:sz w:val="24"/>
          <w:szCs w:val="24"/>
        </w:rPr>
        <w:t xml:space="preserve"> environmental and community organisations, labour unions</w:t>
      </w:r>
      <w:r w:rsidR="008C4E2E" w:rsidRPr="00055865">
        <w:rPr>
          <w:rFonts w:ascii="Garamond" w:eastAsia="TimesNewRomanPSMT" w:hAnsi="Garamond"/>
          <w:sz w:val="24"/>
          <w:szCs w:val="24"/>
        </w:rPr>
        <w:t>, environmental pressure groups</w:t>
      </w:r>
      <w:r w:rsidR="00BA5A9B" w:rsidRPr="00055865">
        <w:rPr>
          <w:rFonts w:ascii="Garamond" w:eastAsia="TimesNewRomanPSMT" w:hAnsi="Garamond"/>
          <w:sz w:val="24"/>
          <w:szCs w:val="24"/>
        </w:rPr>
        <w:t xml:space="preserve"> and industry associations </w:t>
      </w:r>
      <w:r w:rsidR="00DB6768" w:rsidRPr="00055865">
        <w:rPr>
          <w:rFonts w:ascii="Garamond" w:eastAsia="TimesNewRomanPSMT" w:hAnsi="Garamond"/>
          <w:sz w:val="24"/>
          <w:szCs w:val="24"/>
        </w:rPr>
        <w:t>can</w:t>
      </w:r>
      <w:r w:rsidR="00BA5A9B" w:rsidRPr="00055865">
        <w:rPr>
          <w:rFonts w:ascii="Garamond" w:eastAsia="TimesNewRomanPSMT" w:hAnsi="Garamond"/>
          <w:sz w:val="24"/>
          <w:szCs w:val="24"/>
        </w:rPr>
        <w:t xml:space="preserve"> win public opinion in favour or against the firm </w:t>
      </w:r>
      <w:r w:rsidR="00BA5A9B" w:rsidRPr="00055865">
        <w:rPr>
          <w:rFonts w:ascii="Garamond" w:eastAsia="TimesNewRomanPSMT" w:hAnsi="Garamond"/>
          <w:sz w:val="24"/>
          <w:szCs w:val="24"/>
        </w:rPr>
        <w:fldChar w:fldCharType="begin" w:fldLock="1"/>
      </w:r>
      <w:r w:rsidR="007122D5" w:rsidRPr="00055865">
        <w:rPr>
          <w:rFonts w:ascii="Garamond" w:eastAsia="TimesNewRomanPSMT" w:hAnsi="Garamond"/>
          <w:sz w:val="24"/>
          <w:szCs w:val="24"/>
        </w:rPr>
        <w:instrText>ADDIN CSL_CITATION {"citationItems":[{"id":"ITEM-1","itemData":{"DOI":"10.1111/j.1467-6486.2009.00873.x","ISSN":"14676486","abstract":"While smaller firms are less likely to undertake as many environmental practices as larger firms, extant literature suggests that smaller firms may be more responsive to stakeholder pressures. This paper contributes to the development of stakeholder theory by deriving a size moderated stakeholder model and applying it to a firm's adoption of proactive environmental practices. The empirical results show that smaller firms are more responsive to value-chain, internal, and regulatory stakeholder pressures. These findings suggest that researchers evaluating organizations and the natural environment should be cautious about associating stakeholder pressures directly with firms' environmental strategies. Rather, the relationship between stakeholder pressures and environmental strategy tends to vary with size. © Blackwell Publishing Ltd 2009.","author":[{"dropping-particle":"","family":"Darnall","given":"Nicole","non-dropping-particle":"","parse-names":false,"suffix":""},{"dropping-particle":"","family":"Henriques","given":"Irene","non-dropping-particle":"","parse-names":false,"suffix":""},{"dropping-particle":"","family":"Sadorsky","given":"Perry","non-dropping-particle":"","parse-names":false,"suffix":""}],"container-title":"Journal of Management Studies","id":"ITEM-1","issued":{"date-parts":[["2010"]]},"title":"Adopting proactive environmental strategy: The influence of stakeholders and firm size","type":"article-journal"},"uris":["http://www.mendeley.com/documents/?uuid=26510b85-df60-495e-89b2-60db7fa26037"]}],"mendeley":{"formattedCitation":"(Darnall et al., 2010)","plainTextFormattedCitation":"(Darnall et al., 2010)","previouslyFormattedCitation":"(Darnall et al., 2010)"},"properties":{"noteIndex":0},"schema":"https://github.com/citation-style-language/schema/raw/master/csl-citation.json"}</w:instrText>
      </w:r>
      <w:r w:rsidR="00BA5A9B" w:rsidRPr="00055865">
        <w:rPr>
          <w:rFonts w:ascii="Garamond" w:eastAsia="TimesNewRomanPSMT" w:hAnsi="Garamond"/>
          <w:sz w:val="24"/>
          <w:szCs w:val="24"/>
        </w:rPr>
        <w:fldChar w:fldCharType="separate"/>
      </w:r>
      <w:r w:rsidR="007122D5" w:rsidRPr="00055865">
        <w:rPr>
          <w:rFonts w:ascii="Garamond" w:eastAsia="TimesNewRomanPSMT" w:hAnsi="Garamond"/>
          <w:noProof/>
          <w:sz w:val="24"/>
          <w:szCs w:val="24"/>
        </w:rPr>
        <w:t>(Darnall et al., 2010)</w:t>
      </w:r>
      <w:r w:rsidR="00BA5A9B" w:rsidRPr="00055865">
        <w:rPr>
          <w:rFonts w:ascii="Garamond" w:eastAsia="TimesNewRomanPSMT" w:hAnsi="Garamond"/>
          <w:sz w:val="24"/>
          <w:szCs w:val="24"/>
        </w:rPr>
        <w:fldChar w:fldCharType="end"/>
      </w:r>
      <w:r w:rsidR="00BA5A9B" w:rsidRPr="00055865">
        <w:rPr>
          <w:rFonts w:ascii="Garamond" w:eastAsia="TimesNewRomanPSMT" w:hAnsi="Garamond"/>
          <w:sz w:val="24"/>
          <w:szCs w:val="24"/>
        </w:rPr>
        <w:t xml:space="preserve">.  </w:t>
      </w:r>
      <w:r w:rsidR="008C4E2E" w:rsidRPr="00055865">
        <w:rPr>
          <w:rFonts w:ascii="Garamond" w:eastAsia="TimesNewRomanPSMT" w:hAnsi="Garamond"/>
          <w:sz w:val="24"/>
          <w:szCs w:val="24"/>
        </w:rPr>
        <w:t xml:space="preserve">Further, such groups could form stakeholder coalitions to influence sustainable environmental practices initiative. Therefore, effective stakeholder engagement is paramount to sustainable environmental practices and their impact on </w:t>
      </w:r>
      <w:r w:rsidR="005B6FD7">
        <w:rPr>
          <w:rFonts w:ascii="Garamond" w:eastAsia="TimesNewRomanPSMT" w:hAnsi="Garamond"/>
          <w:sz w:val="24"/>
          <w:szCs w:val="24"/>
        </w:rPr>
        <w:t xml:space="preserve">the </w:t>
      </w:r>
      <w:r w:rsidR="008C4E2E" w:rsidRPr="00055865">
        <w:rPr>
          <w:rFonts w:ascii="Garamond" w:eastAsia="TimesNewRomanPSMT" w:hAnsi="Garamond"/>
          <w:sz w:val="24"/>
          <w:szCs w:val="24"/>
        </w:rPr>
        <w:t xml:space="preserve">financial performance of the firm.  </w:t>
      </w:r>
      <w:r w:rsidR="00BA5A9B" w:rsidRPr="00055865">
        <w:rPr>
          <w:rFonts w:ascii="Garamond" w:eastAsia="TimesNewRomanPSMT" w:hAnsi="Garamond"/>
          <w:bCs/>
          <w:sz w:val="24"/>
          <w:szCs w:val="24"/>
        </w:rPr>
        <w:t xml:space="preserve">Thus, we argue that </w:t>
      </w:r>
      <w:r w:rsidR="00794068" w:rsidRPr="00055865">
        <w:rPr>
          <w:rFonts w:ascii="Garamond" w:eastAsia="TimesNewRomanPSMT" w:hAnsi="Garamond"/>
          <w:bCs/>
          <w:sz w:val="24"/>
          <w:szCs w:val="24"/>
        </w:rPr>
        <w:t xml:space="preserve">proper stakeholder engagement on sustainable </w:t>
      </w:r>
      <w:r w:rsidR="00794068" w:rsidRPr="00055865">
        <w:rPr>
          <w:rFonts w:ascii="Garamond" w:eastAsia="TimesNewRomanPSMT" w:hAnsi="Garamond"/>
          <w:bCs/>
          <w:sz w:val="24"/>
          <w:szCs w:val="24"/>
        </w:rPr>
        <w:lastRenderedPageBreak/>
        <w:t>environmental</w:t>
      </w:r>
      <w:r w:rsidR="00BA5A9B" w:rsidRPr="00055865">
        <w:rPr>
          <w:rFonts w:ascii="Garamond" w:eastAsia="TimesNewRomanPSMT" w:hAnsi="Garamond"/>
          <w:bCs/>
          <w:sz w:val="24"/>
          <w:szCs w:val="24"/>
        </w:rPr>
        <w:t xml:space="preserve"> practices </w:t>
      </w:r>
      <w:r w:rsidR="00794068" w:rsidRPr="00055865">
        <w:rPr>
          <w:rFonts w:ascii="Garamond" w:eastAsia="TimesNewRomanPSMT" w:hAnsi="Garamond"/>
          <w:bCs/>
          <w:sz w:val="24"/>
          <w:szCs w:val="24"/>
        </w:rPr>
        <w:t>is likely to improve the firm’s relationship with both internal and external stakeholders</w:t>
      </w:r>
      <w:r w:rsidR="00570314">
        <w:rPr>
          <w:rFonts w:ascii="Garamond" w:eastAsia="TimesNewRomanPSMT" w:hAnsi="Garamond"/>
          <w:bCs/>
          <w:sz w:val="24"/>
          <w:szCs w:val="24"/>
        </w:rPr>
        <w:t>,</w:t>
      </w:r>
      <w:r w:rsidR="00794068" w:rsidRPr="00055865">
        <w:rPr>
          <w:rFonts w:ascii="Garamond" w:eastAsia="TimesNewRomanPSMT" w:hAnsi="Garamond"/>
          <w:bCs/>
          <w:sz w:val="24"/>
          <w:szCs w:val="24"/>
        </w:rPr>
        <w:t xml:space="preserve"> which is a unique res</w:t>
      </w:r>
      <w:r w:rsidR="00570314">
        <w:rPr>
          <w:rFonts w:ascii="Garamond" w:eastAsia="TimesNewRomanPSMT" w:hAnsi="Garamond"/>
          <w:bCs/>
          <w:sz w:val="24"/>
          <w:szCs w:val="24"/>
        </w:rPr>
        <w:t xml:space="preserve">ource that can help the firm </w:t>
      </w:r>
      <w:r w:rsidR="00794068" w:rsidRPr="00055865">
        <w:rPr>
          <w:rFonts w:ascii="Garamond" w:eastAsia="TimesNewRomanPSMT" w:hAnsi="Garamond"/>
          <w:bCs/>
          <w:sz w:val="24"/>
          <w:szCs w:val="24"/>
        </w:rPr>
        <w:t>improve on its financial performance</w:t>
      </w:r>
      <w:r w:rsidR="00BA5A9B" w:rsidRPr="00055865">
        <w:rPr>
          <w:rFonts w:ascii="Garamond" w:eastAsia="TimesNewRomanPSMT" w:hAnsi="Garamond"/>
          <w:bCs/>
          <w:sz w:val="24"/>
          <w:szCs w:val="24"/>
        </w:rPr>
        <w:t xml:space="preserve">. </w:t>
      </w:r>
      <w:r w:rsidR="008C4E2E" w:rsidRPr="00055865">
        <w:rPr>
          <w:rFonts w:ascii="Garamond" w:eastAsia="TimesNewRomanPSMT" w:hAnsi="Garamond"/>
          <w:bCs/>
          <w:sz w:val="24"/>
          <w:szCs w:val="24"/>
        </w:rPr>
        <w:t>Henc</w:t>
      </w:r>
      <w:r w:rsidR="00FE267A" w:rsidRPr="00055865">
        <w:rPr>
          <w:rFonts w:ascii="Garamond" w:eastAsia="TimesNewRomanPSMT" w:hAnsi="Garamond"/>
          <w:bCs/>
          <w:sz w:val="24"/>
          <w:szCs w:val="24"/>
        </w:rPr>
        <w:t>e</w:t>
      </w:r>
      <w:r w:rsidR="00BA5A9B" w:rsidRPr="00055865">
        <w:rPr>
          <w:rFonts w:ascii="Garamond" w:eastAsia="TimesNewRomanPSMT" w:hAnsi="Garamond"/>
          <w:bCs/>
          <w:sz w:val="24"/>
          <w:szCs w:val="24"/>
        </w:rPr>
        <w:t>, we hypothesise that:</w:t>
      </w:r>
    </w:p>
    <w:p w14:paraId="4938C05C" w14:textId="34BDF932" w:rsidR="001507A1" w:rsidRPr="00055865" w:rsidRDefault="001507A1" w:rsidP="005B6FD7">
      <w:pPr>
        <w:tabs>
          <w:tab w:val="left" w:pos="2550"/>
        </w:tabs>
        <w:spacing w:after="0" w:line="480" w:lineRule="auto"/>
        <w:contextualSpacing/>
        <w:jc w:val="both"/>
        <w:rPr>
          <w:rFonts w:ascii="Garamond" w:eastAsia="TimesNewRomanPSMT" w:hAnsi="Garamond"/>
          <w:i/>
          <w:sz w:val="24"/>
          <w:szCs w:val="24"/>
        </w:rPr>
      </w:pPr>
      <w:r w:rsidRPr="00055865">
        <w:rPr>
          <w:rFonts w:ascii="Garamond" w:eastAsia="TimesNewRomanPSMT" w:hAnsi="Garamond"/>
          <w:i/>
          <w:sz w:val="24"/>
          <w:szCs w:val="24"/>
        </w:rPr>
        <w:t xml:space="preserve">H6: There is a significant </w:t>
      </w:r>
      <w:r w:rsidR="008C6E14" w:rsidRPr="00055865">
        <w:rPr>
          <w:rFonts w:ascii="Garamond" w:eastAsia="TimesNewRomanPSMT" w:hAnsi="Garamond"/>
          <w:i/>
          <w:sz w:val="24"/>
          <w:szCs w:val="24"/>
        </w:rPr>
        <w:t xml:space="preserve">positive </w:t>
      </w:r>
      <w:r w:rsidRPr="00055865">
        <w:rPr>
          <w:rFonts w:ascii="Garamond" w:eastAsia="TimesNewRomanPSMT" w:hAnsi="Garamond"/>
          <w:i/>
          <w:sz w:val="24"/>
          <w:szCs w:val="24"/>
        </w:rPr>
        <w:t>relationship between stakeholder engagement and financial performance.</w:t>
      </w:r>
    </w:p>
    <w:p w14:paraId="66003316" w14:textId="77777777" w:rsidR="00C3429E" w:rsidRPr="00055865" w:rsidRDefault="00C3429E" w:rsidP="005B6FD7">
      <w:pPr>
        <w:tabs>
          <w:tab w:val="left" w:pos="2550"/>
        </w:tabs>
        <w:spacing w:after="0" w:line="480" w:lineRule="auto"/>
        <w:contextualSpacing/>
        <w:jc w:val="both"/>
        <w:rPr>
          <w:rFonts w:ascii="Garamond" w:hAnsi="Garamond"/>
          <w:sz w:val="24"/>
          <w:szCs w:val="24"/>
        </w:rPr>
      </w:pPr>
    </w:p>
    <w:p w14:paraId="30B4C748" w14:textId="00885901" w:rsidR="00C3429E" w:rsidRPr="005714B5" w:rsidRDefault="00C3429E" w:rsidP="005B6FD7">
      <w:pPr>
        <w:pStyle w:val="ListParagraph"/>
        <w:numPr>
          <w:ilvl w:val="0"/>
          <w:numId w:val="10"/>
        </w:numPr>
        <w:autoSpaceDE w:val="0"/>
        <w:autoSpaceDN w:val="0"/>
        <w:adjustRightInd w:val="0"/>
        <w:spacing w:after="0" w:line="480" w:lineRule="auto"/>
        <w:jc w:val="both"/>
        <w:rPr>
          <w:rFonts w:ascii="Garamond" w:hAnsi="Garamond"/>
          <w:b/>
          <w:sz w:val="24"/>
          <w:szCs w:val="24"/>
          <w:lang w:val="en-US"/>
        </w:rPr>
      </w:pPr>
      <w:r w:rsidRPr="005714B5">
        <w:rPr>
          <w:rFonts w:ascii="Garamond" w:hAnsi="Garamond"/>
          <w:b/>
          <w:sz w:val="24"/>
          <w:szCs w:val="24"/>
          <w:lang w:val="en-US"/>
        </w:rPr>
        <w:t>Methodology</w:t>
      </w:r>
    </w:p>
    <w:p w14:paraId="224DEB67" w14:textId="184EB404" w:rsidR="00C3429E" w:rsidRPr="00055865" w:rsidRDefault="005714B5" w:rsidP="005B6FD7">
      <w:pPr>
        <w:spacing w:after="0" w:line="480" w:lineRule="auto"/>
        <w:jc w:val="both"/>
        <w:rPr>
          <w:rFonts w:ascii="Garamond" w:hAnsi="Garamond"/>
          <w:b/>
          <w:sz w:val="24"/>
          <w:szCs w:val="24"/>
        </w:rPr>
      </w:pPr>
      <w:r>
        <w:rPr>
          <w:rFonts w:ascii="Garamond" w:hAnsi="Garamond"/>
          <w:b/>
          <w:sz w:val="24"/>
          <w:szCs w:val="24"/>
        </w:rPr>
        <w:t>3</w:t>
      </w:r>
      <w:r w:rsidR="006040ED" w:rsidRPr="00055865">
        <w:rPr>
          <w:rFonts w:ascii="Garamond" w:hAnsi="Garamond"/>
          <w:b/>
          <w:sz w:val="24"/>
          <w:szCs w:val="24"/>
        </w:rPr>
        <w:t xml:space="preserve">.1 </w:t>
      </w:r>
      <w:r w:rsidR="00C3429E" w:rsidRPr="00055865">
        <w:rPr>
          <w:rFonts w:ascii="Garamond" w:hAnsi="Garamond"/>
          <w:b/>
          <w:sz w:val="24"/>
          <w:szCs w:val="24"/>
        </w:rPr>
        <w:t>Definition of SMEs</w:t>
      </w:r>
    </w:p>
    <w:p w14:paraId="6A6C9C00" w14:textId="380BCC62" w:rsidR="00103B1C" w:rsidRPr="00EA4850" w:rsidRDefault="005B6FD7" w:rsidP="005B6FD7">
      <w:pPr>
        <w:spacing w:after="0" w:line="480" w:lineRule="auto"/>
        <w:ind w:left="-284"/>
        <w:contextualSpacing/>
        <w:jc w:val="both"/>
        <w:rPr>
          <w:rFonts w:ascii="Garamond" w:hAnsi="Garamond"/>
          <w:sz w:val="24"/>
          <w:szCs w:val="24"/>
        </w:rPr>
      </w:pPr>
      <w:r>
        <w:rPr>
          <w:rFonts w:ascii="Garamond" w:hAnsi="Garamond"/>
          <w:sz w:val="24"/>
          <w:szCs w:val="24"/>
        </w:rPr>
        <w:t xml:space="preserve">             </w:t>
      </w:r>
      <w:r w:rsidR="008D3A8E" w:rsidRPr="00055865">
        <w:rPr>
          <w:rFonts w:ascii="Garamond" w:hAnsi="Garamond"/>
          <w:sz w:val="24"/>
          <w:szCs w:val="24"/>
        </w:rPr>
        <w:t>Although many definit</w:t>
      </w:r>
      <w:r w:rsidR="002D1F7B">
        <w:rPr>
          <w:rFonts w:ascii="Garamond" w:hAnsi="Garamond"/>
          <w:sz w:val="24"/>
          <w:szCs w:val="24"/>
        </w:rPr>
        <w:t>ions of SMEs have been proposed</w:t>
      </w:r>
      <w:r w:rsidR="008D3A8E" w:rsidRPr="00055865">
        <w:rPr>
          <w:rFonts w:ascii="Garamond" w:hAnsi="Garamond"/>
          <w:sz w:val="24"/>
          <w:szCs w:val="24"/>
        </w:rPr>
        <w:t xml:space="preserve"> for this study</w:t>
      </w:r>
      <w:r w:rsidR="00DB6768" w:rsidRPr="00055865">
        <w:rPr>
          <w:rFonts w:ascii="Garamond" w:hAnsi="Garamond"/>
          <w:sz w:val="24"/>
          <w:szCs w:val="24"/>
        </w:rPr>
        <w:t>,</w:t>
      </w:r>
      <w:r w:rsidR="00870E85">
        <w:rPr>
          <w:rFonts w:ascii="Garamond" w:hAnsi="Garamond"/>
          <w:sz w:val="24"/>
          <w:szCs w:val="24"/>
        </w:rPr>
        <w:t xml:space="preserve"> we adopt</w:t>
      </w:r>
      <w:r w:rsidR="008D3A8E" w:rsidRPr="00055865">
        <w:rPr>
          <w:rFonts w:ascii="Garamond" w:hAnsi="Garamond"/>
          <w:sz w:val="24"/>
          <w:szCs w:val="24"/>
        </w:rPr>
        <w:t xml:space="preserve"> one of the most widely applicable ones in line with</w:t>
      </w:r>
      <w:r w:rsidR="00D14ECA" w:rsidRPr="00055865">
        <w:rPr>
          <w:rFonts w:ascii="Garamond" w:hAnsi="Garamond"/>
          <w:sz w:val="24"/>
          <w:szCs w:val="24"/>
        </w:rPr>
        <w:t xml:space="preserve"> </w:t>
      </w:r>
      <w:r w:rsidR="00D14ECA" w:rsidRPr="00055865">
        <w:rPr>
          <w:rFonts w:ascii="Garamond" w:hAnsi="Garamond"/>
          <w:sz w:val="24"/>
          <w:szCs w:val="24"/>
        </w:rPr>
        <w:fldChar w:fldCharType="begin" w:fldLock="1"/>
      </w:r>
      <w:r w:rsidR="00D14ECA" w:rsidRPr="00055865">
        <w:rPr>
          <w:rFonts w:ascii="Garamond" w:hAnsi="Garamond"/>
          <w:sz w:val="24"/>
          <w:szCs w:val="24"/>
        </w:rPr>
        <w:instrText>ADDIN CSL_CITATION {"citationItems":[{"id":"ITEM-1","itemData":{"DOI":"10.1016/j.indmarman.2012.04.008","ISBN":"00198501","ISSN":"00198501","abstract":"\"Green\" supply chain management (GSCM) has often been associated with highly visible companies (Bowen, 2000) and firms within consumer-focused industries (Buysse &amp; Verbeke, 2003; Hall, 2000; Roht-Arriaza, 1996). As such, GSCM has partly been led by development of consumer awareness of environmental issues (Beamon, 1999; Zhu et al., 2005). This suggest that firms operating in business-to-consumer (B2C) markets have strong incentives to implement GSCM, due to both institutional and stakeholder pressure. However, this leaves the role of GSCM in business-to-business (B2B) sectors relatively unexplored and to-date little is known about: 1) the relative engagement with GSCM among firms in business-to-consumer and business-to-business sectors; 2) the conditions that are necessary for successful implementation of \"green\" practices in B2B supply chains. This study addresses these issues within the context of 340 buyer-supplier relationships in the United Kingdom, using an innovative research methodology that captures firms' engagement with GSCM practices and minimizes social desirability and common source biases. Our results show that GSCM is relatively limited among firms in B2B markets compared to firms in B2C markets. At the same time, we show that developing trust with supply chain partners, while also having top management support, is a crucial driver of engagement with GSCM among firms in B2B sector but less important among firms in B2C sector. These findings provide considerable insights to managers and marketers of B2B supply chains that seek to respond to a growing interest of environmental performance of supply chain. © 2012 Elsevier Inc..","author":[{"dropping-particle":"","family":"Hoejmose","given":"Stefan","non-dropping-particle":"","parse-names":false,"suffix":""},{"dropping-particle":"","family":"Brammer","given":"Stephen","non-dropping-particle":"","parse-names":false,"suffix":""},{"dropping-particle":"","family":"Millington","given":"Andrew","non-dropping-particle":"","parse-names":false,"suffix":""}],"container-title":"Industrial Marketing Management","id":"ITEM-1","issue":"4","issued":{"date-parts":[["2012"]]},"page":"609-620","title":"\"Green\" supply chain management: The role of trust and top management in B2B and B2C markets","type":"article-journal","volume":"41"},"uris":["http://www.mendeley.com/documents/?uuid=65e138d5-e905-45ed-9684-3bb70bb7c280"]}],"mendeley":{"formattedCitation":"(Hoejmose et al., 2012)","manualFormatting":"Hoejmose et al. (2012)","plainTextFormattedCitation":"(Hoejmose et al., 2012)","previouslyFormattedCitation":"(Hoejmose et al., 2012)"},"properties":{"noteIndex":0},"schema":"https://github.com/citation-style-language/schema/raw/master/csl-citation.json"}</w:instrText>
      </w:r>
      <w:r w:rsidR="00D14ECA" w:rsidRPr="00055865">
        <w:rPr>
          <w:rFonts w:ascii="Garamond" w:hAnsi="Garamond"/>
          <w:sz w:val="24"/>
          <w:szCs w:val="24"/>
        </w:rPr>
        <w:fldChar w:fldCharType="separate"/>
      </w:r>
      <w:r w:rsidR="00D14ECA" w:rsidRPr="00055865">
        <w:rPr>
          <w:rFonts w:ascii="Garamond" w:hAnsi="Garamond"/>
          <w:noProof/>
          <w:sz w:val="24"/>
          <w:szCs w:val="24"/>
        </w:rPr>
        <w:t>Hoejmose et al. (2012)</w:t>
      </w:r>
      <w:r w:rsidR="00D14ECA" w:rsidRPr="00055865">
        <w:rPr>
          <w:rFonts w:ascii="Garamond" w:hAnsi="Garamond"/>
          <w:sz w:val="24"/>
          <w:szCs w:val="24"/>
        </w:rPr>
        <w:fldChar w:fldCharType="end"/>
      </w:r>
      <w:r w:rsidR="00870E85">
        <w:rPr>
          <w:rFonts w:ascii="Garamond" w:hAnsi="Garamond"/>
          <w:sz w:val="24"/>
          <w:szCs w:val="24"/>
        </w:rPr>
        <w:t>. We</w:t>
      </w:r>
      <w:r>
        <w:rPr>
          <w:rFonts w:ascii="Garamond" w:hAnsi="Garamond"/>
          <w:sz w:val="24"/>
          <w:szCs w:val="24"/>
        </w:rPr>
        <w:t>, therefore,</w:t>
      </w:r>
      <w:r w:rsidR="008D3A8E" w:rsidRPr="00055865">
        <w:rPr>
          <w:rFonts w:ascii="Garamond" w:hAnsi="Garamond"/>
          <w:sz w:val="24"/>
          <w:szCs w:val="24"/>
        </w:rPr>
        <w:t xml:space="preserve"> define small businesses as firms that have less than 100 employees</w:t>
      </w:r>
      <w:r w:rsidR="00870E85">
        <w:rPr>
          <w:rFonts w:ascii="Garamond" w:hAnsi="Garamond"/>
          <w:sz w:val="24"/>
          <w:szCs w:val="24"/>
        </w:rPr>
        <w:t>,</w:t>
      </w:r>
      <w:r w:rsidR="008D3A8E" w:rsidRPr="00055865">
        <w:rPr>
          <w:rFonts w:ascii="Garamond" w:hAnsi="Garamond"/>
          <w:sz w:val="24"/>
          <w:szCs w:val="24"/>
        </w:rPr>
        <w:t xml:space="preserve"> and medium firms </w:t>
      </w:r>
      <w:r w:rsidR="005A2C90" w:rsidRPr="00055865">
        <w:rPr>
          <w:rFonts w:ascii="Garamond" w:hAnsi="Garamond"/>
          <w:sz w:val="24"/>
          <w:szCs w:val="24"/>
        </w:rPr>
        <w:t xml:space="preserve">as </w:t>
      </w:r>
      <w:r w:rsidR="008D3A8E" w:rsidRPr="00055865">
        <w:rPr>
          <w:rFonts w:ascii="Garamond" w:hAnsi="Garamond"/>
          <w:sz w:val="24"/>
          <w:szCs w:val="24"/>
        </w:rPr>
        <w:t>those with employee between 100–250 employees. In addition to the number of employees as outlined above</w:t>
      </w:r>
      <w:r w:rsidR="00870E85">
        <w:rPr>
          <w:rFonts w:ascii="Garamond" w:hAnsi="Garamond"/>
          <w:sz w:val="24"/>
          <w:szCs w:val="24"/>
        </w:rPr>
        <w:t>,</w:t>
      </w:r>
      <w:r w:rsidR="008D3A8E" w:rsidRPr="00055865">
        <w:rPr>
          <w:rFonts w:ascii="Garamond" w:hAnsi="Garamond"/>
          <w:sz w:val="24"/>
          <w:szCs w:val="24"/>
        </w:rPr>
        <w:t xml:space="preserve"> the </w:t>
      </w:r>
      <w:r w:rsidR="00F34ADA" w:rsidRPr="00055865">
        <w:rPr>
          <w:rFonts w:ascii="Garamond" w:hAnsi="Garamond"/>
          <w:sz w:val="24"/>
          <w:szCs w:val="24"/>
        </w:rPr>
        <w:fldChar w:fldCharType="begin" w:fldLock="1"/>
      </w:r>
      <w:r w:rsidR="003B1B70" w:rsidRPr="00055865">
        <w:rPr>
          <w:rFonts w:ascii="Garamond" w:hAnsi="Garamond"/>
          <w:sz w:val="24"/>
          <w:szCs w:val="24"/>
        </w:rPr>
        <w:instrText>ADDIN CSL_CITATION {"citationItems":[{"id":"ITEM-1","itemData":{"DOI":"10.2873/782201","ISBN":"9789279453229","ISSN":"0360060401","abstract":"In a world that is marked by a fierce competition, in which the actors that are in play change the rules of the market, forcing enterprises to change the fundamentals of their competivity and their economic performance, holding technological resources has become a major strategic stake for enterprises.SMEs, the backbone of an economy, whether we are referring to the economy of a random state, or the world economy, have to answer these changes and offer competitive goods and services, adjusting the quality of the production factors to these changes. Thus, the competitiveness for SMEs is an essential condition to be able to endure. This article will adress the evolution and importance of SMEs in the economy. We will also focus on their clasification as well as their contribution to the GDP and the world's economy.","author":[{"dropping-particle":"","family":"European Commision","given":"","non-dropping-particle":"","parse-names":false,"suffix":""}],"container-title":"User guide to the SME Definition","id":"ITEM-1","issued":{"date-parts":[["2015"]]},"number-of-pages":"1-60","title":"User guide to the SME Definition","type":"book"},"uris":["http://www.mendeley.com/documents/?uuid=e693999d-2f9f-466e-9c03-c6a630354392"]}],"mendeley":{"formattedCitation":"(European Commision, 2015)","manualFormatting":"European Commision (2015)","plainTextFormattedCitation":"(European Commision, 2015)","previouslyFormattedCitation":"(European Commision, 2015)"},"properties":{"noteIndex":0},"schema":"https://github.com/citation-style-language/schema/raw/master/csl-citation.json"}</w:instrText>
      </w:r>
      <w:r w:rsidR="00F34ADA" w:rsidRPr="00055865">
        <w:rPr>
          <w:rFonts w:ascii="Garamond" w:hAnsi="Garamond"/>
          <w:sz w:val="24"/>
          <w:szCs w:val="24"/>
        </w:rPr>
        <w:fldChar w:fldCharType="separate"/>
      </w:r>
      <w:r w:rsidR="00F34ADA" w:rsidRPr="00055865">
        <w:rPr>
          <w:rFonts w:ascii="Garamond" w:hAnsi="Garamond"/>
          <w:noProof/>
          <w:sz w:val="24"/>
          <w:szCs w:val="24"/>
        </w:rPr>
        <w:t>European Commision (2015)</w:t>
      </w:r>
      <w:r w:rsidR="00F34ADA" w:rsidRPr="00055865">
        <w:rPr>
          <w:rFonts w:ascii="Garamond" w:hAnsi="Garamond"/>
          <w:sz w:val="24"/>
          <w:szCs w:val="24"/>
        </w:rPr>
        <w:fldChar w:fldCharType="end"/>
      </w:r>
      <w:r w:rsidR="008D3A8E" w:rsidRPr="00055865">
        <w:rPr>
          <w:rFonts w:ascii="Garamond" w:hAnsi="Garamond"/>
          <w:sz w:val="24"/>
          <w:szCs w:val="24"/>
        </w:rPr>
        <w:t xml:space="preserve"> also indicated </w:t>
      </w:r>
      <w:r w:rsidR="00DB6768" w:rsidRPr="00055865">
        <w:rPr>
          <w:rFonts w:ascii="Garamond" w:hAnsi="Garamond"/>
          <w:sz w:val="24"/>
          <w:szCs w:val="24"/>
        </w:rPr>
        <w:t xml:space="preserve">that </w:t>
      </w:r>
      <w:r w:rsidR="008D3A8E" w:rsidRPr="00055865">
        <w:rPr>
          <w:rFonts w:ascii="Garamond" w:hAnsi="Garamond"/>
          <w:sz w:val="24"/>
          <w:szCs w:val="24"/>
        </w:rPr>
        <w:t xml:space="preserve">smaller firms should have either annual turnover of </w:t>
      </w:r>
      <w:bookmarkStart w:id="2" w:name="_Hlk34637837"/>
      <w:r w:rsidR="005A2C90" w:rsidRPr="00055865">
        <w:rPr>
          <w:rFonts w:ascii="Garamond" w:hAnsi="Garamond"/>
          <w:sz w:val="24"/>
          <w:szCs w:val="24"/>
        </w:rPr>
        <w:t xml:space="preserve">≤€10  </w:t>
      </w:r>
      <w:bookmarkEnd w:id="2"/>
      <w:r w:rsidR="005A2C90" w:rsidRPr="00055865">
        <w:rPr>
          <w:rFonts w:ascii="Garamond" w:hAnsi="Garamond"/>
          <w:sz w:val="24"/>
          <w:szCs w:val="24"/>
        </w:rPr>
        <w:t xml:space="preserve">million or annual balance sheet total of  </w:t>
      </w:r>
      <w:bookmarkStart w:id="3" w:name="_Hlk34637982"/>
      <w:r w:rsidR="005A2C90" w:rsidRPr="00055865">
        <w:rPr>
          <w:rFonts w:ascii="Garamond" w:hAnsi="Garamond"/>
          <w:sz w:val="24"/>
          <w:szCs w:val="24"/>
        </w:rPr>
        <w:t>≤€10</w:t>
      </w:r>
      <w:r w:rsidR="00EA4850">
        <w:rPr>
          <w:rFonts w:ascii="Garamond" w:hAnsi="Garamond"/>
          <w:sz w:val="24"/>
          <w:szCs w:val="24"/>
        </w:rPr>
        <w:t xml:space="preserve"> million</w:t>
      </w:r>
      <w:r w:rsidR="00870E85">
        <w:rPr>
          <w:rFonts w:ascii="Garamond" w:hAnsi="Garamond"/>
          <w:sz w:val="24"/>
          <w:szCs w:val="24"/>
        </w:rPr>
        <w:t xml:space="preserve">. </w:t>
      </w:r>
      <w:bookmarkEnd w:id="3"/>
      <w:r w:rsidR="00870E85">
        <w:rPr>
          <w:rFonts w:ascii="Garamond" w:hAnsi="Garamond"/>
          <w:sz w:val="24"/>
          <w:szCs w:val="24"/>
        </w:rPr>
        <w:t xml:space="preserve">For </w:t>
      </w:r>
      <w:r w:rsidR="00870E85" w:rsidRPr="00055865">
        <w:rPr>
          <w:rFonts w:ascii="Garamond" w:hAnsi="Garamond"/>
          <w:sz w:val="24"/>
          <w:szCs w:val="24"/>
        </w:rPr>
        <w:t>medium</w:t>
      </w:r>
      <w:r w:rsidR="005A2C90" w:rsidRPr="00055865">
        <w:rPr>
          <w:rFonts w:ascii="Garamond" w:hAnsi="Garamond"/>
          <w:sz w:val="24"/>
          <w:szCs w:val="24"/>
        </w:rPr>
        <w:t>-sized firms</w:t>
      </w:r>
      <w:r w:rsidR="00870E85">
        <w:rPr>
          <w:rFonts w:ascii="Garamond" w:hAnsi="Garamond"/>
          <w:sz w:val="24"/>
          <w:szCs w:val="24"/>
        </w:rPr>
        <w:t>,</w:t>
      </w:r>
      <w:r w:rsidR="005A2C90" w:rsidRPr="00055865">
        <w:rPr>
          <w:rFonts w:ascii="Garamond" w:hAnsi="Garamond"/>
          <w:sz w:val="24"/>
          <w:szCs w:val="24"/>
        </w:rPr>
        <w:t xml:space="preserve"> in addition to the number of employees</w:t>
      </w:r>
      <w:r w:rsidR="00DB6768" w:rsidRPr="00055865">
        <w:rPr>
          <w:rFonts w:ascii="Garamond" w:hAnsi="Garamond"/>
          <w:sz w:val="24"/>
          <w:szCs w:val="24"/>
        </w:rPr>
        <w:t>,</w:t>
      </w:r>
      <w:r w:rsidR="005A2C90" w:rsidRPr="00055865">
        <w:rPr>
          <w:rFonts w:ascii="Garamond" w:hAnsi="Garamond"/>
          <w:sz w:val="24"/>
          <w:szCs w:val="24"/>
        </w:rPr>
        <w:t xml:space="preserve"> </w:t>
      </w:r>
      <w:r w:rsidR="00DB6768" w:rsidRPr="00055865">
        <w:rPr>
          <w:rFonts w:ascii="Garamond" w:hAnsi="Garamond"/>
          <w:sz w:val="24"/>
          <w:szCs w:val="24"/>
        </w:rPr>
        <w:t xml:space="preserve">they </w:t>
      </w:r>
      <w:r w:rsidR="005A2C90" w:rsidRPr="00055865">
        <w:rPr>
          <w:rFonts w:ascii="Garamond" w:hAnsi="Garamond"/>
          <w:sz w:val="24"/>
          <w:szCs w:val="24"/>
        </w:rPr>
        <w:t xml:space="preserve">should also have </w:t>
      </w:r>
      <w:r w:rsidR="00DB6768" w:rsidRPr="00055865">
        <w:rPr>
          <w:rFonts w:ascii="Garamond" w:hAnsi="Garamond"/>
          <w:sz w:val="24"/>
          <w:szCs w:val="24"/>
        </w:rPr>
        <w:t xml:space="preserve">an </w:t>
      </w:r>
      <w:r w:rsidR="005A2C90" w:rsidRPr="00055865">
        <w:rPr>
          <w:rFonts w:ascii="Garamond" w:hAnsi="Garamond"/>
          <w:sz w:val="24"/>
          <w:szCs w:val="24"/>
        </w:rPr>
        <w:t xml:space="preserve">annual turnover of </w:t>
      </w:r>
      <w:bookmarkStart w:id="4" w:name="_Hlk34638053"/>
      <w:r w:rsidR="005A2C90" w:rsidRPr="00055865">
        <w:rPr>
          <w:rFonts w:ascii="Garamond" w:hAnsi="Garamond"/>
          <w:sz w:val="24"/>
          <w:szCs w:val="24"/>
        </w:rPr>
        <w:t>≤€50</w:t>
      </w:r>
      <w:r w:rsidR="00EA4850">
        <w:rPr>
          <w:rFonts w:ascii="Garamond" w:hAnsi="Garamond"/>
          <w:sz w:val="24"/>
          <w:szCs w:val="24"/>
        </w:rPr>
        <w:t xml:space="preserve"> million</w:t>
      </w:r>
      <w:r w:rsidR="005A2C90" w:rsidRPr="00055865">
        <w:rPr>
          <w:rFonts w:ascii="Garamond" w:hAnsi="Garamond"/>
          <w:sz w:val="24"/>
          <w:szCs w:val="24"/>
        </w:rPr>
        <w:t xml:space="preserve"> </w:t>
      </w:r>
      <w:bookmarkEnd w:id="4"/>
      <w:r w:rsidR="005A2C90" w:rsidRPr="00055865">
        <w:rPr>
          <w:rFonts w:ascii="Garamond" w:hAnsi="Garamond"/>
          <w:sz w:val="24"/>
          <w:szCs w:val="24"/>
        </w:rPr>
        <w:t xml:space="preserve">or </w:t>
      </w:r>
      <w:r w:rsidR="00DB6768" w:rsidRPr="00055865">
        <w:rPr>
          <w:rFonts w:ascii="Garamond" w:hAnsi="Garamond"/>
          <w:sz w:val="24"/>
          <w:szCs w:val="24"/>
        </w:rPr>
        <w:t xml:space="preserve">an </w:t>
      </w:r>
      <w:r w:rsidR="005A2C90" w:rsidRPr="00055865">
        <w:rPr>
          <w:rFonts w:ascii="Garamond" w:hAnsi="Garamond"/>
          <w:sz w:val="24"/>
          <w:szCs w:val="24"/>
        </w:rPr>
        <w:t>annual balance sheet total of ≤€</w:t>
      </w:r>
      <w:r w:rsidR="00F34ADA" w:rsidRPr="00055865">
        <w:rPr>
          <w:rFonts w:ascii="Garamond" w:hAnsi="Garamond"/>
          <w:sz w:val="24"/>
          <w:szCs w:val="24"/>
        </w:rPr>
        <w:t>43</w:t>
      </w:r>
      <w:r w:rsidR="00EA4850">
        <w:rPr>
          <w:rFonts w:ascii="Garamond" w:hAnsi="Garamond"/>
          <w:sz w:val="24"/>
          <w:szCs w:val="24"/>
        </w:rPr>
        <w:t xml:space="preserve"> million</w:t>
      </w:r>
      <w:r w:rsidR="005A2C90" w:rsidRPr="00055865">
        <w:rPr>
          <w:rFonts w:ascii="Garamond" w:hAnsi="Garamond"/>
          <w:sz w:val="24"/>
          <w:szCs w:val="24"/>
        </w:rPr>
        <w:t>. Thus, aside the number of employees, turno</w:t>
      </w:r>
      <w:r w:rsidR="00A55C84">
        <w:rPr>
          <w:rFonts w:ascii="Garamond" w:hAnsi="Garamond"/>
          <w:sz w:val="24"/>
          <w:szCs w:val="24"/>
        </w:rPr>
        <w:t>ver or balance sheet totals are</w:t>
      </w:r>
      <w:r w:rsidR="005A2C90" w:rsidRPr="00055865">
        <w:rPr>
          <w:rFonts w:ascii="Garamond" w:hAnsi="Garamond"/>
          <w:sz w:val="24"/>
          <w:szCs w:val="24"/>
        </w:rPr>
        <w:t xml:space="preserve"> also used in selecting SMEs from the Alternative Investment Market in the UK.</w:t>
      </w:r>
    </w:p>
    <w:p w14:paraId="0DA8AC14" w14:textId="32488848" w:rsidR="00C3429E" w:rsidRPr="00055865" w:rsidRDefault="009E5C24" w:rsidP="005B6FD7">
      <w:pPr>
        <w:spacing w:after="0" w:line="480" w:lineRule="auto"/>
        <w:contextualSpacing/>
        <w:jc w:val="both"/>
        <w:rPr>
          <w:rFonts w:ascii="Garamond" w:hAnsi="Garamond"/>
          <w:b/>
          <w:sz w:val="24"/>
          <w:szCs w:val="24"/>
        </w:rPr>
      </w:pPr>
      <w:r>
        <w:rPr>
          <w:rFonts w:ascii="Garamond" w:hAnsi="Garamond"/>
          <w:b/>
          <w:sz w:val="24"/>
          <w:szCs w:val="24"/>
        </w:rPr>
        <w:t>3</w:t>
      </w:r>
      <w:r w:rsidR="00C3429E" w:rsidRPr="00055865">
        <w:rPr>
          <w:rFonts w:ascii="Garamond" w:hAnsi="Garamond"/>
          <w:b/>
          <w:sz w:val="24"/>
          <w:szCs w:val="24"/>
        </w:rPr>
        <w:t>.</w:t>
      </w:r>
      <w:r w:rsidR="006040ED" w:rsidRPr="00055865">
        <w:rPr>
          <w:rFonts w:ascii="Garamond" w:hAnsi="Garamond"/>
          <w:b/>
          <w:sz w:val="24"/>
          <w:szCs w:val="24"/>
        </w:rPr>
        <w:t>2</w:t>
      </w:r>
      <w:r w:rsidR="00C3429E" w:rsidRPr="00055865">
        <w:rPr>
          <w:rFonts w:ascii="Garamond" w:hAnsi="Garamond"/>
          <w:b/>
          <w:sz w:val="24"/>
          <w:szCs w:val="24"/>
        </w:rPr>
        <w:t xml:space="preserve"> Sample Selection</w:t>
      </w:r>
    </w:p>
    <w:p w14:paraId="7C70E805" w14:textId="1AAE8058" w:rsidR="00D14ECA" w:rsidRPr="00055865" w:rsidRDefault="00164C8B" w:rsidP="005B6FD7">
      <w:pPr>
        <w:spacing w:after="0" w:line="480" w:lineRule="auto"/>
        <w:ind w:left="-284" w:firstLine="720"/>
        <w:contextualSpacing/>
        <w:jc w:val="both"/>
        <w:rPr>
          <w:rFonts w:ascii="Garamond" w:hAnsi="Garamond"/>
          <w:sz w:val="24"/>
          <w:szCs w:val="24"/>
        </w:rPr>
      </w:pPr>
      <w:r w:rsidRPr="00055865">
        <w:rPr>
          <w:rFonts w:ascii="Garamond" w:hAnsi="Garamond"/>
          <w:sz w:val="24"/>
          <w:szCs w:val="24"/>
        </w:rPr>
        <w:t xml:space="preserve">     </w:t>
      </w:r>
      <w:r w:rsidR="00C3429E" w:rsidRPr="00055865">
        <w:rPr>
          <w:rFonts w:ascii="Garamond" w:hAnsi="Garamond"/>
          <w:sz w:val="24"/>
          <w:szCs w:val="24"/>
        </w:rPr>
        <w:t xml:space="preserve">The sample was based on 201 SMEs selected from 1049 companies listed on the AIM </w:t>
      </w:r>
      <w:r w:rsidR="0010604F" w:rsidRPr="00055865">
        <w:rPr>
          <w:rFonts w:ascii="Garamond" w:hAnsi="Garamond"/>
          <w:sz w:val="24"/>
          <w:szCs w:val="24"/>
        </w:rPr>
        <w:t>from 2011</w:t>
      </w:r>
      <w:r w:rsidR="00C3429E" w:rsidRPr="00055865">
        <w:rPr>
          <w:rFonts w:ascii="Garamond" w:hAnsi="Garamond"/>
          <w:sz w:val="24"/>
          <w:szCs w:val="24"/>
        </w:rPr>
        <w:t xml:space="preserve"> </w:t>
      </w:r>
      <w:r w:rsidR="0010604F" w:rsidRPr="00055865">
        <w:rPr>
          <w:rFonts w:ascii="Garamond" w:hAnsi="Garamond"/>
          <w:sz w:val="24"/>
          <w:szCs w:val="24"/>
        </w:rPr>
        <w:t xml:space="preserve">to </w:t>
      </w:r>
      <w:r w:rsidR="00C3429E" w:rsidRPr="00055865">
        <w:rPr>
          <w:rFonts w:ascii="Garamond" w:hAnsi="Garamond"/>
          <w:sz w:val="24"/>
          <w:szCs w:val="24"/>
        </w:rPr>
        <w:t xml:space="preserve">2016 that disclosed their environmental policies. </w:t>
      </w:r>
      <w:r w:rsidR="0010604F" w:rsidRPr="00055865">
        <w:rPr>
          <w:rFonts w:ascii="Garamond" w:hAnsi="Garamond"/>
          <w:sz w:val="24"/>
          <w:szCs w:val="24"/>
        </w:rPr>
        <w:t xml:space="preserve">During the selected period, many environmental initiatives were </w:t>
      </w:r>
      <w:r w:rsidR="00A55C84">
        <w:rPr>
          <w:rFonts w:ascii="Garamond" w:hAnsi="Garamond"/>
          <w:sz w:val="24"/>
          <w:szCs w:val="24"/>
        </w:rPr>
        <w:t>under</w:t>
      </w:r>
      <w:r w:rsidR="0010604F" w:rsidRPr="00055865">
        <w:rPr>
          <w:rFonts w:ascii="Garamond" w:hAnsi="Garamond"/>
          <w:sz w:val="24"/>
          <w:szCs w:val="24"/>
        </w:rPr>
        <w:t>taken by the UK (DEFRA 2010) and the EU. For instance,</w:t>
      </w:r>
      <w:r w:rsidR="00F71A37">
        <w:rPr>
          <w:rFonts w:ascii="Garamond" w:hAnsi="Garamond"/>
          <w:sz w:val="24"/>
          <w:szCs w:val="24"/>
        </w:rPr>
        <w:t xml:space="preserve"> the </w:t>
      </w:r>
      <w:r w:rsidR="00184A55">
        <w:rPr>
          <w:rFonts w:ascii="Garamond" w:hAnsi="Garamond"/>
          <w:sz w:val="24"/>
          <w:szCs w:val="24"/>
        </w:rPr>
        <w:t xml:space="preserve">EU Directive 2012/27/EU </w:t>
      </w:r>
      <w:r w:rsidR="0010604F" w:rsidRPr="00055865">
        <w:rPr>
          <w:rFonts w:ascii="Garamond" w:hAnsi="Garamond"/>
          <w:sz w:val="24"/>
          <w:szCs w:val="24"/>
        </w:rPr>
        <w:t xml:space="preserve">was issued </w:t>
      </w:r>
      <w:r w:rsidR="00184A55" w:rsidRPr="00055865">
        <w:rPr>
          <w:rFonts w:ascii="Garamond" w:hAnsi="Garamond"/>
          <w:sz w:val="24"/>
          <w:szCs w:val="24"/>
        </w:rPr>
        <w:t>in October 2012</w:t>
      </w:r>
      <w:r w:rsidR="005B6FD7">
        <w:rPr>
          <w:rFonts w:ascii="Garamond" w:hAnsi="Garamond"/>
          <w:sz w:val="24"/>
          <w:szCs w:val="24"/>
        </w:rPr>
        <w:t xml:space="preserve"> </w:t>
      </w:r>
      <w:r w:rsidR="00184A55">
        <w:rPr>
          <w:rFonts w:ascii="Garamond" w:hAnsi="Garamond"/>
          <w:sz w:val="24"/>
          <w:szCs w:val="24"/>
        </w:rPr>
        <w:t xml:space="preserve">to </w:t>
      </w:r>
      <w:r w:rsidR="005B6FD7">
        <w:rPr>
          <w:rFonts w:ascii="Garamond" w:hAnsi="Garamond"/>
          <w:sz w:val="24"/>
          <w:szCs w:val="24"/>
        </w:rPr>
        <w:t>guide</w:t>
      </w:r>
      <w:r w:rsidR="00184A55">
        <w:rPr>
          <w:rFonts w:ascii="Garamond" w:hAnsi="Garamond"/>
          <w:sz w:val="24"/>
          <w:szCs w:val="24"/>
        </w:rPr>
        <w:t xml:space="preserve"> </w:t>
      </w:r>
      <w:r w:rsidR="0010604F" w:rsidRPr="00055865">
        <w:rPr>
          <w:rFonts w:ascii="Garamond" w:hAnsi="Garamond"/>
          <w:sz w:val="24"/>
          <w:szCs w:val="24"/>
        </w:rPr>
        <w:t>fir</w:t>
      </w:r>
      <w:r w:rsidR="00184A55">
        <w:rPr>
          <w:rFonts w:ascii="Garamond" w:hAnsi="Garamond"/>
          <w:sz w:val="24"/>
          <w:szCs w:val="24"/>
        </w:rPr>
        <w:t>ms</w:t>
      </w:r>
      <w:r w:rsidR="0010604F" w:rsidRPr="00055865">
        <w:rPr>
          <w:rFonts w:ascii="Garamond" w:hAnsi="Garamond"/>
          <w:sz w:val="24"/>
          <w:szCs w:val="24"/>
        </w:rPr>
        <w:t xml:space="preserve"> </w:t>
      </w:r>
      <w:r w:rsidR="005B6FD7">
        <w:rPr>
          <w:rFonts w:ascii="Garamond" w:hAnsi="Garamond"/>
          <w:sz w:val="24"/>
          <w:szCs w:val="24"/>
        </w:rPr>
        <w:t xml:space="preserve">to </w:t>
      </w:r>
      <w:r w:rsidR="0010604F" w:rsidRPr="00055865">
        <w:rPr>
          <w:rFonts w:ascii="Garamond" w:hAnsi="Garamond"/>
          <w:sz w:val="24"/>
          <w:szCs w:val="24"/>
        </w:rPr>
        <w:t xml:space="preserve">improve </w:t>
      </w:r>
      <w:r w:rsidR="00184A55">
        <w:rPr>
          <w:rFonts w:ascii="Garamond" w:hAnsi="Garamond"/>
          <w:sz w:val="24"/>
          <w:szCs w:val="24"/>
        </w:rPr>
        <w:t xml:space="preserve">on their </w:t>
      </w:r>
      <w:r w:rsidR="0010604F" w:rsidRPr="00055865">
        <w:rPr>
          <w:rFonts w:ascii="Garamond" w:hAnsi="Garamond"/>
          <w:sz w:val="24"/>
          <w:szCs w:val="24"/>
        </w:rPr>
        <w:t>environmental performance at the discussion stage</w:t>
      </w:r>
      <w:r w:rsidR="00613575">
        <w:rPr>
          <w:rFonts w:ascii="Garamond" w:hAnsi="Garamond"/>
          <w:sz w:val="24"/>
          <w:szCs w:val="24"/>
        </w:rPr>
        <w:t>,</w:t>
      </w:r>
      <w:r w:rsidR="0010604F" w:rsidRPr="00055865">
        <w:rPr>
          <w:rFonts w:ascii="Garamond" w:hAnsi="Garamond"/>
          <w:sz w:val="24"/>
          <w:szCs w:val="24"/>
        </w:rPr>
        <w:t xml:space="preserve"> prior to its adoption and implementation by the</w:t>
      </w:r>
      <w:r w:rsidR="00184A55">
        <w:rPr>
          <w:rFonts w:ascii="Garamond" w:hAnsi="Garamond"/>
          <w:sz w:val="24"/>
          <w:szCs w:val="24"/>
        </w:rPr>
        <w:t xml:space="preserve"> companies. Moreover</w:t>
      </w:r>
      <w:r w:rsidR="0010604F" w:rsidRPr="00055865">
        <w:rPr>
          <w:rFonts w:ascii="Garamond" w:hAnsi="Garamond"/>
          <w:sz w:val="24"/>
          <w:szCs w:val="24"/>
        </w:rPr>
        <w:t xml:space="preserve">, during this period </w:t>
      </w:r>
      <w:r w:rsidR="00184A55">
        <w:rPr>
          <w:rFonts w:ascii="Garamond" w:hAnsi="Garamond"/>
          <w:sz w:val="24"/>
          <w:szCs w:val="24"/>
        </w:rPr>
        <w:t>(</w:t>
      </w:r>
      <w:r w:rsidR="0010604F" w:rsidRPr="00055865">
        <w:rPr>
          <w:rFonts w:ascii="Garamond" w:hAnsi="Garamond"/>
          <w:sz w:val="24"/>
          <w:szCs w:val="24"/>
        </w:rPr>
        <w:t>specifically in 2013</w:t>
      </w:r>
      <w:r w:rsidR="00184A55">
        <w:rPr>
          <w:rFonts w:ascii="Garamond" w:hAnsi="Garamond"/>
          <w:sz w:val="24"/>
          <w:szCs w:val="24"/>
        </w:rPr>
        <w:t>)</w:t>
      </w:r>
      <w:r w:rsidR="0010604F" w:rsidRPr="00055865">
        <w:rPr>
          <w:rFonts w:ascii="Garamond" w:hAnsi="Garamond"/>
          <w:sz w:val="24"/>
          <w:szCs w:val="24"/>
        </w:rPr>
        <w:t>,</w:t>
      </w:r>
      <w:r w:rsidR="00184A55">
        <w:rPr>
          <w:rFonts w:ascii="Garamond" w:hAnsi="Garamond"/>
          <w:sz w:val="24"/>
          <w:szCs w:val="24"/>
        </w:rPr>
        <w:t xml:space="preserve"> the</w:t>
      </w:r>
      <w:r w:rsidR="0010604F" w:rsidRPr="00055865">
        <w:rPr>
          <w:rFonts w:ascii="Garamond" w:hAnsi="Garamond"/>
          <w:sz w:val="24"/>
          <w:szCs w:val="24"/>
        </w:rPr>
        <w:t xml:space="preserve"> Department of Environment, Food and Rural Agency (DEFRA) compiled a comprehensive report on environmental practices o</w:t>
      </w:r>
      <w:r w:rsidR="00184A55">
        <w:rPr>
          <w:rFonts w:ascii="Garamond" w:hAnsi="Garamond"/>
          <w:sz w:val="24"/>
          <w:szCs w:val="24"/>
        </w:rPr>
        <w:t>f both SMEs and larger firms. Among other things, the Department</w:t>
      </w:r>
      <w:r w:rsidR="0010604F" w:rsidRPr="00055865">
        <w:rPr>
          <w:rFonts w:ascii="Garamond" w:hAnsi="Garamond"/>
          <w:sz w:val="24"/>
          <w:szCs w:val="24"/>
        </w:rPr>
        <w:t xml:space="preserve"> recommended environmental practices that could positively impact on the performance of both SMEs and larger firms. The above </w:t>
      </w:r>
      <w:r w:rsidR="0010604F" w:rsidRPr="00055865">
        <w:rPr>
          <w:rFonts w:ascii="Garamond" w:hAnsi="Garamond"/>
          <w:sz w:val="24"/>
          <w:szCs w:val="24"/>
        </w:rPr>
        <w:lastRenderedPageBreak/>
        <w:t xml:space="preserve">measures also influenced </w:t>
      </w:r>
      <w:r w:rsidR="00184A55">
        <w:rPr>
          <w:rFonts w:ascii="Garamond" w:hAnsi="Garamond"/>
          <w:sz w:val="24"/>
          <w:szCs w:val="24"/>
        </w:rPr>
        <w:t xml:space="preserve">the </w:t>
      </w:r>
      <w:r w:rsidR="0010604F" w:rsidRPr="00055865">
        <w:rPr>
          <w:rFonts w:ascii="Garamond" w:hAnsi="Garamond"/>
          <w:sz w:val="24"/>
          <w:szCs w:val="24"/>
        </w:rPr>
        <w:t>provision of sustainab</w:t>
      </w:r>
      <w:r w:rsidR="00EA4850">
        <w:rPr>
          <w:rFonts w:ascii="Garamond" w:hAnsi="Garamond"/>
          <w:sz w:val="24"/>
          <w:szCs w:val="24"/>
        </w:rPr>
        <w:t>le</w:t>
      </w:r>
      <w:r w:rsidR="0010604F" w:rsidRPr="00055865">
        <w:rPr>
          <w:rFonts w:ascii="Garamond" w:hAnsi="Garamond"/>
          <w:sz w:val="24"/>
          <w:szCs w:val="24"/>
        </w:rPr>
        <w:t xml:space="preserve"> data which was an important consideration for the chosen period (</w:t>
      </w:r>
      <w:r w:rsidR="003B1B70" w:rsidRPr="00055865">
        <w:rPr>
          <w:rFonts w:ascii="Garamond" w:hAnsi="Garamond"/>
          <w:sz w:val="24"/>
          <w:szCs w:val="24"/>
        </w:rPr>
        <w:fldChar w:fldCharType="begin" w:fldLock="1"/>
      </w:r>
      <w:r w:rsidR="007122D5" w:rsidRPr="00055865">
        <w:rPr>
          <w:rFonts w:ascii="Garamond" w:hAnsi="Garamond"/>
          <w:sz w:val="24"/>
          <w:szCs w:val="24"/>
        </w:rPr>
        <w:instrText>ADDIN CSL_CITATION {"citationItems":[{"id":"ITEM-1","itemData":{"DOI":"10.1016/j.ecolecon.2016.10.004","ISSN":"09218009","abstract":"We investigate the relationship between environmental and financial performance of fossil fuel firms. To this extent, we analyze a large international sample of firms in chemicals, oil, gas, and coal with respect to several environmental indicators in relation to financial performance for the period 2002–2013. We find that these firms have significantly higher scores on environmental performance efforts than other firms. We use a simultaneous equations system to identify the direction of the relationship between environmental and financial performance of the firms. We find that environmental outperformance has no impact on financial performance for chemical firms, reduces returns and risks for coal companies, has a mixed impact on returns in oil and gas, and reduces financial risks for oil and gas firms. Financial outperformance reduces environmental performance in all fossil fuel (sub)industries investigated. Our findings mainly support the opportunistic view regarding the impact of financial returns, which holds that financial performance negatively impacts social performance. Regarding financial risk, we find support for the stakeholder perspective where good environmental performance is beneficial from a finance perspective. We conclude to substantial differences in the environmental-financial performance relationship along fossil fuel firms in different subindustries.","author":[{"dropping-particle":"","family":"Gonenc","given":"Halit","non-dropping-particle":"","parse-names":false,"suffix":""},{"dropping-particle":"","family":"Scholtens","given":"Bert","non-dropping-particle":"","parse-names":false,"suffix":""}],"container-title":"Ecological Economics","id":"ITEM-1","issued":{"date-parts":[["2017"]]},"title":"Environmental and Financial Performance of Fossil Fuel Firms: A Closer Inspection of their Interaction","type":"article-journal"},"uris":["http://www.mendeley.com/documents/?uuid=d9b61123-671a-4e91-a424-e2fe3536a778"]}],"mendeley":{"formattedCitation":"(Gonenc &amp; Scholtens, 2017)","manualFormatting":"Gonenc and Scholtens (2017)","plainTextFormattedCitation":"(Gonenc &amp; Scholtens, 2017)","previouslyFormattedCitation":"(Gonenc &amp; Scholtens, 2017)"},"properties":{"noteIndex":0},"schema":"https://github.com/citation-style-language/schema/raw/master/csl-citation.json"}</w:instrText>
      </w:r>
      <w:r w:rsidR="003B1B70" w:rsidRPr="00055865">
        <w:rPr>
          <w:rFonts w:ascii="Garamond" w:hAnsi="Garamond"/>
          <w:sz w:val="24"/>
          <w:szCs w:val="24"/>
        </w:rPr>
        <w:fldChar w:fldCharType="separate"/>
      </w:r>
      <w:r w:rsidR="003B1B70" w:rsidRPr="00055865">
        <w:rPr>
          <w:rFonts w:ascii="Garamond" w:hAnsi="Garamond"/>
          <w:noProof/>
          <w:sz w:val="24"/>
          <w:szCs w:val="24"/>
        </w:rPr>
        <w:t xml:space="preserve">Gonenc </w:t>
      </w:r>
      <w:r w:rsidR="0010604F" w:rsidRPr="00055865">
        <w:rPr>
          <w:rFonts w:ascii="Garamond" w:hAnsi="Garamond"/>
          <w:noProof/>
          <w:sz w:val="24"/>
          <w:szCs w:val="24"/>
        </w:rPr>
        <w:t>&amp;</w:t>
      </w:r>
      <w:r w:rsidR="003B1B70" w:rsidRPr="00055865">
        <w:rPr>
          <w:rFonts w:ascii="Garamond" w:hAnsi="Garamond"/>
          <w:noProof/>
          <w:sz w:val="24"/>
          <w:szCs w:val="24"/>
        </w:rPr>
        <w:t xml:space="preserve"> Scholtens (2017)</w:t>
      </w:r>
      <w:r w:rsidR="003B1B70" w:rsidRPr="00055865">
        <w:rPr>
          <w:rFonts w:ascii="Garamond" w:hAnsi="Garamond"/>
          <w:sz w:val="24"/>
          <w:szCs w:val="24"/>
        </w:rPr>
        <w:fldChar w:fldCharType="end"/>
      </w:r>
      <w:r w:rsidR="0010604F" w:rsidRPr="00055865">
        <w:rPr>
          <w:rFonts w:ascii="Garamond" w:hAnsi="Garamond"/>
          <w:sz w:val="24"/>
          <w:szCs w:val="24"/>
        </w:rPr>
        <w:t xml:space="preserve">. </w:t>
      </w:r>
      <w:r w:rsidR="00EB5D85">
        <w:rPr>
          <w:rFonts w:ascii="Garamond" w:hAnsi="Garamond"/>
          <w:sz w:val="24"/>
          <w:szCs w:val="24"/>
        </w:rPr>
        <w:t>The firms come from</w:t>
      </w:r>
      <w:r w:rsidR="00C3429E" w:rsidRPr="00055865">
        <w:rPr>
          <w:rFonts w:ascii="Garamond" w:hAnsi="Garamond"/>
          <w:sz w:val="24"/>
          <w:szCs w:val="24"/>
        </w:rPr>
        <w:t xml:space="preserve"> 26 different industries. </w:t>
      </w:r>
      <w:r w:rsidR="00EB5D85">
        <w:rPr>
          <w:rFonts w:ascii="Garamond" w:hAnsi="Garamond"/>
          <w:sz w:val="24"/>
          <w:szCs w:val="24"/>
        </w:rPr>
        <w:t xml:space="preserve">Those which are </w:t>
      </w:r>
      <w:r w:rsidR="00C3429E" w:rsidRPr="00055865">
        <w:rPr>
          <w:rFonts w:ascii="Garamond" w:hAnsi="Garamond"/>
          <w:sz w:val="24"/>
          <w:szCs w:val="24"/>
        </w:rPr>
        <w:t>presumed</w:t>
      </w:r>
      <w:r w:rsidR="00EB5D85">
        <w:rPr>
          <w:rFonts w:ascii="Garamond" w:hAnsi="Garamond"/>
          <w:sz w:val="24"/>
          <w:szCs w:val="24"/>
        </w:rPr>
        <w:t xml:space="preserve"> to have </w:t>
      </w:r>
      <w:r w:rsidR="00C3429E" w:rsidRPr="00055865">
        <w:rPr>
          <w:rFonts w:ascii="Garamond" w:hAnsi="Garamond"/>
          <w:sz w:val="24"/>
          <w:szCs w:val="24"/>
        </w:rPr>
        <w:t>very minimal pollution level</w:t>
      </w:r>
      <w:r w:rsidR="00EB5D85">
        <w:rPr>
          <w:rFonts w:ascii="Garamond" w:hAnsi="Garamond"/>
          <w:sz w:val="24"/>
          <w:szCs w:val="24"/>
        </w:rPr>
        <w:t>s,</w:t>
      </w:r>
      <w:r w:rsidR="00C3429E" w:rsidRPr="00055865">
        <w:rPr>
          <w:rFonts w:ascii="Garamond" w:hAnsi="Garamond"/>
          <w:sz w:val="24"/>
          <w:szCs w:val="24"/>
        </w:rPr>
        <w:t xml:space="preserve"> such as banks, financial services, real estate investment trusts</w:t>
      </w:r>
      <w:r w:rsidR="00EB5D85">
        <w:rPr>
          <w:rFonts w:ascii="Garamond" w:hAnsi="Garamond"/>
          <w:sz w:val="24"/>
          <w:szCs w:val="24"/>
        </w:rPr>
        <w:t>,</w:t>
      </w:r>
      <w:r w:rsidR="00C3429E" w:rsidRPr="00055865">
        <w:rPr>
          <w:rFonts w:ascii="Garamond" w:hAnsi="Garamond"/>
          <w:sz w:val="24"/>
          <w:szCs w:val="24"/>
        </w:rPr>
        <w:t xml:space="preserve"> and real estate investment services</w:t>
      </w:r>
      <w:r w:rsidR="00D14ECA" w:rsidRPr="00055865">
        <w:rPr>
          <w:rFonts w:ascii="Garamond" w:hAnsi="Garamond"/>
          <w:sz w:val="24"/>
          <w:szCs w:val="24"/>
        </w:rPr>
        <w:t xml:space="preserve"> </w:t>
      </w:r>
      <w:r w:rsidR="00C3429E" w:rsidRPr="00055865">
        <w:rPr>
          <w:rFonts w:ascii="Garamond" w:hAnsi="Garamond"/>
          <w:sz w:val="24"/>
          <w:szCs w:val="24"/>
        </w:rPr>
        <w:t>were excluded</w:t>
      </w:r>
      <w:r w:rsidR="00D14ECA" w:rsidRPr="00055865">
        <w:rPr>
          <w:rFonts w:ascii="Garamond" w:hAnsi="Garamond"/>
          <w:sz w:val="24"/>
          <w:szCs w:val="24"/>
        </w:rPr>
        <w:t xml:space="preserve"> </w:t>
      </w:r>
      <w:r w:rsidR="00D14ECA" w:rsidRPr="00055865">
        <w:rPr>
          <w:rFonts w:ascii="Garamond" w:hAnsi="Garamond"/>
          <w:sz w:val="24"/>
          <w:szCs w:val="24"/>
        </w:rPr>
        <w:fldChar w:fldCharType="begin" w:fldLock="1"/>
      </w:r>
      <w:r w:rsidR="00D14ECA" w:rsidRPr="00055865">
        <w:rPr>
          <w:rFonts w:ascii="Garamond" w:hAnsi="Garamond"/>
          <w:sz w:val="24"/>
          <w:szCs w:val="24"/>
        </w:rPr>
        <w:instrText>ADDIN CSL_CITATION {"citationItems":[{"id":"ITEM-1","itemData":{"DOI":"10.1162/00346530151143815","ISBN":"00346535","ISSN":"0034-6535","PMID":"7754995","abstract":"Previous studies that attempt to relate environmental to financial performance have often led to conflicting results due to small samples and subjective environmental performance criteria. We report on a study that relates the market value of firms in the S&amp;P 500 to objective measures of their environmental performance. After controlling for variables traditionally thought to explain firm-level financial performance, we find that bad environmental performance is negatively correlated with the intangible asset value of firms. The average ‘intangible liability’ for firms in our sample is $380 million—approximately 9% of the replacement value of tangible assets. We conclude that legally emitted toxic chemicals have a significant effect on the intangible asset value of publicly traded companies. A 10% reduction in emissions of toxic chemicals results in a $34 million increase in market value. The magnitude of these effects varies across industries, with larger losses accruing to the traditionally polluting in...","author":[{"dropping-particle":"","family":"Konar","given":"Shameek","non-dropping-particle":"","parse-names":false,"suffix":""},{"dropping-particle":"","family":"Cohen","given":"Mark A.","non-dropping-particle":"","parse-names":false,"suffix":""}],"container-title":"Review of Economics and Statistics","id":"ITEM-1","issue":"2","issued":{"date-parts":[["2001"]]},"page":"281-289","title":"Does the Market Value Environmental Performance?","type":"article-journal","volume":"83"},"uris":["http://www.mendeley.com/documents/?uuid=55bf1acf-6681-428a-881e-d773cfcd22e2"]}],"mendeley":{"formattedCitation":"(Konar &amp; Cohen, 2001)","plainTextFormattedCitation":"(Konar &amp; Cohen, 2001)","previouslyFormattedCitation":"(Konar &amp; Cohen, 2001)"},"properties":{"noteIndex":0},"schema":"https://github.com/citation-style-language/schema/raw/master/csl-citation.json"}</w:instrText>
      </w:r>
      <w:r w:rsidR="00D14ECA" w:rsidRPr="00055865">
        <w:rPr>
          <w:rFonts w:ascii="Garamond" w:hAnsi="Garamond"/>
          <w:sz w:val="24"/>
          <w:szCs w:val="24"/>
        </w:rPr>
        <w:fldChar w:fldCharType="separate"/>
      </w:r>
      <w:r w:rsidR="00D14ECA" w:rsidRPr="00055865">
        <w:rPr>
          <w:rFonts w:ascii="Garamond" w:hAnsi="Garamond"/>
          <w:noProof/>
          <w:sz w:val="24"/>
          <w:szCs w:val="24"/>
        </w:rPr>
        <w:t>(Konar &amp; Cohen, 2001)</w:t>
      </w:r>
      <w:r w:rsidR="00D14ECA" w:rsidRPr="00055865">
        <w:rPr>
          <w:rFonts w:ascii="Garamond" w:hAnsi="Garamond"/>
          <w:sz w:val="24"/>
          <w:szCs w:val="24"/>
        </w:rPr>
        <w:fldChar w:fldCharType="end"/>
      </w:r>
      <w:r w:rsidR="00C3429E" w:rsidRPr="00055865">
        <w:rPr>
          <w:rFonts w:ascii="Garamond" w:hAnsi="Garamond"/>
          <w:sz w:val="24"/>
          <w:szCs w:val="24"/>
        </w:rPr>
        <w:t>. It has also been emphasised that such firms should be excluded as they are subject to different disclosure and regulatory requirements</w:t>
      </w:r>
      <w:r w:rsidR="003B1B70" w:rsidRPr="00055865">
        <w:rPr>
          <w:rFonts w:ascii="Garamond" w:hAnsi="Garamond"/>
          <w:sz w:val="24"/>
          <w:szCs w:val="24"/>
        </w:rPr>
        <w:t xml:space="preserve"> </w:t>
      </w:r>
      <w:r w:rsidR="003B1B70" w:rsidRPr="00055865">
        <w:rPr>
          <w:rFonts w:ascii="Garamond" w:hAnsi="Garamond"/>
          <w:sz w:val="24"/>
          <w:szCs w:val="24"/>
        </w:rPr>
        <w:fldChar w:fldCharType="begin" w:fldLock="1"/>
      </w:r>
      <w:r w:rsidR="00D14ECA" w:rsidRPr="00055865">
        <w:rPr>
          <w:rFonts w:ascii="Garamond" w:hAnsi="Garamond"/>
          <w:sz w:val="24"/>
          <w:szCs w:val="24"/>
        </w:rPr>
        <w:instrText>ADDIN CSL_CITATION {"citationItems":[{"id":"ITEM-1","itemData":{"author":[{"dropping-particle":"","family":"Ntim, C.; Soobaroyen","given":"T.","non-dropping-particle":"","parse-names":false,"suffix":""}],"container-title":"Corporate Social Responsibility","id":"ITEM-1","issue":"5","issued":{"date-parts":[["2013"]]},"page":"468–494","title":"Corporate Governance and Performance in Socially Responsible Corporations: New Empirical Insights from a Neo-Institutional Framework","type":"article-journal","volume":"21"},"uris":["http://www.mendeley.com/documents/?uuid=88ca964d-4959-4b2a-a286-b1dc0c562426"]}],"mendeley":{"formattedCitation":"(Ntim, C.; Soobaroyen, 2013)","manualFormatting":"(Ntim &amp; Soobaroyen, 2013)","plainTextFormattedCitation":"(Ntim, C.; Soobaroyen, 2013)","previouslyFormattedCitation":"(Ntim, C.; Soobaroyen, 2013)"},"properties":{"noteIndex":0},"schema":"https://github.com/citation-style-language/schema/raw/master/csl-citation.json"}</w:instrText>
      </w:r>
      <w:r w:rsidR="003B1B70" w:rsidRPr="00055865">
        <w:rPr>
          <w:rFonts w:ascii="Garamond" w:hAnsi="Garamond"/>
          <w:sz w:val="24"/>
          <w:szCs w:val="24"/>
        </w:rPr>
        <w:fldChar w:fldCharType="separate"/>
      </w:r>
      <w:r w:rsidR="003B1B70" w:rsidRPr="00055865">
        <w:rPr>
          <w:rFonts w:ascii="Garamond" w:hAnsi="Garamond"/>
          <w:noProof/>
          <w:sz w:val="24"/>
          <w:szCs w:val="24"/>
        </w:rPr>
        <w:t xml:space="preserve">(Ntim </w:t>
      </w:r>
      <w:r w:rsidR="00D14ECA" w:rsidRPr="00055865">
        <w:rPr>
          <w:rFonts w:ascii="Garamond" w:hAnsi="Garamond"/>
          <w:noProof/>
          <w:sz w:val="24"/>
          <w:szCs w:val="24"/>
        </w:rPr>
        <w:t xml:space="preserve">&amp; </w:t>
      </w:r>
      <w:r w:rsidR="003B1B70" w:rsidRPr="00055865">
        <w:rPr>
          <w:rFonts w:ascii="Garamond" w:hAnsi="Garamond"/>
          <w:noProof/>
          <w:sz w:val="24"/>
          <w:szCs w:val="24"/>
        </w:rPr>
        <w:t>Soobaroyen, 2013)</w:t>
      </w:r>
      <w:r w:rsidR="003B1B70" w:rsidRPr="00055865">
        <w:rPr>
          <w:rFonts w:ascii="Garamond" w:hAnsi="Garamond"/>
          <w:sz w:val="24"/>
          <w:szCs w:val="24"/>
        </w:rPr>
        <w:fldChar w:fldCharType="end"/>
      </w:r>
      <w:r w:rsidR="00D14ECA" w:rsidRPr="00055865">
        <w:rPr>
          <w:rFonts w:ascii="Garamond" w:hAnsi="Garamond"/>
          <w:sz w:val="24"/>
          <w:szCs w:val="24"/>
        </w:rPr>
        <w:t>.</w:t>
      </w:r>
    </w:p>
    <w:p w14:paraId="5F388E31" w14:textId="74D1A1BF" w:rsidR="00C3429E" w:rsidRPr="00055865" w:rsidRDefault="009E5C24" w:rsidP="005B6FD7">
      <w:pPr>
        <w:spacing w:after="0" w:line="480" w:lineRule="auto"/>
        <w:contextualSpacing/>
        <w:jc w:val="both"/>
        <w:rPr>
          <w:rFonts w:ascii="Garamond" w:hAnsi="Garamond"/>
          <w:b/>
          <w:sz w:val="24"/>
          <w:szCs w:val="24"/>
        </w:rPr>
      </w:pPr>
      <w:r>
        <w:rPr>
          <w:rFonts w:ascii="Garamond" w:hAnsi="Garamond"/>
          <w:b/>
          <w:sz w:val="24"/>
          <w:szCs w:val="24"/>
        </w:rPr>
        <w:t>3</w:t>
      </w:r>
      <w:r w:rsidR="006040ED" w:rsidRPr="00055865">
        <w:rPr>
          <w:rFonts w:ascii="Garamond" w:hAnsi="Garamond"/>
          <w:b/>
          <w:sz w:val="24"/>
          <w:szCs w:val="24"/>
        </w:rPr>
        <w:t>.3</w:t>
      </w:r>
      <w:r w:rsidR="00C3429E" w:rsidRPr="00055865">
        <w:rPr>
          <w:rFonts w:ascii="Garamond" w:hAnsi="Garamond"/>
          <w:b/>
          <w:sz w:val="24"/>
          <w:szCs w:val="24"/>
        </w:rPr>
        <w:t xml:space="preserve"> Variables</w:t>
      </w:r>
    </w:p>
    <w:p w14:paraId="17B3E8C3" w14:textId="77777777" w:rsidR="00C3429E" w:rsidRPr="00055865" w:rsidRDefault="00C3429E" w:rsidP="005B6FD7">
      <w:pPr>
        <w:spacing w:after="0" w:line="480" w:lineRule="auto"/>
        <w:contextualSpacing/>
        <w:jc w:val="both"/>
        <w:rPr>
          <w:rFonts w:ascii="Garamond" w:hAnsi="Garamond"/>
          <w:b/>
          <w:i/>
          <w:sz w:val="24"/>
          <w:szCs w:val="24"/>
        </w:rPr>
      </w:pPr>
      <w:r w:rsidRPr="00055865">
        <w:rPr>
          <w:rFonts w:ascii="Garamond" w:hAnsi="Garamond"/>
          <w:b/>
          <w:i/>
          <w:sz w:val="24"/>
          <w:szCs w:val="24"/>
        </w:rPr>
        <w:t>4.</w:t>
      </w:r>
      <w:r w:rsidR="006040ED" w:rsidRPr="00055865">
        <w:rPr>
          <w:rFonts w:ascii="Garamond" w:hAnsi="Garamond"/>
          <w:b/>
          <w:i/>
          <w:sz w:val="24"/>
          <w:szCs w:val="24"/>
        </w:rPr>
        <w:t>3</w:t>
      </w:r>
      <w:r w:rsidRPr="00055865">
        <w:rPr>
          <w:rFonts w:ascii="Garamond" w:hAnsi="Garamond"/>
          <w:b/>
          <w:i/>
          <w:sz w:val="24"/>
          <w:szCs w:val="24"/>
        </w:rPr>
        <w:t>.1 Dependent Variables (Corporate Financial Performance)</w:t>
      </w:r>
    </w:p>
    <w:p w14:paraId="6BF53716" w14:textId="0C8888E6" w:rsidR="00C3429E" w:rsidRPr="00055865" w:rsidRDefault="00C3429E" w:rsidP="005B6FD7">
      <w:pPr>
        <w:spacing w:after="0" w:line="480" w:lineRule="auto"/>
        <w:contextualSpacing/>
        <w:jc w:val="both"/>
        <w:rPr>
          <w:rFonts w:ascii="Garamond" w:hAnsi="Garamond"/>
          <w:sz w:val="24"/>
          <w:szCs w:val="24"/>
        </w:rPr>
      </w:pPr>
      <w:r w:rsidRPr="00055865">
        <w:rPr>
          <w:rFonts w:ascii="Garamond" w:hAnsi="Garamond"/>
          <w:sz w:val="24"/>
          <w:szCs w:val="24"/>
        </w:rPr>
        <w:t xml:space="preserve">            Prior studies on sustainable environmental practices and financial performance relationships</w:t>
      </w:r>
      <w:r w:rsidR="006039C9">
        <w:rPr>
          <w:rFonts w:ascii="Garamond" w:hAnsi="Garamond"/>
          <w:sz w:val="24"/>
          <w:szCs w:val="24"/>
        </w:rPr>
        <w:t xml:space="preserve"> have used different measures to</w:t>
      </w:r>
      <w:r w:rsidRPr="00055865">
        <w:rPr>
          <w:rFonts w:ascii="Garamond" w:hAnsi="Garamond"/>
          <w:sz w:val="24"/>
          <w:szCs w:val="24"/>
        </w:rPr>
        <w:t xml:space="preserve"> </w:t>
      </w:r>
      <w:r w:rsidR="006039C9">
        <w:rPr>
          <w:rFonts w:ascii="Garamond" w:hAnsi="Garamond"/>
          <w:sz w:val="24"/>
          <w:szCs w:val="24"/>
        </w:rPr>
        <w:t xml:space="preserve">assess </w:t>
      </w:r>
      <w:r w:rsidRPr="00055865">
        <w:rPr>
          <w:rFonts w:ascii="Garamond" w:hAnsi="Garamond"/>
          <w:sz w:val="24"/>
          <w:szCs w:val="24"/>
        </w:rPr>
        <w:t>financial performa</w:t>
      </w:r>
      <w:r w:rsidR="006039C9">
        <w:rPr>
          <w:rFonts w:ascii="Garamond" w:hAnsi="Garamond"/>
          <w:sz w:val="24"/>
          <w:szCs w:val="24"/>
        </w:rPr>
        <w:t xml:space="preserve">nce with no consensus on </w:t>
      </w:r>
      <w:r w:rsidR="001031AD">
        <w:rPr>
          <w:rFonts w:ascii="Garamond" w:hAnsi="Garamond"/>
          <w:sz w:val="24"/>
          <w:szCs w:val="24"/>
        </w:rPr>
        <w:t xml:space="preserve">these </w:t>
      </w:r>
      <w:r w:rsidRPr="00055865">
        <w:rPr>
          <w:rFonts w:ascii="Garamond" w:hAnsi="Garamond"/>
          <w:sz w:val="24"/>
          <w:szCs w:val="24"/>
        </w:rPr>
        <w:t>m</w:t>
      </w:r>
      <w:r w:rsidR="006039C9">
        <w:rPr>
          <w:rFonts w:ascii="Garamond" w:hAnsi="Garamond"/>
          <w:sz w:val="24"/>
          <w:szCs w:val="24"/>
        </w:rPr>
        <w:t>easures</w:t>
      </w:r>
      <w:r w:rsidR="001916A9" w:rsidRPr="00055865">
        <w:rPr>
          <w:rFonts w:ascii="Garamond" w:hAnsi="Garamond"/>
          <w:sz w:val="24"/>
          <w:szCs w:val="24"/>
        </w:rPr>
        <w:t xml:space="preserve"> </w:t>
      </w:r>
      <w:r w:rsidR="001916A9" w:rsidRPr="00055865">
        <w:rPr>
          <w:rFonts w:ascii="Garamond" w:hAnsi="Garamond"/>
          <w:sz w:val="24"/>
          <w:szCs w:val="24"/>
        </w:rPr>
        <w:fldChar w:fldCharType="begin" w:fldLock="1"/>
      </w:r>
      <w:r w:rsidR="001916A9" w:rsidRPr="00055865">
        <w:rPr>
          <w:rFonts w:ascii="Garamond" w:hAnsi="Garamond"/>
          <w:sz w:val="24"/>
          <w:szCs w:val="24"/>
        </w:rPr>
        <w:instrText>ADDIN CSL_CITATION {"citationItems":[{"id":"ITEM-1","itemData":{"DOI":"10.2307/255956","ISBN":"10.2307/255956","ISSN":"0001-4273","PMID":"4377087","abstract":"The relationship between corporate social responsibility and financial performance is reexamined using a new methodology, improved technique, and industry-specific control groups. Average age of corporate assets is found to be highly correlated with social responsibility ranking. After controlling for this factor, there still is some correlation between corporate social responsibility and financial performance.","author":[{"dropping-particle":"","family":"Cochran","given":"Philip L","non-dropping-particle":"","parse-names":false,"suffix":""},{"dropping-particle":"","family":"Wood","given":"Robert A","non-dropping-particle":"","parse-names":false,"suffix":""}],"container-title":"Academy of Management Journal","id":"ITEM-1","issue":"1","issued":{"date-parts":[["1984"]]},"page":"42-56","title":"Corporate Social Responsibility and Financial Performance","type":"article-journal","volume":"27"},"uris":["http://www.mendeley.com/documents/?uuid=c14e557a-584f-49e5-ba48-8bf83e7e6cb3"]}],"mendeley":{"formattedCitation":"(Cochran &amp; Wood, 1984)","manualFormatting":"(Cochran &amp; Wood, 1984)","plainTextFormattedCitation":"(Cochran &amp; Wood, 1984)","previouslyFormattedCitation":"(Cochran &amp; Wood, 1984)"},"properties":{"noteIndex":0},"schema":"https://github.com/citation-style-language/schema/raw/master/csl-citation.json"}</w:instrText>
      </w:r>
      <w:r w:rsidR="001916A9" w:rsidRPr="00055865">
        <w:rPr>
          <w:rFonts w:ascii="Garamond" w:hAnsi="Garamond"/>
          <w:sz w:val="24"/>
          <w:szCs w:val="24"/>
        </w:rPr>
        <w:fldChar w:fldCharType="separate"/>
      </w:r>
      <w:r w:rsidR="001916A9" w:rsidRPr="00055865">
        <w:rPr>
          <w:rFonts w:ascii="Garamond" w:hAnsi="Garamond"/>
          <w:noProof/>
          <w:sz w:val="24"/>
          <w:szCs w:val="24"/>
        </w:rPr>
        <w:t>(Cochran &amp; Wood, 1984)</w:t>
      </w:r>
      <w:r w:rsidR="001916A9" w:rsidRPr="00055865">
        <w:rPr>
          <w:rFonts w:ascii="Garamond" w:hAnsi="Garamond"/>
          <w:sz w:val="24"/>
          <w:szCs w:val="24"/>
        </w:rPr>
        <w:fldChar w:fldCharType="end"/>
      </w:r>
      <w:r w:rsidRPr="00055865">
        <w:rPr>
          <w:rFonts w:ascii="Garamond" w:hAnsi="Garamond"/>
          <w:sz w:val="24"/>
          <w:szCs w:val="24"/>
        </w:rPr>
        <w:t>. The measures that are usually a</w:t>
      </w:r>
      <w:r w:rsidR="006039C9">
        <w:rPr>
          <w:rFonts w:ascii="Garamond" w:hAnsi="Garamond"/>
          <w:sz w:val="24"/>
          <w:szCs w:val="24"/>
        </w:rPr>
        <w:t>dopted fall into two categories;</w:t>
      </w:r>
      <w:r w:rsidRPr="00055865">
        <w:rPr>
          <w:rFonts w:ascii="Garamond" w:hAnsi="Garamond"/>
          <w:sz w:val="24"/>
          <w:szCs w:val="24"/>
        </w:rPr>
        <w:t xml:space="preserve"> accounting returns</w:t>
      </w:r>
      <w:r w:rsidR="001031AD">
        <w:rPr>
          <w:rFonts w:ascii="Garamond" w:hAnsi="Garamond"/>
          <w:sz w:val="24"/>
          <w:szCs w:val="24"/>
        </w:rPr>
        <w:t>,</w:t>
      </w:r>
      <w:r w:rsidRPr="00055865">
        <w:rPr>
          <w:rFonts w:ascii="Garamond" w:hAnsi="Garamond"/>
          <w:sz w:val="24"/>
          <w:szCs w:val="24"/>
        </w:rPr>
        <w:t xml:space="preserve"> and investor returns (market-based measures). Based on the accounting-based measure of performance, </w:t>
      </w:r>
      <w:r w:rsidRPr="00055865">
        <w:rPr>
          <w:rFonts w:ascii="Garamond" w:hAnsi="Garamond"/>
          <w:noProof/>
          <w:sz w:val="24"/>
          <w:szCs w:val="24"/>
        </w:rPr>
        <w:t>ROA</w:t>
      </w:r>
      <w:r w:rsidR="001031AD">
        <w:rPr>
          <w:rFonts w:ascii="Garamond" w:hAnsi="Garamond"/>
          <w:sz w:val="24"/>
          <w:szCs w:val="24"/>
        </w:rPr>
        <w:t xml:space="preserve"> i</w:t>
      </w:r>
      <w:r w:rsidRPr="00055865">
        <w:rPr>
          <w:rFonts w:ascii="Garamond" w:hAnsi="Garamond"/>
          <w:sz w:val="24"/>
          <w:szCs w:val="24"/>
        </w:rPr>
        <w:t>s employed in the study as the</w:t>
      </w:r>
      <w:r w:rsidR="001031AD">
        <w:rPr>
          <w:rFonts w:ascii="Garamond" w:hAnsi="Garamond"/>
          <w:sz w:val="24"/>
          <w:szCs w:val="24"/>
        </w:rPr>
        <w:t xml:space="preserve"> main dependent variable as it is considered to be</w:t>
      </w:r>
      <w:r w:rsidRPr="00055865">
        <w:rPr>
          <w:rFonts w:ascii="Garamond" w:hAnsi="Garamond"/>
          <w:sz w:val="24"/>
          <w:szCs w:val="24"/>
        </w:rPr>
        <w:t xml:space="preserve"> the most effective</w:t>
      </w:r>
      <w:r w:rsidR="001031AD">
        <w:rPr>
          <w:rFonts w:ascii="Garamond" w:hAnsi="Garamond"/>
          <w:sz w:val="24"/>
          <w:szCs w:val="24"/>
        </w:rPr>
        <w:t>,</w:t>
      </w:r>
      <w:r w:rsidRPr="00055865">
        <w:rPr>
          <w:rFonts w:ascii="Garamond" w:hAnsi="Garamond"/>
          <w:sz w:val="24"/>
          <w:szCs w:val="24"/>
        </w:rPr>
        <w:t xml:space="preserve"> and</w:t>
      </w:r>
      <w:r w:rsidR="001031AD">
        <w:rPr>
          <w:rFonts w:ascii="Garamond" w:hAnsi="Garamond"/>
          <w:sz w:val="24"/>
          <w:szCs w:val="24"/>
        </w:rPr>
        <w:t xml:space="preserve"> also a</w:t>
      </w:r>
      <w:r w:rsidRPr="00055865">
        <w:rPr>
          <w:rFonts w:ascii="Garamond" w:hAnsi="Garamond"/>
          <w:sz w:val="24"/>
          <w:szCs w:val="24"/>
        </w:rPr>
        <w:t xml:space="preserve"> broad</w:t>
      </w:r>
      <w:r w:rsidR="001031AD">
        <w:rPr>
          <w:rFonts w:ascii="Garamond" w:hAnsi="Garamond"/>
          <w:sz w:val="24"/>
          <w:szCs w:val="24"/>
        </w:rPr>
        <w:t>er</w:t>
      </w:r>
      <w:r w:rsidRPr="00055865">
        <w:rPr>
          <w:rFonts w:ascii="Garamond" w:hAnsi="Garamond"/>
          <w:sz w:val="24"/>
          <w:szCs w:val="24"/>
        </w:rPr>
        <w:t xml:space="preserve"> measure of performance</w:t>
      </w:r>
      <w:r w:rsidR="001916A9" w:rsidRPr="00055865">
        <w:rPr>
          <w:rFonts w:ascii="Garamond" w:hAnsi="Garamond"/>
          <w:sz w:val="24"/>
          <w:szCs w:val="24"/>
        </w:rPr>
        <w:t xml:space="preserve"> </w:t>
      </w:r>
      <w:r w:rsidR="001916A9" w:rsidRPr="00055865">
        <w:rPr>
          <w:rFonts w:ascii="Garamond" w:hAnsi="Garamond"/>
          <w:sz w:val="24"/>
          <w:szCs w:val="24"/>
        </w:rPr>
        <w:fldChar w:fldCharType="begin" w:fldLock="1"/>
      </w:r>
      <w:r w:rsidR="001916A9" w:rsidRPr="00055865">
        <w:rPr>
          <w:rFonts w:ascii="Garamond" w:hAnsi="Garamond"/>
          <w:sz w:val="24"/>
          <w:szCs w:val="24"/>
        </w:rPr>
        <w:instrText>ADDIN CSL_CITATION {"citationItems":[{"id":"ITEM-1","itemData":{"abstract":"Report 3 of the 2013 Shift Index series From the Deloitte Center for the Edge About the Shift Index We developed the Shift Index to help executives understand and take advantage of the long-term forces of change shaping the US economy. The Shift Index tracks 25 metrics across more than 40 years. These metrics fall into three areas: 1) the developments in the technological and political foundations underlying market changes, 2) the flows of capi-tal, information, and talent changing the business landscape, and 3) the impacts of these changes on competition, volatility, and performance across industries. Combined, these factors reflect what we call the Big Shift in the global business environment.","author":[{"dropping-particle":"","family":"Hagel","given":"John","non-dropping-particle":"","parse-names":false,"suffix":""},{"dropping-particle":"","family":"Brown","given":"John Seely","non-dropping-particle":"","parse-names":false,"suffix":""},{"dropping-particle":"","family":"Samoylova","given":"Tamara","non-dropping-particle":"","parse-names":false,"suffix":""},{"dropping-particle":"","family":"Lui","given":"Michael","non-dropping-particle":"","parse-names":false,"suffix":""}],"container-title":"Deloitte University Press","id":"ITEM-1","issued":{"date-parts":[["2013"]]},"page":"4-18","title":"Success or struggle : ROA as a true measure of business performance","type":"article-journal"},"uris":["http://www.mendeley.com/documents/?uuid=1746c613-e692-4f20-a567-bdcf8750a810"]}],"mendeley":{"formattedCitation":"(Hagel, Brown, Samoylova, &amp; Lui, 2013)","plainTextFormattedCitation":"(Hagel, Brown, Samoylova, &amp; Lui, 2013)","previouslyFormattedCitation":"(Hagel, Brown, Samoylova, &amp; Lui, 2013)"},"properties":{"noteIndex":0},"schema":"https://github.com/citation-style-language/schema/raw/master/csl-citation.json"}</w:instrText>
      </w:r>
      <w:r w:rsidR="001916A9" w:rsidRPr="00055865">
        <w:rPr>
          <w:rFonts w:ascii="Garamond" w:hAnsi="Garamond"/>
          <w:sz w:val="24"/>
          <w:szCs w:val="24"/>
        </w:rPr>
        <w:fldChar w:fldCharType="separate"/>
      </w:r>
      <w:r w:rsidR="001916A9" w:rsidRPr="00055865">
        <w:rPr>
          <w:rFonts w:ascii="Garamond" w:hAnsi="Garamond"/>
          <w:noProof/>
          <w:sz w:val="24"/>
          <w:szCs w:val="24"/>
        </w:rPr>
        <w:t>(Hagel, Brown, Samoylova, &amp; Lui, 2013)</w:t>
      </w:r>
      <w:r w:rsidR="001916A9" w:rsidRPr="00055865">
        <w:rPr>
          <w:rFonts w:ascii="Garamond" w:hAnsi="Garamond"/>
          <w:sz w:val="24"/>
          <w:szCs w:val="24"/>
        </w:rPr>
        <w:fldChar w:fldCharType="end"/>
      </w:r>
      <w:r w:rsidR="001916A9" w:rsidRPr="00055865">
        <w:rPr>
          <w:rFonts w:ascii="Garamond" w:hAnsi="Garamond"/>
          <w:sz w:val="24"/>
          <w:szCs w:val="24"/>
        </w:rPr>
        <w:t xml:space="preserve">. </w:t>
      </w:r>
      <w:r w:rsidRPr="00055865">
        <w:rPr>
          <w:rFonts w:ascii="Garamond" w:hAnsi="Garamond"/>
          <w:sz w:val="24"/>
          <w:szCs w:val="24"/>
        </w:rPr>
        <w:t xml:space="preserve">It has also been suggested by </w:t>
      </w:r>
      <w:r w:rsidR="001916A9" w:rsidRPr="00055865">
        <w:rPr>
          <w:rFonts w:ascii="Garamond" w:hAnsi="Garamond"/>
          <w:sz w:val="24"/>
          <w:szCs w:val="24"/>
        </w:rPr>
        <w:t xml:space="preserve"> </w:t>
      </w:r>
      <w:r w:rsidR="001916A9" w:rsidRPr="00055865">
        <w:rPr>
          <w:rFonts w:ascii="Garamond" w:hAnsi="Garamond"/>
          <w:sz w:val="24"/>
          <w:szCs w:val="24"/>
        </w:rPr>
        <w:fldChar w:fldCharType="begin" w:fldLock="1"/>
      </w:r>
      <w:r w:rsidR="00510B88" w:rsidRPr="00055865">
        <w:rPr>
          <w:rFonts w:ascii="Garamond" w:hAnsi="Garamond"/>
          <w:sz w:val="24"/>
          <w:szCs w:val="24"/>
        </w:rPr>
        <w:instrText>ADDIN CSL_CITATION {"citationItems":[{"id":"ITEM-1","itemData":{"DOI":"10.1108/CG-03-2015-0029","ISBN":"0520140060","ISSN":"1472-0701","abstract":"Purpose – This paper aims to report the results of an investigation into the effect of corporate governance factors on the performance of listed small and medium-sized enterprises (SMEs), and examines whether this effect differs between the two sizes of business. Design/methodology/approach – The paper uses unbalanced panel data regression analysis on a sample of 234 SMEs listed on the Alternative Investment Market, for a 10-year period (2004-2013). Findings – The panel data analysis results show that for all SMEs, corporate governance factors – board size, chief executive officer (CEO) age and tenure and directors’ remuneration – are significantly associated with performance of SMEs. The results also suggest that while board size is associated with the performance of both small and medium enterprises, CEO age is significant only for medium firms and directors’ remuneration only for small ones, while CEO tenure and proportion of non-executive directors are not significant for either. Practical implications – Overall, the results imply that corporate governance factors affect the performance of listed SMEs. However, this effect differs significantly between small and medium enterprises. The findings have important implications for policymakers who prescribe corporate governance mechanisms for SMEs. Originality/value – The paper adds to existing literature on corporate governance of SMEs by establishing a relationship between firm performance and board size, CEO age, CEO tenure, directors’ remuneration and proportion of non-executive directors.","author":[{"dropping-particle":"","family":"Afrifa","given":"Godfred Adjappong","non-dropping-particle":"","parse-names":false,"suffix":""},{"dropping-particle":"","family":"Tauringana","given":"Venancio","non-dropping-particle":"","parse-names":false,"suffix":""}],"container-title":"Corporate Governance: The international journal of business in society","id":"ITEM-1","issue":"5","issued":{"date-parts":[["2015"]]},"page":"719-733","title":"Corporate governance and performance of UK listed small and medium enterprises","type":"article-journal","volume":"15"},"uris":["http://www.mendeley.com/documents/?uuid=0045121b-ae54-4e7c-9060-6782432b23c2"]}],"mendeley":{"formattedCitation":"(Afrifa &amp; Tauringana, 2015)","manualFormatting":"Afrifa &amp; Tauringana (2015)","plainTextFormattedCitation":"(Afrifa &amp; Tauringana, 2015)","previouslyFormattedCitation":"(Afrifa &amp; Tauringana, 2015)"},"properties":{"noteIndex":0},"schema":"https://github.com/citation-style-language/schema/raw/master/csl-citation.json"}</w:instrText>
      </w:r>
      <w:r w:rsidR="001916A9" w:rsidRPr="00055865">
        <w:rPr>
          <w:rFonts w:ascii="Garamond" w:hAnsi="Garamond"/>
          <w:sz w:val="24"/>
          <w:szCs w:val="24"/>
        </w:rPr>
        <w:fldChar w:fldCharType="separate"/>
      </w:r>
      <w:r w:rsidR="001916A9" w:rsidRPr="00055865">
        <w:rPr>
          <w:rFonts w:ascii="Garamond" w:hAnsi="Garamond"/>
          <w:noProof/>
          <w:sz w:val="24"/>
          <w:szCs w:val="24"/>
        </w:rPr>
        <w:t>Afrifa &amp; Tauringana (2015)</w:t>
      </w:r>
      <w:r w:rsidR="001916A9" w:rsidRPr="00055865">
        <w:rPr>
          <w:rFonts w:ascii="Garamond" w:hAnsi="Garamond"/>
          <w:sz w:val="24"/>
          <w:szCs w:val="24"/>
        </w:rPr>
        <w:fldChar w:fldCharType="end"/>
      </w:r>
      <w:r w:rsidR="00A516FB">
        <w:rPr>
          <w:rFonts w:ascii="Garamond" w:hAnsi="Garamond"/>
          <w:sz w:val="24"/>
          <w:szCs w:val="24"/>
        </w:rPr>
        <w:t xml:space="preserve"> that </w:t>
      </w:r>
      <w:r w:rsidR="00A516FB" w:rsidRPr="00055865">
        <w:rPr>
          <w:rFonts w:ascii="Garamond" w:hAnsi="Garamond"/>
          <w:noProof/>
          <w:sz w:val="24"/>
          <w:szCs w:val="24"/>
        </w:rPr>
        <w:t>ROA</w:t>
      </w:r>
      <w:r w:rsidRPr="00055865">
        <w:rPr>
          <w:rFonts w:ascii="Garamond" w:hAnsi="Garamond"/>
          <w:sz w:val="24"/>
          <w:szCs w:val="24"/>
        </w:rPr>
        <w:t xml:space="preserve"> is widely used as a measure of profitability because </w:t>
      </w:r>
      <w:r w:rsidR="0010604F" w:rsidRPr="00055865">
        <w:rPr>
          <w:rFonts w:ascii="Garamond" w:hAnsi="Garamond"/>
          <w:sz w:val="24"/>
          <w:szCs w:val="24"/>
        </w:rPr>
        <w:t>it</w:t>
      </w:r>
      <w:r w:rsidRPr="00055865">
        <w:rPr>
          <w:rFonts w:ascii="Garamond" w:hAnsi="Garamond"/>
          <w:sz w:val="24"/>
          <w:szCs w:val="24"/>
        </w:rPr>
        <w:t xml:space="preserve"> provide</w:t>
      </w:r>
      <w:r w:rsidR="0010604F" w:rsidRPr="00055865">
        <w:rPr>
          <w:rFonts w:ascii="Garamond" w:hAnsi="Garamond"/>
          <w:sz w:val="24"/>
          <w:szCs w:val="24"/>
        </w:rPr>
        <w:t>s</w:t>
      </w:r>
      <w:r w:rsidRPr="00055865">
        <w:rPr>
          <w:rFonts w:ascii="Garamond" w:hAnsi="Garamond"/>
          <w:sz w:val="24"/>
          <w:szCs w:val="24"/>
        </w:rPr>
        <w:t xml:space="preserve"> a strong indication of management performance </w:t>
      </w:r>
      <w:r w:rsidR="00DB6768" w:rsidRPr="00055865">
        <w:rPr>
          <w:rFonts w:ascii="Garamond" w:hAnsi="Garamond"/>
          <w:sz w:val="24"/>
          <w:szCs w:val="24"/>
        </w:rPr>
        <w:t>about</w:t>
      </w:r>
      <w:r w:rsidRPr="00055865">
        <w:rPr>
          <w:rFonts w:ascii="Garamond" w:hAnsi="Garamond"/>
          <w:sz w:val="24"/>
          <w:szCs w:val="24"/>
        </w:rPr>
        <w:t xml:space="preserve"> a given resource. However, to </w:t>
      </w:r>
      <w:r w:rsidR="0010604F" w:rsidRPr="00055865">
        <w:rPr>
          <w:rFonts w:ascii="Garamond" w:hAnsi="Garamond"/>
          <w:sz w:val="24"/>
          <w:szCs w:val="24"/>
        </w:rPr>
        <w:t>capture</w:t>
      </w:r>
      <w:r w:rsidRPr="00055865">
        <w:rPr>
          <w:rFonts w:ascii="Garamond" w:hAnsi="Garamond"/>
          <w:sz w:val="24"/>
          <w:szCs w:val="24"/>
        </w:rPr>
        <w:t xml:space="preserve"> the other side of financial performance, which also reflect</w:t>
      </w:r>
      <w:r w:rsidR="00A516FB">
        <w:rPr>
          <w:rFonts w:ascii="Garamond" w:hAnsi="Garamond"/>
          <w:sz w:val="24"/>
          <w:szCs w:val="24"/>
        </w:rPr>
        <w:t>s</w:t>
      </w:r>
      <w:r w:rsidRPr="00055865">
        <w:rPr>
          <w:rFonts w:ascii="Garamond" w:hAnsi="Garamond"/>
          <w:sz w:val="24"/>
          <w:szCs w:val="24"/>
        </w:rPr>
        <w:t xml:space="preserve"> in shareholder value analysis, </w:t>
      </w:r>
      <w:r w:rsidR="00A516FB">
        <w:rPr>
          <w:rFonts w:ascii="Garamond" w:hAnsi="Garamond"/>
          <w:sz w:val="24"/>
          <w:szCs w:val="24"/>
        </w:rPr>
        <w:t xml:space="preserve">a </w:t>
      </w:r>
      <w:r w:rsidRPr="00055865">
        <w:rPr>
          <w:rFonts w:ascii="Garamond" w:hAnsi="Garamond"/>
          <w:sz w:val="24"/>
          <w:szCs w:val="24"/>
        </w:rPr>
        <w:t>market-based measure of financial performance, specifically Tobin’s q</w:t>
      </w:r>
      <w:r w:rsidR="00A516FB">
        <w:rPr>
          <w:rFonts w:ascii="Garamond" w:hAnsi="Garamond"/>
          <w:sz w:val="24"/>
          <w:szCs w:val="24"/>
        </w:rPr>
        <w:t>, i</w:t>
      </w:r>
      <w:r w:rsidRPr="00055865">
        <w:rPr>
          <w:rFonts w:ascii="Garamond" w:hAnsi="Garamond"/>
          <w:sz w:val="24"/>
          <w:szCs w:val="24"/>
        </w:rPr>
        <w:t xml:space="preserve">s </w:t>
      </w:r>
      <w:r w:rsidR="00325EF5" w:rsidRPr="00055865">
        <w:rPr>
          <w:rFonts w:ascii="Garamond" w:hAnsi="Garamond"/>
          <w:sz w:val="24"/>
          <w:szCs w:val="24"/>
        </w:rPr>
        <w:t xml:space="preserve">employed </w:t>
      </w:r>
      <w:r w:rsidR="00A516FB">
        <w:rPr>
          <w:rFonts w:ascii="Garamond" w:hAnsi="Garamond"/>
          <w:sz w:val="24"/>
          <w:szCs w:val="24"/>
        </w:rPr>
        <w:t xml:space="preserve">in the present study </w:t>
      </w:r>
      <w:r w:rsidR="00325EF5" w:rsidRPr="00055865">
        <w:rPr>
          <w:rFonts w:ascii="Garamond" w:hAnsi="Garamond"/>
          <w:sz w:val="24"/>
          <w:szCs w:val="24"/>
        </w:rPr>
        <w:t>as</w:t>
      </w:r>
      <w:r w:rsidRPr="00055865">
        <w:rPr>
          <w:rFonts w:ascii="Garamond" w:hAnsi="Garamond"/>
          <w:sz w:val="24"/>
          <w:szCs w:val="24"/>
        </w:rPr>
        <w:t xml:space="preserve"> a robustness test of the main dependent variable (ROA). </w:t>
      </w:r>
      <w:r w:rsidR="00080724">
        <w:rPr>
          <w:rFonts w:ascii="Garamond" w:hAnsi="Garamond"/>
          <w:noProof/>
          <w:sz w:val="24"/>
          <w:szCs w:val="24"/>
        </w:rPr>
        <w:t xml:space="preserve"> T</w:t>
      </w:r>
      <w:r w:rsidRPr="00055865">
        <w:rPr>
          <w:rFonts w:ascii="Garamond" w:hAnsi="Garamond"/>
          <w:noProof/>
          <w:sz w:val="24"/>
          <w:szCs w:val="24"/>
        </w:rPr>
        <w:t>he</w:t>
      </w:r>
      <w:r w:rsidRPr="00055865">
        <w:rPr>
          <w:rFonts w:ascii="Garamond" w:hAnsi="Garamond"/>
          <w:sz w:val="24"/>
          <w:szCs w:val="24"/>
        </w:rPr>
        <w:t xml:space="preserve"> market-based measure (Tobin’s q) </w:t>
      </w:r>
      <w:r w:rsidR="00080724">
        <w:rPr>
          <w:rFonts w:ascii="Garamond" w:hAnsi="Garamond"/>
          <w:sz w:val="24"/>
          <w:szCs w:val="24"/>
        </w:rPr>
        <w:t>has the benefit of providing</w:t>
      </w:r>
      <w:r w:rsidRPr="00055865">
        <w:rPr>
          <w:rFonts w:ascii="Garamond" w:hAnsi="Garamond"/>
          <w:sz w:val="24"/>
          <w:szCs w:val="24"/>
        </w:rPr>
        <w:t xml:space="preserve"> additional information relating to the risk faced by shareholders</w:t>
      </w:r>
      <w:r w:rsidR="005B6FD7">
        <w:rPr>
          <w:rFonts w:ascii="Garamond" w:hAnsi="Garamond"/>
          <w:sz w:val="24"/>
          <w:szCs w:val="24"/>
        </w:rPr>
        <w:t>. As a result,</w:t>
      </w:r>
      <w:r w:rsidR="00080724">
        <w:rPr>
          <w:rFonts w:ascii="Garamond" w:hAnsi="Garamond"/>
          <w:sz w:val="24"/>
          <w:szCs w:val="24"/>
        </w:rPr>
        <w:t xml:space="preserve"> </w:t>
      </w:r>
      <w:r w:rsidRPr="00055865">
        <w:rPr>
          <w:rFonts w:ascii="Garamond" w:hAnsi="Garamond"/>
          <w:sz w:val="24"/>
          <w:szCs w:val="24"/>
        </w:rPr>
        <w:t xml:space="preserve">it has also been employed by </w:t>
      </w:r>
      <w:r w:rsidR="005B6FD7">
        <w:rPr>
          <w:rFonts w:ascii="Garamond" w:hAnsi="Garamond"/>
          <w:sz w:val="24"/>
          <w:szCs w:val="24"/>
        </w:rPr>
        <w:t>many</w:t>
      </w:r>
      <w:r w:rsidR="00080724">
        <w:rPr>
          <w:rFonts w:ascii="Garamond" w:hAnsi="Garamond"/>
          <w:sz w:val="24"/>
          <w:szCs w:val="24"/>
        </w:rPr>
        <w:t xml:space="preserve"> </w:t>
      </w:r>
      <w:r w:rsidRPr="00055865">
        <w:rPr>
          <w:rFonts w:ascii="Garamond" w:hAnsi="Garamond"/>
          <w:sz w:val="24"/>
          <w:szCs w:val="24"/>
        </w:rPr>
        <w:t xml:space="preserve">existing studies on sustainable environmental policies and financial performance relationships  </w:t>
      </w:r>
      <w:r w:rsidR="00510B88" w:rsidRPr="00055865">
        <w:rPr>
          <w:rFonts w:ascii="Garamond" w:hAnsi="Garamond"/>
          <w:sz w:val="24"/>
          <w:szCs w:val="24"/>
        </w:rPr>
        <w:t xml:space="preserve"> </w:t>
      </w:r>
      <w:r w:rsidR="00510B88" w:rsidRPr="00055865">
        <w:rPr>
          <w:rFonts w:ascii="Garamond" w:hAnsi="Garamond"/>
          <w:sz w:val="24"/>
          <w:szCs w:val="24"/>
        </w:rPr>
        <w:fldChar w:fldCharType="begin" w:fldLock="1"/>
      </w:r>
      <w:r w:rsidR="00510B88" w:rsidRPr="00055865">
        <w:rPr>
          <w:rFonts w:ascii="Garamond" w:hAnsi="Garamond"/>
          <w:sz w:val="24"/>
          <w:szCs w:val="24"/>
        </w:rPr>
        <w:instrText>ADDIN CSL_CITATION {"citationItems":[{"id":"ITEM-1","itemData":{"DOI":"10.1002/bse.1900","ISSN":"10990836","abstract":"Despite 40 years of research on the relationship between corporate environmental performance (CEP) and corporate financial performance (CFP), there is no generally accepted theoretical framework that explains the contradictory results that have emerged. This unsatisfactory status may be attributed to the fact that linear models dominate the research. Based on an international sample of 2361 firm</w:instrText>
      </w:r>
      <w:r w:rsidR="00510B88" w:rsidRPr="00055865">
        <w:rPr>
          <w:rFonts w:ascii="Times New Roman" w:hAnsi="Times New Roman" w:cs="Times New Roman"/>
          <w:sz w:val="24"/>
          <w:szCs w:val="24"/>
        </w:rPr>
        <w:instrText>‐</w:instrText>
      </w:r>
      <w:r w:rsidR="00510B88" w:rsidRPr="00055865">
        <w:rPr>
          <w:rFonts w:ascii="Garamond" w:hAnsi="Garamond"/>
          <w:sz w:val="24"/>
          <w:szCs w:val="24"/>
        </w:rPr>
        <w:instrText>years from 2008 to 2012, we find empirical evidence of a non</w:instrText>
      </w:r>
      <w:r w:rsidR="00510B88" w:rsidRPr="00055865">
        <w:rPr>
          <w:rFonts w:ascii="Times New Roman" w:hAnsi="Times New Roman" w:cs="Times New Roman"/>
          <w:sz w:val="24"/>
          <w:szCs w:val="24"/>
        </w:rPr>
        <w:instrText>‐</w:instrText>
      </w:r>
      <w:r w:rsidR="00510B88" w:rsidRPr="00055865">
        <w:rPr>
          <w:rFonts w:ascii="Garamond" w:hAnsi="Garamond"/>
          <w:sz w:val="24"/>
          <w:szCs w:val="24"/>
        </w:rPr>
        <w:instrText>linear, specifically a U</w:instrText>
      </w:r>
      <w:r w:rsidR="00510B88" w:rsidRPr="00055865">
        <w:rPr>
          <w:rFonts w:ascii="Times New Roman" w:hAnsi="Times New Roman" w:cs="Times New Roman"/>
          <w:sz w:val="24"/>
          <w:szCs w:val="24"/>
        </w:rPr>
        <w:instrText>‐</w:instrText>
      </w:r>
      <w:r w:rsidR="00510B88" w:rsidRPr="00055865">
        <w:rPr>
          <w:rFonts w:ascii="Garamond" w:hAnsi="Garamond"/>
          <w:sz w:val="24"/>
          <w:szCs w:val="24"/>
        </w:rPr>
        <w:instrText>shaped, relationship between carbon performance and profitability as well as between waste intensity and profitability. The same result holds for the relationship between carbon performance and stock market performance, but solely for manufacturing industries. Our empirical findings provide evidence for the theoretical framework of a ‘too</w:instrText>
      </w:r>
      <w:r w:rsidR="00510B88" w:rsidRPr="00055865">
        <w:rPr>
          <w:rFonts w:ascii="Times New Roman" w:hAnsi="Times New Roman" w:cs="Times New Roman"/>
          <w:sz w:val="24"/>
          <w:szCs w:val="24"/>
        </w:rPr>
        <w:instrText>‐</w:instrText>
      </w:r>
      <w:r w:rsidR="00510B88" w:rsidRPr="00055865">
        <w:rPr>
          <w:rFonts w:ascii="Garamond" w:hAnsi="Garamond"/>
          <w:sz w:val="24"/>
          <w:szCs w:val="24"/>
        </w:rPr>
        <w:instrText>little</w:instrText>
      </w:r>
      <w:r w:rsidR="00510B88" w:rsidRPr="00055865">
        <w:rPr>
          <w:rFonts w:ascii="Times New Roman" w:hAnsi="Times New Roman" w:cs="Times New Roman"/>
          <w:sz w:val="24"/>
          <w:szCs w:val="24"/>
        </w:rPr>
        <w:instrText>‐</w:instrText>
      </w:r>
      <w:r w:rsidR="00510B88" w:rsidRPr="00055865">
        <w:rPr>
          <w:rFonts w:ascii="Garamond" w:hAnsi="Garamond"/>
          <w:sz w:val="24"/>
          <w:szCs w:val="24"/>
        </w:rPr>
        <w:instrText>of</w:instrText>
      </w:r>
      <w:r w:rsidR="00510B88" w:rsidRPr="00055865">
        <w:rPr>
          <w:rFonts w:ascii="Times New Roman" w:hAnsi="Times New Roman" w:cs="Times New Roman"/>
          <w:sz w:val="24"/>
          <w:szCs w:val="24"/>
        </w:rPr>
        <w:instrText>‐</w:instrText>
      </w:r>
      <w:r w:rsidR="00510B88" w:rsidRPr="00055865">
        <w:rPr>
          <w:rFonts w:ascii="Garamond" w:hAnsi="Garamond"/>
          <w:sz w:val="24"/>
          <w:szCs w:val="24"/>
        </w:rPr>
        <w:instrText>a</w:instrText>
      </w:r>
      <w:r w:rsidR="00510B88" w:rsidRPr="00055865">
        <w:rPr>
          <w:rFonts w:ascii="Times New Roman" w:hAnsi="Times New Roman" w:cs="Times New Roman"/>
          <w:sz w:val="24"/>
          <w:szCs w:val="24"/>
        </w:rPr>
        <w:instrText>‐</w:instrText>
      </w:r>
      <w:r w:rsidR="00510B88" w:rsidRPr="00055865">
        <w:rPr>
          <w:rFonts w:ascii="Garamond" w:hAnsi="Garamond"/>
          <w:sz w:val="24"/>
          <w:szCs w:val="24"/>
        </w:rPr>
        <w:instrText>good</w:instrText>
      </w:r>
      <w:r w:rsidR="00510B88" w:rsidRPr="00055865">
        <w:rPr>
          <w:rFonts w:ascii="Times New Roman" w:hAnsi="Times New Roman" w:cs="Times New Roman"/>
          <w:sz w:val="24"/>
          <w:szCs w:val="24"/>
        </w:rPr>
        <w:instrText>‐</w:instrText>
      </w:r>
      <w:r w:rsidR="00510B88" w:rsidRPr="00055865">
        <w:rPr>
          <w:rFonts w:ascii="Garamond" w:hAnsi="Garamond"/>
          <w:sz w:val="24"/>
          <w:szCs w:val="24"/>
        </w:rPr>
        <w:instrText>thing</w:instrText>
      </w:r>
      <w:r w:rsidR="00510B88" w:rsidRPr="00055865">
        <w:rPr>
          <w:rFonts w:ascii="Garamond" w:hAnsi="Garamond" w:cs="Garamond"/>
          <w:sz w:val="24"/>
          <w:szCs w:val="24"/>
        </w:rPr>
        <w:instrText>’</w:instrText>
      </w:r>
      <w:r w:rsidR="00510B88" w:rsidRPr="00055865">
        <w:rPr>
          <w:rFonts w:ascii="Garamond" w:hAnsi="Garamond"/>
          <w:sz w:val="24"/>
          <w:szCs w:val="24"/>
        </w:rPr>
        <w:instrText xml:space="preserve"> (TLGT) effect, which indicates that the type of relationship (positive, negative) depends on the level of CEP. More precisely, there is a negative CEP–CFP relationship for companies with low CEP and a positive association for high CEP. Copyright © 2015 John Wiley &amp; Sons, Ltd and ERP Environment (PsycINFO Database Record (c) 2015 APA, all rights reserved). (journal abstract)","author":[{"dropping-particle":"","family":"Trumpp","given":"Christoph","non-dropping-particle":"","parse-names":false,"suffix":""},{"dropping-particle":"","family":"Guenther","given":"Thomas","non-dropping-particle":"","parse-names":false,"suffix":""}],"container-title":"Business Strategy and the Environment","id":"ITEM-1","issue":"1","issued":{"date-parts":[["2017"]]},"page":"49-68","title":"Too Little or too much? Exploring U-shaped Relationships between Corporate Environmental Performance and Corporate Financial Performance","type":"article-journal","volume":"26"},"uris":["http://www.mendeley.com/documents/?uuid=3dd93099-98aa-4420-a4ff-be056f9071bb"]}],"mendeley":{"formattedCitation":"(Trumpp &amp; Guenther, 2017)","manualFormatting":"(e.g. Trumpp &amp; Guenther, 2017)","plainTextFormattedCitation":"(Trumpp &amp; Guenther, 2017)","previouslyFormattedCitation":"(Trumpp &amp; Guenther, 2017)"},"properties":{"noteIndex":0},"schema":"https://github.com/citation-style-language/schema/raw/master/csl-citation.json"}</w:instrText>
      </w:r>
      <w:r w:rsidR="00510B88" w:rsidRPr="00055865">
        <w:rPr>
          <w:rFonts w:ascii="Garamond" w:hAnsi="Garamond"/>
          <w:sz w:val="24"/>
          <w:szCs w:val="24"/>
        </w:rPr>
        <w:fldChar w:fldCharType="separate"/>
      </w:r>
      <w:r w:rsidR="00510B88" w:rsidRPr="00055865">
        <w:rPr>
          <w:rFonts w:ascii="Garamond" w:hAnsi="Garamond"/>
          <w:noProof/>
          <w:sz w:val="24"/>
          <w:szCs w:val="24"/>
        </w:rPr>
        <w:t>(e.g. Trumpp &amp; Guenther, 2017)</w:t>
      </w:r>
      <w:r w:rsidR="00510B88" w:rsidRPr="00055865">
        <w:rPr>
          <w:rFonts w:ascii="Garamond" w:hAnsi="Garamond"/>
          <w:sz w:val="24"/>
          <w:szCs w:val="24"/>
        </w:rPr>
        <w:fldChar w:fldCharType="end"/>
      </w:r>
      <w:r w:rsidR="00080724">
        <w:rPr>
          <w:rFonts w:ascii="Garamond" w:hAnsi="Garamond"/>
          <w:sz w:val="24"/>
          <w:szCs w:val="24"/>
        </w:rPr>
        <w:t>.</w:t>
      </w:r>
    </w:p>
    <w:p w14:paraId="394F3450" w14:textId="77777777" w:rsidR="00C3429E" w:rsidRPr="00055865" w:rsidRDefault="00C3429E" w:rsidP="005B6FD7">
      <w:pPr>
        <w:spacing w:after="0" w:line="480" w:lineRule="auto"/>
        <w:contextualSpacing/>
        <w:jc w:val="both"/>
        <w:rPr>
          <w:rFonts w:ascii="Garamond" w:hAnsi="Garamond"/>
          <w:sz w:val="24"/>
          <w:szCs w:val="24"/>
        </w:rPr>
      </w:pPr>
    </w:p>
    <w:p w14:paraId="2E96BB81" w14:textId="3EB0284D" w:rsidR="00C3429E" w:rsidRPr="00055865" w:rsidRDefault="009E5C24" w:rsidP="005B6FD7">
      <w:pPr>
        <w:spacing w:after="0" w:line="480" w:lineRule="auto"/>
        <w:contextualSpacing/>
        <w:jc w:val="both"/>
        <w:rPr>
          <w:rFonts w:ascii="Garamond" w:hAnsi="Garamond"/>
          <w:b/>
          <w:i/>
          <w:sz w:val="24"/>
          <w:szCs w:val="24"/>
        </w:rPr>
      </w:pPr>
      <w:r>
        <w:rPr>
          <w:rFonts w:ascii="Garamond" w:hAnsi="Garamond"/>
          <w:b/>
          <w:i/>
          <w:sz w:val="24"/>
          <w:szCs w:val="24"/>
        </w:rPr>
        <w:t>3</w:t>
      </w:r>
      <w:r w:rsidR="00C3429E" w:rsidRPr="00055865">
        <w:rPr>
          <w:rFonts w:ascii="Garamond" w:hAnsi="Garamond"/>
          <w:b/>
          <w:i/>
          <w:sz w:val="24"/>
          <w:szCs w:val="24"/>
        </w:rPr>
        <w:t>.</w:t>
      </w:r>
      <w:r w:rsidR="006040ED" w:rsidRPr="00055865">
        <w:rPr>
          <w:rFonts w:ascii="Garamond" w:hAnsi="Garamond"/>
          <w:b/>
          <w:i/>
          <w:sz w:val="24"/>
          <w:szCs w:val="24"/>
        </w:rPr>
        <w:t>3</w:t>
      </w:r>
      <w:r w:rsidR="00C3429E" w:rsidRPr="00055865">
        <w:rPr>
          <w:rFonts w:ascii="Garamond" w:hAnsi="Garamond"/>
          <w:b/>
          <w:i/>
          <w:sz w:val="24"/>
          <w:szCs w:val="24"/>
        </w:rPr>
        <w:t>.2 Independent Variables (Sustainable Environmental Policies)</w:t>
      </w:r>
    </w:p>
    <w:p w14:paraId="42D41428" w14:textId="536D1524" w:rsidR="00BE5FA0" w:rsidRPr="00A049D5" w:rsidRDefault="00C3429E" w:rsidP="005B6FD7">
      <w:pPr>
        <w:tabs>
          <w:tab w:val="left" w:pos="2550"/>
        </w:tabs>
        <w:spacing w:after="0" w:line="480" w:lineRule="auto"/>
        <w:contextualSpacing/>
        <w:jc w:val="both"/>
        <w:rPr>
          <w:rFonts w:ascii="Garamond" w:hAnsi="Garamond"/>
          <w:sz w:val="24"/>
          <w:szCs w:val="24"/>
        </w:rPr>
      </w:pPr>
      <w:r w:rsidRPr="00055865">
        <w:rPr>
          <w:rFonts w:ascii="Garamond" w:hAnsi="Garamond"/>
          <w:sz w:val="24"/>
          <w:szCs w:val="24"/>
          <w:lang w:val="en-US"/>
        </w:rPr>
        <w:lastRenderedPageBreak/>
        <w:t xml:space="preserve">       </w:t>
      </w:r>
      <w:r w:rsidR="002A6417" w:rsidRPr="00055865">
        <w:rPr>
          <w:rFonts w:ascii="Garamond" w:hAnsi="Garamond"/>
          <w:sz w:val="24"/>
          <w:szCs w:val="24"/>
          <w:lang w:val="en-US"/>
        </w:rPr>
        <w:t xml:space="preserve"> </w:t>
      </w:r>
      <w:r w:rsidRPr="00055865">
        <w:rPr>
          <w:rFonts w:ascii="Garamond" w:hAnsi="Garamond"/>
          <w:sz w:val="24"/>
          <w:szCs w:val="24"/>
          <w:lang w:val="en-US"/>
        </w:rPr>
        <w:t xml:space="preserve">   It is opined that a well-defined sustainable environmental policy </w:t>
      </w:r>
      <w:r w:rsidRPr="00055865">
        <w:rPr>
          <w:rFonts w:ascii="Garamond" w:hAnsi="Garamond"/>
          <w:noProof/>
          <w:sz w:val="24"/>
          <w:szCs w:val="24"/>
          <w:lang w:val="en-US"/>
        </w:rPr>
        <w:t>help</w:t>
      </w:r>
      <w:r w:rsidR="00F2354B">
        <w:rPr>
          <w:rFonts w:ascii="Garamond" w:hAnsi="Garamond"/>
          <w:noProof/>
          <w:sz w:val="24"/>
          <w:szCs w:val="24"/>
          <w:lang w:val="en-US"/>
        </w:rPr>
        <w:t>s</w:t>
      </w:r>
      <w:r w:rsidRPr="00055865">
        <w:rPr>
          <w:rFonts w:ascii="Garamond" w:hAnsi="Garamond"/>
          <w:sz w:val="24"/>
          <w:szCs w:val="24"/>
          <w:lang w:val="en-US"/>
        </w:rPr>
        <w:t xml:space="preserve"> business</w:t>
      </w:r>
      <w:r w:rsidR="00F2354B">
        <w:rPr>
          <w:rFonts w:ascii="Garamond" w:hAnsi="Garamond"/>
          <w:sz w:val="24"/>
          <w:szCs w:val="24"/>
          <w:lang w:val="en-US"/>
        </w:rPr>
        <w:t>es</w:t>
      </w:r>
      <w:r w:rsidRPr="00055865">
        <w:rPr>
          <w:rFonts w:ascii="Garamond" w:hAnsi="Garamond"/>
          <w:sz w:val="24"/>
          <w:szCs w:val="24"/>
          <w:lang w:val="en-US"/>
        </w:rPr>
        <w:t xml:space="preserve"> to implement strategies by linking the various levels of the </w:t>
      </w:r>
      <w:r w:rsidRPr="00055865">
        <w:rPr>
          <w:rFonts w:ascii="Garamond" w:hAnsi="Garamond"/>
          <w:noProof/>
          <w:sz w:val="24"/>
          <w:szCs w:val="24"/>
          <w:lang w:val="en-US"/>
        </w:rPr>
        <w:t>organisation</w:t>
      </w:r>
      <w:r w:rsidR="00F2354B">
        <w:rPr>
          <w:rFonts w:ascii="Garamond" w:hAnsi="Garamond"/>
          <w:sz w:val="24"/>
          <w:szCs w:val="24"/>
          <w:lang w:val="en-US"/>
        </w:rPr>
        <w:t>’s business to</w:t>
      </w:r>
      <w:r w:rsidRPr="00055865">
        <w:rPr>
          <w:rFonts w:ascii="Garamond" w:hAnsi="Garamond"/>
          <w:sz w:val="24"/>
          <w:szCs w:val="24"/>
          <w:lang w:val="en-US"/>
        </w:rPr>
        <w:t xml:space="preserve"> clearly defined targets and benchmarks. </w:t>
      </w:r>
      <w:r w:rsidRPr="00055865">
        <w:rPr>
          <w:rFonts w:ascii="Garamond" w:hAnsi="Garamond"/>
          <w:sz w:val="24"/>
          <w:szCs w:val="24"/>
        </w:rPr>
        <w:t>Based on DEFRA (2013) guidelines, sustainable environmental policies (independent variables) used in the study are Energy, Waste Management, Pollution Control (GHG), Material and Resource Efficiency, Compliance</w:t>
      </w:r>
      <w:r w:rsidR="00F2354B">
        <w:rPr>
          <w:rFonts w:ascii="Garamond" w:hAnsi="Garamond"/>
          <w:sz w:val="24"/>
          <w:szCs w:val="24"/>
        </w:rPr>
        <w:t>,</w:t>
      </w:r>
      <w:r w:rsidRPr="00055865">
        <w:rPr>
          <w:rFonts w:ascii="Garamond" w:hAnsi="Garamond"/>
          <w:sz w:val="24"/>
          <w:szCs w:val="24"/>
        </w:rPr>
        <w:t xml:space="preserve"> and Stakeholder Engagement.  Content analysis was adopted to obtain sustainable environmental </w:t>
      </w:r>
      <w:r w:rsidR="00DB6768" w:rsidRPr="00055865">
        <w:rPr>
          <w:rFonts w:ascii="Garamond" w:hAnsi="Garamond"/>
          <w:sz w:val="24"/>
          <w:szCs w:val="24"/>
        </w:rPr>
        <w:t>practices</w:t>
      </w:r>
      <w:r w:rsidRPr="00055865">
        <w:rPr>
          <w:rFonts w:ascii="Garamond" w:hAnsi="Garamond"/>
          <w:sz w:val="24"/>
          <w:szCs w:val="24"/>
        </w:rPr>
        <w:t xml:space="preserve"> from company annual reports. </w:t>
      </w:r>
      <w:r w:rsidR="00DB6768" w:rsidRPr="00055865">
        <w:rPr>
          <w:rFonts w:ascii="Garamond" w:hAnsi="Garamond"/>
          <w:sz w:val="24"/>
          <w:szCs w:val="24"/>
        </w:rPr>
        <w:t>The d</w:t>
      </w:r>
      <w:r w:rsidRPr="00055865">
        <w:rPr>
          <w:rFonts w:ascii="Garamond" w:hAnsi="Garamond"/>
          <w:sz w:val="24"/>
          <w:szCs w:val="24"/>
        </w:rPr>
        <w:t xml:space="preserve">etailed construction of </w:t>
      </w:r>
      <w:r w:rsidR="00DB6768" w:rsidRPr="00055865">
        <w:rPr>
          <w:rFonts w:ascii="Garamond" w:hAnsi="Garamond"/>
          <w:sz w:val="24"/>
          <w:szCs w:val="24"/>
        </w:rPr>
        <w:t>the</w:t>
      </w:r>
      <w:r w:rsidRPr="00055865">
        <w:rPr>
          <w:rFonts w:ascii="Garamond" w:hAnsi="Garamond"/>
          <w:sz w:val="24"/>
          <w:szCs w:val="24"/>
        </w:rPr>
        <w:t xml:space="preserve"> independent variable</w:t>
      </w:r>
      <w:r w:rsidR="00F2354B">
        <w:rPr>
          <w:rFonts w:ascii="Garamond" w:hAnsi="Garamond"/>
          <w:sz w:val="24"/>
          <w:szCs w:val="24"/>
        </w:rPr>
        <w:t>s</w:t>
      </w:r>
      <w:r w:rsidRPr="00055865">
        <w:rPr>
          <w:rFonts w:ascii="Garamond" w:hAnsi="Garamond"/>
          <w:sz w:val="24"/>
          <w:szCs w:val="24"/>
        </w:rPr>
        <w:t xml:space="preserve"> using content analysis </w:t>
      </w:r>
      <w:r w:rsidR="00DB6768" w:rsidRPr="00055865">
        <w:rPr>
          <w:rFonts w:ascii="Garamond" w:hAnsi="Garamond"/>
          <w:sz w:val="24"/>
          <w:szCs w:val="24"/>
        </w:rPr>
        <w:t>is shown</w:t>
      </w:r>
      <w:r w:rsidR="00A049D5">
        <w:rPr>
          <w:rFonts w:ascii="Garamond" w:hAnsi="Garamond"/>
          <w:sz w:val="24"/>
          <w:szCs w:val="24"/>
        </w:rPr>
        <w:t xml:space="preserve"> in appendix 1.</w:t>
      </w:r>
    </w:p>
    <w:p w14:paraId="19B6265F" w14:textId="2DC2910F" w:rsidR="00C3429E" w:rsidRPr="00055865" w:rsidRDefault="009E5C24" w:rsidP="005B6FD7">
      <w:pPr>
        <w:tabs>
          <w:tab w:val="left" w:pos="2550"/>
        </w:tabs>
        <w:spacing w:after="0" w:line="480" w:lineRule="auto"/>
        <w:contextualSpacing/>
        <w:jc w:val="both"/>
        <w:rPr>
          <w:rFonts w:ascii="Garamond" w:hAnsi="Garamond"/>
          <w:b/>
          <w:i/>
          <w:sz w:val="24"/>
          <w:szCs w:val="24"/>
        </w:rPr>
      </w:pPr>
      <w:r>
        <w:rPr>
          <w:rFonts w:ascii="Garamond" w:hAnsi="Garamond"/>
          <w:b/>
          <w:i/>
          <w:sz w:val="24"/>
          <w:szCs w:val="24"/>
        </w:rPr>
        <w:t>3</w:t>
      </w:r>
      <w:r w:rsidR="006040ED" w:rsidRPr="00055865">
        <w:rPr>
          <w:rFonts w:ascii="Garamond" w:hAnsi="Garamond"/>
          <w:b/>
          <w:i/>
          <w:sz w:val="24"/>
          <w:szCs w:val="24"/>
        </w:rPr>
        <w:t>.3</w:t>
      </w:r>
      <w:r w:rsidR="00C3429E" w:rsidRPr="00055865">
        <w:rPr>
          <w:rFonts w:ascii="Garamond" w:hAnsi="Garamond"/>
          <w:b/>
          <w:i/>
          <w:sz w:val="24"/>
          <w:szCs w:val="24"/>
        </w:rPr>
        <w:t>.3 The Control Variables</w:t>
      </w:r>
    </w:p>
    <w:p w14:paraId="7BEADBBB" w14:textId="0E5F0349" w:rsidR="00C3429E" w:rsidRPr="00055865" w:rsidRDefault="00C3429E" w:rsidP="005B6FD7">
      <w:pPr>
        <w:tabs>
          <w:tab w:val="left" w:pos="2550"/>
        </w:tabs>
        <w:spacing w:after="0" w:line="480" w:lineRule="auto"/>
        <w:contextualSpacing/>
        <w:jc w:val="both"/>
        <w:rPr>
          <w:rFonts w:ascii="Garamond" w:hAnsi="Garamond"/>
          <w:sz w:val="24"/>
          <w:szCs w:val="24"/>
        </w:rPr>
      </w:pPr>
      <w:r w:rsidRPr="00055865">
        <w:rPr>
          <w:rFonts w:ascii="Garamond" w:hAnsi="Garamond"/>
          <w:sz w:val="24"/>
          <w:szCs w:val="24"/>
        </w:rPr>
        <w:t xml:space="preserve">         The control variables that have been selected for the study consist of both company-specific factors and corporate governance variables. </w:t>
      </w:r>
      <w:r w:rsidRPr="00055865">
        <w:rPr>
          <w:rFonts w:ascii="Garamond" w:hAnsi="Garamond"/>
          <w:noProof/>
          <w:sz w:val="24"/>
          <w:szCs w:val="24"/>
        </w:rPr>
        <w:t>First,</w:t>
      </w:r>
      <w:r w:rsidRPr="00055865">
        <w:rPr>
          <w:rFonts w:ascii="Garamond" w:hAnsi="Garamond"/>
          <w:sz w:val="24"/>
          <w:szCs w:val="24"/>
        </w:rPr>
        <w:t xml:space="preserve"> we control firm size due to the </w:t>
      </w:r>
      <w:r w:rsidRPr="00055865">
        <w:rPr>
          <w:rFonts w:ascii="Garamond" w:hAnsi="Garamond"/>
          <w:noProof/>
          <w:sz w:val="24"/>
          <w:szCs w:val="24"/>
        </w:rPr>
        <w:t>possible</w:t>
      </w:r>
      <w:r w:rsidRPr="00055865">
        <w:rPr>
          <w:rFonts w:ascii="Garamond" w:hAnsi="Garamond"/>
          <w:sz w:val="24"/>
          <w:szCs w:val="24"/>
        </w:rPr>
        <w:t xml:space="preserve"> existence of economies of scale inherent in socially and environmentally oriented investment</w:t>
      </w:r>
      <w:r w:rsidR="00510B88" w:rsidRPr="00055865">
        <w:rPr>
          <w:rFonts w:ascii="Garamond" w:hAnsi="Garamond"/>
          <w:sz w:val="24"/>
          <w:szCs w:val="24"/>
        </w:rPr>
        <w:t xml:space="preserve"> </w:t>
      </w:r>
      <w:r w:rsidR="00510B88" w:rsidRPr="00055865">
        <w:rPr>
          <w:rFonts w:ascii="Garamond" w:hAnsi="Garamond"/>
          <w:sz w:val="24"/>
          <w:szCs w:val="24"/>
        </w:rPr>
        <w:fldChar w:fldCharType="begin" w:fldLock="1"/>
      </w:r>
      <w:r w:rsidR="00510B88" w:rsidRPr="00055865">
        <w:rPr>
          <w:rFonts w:ascii="Garamond" w:hAnsi="Garamond"/>
          <w:sz w:val="24"/>
          <w:szCs w:val="24"/>
        </w:rPr>
        <w:instrText>ADDIN CSL_CITATION {"citationItems":[{"id":"ITEM-1","itemData":{"DOI":"10.1002/bse.608","ISBN":"1099-0836","ISSN":"09644733","abstract":"Existing literature has provided inconclusive evidence regarding the impact of financial performance on firm policy relating to environmental issues. In this paper, we propose that the influence of corporate financial performance on corporate environmental policy is unlikely to be monotonic but, rather, will vary with firm life cycle. We test this hypothesis by the application of static and dynamic techniques on panel data from UK companies. The results provide support for our hypotheses that financial performance has the strongest impact on environmental policy in the maturity stage of the firm life cycle and the weakest impact in the rapid growth stage. Copyright © 2007 John Wiley &amp; Sons, Ltd and ERP Environment.","author":[{"dropping-particle":"","family":"Elsayed","given":"Khaled","non-dropping-particle":"","parse-names":false,"suffix":""},{"dropping-particle":"","family":"Paton","given":"David","non-dropping-particle":"","parse-names":false,"suffix":""}],"container-title":"Business Strategy and the Environment","id":"ITEM-1","issue":"6","issued":{"date-parts":[["2009"]]},"page":"397-413","title":"The impact of financial performance on environmental policy: Does firm life cycle matter?","type":"article-journal","volume":"18"},"uris":["http://www.mendeley.com/documents/?uuid=828f86b5-1d85-44fc-b815-8fb3957de47f"]}],"mendeley":{"formattedCitation":"(Elsayed &amp; Paton, 2009)","plainTextFormattedCitation":"(Elsayed &amp; Paton, 2009)","previouslyFormattedCitation":"(Elsayed &amp; Paton, 2009)"},"properties":{"noteIndex":0},"schema":"https://github.com/citation-style-language/schema/raw/master/csl-citation.json"}</w:instrText>
      </w:r>
      <w:r w:rsidR="00510B88" w:rsidRPr="00055865">
        <w:rPr>
          <w:rFonts w:ascii="Garamond" w:hAnsi="Garamond"/>
          <w:sz w:val="24"/>
          <w:szCs w:val="24"/>
        </w:rPr>
        <w:fldChar w:fldCharType="separate"/>
      </w:r>
      <w:r w:rsidR="00510B88" w:rsidRPr="00055865">
        <w:rPr>
          <w:rFonts w:ascii="Garamond" w:hAnsi="Garamond"/>
          <w:noProof/>
          <w:sz w:val="24"/>
          <w:szCs w:val="24"/>
        </w:rPr>
        <w:t>(Elsayed &amp; Paton, 2009)</w:t>
      </w:r>
      <w:r w:rsidR="00510B88" w:rsidRPr="00055865">
        <w:rPr>
          <w:rFonts w:ascii="Garamond" w:hAnsi="Garamond"/>
          <w:sz w:val="24"/>
          <w:szCs w:val="24"/>
        </w:rPr>
        <w:fldChar w:fldCharType="end"/>
      </w:r>
      <w:r w:rsidR="00F2354B">
        <w:rPr>
          <w:rFonts w:ascii="Garamond" w:hAnsi="Garamond"/>
          <w:sz w:val="24"/>
          <w:szCs w:val="24"/>
        </w:rPr>
        <w:t>. Firm</w:t>
      </w:r>
      <w:r w:rsidRPr="00055865">
        <w:rPr>
          <w:rFonts w:ascii="Garamond" w:hAnsi="Garamond"/>
          <w:sz w:val="24"/>
          <w:szCs w:val="24"/>
        </w:rPr>
        <w:t xml:space="preserve"> size, which was based on the number of employees</w:t>
      </w:r>
      <w:r w:rsidR="00F2354B">
        <w:rPr>
          <w:rFonts w:ascii="Garamond" w:hAnsi="Garamond"/>
          <w:sz w:val="24"/>
          <w:szCs w:val="24"/>
        </w:rPr>
        <w:t>, was</w:t>
      </w:r>
      <w:r w:rsidRPr="00055865">
        <w:rPr>
          <w:rFonts w:ascii="Garamond" w:hAnsi="Garamond"/>
          <w:sz w:val="24"/>
          <w:szCs w:val="24"/>
        </w:rPr>
        <w:t xml:space="preserve"> selected f</w:t>
      </w:r>
      <w:r w:rsidR="00657B39">
        <w:rPr>
          <w:rFonts w:ascii="Garamond" w:hAnsi="Garamond"/>
          <w:sz w:val="24"/>
          <w:szCs w:val="24"/>
        </w:rPr>
        <w:t>rom Amadeus and Fame database. The s</w:t>
      </w:r>
      <w:r w:rsidRPr="00055865">
        <w:rPr>
          <w:rFonts w:ascii="Garamond" w:hAnsi="Garamond"/>
          <w:sz w:val="24"/>
          <w:szCs w:val="24"/>
        </w:rPr>
        <w:t>econd</w:t>
      </w:r>
      <w:r w:rsidR="00657B39">
        <w:rPr>
          <w:rFonts w:ascii="Garamond" w:hAnsi="Garamond"/>
          <w:sz w:val="24"/>
          <w:szCs w:val="24"/>
        </w:rPr>
        <w:t xml:space="preserve"> control variable is</w:t>
      </w:r>
      <w:r w:rsidRPr="00055865">
        <w:rPr>
          <w:rFonts w:ascii="Garamond" w:hAnsi="Garamond"/>
          <w:sz w:val="24"/>
          <w:szCs w:val="24"/>
        </w:rPr>
        <w:t xml:space="preserve"> </w:t>
      </w:r>
      <w:r w:rsidR="005B6FD7">
        <w:rPr>
          <w:rFonts w:ascii="Garamond" w:hAnsi="Garamond"/>
          <w:sz w:val="24"/>
          <w:szCs w:val="24"/>
        </w:rPr>
        <w:t xml:space="preserve">the nature of the </w:t>
      </w:r>
      <w:r w:rsidRPr="00055865">
        <w:rPr>
          <w:rFonts w:ascii="Garamond" w:hAnsi="Garamond"/>
          <w:sz w:val="24"/>
          <w:szCs w:val="24"/>
        </w:rPr>
        <w:t>industry</w:t>
      </w:r>
      <w:r w:rsidR="005B6FD7">
        <w:rPr>
          <w:rFonts w:ascii="Garamond" w:hAnsi="Garamond"/>
          <w:sz w:val="24"/>
          <w:szCs w:val="24"/>
        </w:rPr>
        <w:t>. The nature of the industry</w:t>
      </w:r>
      <w:r w:rsidRPr="00055865">
        <w:rPr>
          <w:rFonts w:ascii="Garamond" w:hAnsi="Garamond"/>
          <w:sz w:val="24"/>
          <w:szCs w:val="24"/>
        </w:rPr>
        <w:t xml:space="preserve"> impact</w:t>
      </w:r>
      <w:r w:rsidR="005B6FD7">
        <w:rPr>
          <w:rFonts w:ascii="Garamond" w:hAnsi="Garamond"/>
          <w:sz w:val="24"/>
          <w:szCs w:val="24"/>
        </w:rPr>
        <w:t>s</w:t>
      </w:r>
      <w:r w:rsidRPr="00055865">
        <w:rPr>
          <w:rFonts w:ascii="Garamond" w:hAnsi="Garamond"/>
          <w:sz w:val="24"/>
          <w:szCs w:val="24"/>
        </w:rPr>
        <w:t xml:space="preserve"> on profitability</w:t>
      </w:r>
      <w:r w:rsidR="005B6FD7">
        <w:rPr>
          <w:rFonts w:ascii="Garamond" w:hAnsi="Garamond"/>
          <w:sz w:val="24"/>
          <w:szCs w:val="24"/>
        </w:rPr>
        <w:t xml:space="preserve"> and therefore </w:t>
      </w:r>
      <w:r w:rsidRPr="00055865">
        <w:rPr>
          <w:rFonts w:ascii="Garamond" w:hAnsi="Garamond"/>
          <w:sz w:val="24"/>
          <w:szCs w:val="24"/>
        </w:rPr>
        <w:t>need</w:t>
      </w:r>
      <w:r w:rsidR="005B6FD7">
        <w:rPr>
          <w:rFonts w:ascii="Garamond" w:hAnsi="Garamond"/>
          <w:sz w:val="24"/>
          <w:szCs w:val="24"/>
        </w:rPr>
        <w:t>s</w:t>
      </w:r>
      <w:r w:rsidRPr="00055865">
        <w:rPr>
          <w:rFonts w:ascii="Garamond" w:hAnsi="Garamond"/>
          <w:sz w:val="24"/>
          <w:szCs w:val="24"/>
        </w:rPr>
        <w:t xml:space="preserve"> to be controlled</w:t>
      </w:r>
      <w:r w:rsidR="00510B88" w:rsidRPr="00055865">
        <w:rPr>
          <w:rFonts w:ascii="Garamond" w:hAnsi="Garamond"/>
          <w:sz w:val="24"/>
          <w:szCs w:val="24"/>
        </w:rPr>
        <w:t xml:space="preserve"> </w:t>
      </w:r>
      <w:r w:rsidR="00510B88" w:rsidRPr="00055865">
        <w:rPr>
          <w:rFonts w:ascii="Garamond" w:hAnsi="Garamond"/>
          <w:sz w:val="24"/>
          <w:szCs w:val="24"/>
        </w:rPr>
        <w:fldChar w:fldCharType="begin" w:fldLock="1"/>
      </w:r>
      <w:r w:rsidR="00217D30" w:rsidRPr="00055865">
        <w:rPr>
          <w:rFonts w:ascii="Garamond" w:hAnsi="Garamond"/>
          <w:sz w:val="24"/>
          <w:szCs w:val="24"/>
        </w:rPr>
        <w:instrText>ADDIN CSL_CITATION {"citationItems":[{"id":"ITEM-1","itemData":{"DOI":"10.1002/(SICI)1099-0836(199603)5:1&lt;30::AID-BSE38&gt;3.0.CO;2-Q","ISBN":"1099-0836","ISSN":"0964-4733","PMID":"492","abstract":"Evidence can be marshalled to support either the view that pollution abatement is a cost burden on firms and is detrimental to competitiveness, or that reducing emissions increases efficiency and saves money, giving firms a cost advantage. In an effort to resolve this seeming paradox, the relationship between emissions reduction and firm performance is examined empirically for a sample of S&amp;P 500 firms using data drawn from the Investor Responsibility Research Center</w:instrText>
      </w:r>
      <w:r w:rsidR="00217D30" w:rsidRPr="00055865">
        <w:rPr>
          <w:rFonts w:ascii="Times New Roman" w:hAnsi="Times New Roman" w:cs="Times New Roman"/>
          <w:sz w:val="24"/>
          <w:szCs w:val="24"/>
        </w:rPr>
        <w:instrText>ʼ</w:instrText>
      </w:r>
      <w:r w:rsidR="00217D30" w:rsidRPr="00055865">
        <w:rPr>
          <w:rFonts w:ascii="Garamond" w:hAnsi="Garamond"/>
          <w:sz w:val="24"/>
          <w:szCs w:val="24"/>
        </w:rPr>
        <w:instrText>s Corporate Environmental Profile and Compustat. The results indicate that efforts to prevent pollution and reduce emissions drop to the ‘bottom line’ within one to two years of initiation and that those firms with the highest emission levels stand the most to gain.","author":[{"dropping-particle":"","family":"Hart","given":"S. L","non-dropping-particle":"","parse-names":false,"suffix":""},{"dropping-particle":"","family":"Ahuja","given":"G.","non-dropping-particle":"","parse-names":false,"suffix":""}],"container-title":"Business strategy and the Environment","id":"ITEM-1","issue":"1","issued":{"date-parts":[["1996"]]},"page":"30-37","title":"Does it pay to be green? An empirical examination of the relationship between emission reduction and firm performance","type":"article-journal","volume":"5"},"uris":["http://www.mendeley.com/documents/?uuid=7b1fabc9-5922-4fa1-bb3c-1fc6e725657a"]},{"id":"ITEM-2","itemData":{"author":[{"dropping-particle":"","family":"Russo","given":"V. Michael","non-dropping-particle":"","parse-names":false,"suffix":""},{"dropping-particle":"","family":"Fouts","given":"A. Paul","non-dropping-particle":"","parse-names":false,"suffix":""}],"id":"ITEM-2","issue":"3","issued":{"date-parts":[["1997"]]},"page":"534-559","title":"A resource-based perspective on corporate environmental performance and profitability","type":"article-journal","volume":"40"},"uris":["http://www.mendeley.com/documents/?uuid=03dba0d7-f76d-4089-80fa-1161eb9b8c03"]},{"id":"ITEM-3","itemData":{"DOI":"10.1016/j.ecolecon.2012.10.001","ISSN":"09218009","author":[{"dropping-particle":"","family":"Horváthová","given":"Eva","non-dropping-particle":"","parse-names":false,"suffix":""}],"container-title":"Ecological Economics","id":"ITEM-3","issued":{"date-parts":[["2012"]]},"page":"91-97","publisher":"Elsevier B.V.","title":"The impact of environmental performance on firm performance: Short-term costs and long-term benefits?","type":"article-journal","volume":"84"},"uris":["http://www.mendeley.com/documents/?uuid=34a0b031-8f78-48d8-b7c7-916f603b5537"]}],"mendeley":{"formattedCitation":"(S. L Hart &amp; Ahuja, 1996; Horváthová, 2012; V. M. Russo &amp; Fouts, 1997)","manualFormatting":"(e.g. Hart &amp; Ahuja, 1996; Horváthová, 2012; Russo &amp; Fouts, 1997)","plainTextFormattedCitation":"(S. L Hart &amp; Ahuja, 1996; Horváthová, 2012; V. M. Russo &amp; Fouts, 1997)","previouslyFormattedCitation":"(S. L Hart &amp; Ahuja, 1996; Horváthová, 2012; V. M. Russo &amp; Fouts, 1997)"},"properties":{"noteIndex":0},"schema":"https://github.com/citation-style-language/schema/raw/master/csl-citation.json"}</w:instrText>
      </w:r>
      <w:r w:rsidR="00510B88" w:rsidRPr="00055865">
        <w:rPr>
          <w:rFonts w:ascii="Garamond" w:hAnsi="Garamond"/>
          <w:sz w:val="24"/>
          <w:szCs w:val="24"/>
        </w:rPr>
        <w:fldChar w:fldCharType="separate"/>
      </w:r>
      <w:r w:rsidR="00510B88" w:rsidRPr="00055865">
        <w:rPr>
          <w:rFonts w:ascii="Garamond" w:hAnsi="Garamond"/>
          <w:noProof/>
          <w:sz w:val="24"/>
          <w:szCs w:val="24"/>
        </w:rPr>
        <w:t>(e.g. Hart &amp; Ahuja, 1996; Horváthová, 2012; Russo &amp; Fouts, 1997)</w:t>
      </w:r>
      <w:r w:rsidR="00510B88" w:rsidRPr="00055865">
        <w:rPr>
          <w:rFonts w:ascii="Garamond" w:hAnsi="Garamond"/>
          <w:sz w:val="24"/>
          <w:szCs w:val="24"/>
        </w:rPr>
        <w:fldChar w:fldCharType="end"/>
      </w:r>
      <w:r w:rsidRPr="00055865">
        <w:rPr>
          <w:rFonts w:ascii="Garamond" w:hAnsi="Garamond"/>
          <w:sz w:val="24"/>
          <w:szCs w:val="24"/>
        </w:rPr>
        <w:t xml:space="preserve">. </w:t>
      </w:r>
      <w:r w:rsidRPr="00055865">
        <w:rPr>
          <w:rFonts w:ascii="Garamond" w:hAnsi="Garamond"/>
          <w:noProof/>
          <w:sz w:val="24"/>
          <w:szCs w:val="24"/>
        </w:rPr>
        <w:t>Third,</w:t>
      </w:r>
      <w:r w:rsidRPr="00055865">
        <w:rPr>
          <w:rFonts w:ascii="Garamond" w:hAnsi="Garamond"/>
          <w:sz w:val="24"/>
          <w:szCs w:val="24"/>
        </w:rPr>
        <w:t xml:space="preserve"> </w:t>
      </w:r>
      <w:r w:rsidR="005B6FD7">
        <w:rPr>
          <w:rFonts w:ascii="Garamond" w:hAnsi="Garamond"/>
          <w:sz w:val="24"/>
          <w:szCs w:val="24"/>
        </w:rPr>
        <w:t>t</w:t>
      </w:r>
      <w:r w:rsidR="00657B39">
        <w:rPr>
          <w:rFonts w:ascii="Garamond" w:hAnsi="Garamond"/>
          <w:sz w:val="24"/>
          <w:szCs w:val="24"/>
        </w:rPr>
        <w:t xml:space="preserve">here is the need to control </w:t>
      </w:r>
      <w:r w:rsidRPr="00055865">
        <w:rPr>
          <w:rFonts w:ascii="Garamond" w:hAnsi="Garamond"/>
          <w:sz w:val="24"/>
          <w:szCs w:val="24"/>
        </w:rPr>
        <w:t>risk tolerance</w:t>
      </w:r>
      <w:r w:rsidR="00657B39">
        <w:rPr>
          <w:rFonts w:ascii="Garamond" w:hAnsi="Garamond"/>
          <w:sz w:val="24"/>
          <w:szCs w:val="24"/>
        </w:rPr>
        <w:t xml:space="preserve"> which is</w:t>
      </w:r>
      <w:r w:rsidRPr="00055865">
        <w:rPr>
          <w:rFonts w:ascii="Garamond" w:hAnsi="Garamond"/>
          <w:sz w:val="24"/>
          <w:szCs w:val="24"/>
        </w:rPr>
        <w:t xml:space="preserve"> represented by leverage as the degree of financial leverage impact on earnings </w:t>
      </w:r>
      <w:r w:rsidRPr="00055865">
        <w:rPr>
          <w:rFonts w:ascii="Garamond" w:hAnsi="Garamond"/>
          <w:sz w:val="24"/>
          <w:szCs w:val="24"/>
        </w:rPr>
        <w:fldChar w:fldCharType="begin" w:fldLock="1"/>
      </w:r>
      <w:r w:rsidR="00510B88" w:rsidRPr="00055865">
        <w:rPr>
          <w:rFonts w:ascii="Garamond" w:hAnsi="Garamond"/>
          <w:sz w:val="24"/>
          <w:szCs w:val="24"/>
        </w:rPr>
        <w:instrText>ADDIN CSL_CITATION {"citationItems":[{"id":"ITEM-1","itemData":{"DOI":"10.1002/(SICI)1099-0836(199705)6:2&lt;104::AID-BSE102&gt;3.0.CO;2-T","ISBN":"1099-0836","ISSN":"09644733","abstract":"There is an ongoing debate over the impact of corporate pro-environment actions and strategies (reflected, for example, in pollution prevention and emission reductions, product re-design, materials stewardship) on corporate financial performance in US corporations today. A review of the existing literature in this area yields no consistent pattern of relationships between corporate environmental proactivism and financial performance when historical corporate accounting performance and stock market measures of performance are used. We revisit this relationship using a novel measure of firm performance: security analyst earnings forecasts. Specifically, we demonstrate a significant, negative relationship between environmental proactivism (using Toxic Release Inventory data) and industry analyst 1- and 5-year earnings-per-share performance forecasts for a sample of 523 US firms in 1992. We discuss the implications of these findings and provide suggestions for future research. © 1997 John Wiley &amp; Sons, Ltd and ERP Environment.","author":[{"dropping-particle":"","family":"Cordeiro","given":"James J.","non-dropping-particle":"","parse-names":false,"suffix":""},{"dropping-particle":"","family":"Sarkis","given":"Joseph","non-dropping-particle":"","parse-names":false,"suffix":""}],"container-title":"Business Strategy and the Environment","id":"ITEM-1","issue":"2","issued":{"date-parts":[["1997"]]},"page":"104-114","title":"Environmental proactivism and firm performance: evidence from security analyst earnings forecasts","type":"article-journal","volume":"6"},"uris":["http://www.mendeley.com/documents/?uuid=ee172898-f8ad-4bbf-ad8c-787c8fef110f"]}],"mendeley":{"formattedCitation":"(Cordeiro &amp; Sarkis, 1997)","manualFormatting":"(Cordeiro &amp; Sarkis, 1997)","plainTextFormattedCitation":"(Cordeiro &amp; Sarkis, 1997)","previouslyFormattedCitation":"(Cordeiro &amp; Sarkis, 1997)"},"properties":{"noteIndex":0},"schema":"https://github.com/citation-style-language/schema/raw/master/csl-citation.json"}</w:instrText>
      </w:r>
      <w:r w:rsidRPr="00055865">
        <w:rPr>
          <w:rFonts w:ascii="Garamond" w:hAnsi="Garamond"/>
          <w:sz w:val="24"/>
          <w:szCs w:val="24"/>
        </w:rPr>
        <w:fldChar w:fldCharType="separate"/>
      </w:r>
      <w:r w:rsidRPr="00055865">
        <w:rPr>
          <w:rFonts w:ascii="Garamond" w:hAnsi="Garamond"/>
          <w:noProof/>
          <w:sz w:val="24"/>
          <w:szCs w:val="24"/>
        </w:rPr>
        <w:t xml:space="preserve">(Cordeiro </w:t>
      </w:r>
      <w:r w:rsidR="00510B88" w:rsidRPr="00055865">
        <w:rPr>
          <w:rFonts w:ascii="Garamond" w:hAnsi="Garamond"/>
          <w:noProof/>
          <w:sz w:val="24"/>
          <w:szCs w:val="24"/>
        </w:rPr>
        <w:t xml:space="preserve">&amp; </w:t>
      </w:r>
      <w:r w:rsidRPr="00055865">
        <w:rPr>
          <w:rFonts w:ascii="Garamond" w:hAnsi="Garamond"/>
          <w:noProof/>
          <w:sz w:val="24"/>
          <w:szCs w:val="24"/>
        </w:rPr>
        <w:t>Sarkis, 1997)</w:t>
      </w:r>
      <w:r w:rsidRPr="00055865">
        <w:rPr>
          <w:rFonts w:ascii="Garamond" w:hAnsi="Garamond"/>
          <w:sz w:val="24"/>
          <w:szCs w:val="24"/>
        </w:rPr>
        <w:fldChar w:fldCharType="end"/>
      </w:r>
      <w:r w:rsidRPr="00055865">
        <w:rPr>
          <w:rFonts w:ascii="Garamond" w:hAnsi="Garamond"/>
          <w:sz w:val="24"/>
          <w:szCs w:val="24"/>
        </w:rPr>
        <w:t xml:space="preserve">. In the case of </w:t>
      </w:r>
      <w:r w:rsidRPr="00055865">
        <w:rPr>
          <w:rFonts w:ascii="Garamond" w:hAnsi="Garamond"/>
          <w:noProof/>
          <w:sz w:val="24"/>
          <w:szCs w:val="24"/>
        </w:rPr>
        <w:t>liquidity,</w:t>
      </w:r>
      <w:r w:rsidRPr="00055865">
        <w:rPr>
          <w:rFonts w:ascii="Garamond" w:hAnsi="Garamond"/>
          <w:sz w:val="24"/>
          <w:szCs w:val="24"/>
        </w:rPr>
        <w:t xml:space="preserve"> it is argued that shortening the cash conversion cycle can </w:t>
      </w:r>
      <w:r w:rsidRPr="00055865">
        <w:rPr>
          <w:rFonts w:ascii="Garamond" w:hAnsi="Garamond"/>
          <w:noProof/>
          <w:sz w:val="24"/>
          <w:szCs w:val="24"/>
        </w:rPr>
        <w:t>impact</w:t>
      </w:r>
      <w:r w:rsidRPr="00055865">
        <w:rPr>
          <w:rFonts w:ascii="Garamond" w:hAnsi="Garamond"/>
          <w:sz w:val="24"/>
          <w:szCs w:val="24"/>
        </w:rPr>
        <w:t xml:space="preserve"> on financial performance </w:t>
      </w:r>
      <w:r w:rsidR="00510B88" w:rsidRPr="00055865">
        <w:rPr>
          <w:rFonts w:ascii="Garamond" w:hAnsi="Garamond"/>
          <w:sz w:val="24"/>
          <w:szCs w:val="24"/>
        </w:rPr>
        <w:fldChar w:fldCharType="begin" w:fldLock="1"/>
      </w:r>
      <w:r w:rsidR="00510B88" w:rsidRPr="00055865">
        <w:rPr>
          <w:rFonts w:ascii="Garamond" w:hAnsi="Garamond"/>
          <w:sz w:val="24"/>
          <w:szCs w:val="24"/>
        </w:rPr>
        <w:instrText>ADDIN CSL_CITATION {"citationItems":[{"id":"ITEM-1","itemData":{"DOI":"10.1111/beer.12152","ISSN":"14678608","author":[{"dropping-particle":"","family":"Martínez-Ferrero","given":"Jennifer","non-dropping-particle":"","parse-names":false,"suffix":""},{"dropping-particle":"","family":"García-Sánchez","given":"Isabel María","non-dropping-particle":"","parse-names":false,"suffix":""}],"container-title":"Business Ethics","id":"ITEM-1","issue":"3","issued":{"date-parts":[["2017"]]},"page":"223-239","title":"Sustainability assurance and cost of capital: Does assurance impact on credibility of corporate social responsibility information?","type":"article-journal","volume":"26"},"uris":["http://www.mendeley.com/documents/?uuid=3992a827-d7ad-42d0-8c49-a2f84ae6617a"]}],"mendeley":{"formattedCitation":"(Martínez-Ferrero &amp; García-Sánchez, 2017)","plainTextFormattedCitation":"(Martínez-Ferrero &amp; García-Sánchez, 2017)","previouslyFormattedCitation":"(Martínez-Ferrero &amp; García-Sánchez, 2017)"},"properties":{"noteIndex":0},"schema":"https://github.com/citation-style-language/schema/raw/master/csl-citation.json"}</w:instrText>
      </w:r>
      <w:r w:rsidR="00510B88" w:rsidRPr="00055865">
        <w:rPr>
          <w:rFonts w:ascii="Garamond" w:hAnsi="Garamond"/>
          <w:sz w:val="24"/>
          <w:szCs w:val="24"/>
        </w:rPr>
        <w:fldChar w:fldCharType="separate"/>
      </w:r>
      <w:r w:rsidR="00510B88" w:rsidRPr="00055865">
        <w:rPr>
          <w:rFonts w:ascii="Garamond" w:hAnsi="Garamond"/>
          <w:noProof/>
          <w:sz w:val="24"/>
          <w:szCs w:val="24"/>
        </w:rPr>
        <w:t>(Martínez-Ferrero &amp; García-Sánchez, 2017)</w:t>
      </w:r>
      <w:r w:rsidR="00510B88" w:rsidRPr="00055865">
        <w:rPr>
          <w:rFonts w:ascii="Garamond" w:hAnsi="Garamond"/>
          <w:sz w:val="24"/>
          <w:szCs w:val="24"/>
        </w:rPr>
        <w:fldChar w:fldCharType="end"/>
      </w:r>
      <w:r w:rsidRPr="00055865">
        <w:rPr>
          <w:rFonts w:ascii="Garamond" w:hAnsi="Garamond"/>
          <w:sz w:val="24"/>
          <w:szCs w:val="24"/>
        </w:rPr>
        <w:t>. Current ratios were used as a measure of liquidity</w:t>
      </w:r>
      <w:r w:rsidR="005B6FD7">
        <w:rPr>
          <w:rFonts w:ascii="Garamond" w:hAnsi="Garamond"/>
          <w:sz w:val="24"/>
          <w:szCs w:val="24"/>
        </w:rPr>
        <w:t>,</w:t>
      </w:r>
      <w:r w:rsidRPr="00055865">
        <w:rPr>
          <w:rFonts w:ascii="Garamond" w:hAnsi="Garamond"/>
          <w:sz w:val="24"/>
          <w:szCs w:val="24"/>
        </w:rPr>
        <w:t xml:space="preserve"> and like the leverage and the number of employees</w:t>
      </w:r>
      <w:r w:rsidR="00657B39">
        <w:rPr>
          <w:rFonts w:ascii="Garamond" w:hAnsi="Garamond"/>
          <w:sz w:val="24"/>
          <w:szCs w:val="24"/>
        </w:rPr>
        <w:t>,</w:t>
      </w:r>
      <w:r w:rsidRPr="00055865">
        <w:rPr>
          <w:rFonts w:ascii="Garamond" w:hAnsi="Garamond"/>
          <w:sz w:val="24"/>
          <w:szCs w:val="24"/>
        </w:rPr>
        <w:t xml:space="preserve"> </w:t>
      </w:r>
      <w:r w:rsidR="00DB6768" w:rsidRPr="00055865">
        <w:rPr>
          <w:rFonts w:ascii="Garamond" w:hAnsi="Garamond"/>
          <w:sz w:val="24"/>
          <w:szCs w:val="24"/>
        </w:rPr>
        <w:t xml:space="preserve">they </w:t>
      </w:r>
      <w:r w:rsidRPr="00055865">
        <w:rPr>
          <w:rFonts w:ascii="Garamond" w:hAnsi="Garamond"/>
          <w:sz w:val="24"/>
          <w:szCs w:val="24"/>
        </w:rPr>
        <w:t xml:space="preserve">were obtained from </w:t>
      </w:r>
      <w:r w:rsidR="00DB6768" w:rsidRPr="00055865">
        <w:rPr>
          <w:rFonts w:ascii="Garamond" w:hAnsi="Garamond"/>
          <w:sz w:val="24"/>
          <w:szCs w:val="24"/>
        </w:rPr>
        <w:t xml:space="preserve">the </w:t>
      </w:r>
      <w:r w:rsidRPr="00055865">
        <w:rPr>
          <w:rFonts w:ascii="Garamond" w:hAnsi="Garamond"/>
          <w:sz w:val="24"/>
          <w:szCs w:val="24"/>
        </w:rPr>
        <w:t>Amadeus and Fame database. Corporate governance variables</w:t>
      </w:r>
      <w:r w:rsidR="00DB6768" w:rsidRPr="00055865">
        <w:rPr>
          <w:rFonts w:ascii="Garamond" w:hAnsi="Garamond"/>
          <w:sz w:val="24"/>
          <w:szCs w:val="24"/>
        </w:rPr>
        <w:t>,</w:t>
      </w:r>
      <w:r w:rsidRPr="00055865">
        <w:rPr>
          <w:rFonts w:ascii="Garamond" w:hAnsi="Garamond"/>
          <w:sz w:val="24"/>
          <w:szCs w:val="24"/>
        </w:rPr>
        <w:t xml:space="preserve"> namely Board size (total members of the board), the number of non-executive directors and CEO remuneration</w:t>
      </w:r>
      <w:r w:rsidR="00DB6768" w:rsidRPr="00055865">
        <w:rPr>
          <w:rFonts w:ascii="Garamond" w:hAnsi="Garamond"/>
          <w:sz w:val="24"/>
          <w:szCs w:val="24"/>
        </w:rPr>
        <w:t>,</w:t>
      </w:r>
      <w:r w:rsidRPr="00055865">
        <w:rPr>
          <w:rFonts w:ascii="Garamond" w:hAnsi="Garamond"/>
          <w:sz w:val="24"/>
          <w:szCs w:val="24"/>
        </w:rPr>
        <w:t xml:space="preserve"> were also employed. </w:t>
      </w:r>
      <w:r w:rsidR="002A6417" w:rsidRPr="00055865">
        <w:rPr>
          <w:rFonts w:ascii="Garamond" w:hAnsi="Garamond"/>
          <w:sz w:val="24"/>
          <w:szCs w:val="24"/>
        </w:rPr>
        <w:t>This information</w:t>
      </w:r>
      <w:r w:rsidRPr="00055865">
        <w:rPr>
          <w:rFonts w:ascii="Garamond" w:hAnsi="Garamond"/>
          <w:sz w:val="24"/>
          <w:szCs w:val="24"/>
        </w:rPr>
        <w:t xml:space="preserve"> </w:t>
      </w:r>
      <w:r w:rsidR="002A6417" w:rsidRPr="00055865">
        <w:rPr>
          <w:rFonts w:ascii="Garamond" w:hAnsi="Garamond"/>
          <w:sz w:val="24"/>
          <w:szCs w:val="24"/>
        </w:rPr>
        <w:t>was</w:t>
      </w:r>
      <w:r w:rsidRPr="00055865">
        <w:rPr>
          <w:rFonts w:ascii="Garamond" w:hAnsi="Garamond"/>
          <w:sz w:val="24"/>
          <w:szCs w:val="24"/>
        </w:rPr>
        <w:t xml:space="preserve"> handpicked from the annual reports of the selected firms. It has been argued that a large board size affects coordination and negatively affect performance </w:t>
      </w:r>
      <w:r w:rsidR="00510B88" w:rsidRPr="00055865">
        <w:rPr>
          <w:rFonts w:ascii="Garamond" w:hAnsi="Garamond"/>
          <w:sz w:val="24"/>
          <w:szCs w:val="24"/>
        </w:rPr>
        <w:fldChar w:fldCharType="begin" w:fldLock="1"/>
      </w:r>
      <w:r w:rsidR="00510B88" w:rsidRPr="00055865">
        <w:rPr>
          <w:rFonts w:ascii="Garamond" w:hAnsi="Garamond"/>
          <w:sz w:val="24"/>
          <w:szCs w:val="24"/>
        </w:rPr>
        <w:instrText>ADDIN CSL_CITATION {"citationItems":[{"id":"ITEM-1","itemData":{"DOI":"10.1080/14445921.2008.11104248","ISBN":"9788578110796","ISSN":"14445921","PMID":"25246403","abstract":"Federal Reserve Bof New York Staff Reportsank , 2008 - prres.ne","author":[{"dropping-particle":"","family":"Shakir","given":"Roselina","non-dropping-particle":"","parse-names":false,"suffix":""}],"container-title":"Pacific Rim Property Research Journal","id":"ITEM-1","issue":"1","issued":{"date-parts":[["2008"]]},"page":"1-16","title":"Board Size, Board Composition and Property Firm Performance","type":"article-journal","volume":"14"},"uris":["http://www.mendeley.com/documents/?uuid=ae009663-2064-412c-9ff7-aa3b5bb3679b"]}],"mendeley":{"formattedCitation":"(Shakir, 2008)","plainTextFormattedCitation":"(Shakir, 2008)","previouslyFormattedCitation":"(Shakir, 2008)"},"properties":{"noteIndex":0},"schema":"https://github.com/citation-style-language/schema/raw/master/csl-citation.json"}</w:instrText>
      </w:r>
      <w:r w:rsidR="00510B88" w:rsidRPr="00055865">
        <w:rPr>
          <w:rFonts w:ascii="Garamond" w:hAnsi="Garamond"/>
          <w:sz w:val="24"/>
          <w:szCs w:val="24"/>
        </w:rPr>
        <w:fldChar w:fldCharType="separate"/>
      </w:r>
      <w:r w:rsidR="00510B88" w:rsidRPr="00055865">
        <w:rPr>
          <w:rFonts w:ascii="Garamond" w:hAnsi="Garamond"/>
          <w:noProof/>
          <w:sz w:val="24"/>
          <w:szCs w:val="24"/>
        </w:rPr>
        <w:t>(Shakir, 2008)</w:t>
      </w:r>
      <w:r w:rsidR="00510B88" w:rsidRPr="00055865">
        <w:rPr>
          <w:rFonts w:ascii="Garamond" w:hAnsi="Garamond"/>
          <w:sz w:val="24"/>
          <w:szCs w:val="24"/>
        </w:rPr>
        <w:fldChar w:fldCharType="end"/>
      </w:r>
      <w:r w:rsidR="00CE2F0E">
        <w:rPr>
          <w:rFonts w:ascii="Garamond" w:hAnsi="Garamond"/>
          <w:sz w:val="24"/>
          <w:szCs w:val="24"/>
        </w:rPr>
        <w:t>. However, o</w:t>
      </w:r>
      <w:r w:rsidRPr="00055865">
        <w:rPr>
          <w:rFonts w:ascii="Garamond" w:hAnsi="Garamond"/>
          <w:sz w:val="24"/>
          <w:szCs w:val="24"/>
        </w:rPr>
        <w:t xml:space="preserve">utside non-executive directors assist </w:t>
      </w:r>
      <w:r w:rsidR="00657B39">
        <w:rPr>
          <w:rFonts w:ascii="Garamond" w:hAnsi="Garamond"/>
          <w:sz w:val="24"/>
          <w:szCs w:val="24"/>
        </w:rPr>
        <w:t xml:space="preserve">with </w:t>
      </w:r>
      <w:r w:rsidR="005B6FD7">
        <w:rPr>
          <w:rFonts w:ascii="Garamond" w:hAnsi="Garamond"/>
          <w:sz w:val="24"/>
          <w:szCs w:val="24"/>
        </w:rPr>
        <w:t xml:space="preserve">an </w:t>
      </w:r>
      <w:r w:rsidRPr="00055865">
        <w:rPr>
          <w:rFonts w:ascii="Garamond" w:hAnsi="Garamond"/>
          <w:sz w:val="24"/>
          <w:szCs w:val="24"/>
        </w:rPr>
        <w:t xml:space="preserve">objective evaluation of management and help control and monitor opportunistic behaviour, which also </w:t>
      </w:r>
      <w:r w:rsidRPr="00055865">
        <w:rPr>
          <w:rFonts w:ascii="Garamond" w:hAnsi="Garamond"/>
          <w:sz w:val="24"/>
          <w:szCs w:val="24"/>
        </w:rPr>
        <w:lastRenderedPageBreak/>
        <w:t xml:space="preserve">impacts on performance. </w:t>
      </w:r>
      <w:r w:rsidR="00510B88" w:rsidRPr="00055865">
        <w:rPr>
          <w:rFonts w:ascii="Garamond" w:hAnsi="Garamond"/>
          <w:sz w:val="24"/>
          <w:szCs w:val="24"/>
        </w:rPr>
        <w:fldChar w:fldCharType="begin" w:fldLock="1"/>
      </w:r>
      <w:r w:rsidR="00281223" w:rsidRPr="00055865">
        <w:rPr>
          <w:rFonts w:ascii="Garamond" w:hAnsi="Garamond"/>
          <w:sz w:val="24"/>
          <w:szCs w:val="24"/>
        </w:rPr>
        <w:instrText>ADDIN CSL_CITATION {"citationItems":[{"id":"ITEM-1","itemData":{"DOI":"10.1111/j.1755-053X.2007.tb00082.x","ISBN":"00463892","ISSN":"00463892","abstract":"I investigate the relation between fi rm performance and both ownership structure and board composition. Use of the GMM methodology permits simultaneous control of both endogeneity of the independent variables and fi xed effects. The data comprise an original, large, hand-collected panel dataset of UK fi rms for the period 1991-2001. Results indicate that the direction of causality runs from ownership and board composition to performance. I fi nd a cubic relation between performance and ownership by executive directors. The proportion of non-executives on the board, but not their proportional ownership, is signifi cantly and positively related to fi rm performance. Finally, the relation between performance and blockholdings by institutional and non-institutional owners is negative. Thus, results indicate that only non-executive directors are effective monitors. The relation between fi rm performance and both ownership structure and board composition is a widely debated and controversial issue. Two questions lie at the heart of this controversy: is there a causal link between fi rm performance and both ownership structure and board composition and what are the conditions that produce better performance? My empirical analysis addresses these core questions. First, I analyze whether a causal relation exists using a technique that controls simultaneously for endogeneity of the independent variables and for fi xed effects. Second, I investigate in depth the incentives associated with improved fi rm performance for company insiders (usually defi ned as managers or directors) and external blockholders both institutional and non-institutional. The focus is on the monitoring role of non-executive directors and institutional blockholders. Results indicate that outside directors are effective monitors, but that institutional blockholders are not. First, I address the question of whether a relation exists between ownership structure and fi rm performance. Previous empirical studies report mixed results on the direction of causality and the shape of the relation between ownership structure and performance. McConnell and Servaes (1990, 1995) observe an inverse U-shaped relation between insider ownership and Tobin's q; Morck, Shleifer, and Vishny (1988), Hermalin and Weisbach (1991), and Short and Keasey (1999) report a cubic relation; and, in a recent study, Davies, Hillier, and McColgan (2005) test a quintic relation. However, Special thanks are due to James Seward,…","author":[{"dropping-particle":"","family":"Mura","given":"Roberto","non-dropping-particle":"","parse-names":false,"suffix":""}],"container-title":"Financial Management","id":"ITEM-1","issue":"3","issued":{"date-parts":[["2007"]]},"page":"81-112","title":"Firm performance: Do non-executive directors have minds of their own? Evidence from UK panel data","type":"article-journal","volume":"36"},"uris":["http://www.mendeley.com/documents/?uuid=52c6bba3-140b-4c8e-8d47-aacbdc7cd580"]}],"mendeley":{"formattedCitation":"(Mura, 2007)","manualFormatting":"Mura (2007)","plainTextFormattedCitation":"(Mura, 2007)","previouslyFormattedCitation":"(Mura, 2007)"},"properties":{"noteIndex":0},"schema":"https://github.com/citation-style-language/schema/raw/master/csl-citation.json"}</w:instrText>
      </w:r>
      <w:r w:rsidR="00510B88" w:rsidRPr="00055865">
        <w:rPr>
          <w:rFonts w:ascii="Garamond" w:hAnsi="Garamond"/>
          <w:sz w:val="24"/>
          <w:szCs w:val="24"/>
        </w:rPr>
        <w:fldChar w:fldCharType="separate"/>
      </w:r>
      <w:r w:rsidR="00510B88" w:rsidRPr="00055865">
        <w:rPr>
          <w:rFonts w:ascii="Garamond" w:hAnsi="Garamond"/>
          <w:noProof/>
          <w:sz w:val="24"/>
          <w:szCs w:val="24"/>
        </w:rPr>
        <w:t>Mura (2007)</w:t>
      </w:r>
      <w:r w:rsidR="00510B88" w:rsidRPr="00055865">
        <w:rPr>
          <w:rFonts w:ascii="Garamond" w:hAnsi="Garamond"/>
          <w:sz w:val="24"/>
          <w:szCs w:val="24"/>
        </w:rPr>
        <w:fldChar w:fldCharType="end"/>
      </w:r>
      <w:r w:rsidRPr="00055865">
        <w:rPr>
          <w:rFonts w:ascii="Garamond" w:hAnsi="Garamond"/>
          <w:sz w:val="24"/>
          <w:szCs w:val="24"/>
        </w:rPr>
        <w:t xml:space="preserve"> </w:t>
      </w:r>
      <w:r w:rsidR="00657B39">
        <w:rPr>
          <w:rFonts w:ascii="Garamond" w:hAnsi="Garamond"/>
          <w:sz w:val="24"/>
          <w:szCs w:val="24"/>
        </w:rPr>
        <w:t xml:space="preserve">has </w:t>
      </w:r>
      <w:r w:rsidR="0015629C">
        <w:rPr>
          <w:rFonts w:ascii="Garamond" w:hAnsi="Garamond"/>
          <w:sz w:val="24"/>
          <w:szCs w:val="24"/>
        </w:rPr>
        <w:t xml:space="preserve">also </w:t>
      </w:r>
      <w:r w:rsidRPr="00055865">
        <w:rPr>
          <w:rFonts w:ascii="Garamond" w:hAnsi="Garamond"/>
          <w:sz w:val="24"/>
          <w:szCs w:val="24"/>
        </w:rPr>
        <w:t>demonstrated that a large proportion of non-execu</w:t>
      </w:r>
      <w:r w:rsidR="0015629C">
        <w:rPr>
          <w:rFonts w:ascii="Garamond" w:hAnsi="Garamond"/>
          <w:sz w:val="24"/>
          <w:szCs w:val="24"/>
        </w:rPr>
        <w:t>tive directors has a positive</w:t>
      </w:r>
      <w:r w:rsidRPr="00055865">
        <w:rPr>
          <w:rFonts w:ascii="Garamond" w:hAnsi="Garamond"/>
          <w:sz w:val="24"/>
          <w:szCs w:val="24"/>
        </w:rPr>
        <w:t xml:space="preserve"> impact on financial performance. </w:t>
      </w:r>
      <w:r w:rsidR="0015629C">
        <w:rPr>
          <w:rFonts w:ascii="Garamond" w:hAnsi="Garamond"/>
          <w:sz w:val="24"/>
          <w:szCs w:val="24"/>
        </w:rPr>
        <w:t>Finally, it has also been realized that e</w:t>
      </w:r>
      <w:r w:rsidRPr="00055865">
        <w:rPr>
          <w:rFonts w:ascii="Garamond" w:hAnsi="Garamond"/>
          <w:sz w:val="24"/>
          <w:szCs w:val="24"/>
        </w:rPr>
        <w:t xml:space="preserve">xecutives are motivated most when their compensation is closely tied to performance indicators </w:t>
      </w:r>
      <w:r w:rsidR="00510B88" w:rsidRPr="00055865">
        <w:rPr>
          <w:rFonts w:ascii="Garamond" w:hAnsi="Garamond"/>
          <w:sz w:val="24"/>
          <w:szCs w:val="24"/>
        </w:rPr>
        <w:fldChar w:fldCharType="begin" w:fldLock="1"/>
      </w:r>
      <w:r w:rsidR="00510B88" w:rsidRPr="00055865">
        <w:rPr>
          <w:rFonts w:ascii="Garamond" w:hAnsi="Garamond"/>
          <w:sz w:val="24"/>
          <w:szCs w:val="24"/>
        </w:rPr>
        <w:instrText>ADDIN CSL_CITATION {"citationItems":[{"id":"ITEM-1","itemData":{"DOI":"10.1111/j.1835-2561.2010.00098.x","ISBN":"1035-6908","ISSN":"10356908","abstract":"This study analyses the CEO remuneration structure and level for 100 Australian-listed entities. Consistent with expectations, it finds that high-growth firms pay their CEOs a greater proportion of performance-based pay, when equity-based rewards only are considered. High-growth firms also place greater reliance on market and/or non-financial performance standards for the award of performance-based pay. The extent to which performance-based remuneration is used as a component of CEO pay is positively associated with firm size and growth options. Other potential determinants of performance-based pay, such as financial performance, are not significantly associated with the use of performance-based remuneration.","author":[{"dropping-particle":"","family":"Walker","given":"Julie","non-dropping-particle":"","parse-names":false,"suffix":""}],"container-title":"Australian Accounting Review","id":"ITEM-1","issue":"3","issued":{"date-parts":[["2010"]]},"page":"256-264","title":"The use of performance-based remuneration: High versus low-growth firms","type":"article-journal","volume":"20"},"uris":["http://www.mendeley.com/documents/?uuid=a20b4367-b8cb-4685-bd1c-04bc80b14887"]}],"mendeley":{"formattedCitation":"(Walker, 2010)","plainTextFormattedCitation":"(Walker, 2010)","previouslyFormattedCitation":"(Walker, 2010)"},"properties":{"noteIndex":0},"schema":"https://github.com/citation-style-language/schema/raw/master/csl-citation.json"}</w:instrText>
      </w:r>
      <w:r w:rsidR="00510B88" w:rsidRPr="00055865">
        <w:rPr>
          <w:rFonts w:ascii="Garamond" w:hAnsi="Garamond"/>
          <w:sz w:val="24"/>
          <w:szCs w:val="24"/>
        </w:rPr>
        <w:fldChar w:fldCharType="separate"/>
      </w:r>
      <w:r w:rsidR="00510B88" w:rsidRPr="00055865">
        <w:rPr>
          <w:rFonts w:ascii="Garamond" w:hAnsi="Garamond"/>
          <w:noProof/>
          <w:sz w:val="24"/>
          <w:szCs w:val="24"/>
        </w:rPr>
        <w:t>(Walker, 2010)</w:t>
      </w:r>
      <w:r w:rsidR="00510B88" w:rsidRPr="00055865">
        <w:rPr>
          <w:rFonts w:ascii="Garamond" w:hAnsi="Garamond"/>
          <w:sz w:val="24"/>
          <w:szCs w:val="24"/>
        </w:rPr>
        <w:fldChar w:fldCharType="end"/>
      </w:r>
      <w:r w:rsidRPr="00055865">
        <w:rPr>
          <w:rFonts w:ascii="Garamond" w:hAnsi="Garamond"/>
          <w:sz w:val="24"/>
          <w:szCs w:val="24"/>
        </w:rPr>
        <w:t xml:space="preserve">. </w:t>
      </w:r>
    </w:p>
    <w:p w14:paraId="7BFC913C" w14:textId="77777777" w:rsidR="00C3429E" w:rsidRPr="00055865" w:rsidRDefault="00C3429E" w:rsidP="005B6FD7">
      <w:pPr>
        <w:tabs>
          <w:tab w:val="left" w:pos="2550"/>
        </w:tabs>
        <w:spacing w:after="0" w:line="480" w:lineRule="auto"/>
        <w:contextualSpacing/>
        <w:jc w:val="both"/>
        <w:rPr>
          <w:rFonts w:ascii="Garamond" w:hAnsi="Garamond" w:cs="Arial"/>
        </w:rPr>
      </w:pPr>
    </w:p>
    <w:p w14:paraId="53D8B82C" w14:textId="3E3F5542" w:rsidR="00527063" w:rsidRPr="00055865" w:rsidRDefault="009E5C24" w:rsidP="005D6CE4">
      <w:pPr>
        <w:tabs>
          <w:tab w:val="left" w:pos="222"/>
        </w:tabs>
        <w:spacing w:after="0" w:line="480" w:lineRule="auto"/>
        <w:contextualSpacing/>
        <w:jc w:val="both"/>
        <w:rPr>
          <w:rFonts w:ascii="Garamond" w:hAnsi="Garamond"/>
          <w:b/>
          <w:sz w:val="24"/>
          <w:szCs w:val="24"/>
        </w:rPr>
      </w:pPr>
      <w:r>
        <w:rPr>
          <w:rFonts w:ascii="Garamond" w:hAnsi="Garamond"/>
          <w:b/>
          <w:sz w:val="24"/>
          <w:szCs w:val="24"/>
        </w:rPr>
        <w:t>3</w:t>
      </w:r>
      <w:r w:rsidR="006040ED" w:rsidRPr="00055865">
        <w:rPr>
          <w:rFonts w:ascii="Garamond" w:hAnsi="Garamond"/>
          <w:b/>
          <w:sz w:val="24"/>
          <w:szCs w:val="24"/>
        </w:rPr>
        <w:t>.4</w:t>
      </w:r>
      <w:r w:rsidR="00C3429E" w:rsidRPr="00055865">
        <w:rPr>
          <w:rFonts w:ascii="Garamond" w:hAnsi="Garamond"/>
          <w:b/>
          <w:sz w:val="24"/>
          <w:szCs w:val="24"/>
        </w:rPr>
        <w:t xml:space="preserve"> </w:t>
      </w:r>
      <w:r w:rsidR="00C3429E" w:rsidRPr="00055865">
        <w:rPr>
          <w:rFonts w:ascii="Garamond" w:eastAsia="Garamond" w:hAnsi="Garamond"/>
          <w:b/>
          <w:sz w:val="24"/>
          <w:szCs w:val="24"/>
        </w:rPr>
        <w:t>Empirical</w:t>
      </w:r>
      <w:r w:rsidR="00C3429E" w:rsidRPr="00055865">
        <w:rPr>
          <w:rFonts w:ascii="Garamond" w:hAnsi="Garamond"/>
          <w:b/>
          <w:sz w:val="24"/>
          <w:szCs w:val="24"/>
        </w:rPr>
        <w:t xml:space="preserve"> Approach </w:t>
      </w:r>
    </w:p>
    <w:p w14:paraId="3712D9FC" w14:textId="0300F0C9" w:rsidR="00C3429E" w:rsidRPr="00055865" w:rsidRDefault="009E5C24" w:rsidP="005D6CE4">
      <w:pPr>
        <w:spacing w:after="0" w:line="480" w:lineRule="auto"/>
        <w:contextualSpacing/>
        <w:jc w:val="both"/>
        <w:rPr>
          <w:rFonts w:ascii="Garamond" w:hAnsi="Garamond"/>
          <w:b/>
          <w:i/>
          <w:sz w:val="24"/>
          <w:szCs w:val="24"/>
        </w:rPr>
      </w:pPr>
      <w:bookmarkStart w:id="5" w:name="_Hlk509131731"/>
      <w:r>
        <w:rPr>
          <w:rFonts w:ascii="Garamond" w:hAnsi="Garamond"/>
          <w:b/>
          <w:i/>
          <w:sz w:val="24"/>
          <w:szCs w:val="24"/>
        </w:rPr>
        <w:t>3</w:t>
      </w:r>
      <w:r w:rsidR="006040ED" w:rsidRPr="00055865">
        <w:rPr>
          <w:rFonts w:ascii="Garamond" w:hAnsi="Garamond"/>
          <w:b/>
          <w:i/>
          <w:sz w:val="24"/>
          <w:szCs w:val="24"/>
        </w:rPr>
        <w:t>.4</w:t>
      </w:r>
      <w:r w:rsidR="00C3429E" w:rsidRPr="00055865">
        <w:rPr>
          <w:rFonts w:ascii="Garamond" w:hAnsi="Garamond"/>
          <w:b/>
          <w:i/>
          <w:sz w:val="24"/>
          <w:szCs w:val="24"/>
        </w:rPr>
        <w:t xml:space="preserve">.1 Empirical model </w:t>
      </w:r>
    </w:p>
    <w:bookmarkEnd w:id="5"/>
    <w:p w14:paraId="1052202E" w14:textId="7592DECE" w:rsidR="00C3429E" w:rsidRPr="00055865" w:rsidRDefault="00C3429E" w:rsidP="005D6CE4">
      <w:pPr>
        <w:autoSpaceDE w:val="0"/>
        <w:autoSpaceDN w:val="0"/>
        <w:adjustRightInd w:val="0"/>
        <w:spacing w:after="0" w:line="480" w:lineRule="auto"/>
        <w:contextualSpacing/>
        <w:jc w:val="both"/>
        <w:rPr>
          <w:rFonts w:ascii="Garamond" w:hAnsi="Garamond"/>
          <w:sz w:val="24"/>
          <w:szCs w:val="24"/>
        </w:rPr>
      </w:pPr>
      <w:r w:rsidRPr="00055865">
        <w:rPr>
          <w:rFonts w:ascii="Garamond" w:hAnsi="Garamond"/>
          <w:sz w:val="24"/>
          <w:szCs w:val="24"/>
        </w:rPr>
        <w:t>The</w:t>
      </w:r>
      <w:r w:rsidR="00DB6768" w:rsidRPr="00055865">
        <w:rPr>
          <w:rFonts w:ascii="Garamond" w:hAnsi="Garamond"/>
          <w:sz w:val="24"/>
          <w:szCs w:val="24"/>
        </w:rPr>
        <w:t xml:space="preserve"> </w:t>
      </w:r>
      <w:r w:rsidRPr="00055865">
        <w:rPr>
          <w:rFonts w:ascii="Garamond" w:hAnsi="Garamond"/>
          <w:sz w:val="24"/>
          <w:szCs w:val="24"/>
        </w:rPr>
        <w:t>empirical model</w:t>
      </w:r>
      <w:r w:rsidRPr="00055865">
        <w:rPr>
          <w:rFonts w:ascii="Garamond" w:hAnsi="Garamond"/>
          <w:noProof/>
          <w:sz w:val="24"/>
          <w:szCs w:val="24"/>
        </w:rPr>
        <w:t xml:space="preserve"> </w:t>
      </w:r>
      <w:r w:rsidRPr="00055865">
        <w:rPr>
          <w:rFonts w:ascii="Garamond" w:hAnsi="Garamond"/>
          <w:sz w:val="24"/>
          <w:szCs w:val="24"/>
        </w:rPr>
        <w:t>used in the study is given below:</w:t>
      </w:r>
      <w:bookmarkStart w:id="6" w:name="_Hlk507767454"/>
      <w:r w:rsidRPr="00055865">
        <w:rPr>
          <w:rFonts w:ascii="Garamond" w:eastAsia="Times New Roman" w:hAnsi="Garamond"/>
          <w:sz w:val="23"/>
          <w:szCs w:val="23"/>
        </w:rPr>
        <w:fldChar w:fldCharType="begin"/>
      </w:r>
      <w:r w:rsidRPr="00055865">
        <w:rPr>
          <w:rFonts w:ascii="Garamond" w:eastAsia="Times New Roman" w:hAnsi="Garamond"/>
          <w:sz w:val="23"/>
          <w:szCs w:val="23"/>
        </w:rPr>
        <w:instrText xml:space="preserve"> QUOTE </w:instrText>
      </w:r>
      <w:r w:rsidR="00806386">
        <w:rPr>
          <w:rFonts w:ascii="Garamond" w:hAnsi="Garamond"/>
          <w:noProof/>
          <w:position w:val="-11"/>
        </w:rPr>
        <w:pict w14:anchorId="4CB79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316.25pt;height:14.4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MzU2sTQ3MDO2MLIwMDVS0lEKTi0uzszPAykwtKwFAG0udTYtAAAA&quot;/&gt;&lt;/w:docVars&gt;&lt;wsp:rsids&gt;&lt;wsp:rsidRoot wsp:val=&quot;006036E7&quot;/&gt;&lt;wsp:rsid wsp:val=&quot;00006990&quot;/&gt;&lt;wsp:rsid wsp:val=&quot;00013C17&quot;/&gt;&lt;wsp:rsid wsp:val=&quot;00017851&quot;/&gt;&lt;wsp:rsid wsp:val=&quot;00023262&quot;/&gt;&lt;wsp:rsid wsp:val=&quot;00024C92&quot;/&gt;&lt;wsp:rsid wsp:val=&quot;00030754&quot;/&gt;&lt;wsp:rsid wsp:val=&quot;0003694C&quot;/&gt;&lt;wsp:rsid wsp:val=&quot;00037DBB&quot;/&gt;&lt;wsp:rsid wsp:val=&quot;000444D2&quot;/&gt;&lt;wsp:rsid wsp:val=&quot;00044C1F&quot;/&gt;&lt;wsp:rsid wsp:val=&quot;000574F1&quot;/&gt;&lt;wsp:rsid wsp:val=&quot;00063A9B&quot;/&gt;&lt;wsp:rsid wsp:val=&quot;000675BF&quot;/&gt;&lt;wsp:rsid wsp:val=&quot;00075262&quot;/&gt;&lt;wsp:rsid wsp:val=&quot;0007589E&quot;/&gt;&lt;wsp:rsid wsp:val=&quot;00076741&quot;/&gt;&lt;wsp:rsid wsp:val=&quot;0008143B&quot;/&gt;&lt;wsp:rsid wsp:val=&quot;00081817&quot;/&gt;&lt;wsp:rsid wsp:val=&quot;00081A23&quot;/&gt;&lt;wsp:rsid wsp:val=&quot;00084561&quot;/&gt;&lt;wsp:rsid wsp:val=&quot;00085160&quot;/&gt;&lt;wsp:rsid wsp:val=&quot;00091380&quot;/&gt;&lt;wsp:rsid wsp:val=&quot;00095385&quot;/&gt;&lt;wsp:rsid wsp:val=&quot;000A07A0&quot;/&gt;&lt;wsp:rsid wsp:val=&quot;000A6CAB&quot;/&gt;&lt;wsp:rsid wsp:val=&quot;000A7612&quot;/&gt;&lt;wsp:rsid wsp:val=&quot;000B3D51&quot;/&gt;&lt;wsp:rsid wsp:val=&quot;000C3826&quot;/&gt;&lt;wsp:rsid wsp:val=&quot;000D1F37&quot;/&gt;&lt;wsp:rsid wsp:val=&quot;000D6337&quot;/&gt;&lt;wsp:rsid wsp:val=&quot;000E0DF4&quot;/&gt;&lt;wsp:rsid wsp:val=&quot;000E2B8A&quot;/&gt;&lt;wsp:rsid wsp:val=&quot;000E33FE&quot;/&gt;&lt;wsp:rsid wsp:val=&quot;000E701F&quot;/&gt;&lt;wsp:rsid wsp:val=&quot;000E7B98&quot;/&gt;&lt;wsp:rsid wsp:val=&quot;0010708E&quot;/&gt;&lt;wsp:rsid wsp:val=&quot;00111DC4&quot;/&gt;&lt;wsp:rsid wsp:val=&quot;001121F1&quot;/&gt;&lt;wsp:rsid wsp:val=&quot;00114317&quot;/&gt;&lt;wsp:rsid wsp:val=&quot;001161CB&quot;/&gt;&lt;wsp:rsid wsp:val=&quot;0011798C&quot;/&gt;&lt;wsp:rsid wsp:val=&quot;0012578B&quot;/&gt;&lt;wsp:rsid wsp:val=&quot;0012795D&quot;/&gt;&lt;wsp:rsid wsp:val=&quot;00127DD3&quot;/&gt;&lt;wsp:rsid wsp:val=&quot;00130DC0&quot;/&gt;&lt;wsp:rsid wsp:val=&quot;00132EA0&quot;/&gt;&lt;wsp:rsid wsp:val=&quot;0013327A&quot;/&gt;&lt;wsp:rsid wsp:val=&quot;001372DD&quot;/&gt;&lt;wsp:rsid wsp:val=&quot;00145E9E&quot;/&gt;&lt;wsp:rsid wsp:val=&quot;001471EC&quot;/&gt;&lt;wsp:rsid wsp:val=&quot;00147E9B&quot;/&gt;&lt;wsp:rsid wsp:val=&quot;001510EB&quot;/&gt;&lt;wsp:rsid wsp:val=&quot;00157FBB&quot;/&gt;&lt;wsp:rsid wsp:val=&quot;00171230&quot;/&gt;&lt;wsp:rsid wsp:val=&quot;00172991&quot;/&gt;&lt;wsp:rsid wsp:val=&quot;00175083&quot;/&gt;&lt;wsp:rsid wsp:val=&quot;001751CC&quot;/&gt;&lt;wsp:rsid wsp:val=&quot;001764C5&quot;/&gt;&lt;wsp:rsid wsp:val=&quot;00181FF7&quot;/&gt;&lt;wsp:rsid wsp:val=&quot;001841B9&quot;/&gt;&lt;wsp:rsid wsp:val=&quot;00186608&quot;/&gt;&lt;wsp:rsid wsp:val=&quot;00197319&quot;/&gt;&lt;wsp:rsid wsp:val=&quot;001A3CA6&quot;/&gt;&lt;wsp:rsid wsp:val=&quot;001D1F21&quot;/&gt;&lt;wsp:rsid wsp:val=&quot;001D7CDA&quot;/&gt;&lt;wsp:rsid wsp:val=&quot;001E0827&quot;/&gt;&lt;wsp:rsid wsp:val=&quot;001E63EC&quot;/&gt;&lt;wsp:rsid wsp:val=&quot;001F29AD&quot;/&gt;&lt;wsp:rsid wsp:val=&quot;00200C00&quot;/&gt;&lt;wsp:rsid wsp:val=&quot;00201C10&quot;/&gt;&lt;wsp:rsid wsp:val=&quot;0020459A&quot;/&gt;&lt;wsp:rsid wsp:val=&quot;00204961&quot;/&gt;&lt;wsp:rsid wsp:val=&quot;00204EC7&quot;/&gt;&lt;wsp:rsid wsp:val=&quot;00223956&quot;/&gt;&lt;wsp:rsid wsp:val=&quot;00236E5E&quot;/&gt;&lt;wsp:rsid wsp:val=&quot;00240574&quot;/&gt;&lt;wsp:rsid wsp:val=&quot;00244145&quot;/&gt;&lt;wsp:rsid wsp:val=&quot;00245147&quot;/&gt;&lt;wsp:rsid wsp:val=&quot;00247544&quot;/&gt;&lt;wsp:rsid wsp:val=&quot;00267DA0&quot;/&gt;&lt;wsp:rsid wsp:val=&quot;00280155&quot;/&gt;&lt;wsp:rsid wsp:val=&quot;00285FBA&quot;/&gt;&lt;wsp:rsid wsp:val=&quot;00286D7C&quot;/&gt;&lt;wsp:rsid wsp:val=&quot;00286FEC&quot;/&gt;&lt;wsp:rsid wsp:val=&quot;002A01F1&quot;/&gt;&lt;wsp:rsid wsp:val=&quot;002A1E01&quot;/&gt;&lt;wsp:rsid wsp:val=&quot;002B7C72&quot;/&gt;&lt;wsp:rsid wsp:val=&quot;002C28F5&quot;/&gt;&lt;wsp:rsid wsp:val=&quot;002C6F94&quot;/&gt;&lt;wsp:rsid wsp:val=&quot;002C702F&quot;/&gt;&lt;wsp:rsid wsp:val=&quot;002D2311&quot;/&gt;&lt;wsp:rsid wsp:val=&quot;002D2C35&quot;/&gt;&lt;wsp:rsid wsp:val=&quot;002D470F&quot;/&gt;&lt;wsp:rsid wsp:val=&quot;002E0DDE&quot;/&gt;&lt;wsp:rsid wsp:val=&quot;002E26FB&quot;/&gt;&lt;wsp:rsid wsp:val=&quot;003012D3&quot;/&gt;&lt;wsp:rsid wsp:val=&quot;00304AAB&quot;/&gt;&lt;wsp:rsid wsp:val=&quot;00312355&quot;/&gt;&lt;wsp:rsid wsp:val=&quot;003375A1&quot;/&gt;&lt;wsp:rsid wsp:val=&quot;0034107D&quot;/&gt;&lt;wsp:rsid wsp:val=&quot;003455B5&quot;/&gt;&lt;wsp:rsid wsp:val=&quot;00355708&quot;/&gt;&lt;wsp:rsid wsp:val=&quot;00363419&quot;/&gt;&lt;wsp:rsid wsp:val=&quot;00363824&quot;/&gt;&lt;wsp:rsid wsp:val=&quot;003746A6&quot;/&gt;&lt;wsp:rsid wsp:val=&quot;00386296&quot;/&gt;&lt;wsp:rsid wsp:val=&quot;00390F79&quot;/&gt;&lt;wsp:rsid wsp:val=&quot;0039348B&quot;/&gt;&lt;wsp:rsid wsp:val=&quot;003B0842&quot;/&gt;&lt;wsp:rsid wsp:val=&quot;003B2D26&quot;/&gt;&lt;wsp:rsid wsp:val=&quot;003B3BE9&quot;/&gt;&lt;wsp:rsid wsp:val=&quot;003B6CFB&quot;/&gt;&lt;wsp:rsid wsp:val=&quot;003D2284&quot;/&gt;&lt;wsp:rsid wsp:val=&quot;003D3E6A&quot;/&gt;&lt;wsp:rsid wsp:val=&quot;003D7ECE&quot;/&gt;&lt;wsp:rsid wsp:val=&quot;003E2993&quot;/&gt;&lt;wsp:rsid wsp:val=&quot;003E4689&quot;/&gt;&lt;wsp:rsid wsp:val=&quot;003E74F0&quot;/&gt;&lt;wsp:rsid wsp:val=&quot;003F7E97&quot;/&gt;&lt;wsp:rsid wsp:val=&quot;0040109E&quot;/&gt;&lt;wsp:rsid wsp:val=&quot;004179F2&quot;/&gt;&lt;wsp:rsid wsp:val=&quot;00425317&quot;/&gt;&lt;wsp:rsid wsp:val=&quot;00431892&quot;/&gt;&lt;wsp:rsid wsp:val=&quot;00435FA0&quot;/&gt;&lt;wsp:rsid wsp:val=&quot;004432B8&quot;/&gt;&lt;wsp:rsid wsp:val=&quot;00444353&quot;/&gt;&lt;wsp:rsid wsp:val=&quot;0045476C&quot;/&gt;&lt;wsp:rsid wsp:val=&quot;00461247&quot;/&gt;&lt;wsp:rsid wsp:val=&quot;0047050D&quot;/&gt;&lt;wsp:rsid wsp:val=&quot;00480AAF&quot;/&gt;&lt;wsp:rsid wsp:val=&quot;00484DB2&quot;/&gt;&lt;wsp:rsid wsp:val=&quot;00491B7F&quot;/&gt;&lt;wsp:rsid wsp:val=&quot;004A5E00&quot;/&gt;&lt;wsp:rsid wsp:val=&quot;004B47B5&quot;/&gt;&lt;wsp:rsid wsp:val=&quot;004B62B0&quot;/&gt;&lt;wsp:rsid wsp:val=&quot;004D4808&quot;/&gt;&lt;wsp:rsid wsp:val=&quot;004E0EC3&quot;/&gt;&lt;wsp:rsid wsp:val=&quot;004E7D8D&quot;/&gt;&lt;wsp:rsid wsp:val=&quot;004F6EC4&quot;/&gt;&lt;wsp:rsid wsp:val=&quot;0050035A&quot;/&gt;&lt;wsp:rsid wsp:val=&quot;00502857&quot;/&gt;&lt;wsp:rsid wsp:val=&quot;00512E7E&quot;/&gt;&lt;wsp:rsid wsp:val=&quot;00514C22&quot;/&gt;&lt;wsp:rsid wsp:val=&quot;00515CEE&quot;/&gt;&lt;wsp:rsid wsp:val=&quot;00537569&quot;/&gt;&lt;wsp:rsid wsp:val=&quot;00542935&quot;/&gt;&lt;wsp:rsid wsp:val=&quot;00554C20&quot;/&gt;&lt;wsp:rsid wsp:val=&quot;0055706B&quot;/&gt;&lt;wsp:rsid wsp:val=&quot;00561598&quot;/&gt;&lt;wsp:rsid wsp:val=&quot;00564AB6&quot;/&gt;&lt;wsp:rsid wsp:val=&quot;00570837&quot;/&gt;&lt;wsp:rsid wsp:val=&quot;00577946&quot;/&gt;&lt;wsp:rsid wsp:val=&quot;0059264F&quot;/&gt;&lt;wsp:rsid wsp:val=&quot;005A1B24&quot;/&gt;&lt;wsp:rsid wsp:val=&quot;005A3AA7&quot;/&gt;&lt;wsp:rsid wsp:val=&quot;005A7EF3&quot;/&gt;&lt;wsp:rsid wsp:val=&quot;005B6C87&quot;/&gt;&lt;wsp:rsid wsp:val=&quot;005E4E83&quot;/&gt;&lt;wsp:rsid wsp:val=&quot;005F0782&quot;/&gt;&lt;wsp:rsid wsp:val=&quot;005F1A98&quot;/&gt;&lt;wsp:rsid wsp:val=&quot;005F663B&quot;/&gt;&lt;wsp:rsid wsp:val=&quot;006036E7&quot;/&gt;&lt;wsp:rsid wsp:val=&quot;0060577A&quot;/&gt;&lt;wsp:rsid wsp:val=&quot;006177C3&quot;/&gt;&lt;wsp:rsid wsp:val=&quot;00620C3C&quot;/&gt;&lt;wsp:rsid wsp:val=&quot;0062134F&quot;/&gt;&lt;wsp:rsid wsp:val=&quot;00622289&quot;/&gt;&lt;wsp:rsid wsp:val=&quot;00633085&quot;/&gt;&lt;wsp:rsid wsp:val=&quot;0063416B&quot;/&gt;&lt;wsp:rsid wsp:val=&quot;00646027&quot;/&gt;&lt;wsp:rsid wsp:val=&quot;006503BD&quot;/&gt;&lt;wsp:rsid wsp:val=&quot;006539D1&quot;/&gt;&lt;wsp:rsid wsp:val=&quot;006604A7&quot;/&gt;&lt;wsp:rsid wsp:val=&quot;00663CEB&quot;/&gt;&lt;wsp:rsid wsp:val=&quot;00664AF4&quot;/&gt;&lt;wsp:rsid wsp:val=&quot;00664C06&quot;/&gt;&lt;wsp:rsid wsp:val=&quot;00671243&quot;/&gt;&lt;wsp:rsid wsp:val=&quot;00671D23&quot;/&gt;&lt;wsp:rsid wsp:val=&quot;00671F6E&quot;/&gt;&lt;wsp:rsid wsp:val=&quot;006801DC&quot;/&gt;&lt;wsp:rsid wsp:val=&quot;00680DC2&quot;/&gt;&lt;wsp:rsid wsp:val=&quot;00681D69&quot;/&gt;&lt;wsp:rsid wsp:val=&quot;00682770&quot;/&gt;&lt;wsp:rsid wsp:val=&quot;0068299C&quot;/&gt;&lt;wsp:rsid wsp:val=&quot;006859F6&quot;/&gt;&lt;wsp:rsid wsp:val=&quot;00694372&quot;/&gt;&lt;wsp:rsid wsp:val=&quot;006C0963&quot;/&gt;&lt;wsp:rsid wsp:val=&quot;006C2EDA&quot;/&gt;&lt;wsp:rsid wsp:val=&quot;006D1230&quot;/&gt;&lt;wsp:rsid wsp:val=&quot;006D4E2D&quot;/&gt;&lt;wsp:rsid wsp:val=&quot;006D6BF4&quot;/&gt;&lt;wsp:rsid wsp:val=&quot;007063E5&quot;/&gt;&lt;wsp:rsid wsp:val=&quot;00707CF1&quot;/&gt;&lt;wsp:rsid wsp:val=&quot;00713916&quot;/&gt;&lt;wsp:rsid wsp:val=&quot;00713EA8&quot;/&gt;&lt;wsp:rsid wsp:val=&quot;00717F21&quot;/&gt;&lt;wsp:rsid wsp:val=&quot;00721241&quot;/&gt;&lt;wsp:rsid wsp:val=&quot;007315FC&quot;/&gt;&lt;wsp:rsid wsp:val=&quot;00732B17&quot;/&gt;&lt;wsp:rsid wsp:val=&quot;00746C7C&quot;/&gt;&lt;wsp:rsid wsp:val=&quot;00747FBB&quot;/&gt;&lt;wsp:rsid wsp:val=&quot;00750A57&quot;/&gt;&lt;wsp:rsid wsp:val=&quot;00770755&quot;/&gt;&lt;wsp:rsid wsp:val=&quot;00784E40&quot;/&gt;&lt;wsp:rsid wsp:val=&quot;00786A2D&quot;/&gt;&lt;wsp:rsid wsp:val=&quot;007A2EBF&quot;/&gt;&lt;wsp:rsid wsp:val=&quot;007A3A8E&quot;/&gt;&lt;wsp:rsid wsp:val=&quot;007A62C7&quot;/&gt;&lt;wsp:rsid wsp:val=&quot;007B1A74&quot;/&gt;&lt;wsp:rsid wsp:val=&quot;007B1BB0&quot;/&gt;&lt;wsp:rsid wsp:val=&quot;007B4D6B&quot;/&gt;&lt;wsp:rsid wsp:val=&quot;007B501B&quot;/&gt;&lt;wsp:rsid wsp:val=&quot;007B7372&quot;/&gt;&lt;wsp:rsid wsp:val=&quot;007C34CB&quot;/&gt;&lt;wsp:rsid wsp:val=&quot;007C4187&quot;/&gt;&lt;wsp:rsid wsp:val=&quot;007F0C3D&quot;/&gt;&lt;wsp:rsid wsp:val=&quot;007F7B1F&quot;/&gt;&lt;wsp:rsid wsp:val=&quot;008010E2&quot;/&gt;&lt;wsp:rsid wsp:val=&quot;0080339E&quot;/&gt;&lt;wsp:rsid wsp:val=&quot;00804F81&quot;/&gt;&lt;wsp:rsid wsp:val=&quot;00805B61&quot;/&gt;&lt;wsp:rsid wsp:val=&quot;00813AA8&quot;/&gt;&lt;wsp:rsid wsp:val=&quot;008140F0&quot;/&gt;&lt;wsp:rsid wsp:val=&quot;00823928&quot;/&gt;&lt;wsp:rsid wsp:val=&quot;0083293C&quot;/&gt;&lt;wsp:rsid wsp:val=&quot;0083510A&quot;/&gt;&lt;wsp:rsid wsp:val=&quot;0083540C&quot;/&gt;&lt;wsp:rsid wsp:val=&quot;00835DA0&quot;/&gt;&lt;wsp:rsid wsp:val=&quot;00837E76&quot;/&gt;&lt;wsp:rsid wsp:val=&quot;00842811&quot;/&gt;&lt;wsp:rsid wsp:val=&quot;00852765&quot;/&gt;&lt;wsp:rsid wsp:val=&quot;00862F41&quot;/&gt;&lt;wsp:rsid wsp:val=&quot;00873ECA&quot;/&gt;&lt;wsp:rsid wsp:val=&quot;0087631A&quot;/&gt;&lt;wsp:rsid wsp:val=&quot;008861D3&quot;/&gt;&lt;wsp:rsid wsp:val=&quot;00892D09&quot;/&gt;&lt;wsp:rsid wsp:val=&quot;008953EC&quot;/&gt;&lt;wsp:rsid wsp:val=&quot;008C1771&quot;/&gt;&lt;wsp:rsid wsp:val=&quot;008D2395&quot;/&gt;&lt;wsp:rsid wsp:val=&quot;008E5BF6&quot;/&gt;&lt;wsp:rsid wsp:val=&quot;008E6498&quot;/&gt;&lt;wsp:rsid wsp:val=&quot;008F6567&quot;/&gt;&lt;wsp:rsid wsp:val=&quot;00904E55&quot;/&gt;&lt;wsp:rsid wsp:val=&quot;00911FF7&quot;/&gt;&lt;wsp:rsid wsp:val=&quot;00913E73&quot;/&gt;&lt;wsp:rsid wsp:val=&quot;009178A6&quot;/&gt;&lt;wsp:rsid wsp:val=&quot;00920156&quot;/&gt;&lt;wsp:rsid wsp:val=&quot;00923E75&quot;/&gt;&lt;wsp:rsid wsp:val=&quot;00931888&quot;/&gt;&lt;wsp:rsid wsp:val=&quot;00933E38&quot;/&gt;&lt;wsp:rsid wsp:val=&quot;00943D6A&quot;/&gt;&lt;wsp:rsid wsp:val=&quot;00944979&quot;/&gt;&lt;wsp:rsid wsp:val=&quot;009460E1&quot;/&gt;&lt;wsp:rsid wsp:val=&quot;00952187&quot;/&gt;&lt;wsp:rsid wsp:val=&quot;00964421&quot;/&gt;&lt;wsp:rsid wsp:val=&quot;00972D85&quot;/&gt;&lt;wsp:rsid wsp:val=&quot;0098178D&quot;/&gt;&lt;wsp:rsid wsp:val=&quot;00984586&quot;/&gt;&lt;wsp:rsid wsp:val=&quot;00987810&quot;/&gt;&lt;wsp:rsid wsp:val=&quot;009B3300&quot;/&gt;&lt;wsp:rsid wsp:val=&quot;009C5F30&quot;/&gt;&lt;wsp:rsid wsp:val=&quot;009D1492&quot;/&gt;&lt;wsp:rsid wsp:val=&quot;00A06322&quot;/&gt;&lt;wsp:rsid wsp:val=&quot;00A24B9F&quot;/&gt;&lt;wsp:rsid wsp:val=&quot;00A27E08&quot;/&gt;&lt;wsp:rsid wsp:val=&quot;00A3543E&quot;/&gt;&lt;wsp:rsid wsp:val=&quot;00A362CE&quot;/&gt;&lt;wsp:rsid wsp:val=&quot;00A372A7&quot;/&gt;&lt;wsp:rsid wsp:val=&quot;00A411D9&quot;/&gt;&lt;wsp:rsid wsp:val=&quot;00A516DC&quot;/&gt;&lt;wsp:rsid wsp:val=&quot;00A52913&quot;/&gt;&lt;wsp:rsid wsp:val=&quot;00A53C05&quot;/&gt;&lt;wsp:rsid wsp:val=&quot;00A71D23&quot;/&gt;&lt;wsp:rsid wsp:val=&quot;00A742CE&quot;/&gt;&lt;wsp:rsid wsp:val=&quot;00A90E4B&quot;/&gt;&lt;wsp:rsid wsp:val=&quot;00A91737&quot;/&gt;&lt;wsp:rsid wsp:val=&quot;00AB6E48&quot;/&gt;&lt;wsp:rsid wsp:val=&quot;00AB7620&quot;/&gt;&lt;wsp:rsid wsp:val=&quot;00AB7E5B&quot;/&gt;&lt;wsp:rsid wsp:val=&quot;00AC702D&quot;/&gt;&lt;wsp:rsid wsp:val=&quot;00AD392E&quot;/&gt;&lt;wsp:rsid wsp:val=&quot;00AD56DD&quot;/&gt;&lt;wsp:rsid wsp:val=&quot;00AD5CC3&quot;/&gt;&lt;wsp:rsid wsp:val=&quot;00AE0067&quot;/&gt;&lt;wsp:rsid wsp:val=&quot;00AE1B1F&quot;/&gt;&lt;wsp:rsid wsp:val=&quot;00AF0B96&quot;/&gt;&lt;wsp:rsid wsp:val=&quot;00B01848&quot;/&gt;&lt;wsp:rsid wsp:val=&quot;00B14124&quot;/&gt;&lt;wsp:rsid wsp:val=&quot;00B15580&quot;/&gt;&lt;wsp:rsid wsp:val=&quot;00B24D45&quot;/&gt;&lt;wsp:rsid wsp:val=&quot;00B27A51&quot;/&gt;&lt;wsp:rsid wsp:val=&quot;00B37776&quot;/&gt;&lt;wsp:rsid wsp:val=&quot;00B43603&quot;/&gt;&lt;wsp:rsid wsp:val=&quot;00B550C1&quot;/&gt;&lt;wsp:rsid wsp:val=&quot;00B55DEE&quot;/&gt;&lt;wsp:rsid wsp:val=&quot;00B568BA&quot;/&gt;&lt;wsp:rsid wsp:val=&quot;00B64692&quot;/&gt;&lt;wsp:rsid wsp:val=&quot;00B8373C&quot;/&gt;&lt;wsp:rsid wsp:val=&quot;00B83926&quot;/&gt;&lt;wsp:rsid wsp:val=&quot;00B83D4F&quot;/&gt;&lt;wsp:rsid wsp:val=&quot;00B873F5&quot;/&gt;&lt;wsp:rsid wsp:val=&quot;00B969D6&quot;/&gt;&lt;wsp:rsid wsp:val=&quot;00BA5D34&quot;/&gt;&lt;wsp:rsid wsp:val=&quot;00BA66D3&quot;/&gt;&lt;wsp:rsid wsp:val=&quot;00BB12D1&quot;/&gt;&lt;wsp:rsid wsp:val=&quot;00BC1988&quot;/&gt;&lt;wsp:rsid wsp:val=&quot;00BC305C&quot;/&gt;&lt;wsp:rsid wsp:val=&quot;00BD39A6&quot;/&gt;&lt;wsp:rsid wsp:val=&quot;00BD5625&quot;/&gt;&lt;wsp:rsid wsp:val=&quot;00BE6D92&quot;/&gt;&lt;wsp:rsid wsp:val=&quot;00BE710A&quot;/&gt;&lt;wsp:rsid wsp:val=&quot;00BE785A&quot;/&gt;&lt;wsp:rsid wsp:val=&quot;00BE7B58&quot;/&gt;&lt;wsp:rsid wsp:val=&quot;00BF0A94&quot;/&gt;&lt;wsp:rsid wsp:val=&quot;00BF0C5F&quot;/&gt;&lt;wsp:rsid wsp:val=&quot;00C00CED&quot;/&gt;&lt;wsp:rsid wsp:val=&quot;00C01D64&quot;/&gt;&lt;wsp:rsid wsp:val=&quot;00C05A48&quot;/&gt;&lt;wsp:rsid wsp:val=&quot;00C16404&quot;/&gt;&lt;wsp:rsid wsp:val=&quot;00C3173D&quot;/&gt;&lt;wsp:rsid wsp:val=&quot;00C32066&quot;/&gt;&lt;wsp:rsid wsp:val=&quot;00C3311A&quot;/&gt;&lt;wsp:rsid wsp:val=&quot;00C441D2&quot;/&gt;&lt;wsp:rsid wsp:val=&quot;00C46F61&quot;/&gt;&lt;wsp:rsid wsp:val=&quot;00C63222&quot;/&gt;&lt;wsp:rsid wsp:val=&quot;00C715F2&quot;/&gt;&lt;wsp:rsid wsp:val=&quot;00C84536&quot;/&gt;&lt;wsp:rsid wsp:val=&quot;00C8484C&quot;/&gt;&lt;wsp:rsid wsp:val=&quot;00C8569A&quot;/&gt;&lt;wsp:rsid wsp:val=&quot;00C876C3&quot;/&gt;&lt;wsp:rsid wsp:val=&quot;00C90293&quot;/&gt;&lt;wsp:rsid wsp:val=&quot;00CA106B&quot;/&gt;&lt;wsp:rsid wsp:val=&quot;00CB01E2&quot;/&gt;&lt;wsp:rsid wsp:val=&quot;00CB35DE&quot;/&gt;&lt;wsp:rsid wsp:val=&quot;00CD09BF&quot;/&gt;&lt;wsp:rsid wsp:val=&quot;00CD5F69&quot;/&gt;&lt;wsp:rsid wsp:val=&quot;00CE41B1&quot;/&gt;&lt;wsp:rsid wsp:val=&quot;00CF63FF&quot;/&gt;&lt;wsp:rsid wsp:val=&quot;00D1416A&quot;/&gt;&lt;wsp:rsid wsp:val=&quot;00D3248A&quot;/&gt;&lt;wsp:rsid wsp:val=&quot;00D32F74&quot;/&gt;&lt;wsp:rsid wsp:val=&quot;00D33267&quot;/&gt;&lt;wsp:rsid wsp:val=&quot;00D408A3&quot;/&gt;&lt;wsp:rsid wsp:val=&quot;00D41BCE&quot;/&gt;&lt;wsp:rsid wsp:val=&quot;00D557DD&quot;/&gt;&lt;wsp:rsid wsp:val=&quot;00D63CC5&quot;/&gt;&lt;wsp:rsid wsp:val=&quot;00D641CB&quot;/&gt;&lt;wsp:rsid wsp:val=&quot;00D67554&quot;/&gt;&lt;wsp:rsid wsp:val=&quot;00D72102&quot;/&gt;&lt;wsp:rsid wsp:val=&quot;00D74D08&quot;/&gt;&lt;wsp:rsid wsp:val=&quot;00D76ABE&quot;/&gt;&lt;wsp:rsid wsp:val=&quot;00D86B47&quot;/&gt;&lt;wsp:rsid wsp:val=&quot;00D90BC5&quot;/&gt;&lt;wsp:rsid wsp:val=&quot;00D91C61&quot;/&gt;&lt;wsp:rsid wsp:val=&quot;00D95787&quot;/&gt;&lt;wsp:rsid wsp:val=&quot;00D97692&quot;/&gt;&lt;wsp:rsid wsp:val=&quot;00DC0CB0&quot;/&gt;&lt;wsp:rsid wsp:val=&quot;00DC3A3B&quot;/&gt;&lt;wsp:rsid wsp:val=&quot;00DC6380&quot;/&gt;&lt;wsp:rsid wsp:val=&quot;00DC6F9A&quot;/&gt;&lt;wsp:rsid wsp:val=&quot;00DD5E28&quot;/&gt;&lt;wsp:rsid wsp:val=&quot;00DD72FD&quot;/&gt;&lt;wsp:rsid wsp:val=&quot;00DE458B&quot;/&gt;&lt;wsp:rsid wsp:val=&quot;00DF0357&quot;/&gt;&lt;wsp:rsid wsp:val=&quot;00DF0F57&quot;/&gt;&lt;wsp:rsid wsp:val=&quot;00E1211A&quot;/&gt;&lt;wsp:rsid wsp:val=&quot;00E1211C&quot;/&gt;&lt;wsp:rsid wsp:val=&quot;00E15620&quot;/&gt;&lt;wsp:rsid wsp:val=&quot;00E2111D&quot;/&gt;&lt;wsp:rsid wsp:val=&quot;00E276CB&quot;/&gt;&lt;wsp:rsid wsp:val=&quot;00E42710&quot;/&gt;&lt;wsp:rsid wsp:val=&quot;00E462B6&quot;/&gt;&lt;wsp:rsid wsp:val=&quot;00E517D7&quot;/&gt;&lt;wsp:rsid wsp:val=&quot;00E51A93&quot;/&gt;&lt;wsp:rsid wsp:val=&quot;00E5474A&quot;/&gt;&lt;wsp:rsid wsp:val=&quot;00E671C9&quot;/&gt;&lt;wsp:rsid wsp:val=&quot;00E678CD&quot;/&gt;&lt;wsp:rsid wsp:val=&quot;00E8139B&quot;/&gt;&lt;wsp:rsid wsp:val=&quot;00E83268&quot;/&gt;&lt;wsp:rsid wsp:val=&quot;00E84BA2&quot;/&gt;&lt;wsp:rsid wsp:val=&quot;00E90A19&quot;/&gt;&lt;wsp:rsid wsp:val=&quot;00E95589&quot;/&gt;&lt;wsp:rsid wsp:val=&quot;00EF18E7&quot;/&gt;&lt;wsp:rsid wsp:val=&quot;00F03E48&quot;/&gt;&lt;wsp:rsid wsp:val=&quot;00F05FC3&quot;/&gt;&lt;wsp:rsid wsp:val=&quot;00F116D7&quot;/&gt;&lt;wsp:rsid wsp:val=&quot;00F3244C&quot;/&gt;&lt;wsp:rsid wsp:val=&quot;00F36E92&quot;/&gt;&lt;wsp:rsid wsp:val=&quot;00F54DFE&quot;/&gt;&lt;wsp:rsid wsp:val=&quot;00F87DDA&quot;/&gt;&lt;wsp:rsid wsp:val=&quot;00F9112C&quot;/&gt;&lt;wsp:rsid wsp:val=&quot;00F94541&quot;/&gt;&lt;wsp:rsid wsp:val=&quot;00FC2A71&quot;/&gt;&lt;wsp:rsid wsp:val=&quot;00FC6823&quot;/&gt;&lt;wsp:rsid wsp:val=&quot;00FD06AF&quot;/&gt;&lt;wsp:rsid wsp:val=&quot;00FE377B&quot;/&gt;&lt;wsp:rsid wsp:val=&quot;00FE5F09&quot;/&gt;&lt;wsp:rsid wsp:val=&quot;00FE682B&quot;/&gt;&lt;wsp:rsid wsp:val=&quot;00FF171F&quot;/&gt;&lt;wsp:rsid wsp:val=&quot;00FF4DC5&quot;/&gt;&lt;wsp:rsid wsp:val=&quot;00FF7744&quot;/&gt;&lt;/wsp:rsids&gt;&lt;/w:docPr&gt;&lt;w:body&gt;&lt;wx:sect&gt;&lt;w:p wsp:rsidR=&quot;00000000&quot; wsp:rsidRDefault=&quot;000574F1&quot; wsp:rsidP=&quot;000574F1&quot;&gt;&lt;m:oMathPara&gt;&lt;m:oMath&gt;&lt;m:sSub&gt;&lt;m:sSubPr&gt;&lt;m:ctrlPr&gt;&lt;w:rPr&gt;&lt;w:rFonts w:ascii=&quot;Cambria Math&quot; w:h-ansi=&quot;Cambria Math&quot;/&gt;&lt;wx:font wx:val=&quot;Cambria Math&quot;/&gt;&lt;w:i/&gt;&lt;w:sz w:val=&quot;23&quot;/&gt;&lt;w:sz-cs w:val=&quot;23&quot;/&gt;&lt;/w:rPr&gt;&lt;/m:ctrlPr&gt;&lt;/m:sSubPr&gt;&lt;m:e&gt;&lt;m:sSub&gt;&lt;m:sSubPr&gt;&lt;m:ctrlPr&gt;&lt;w:rPr&gt;&lt;w:rFonts w:ascii=&quot;Cambria Math&quot; w:h-ansi=&quot;Cambria Math&quot;/&gt;&lt;wx:font wx:val=&quot;Cambria Math&quot;/&gt;&lt;w:i/&gt;&lt;w:sz w:val=&quot;23&quot;/&gt;&lt;w:sz-cs w:val=&quot;23&quot;/&gt;&lt;/w:rPr&gt;&lt;/m:ctrlPr&gt;&lt;/m:sSubPr&gt;&lt;m:e&gt;&lt;m:r&gt;&lt;w:rPr&gt;&lt;w:rFonts w:ascii=&quot;Cambria Math&quot; w:h-ansi=&quot;Cambria Math&quot;/&gt;&lt;wx:font wx:val=&quot;Cambria Math&quot;/&gt;&lt;w:i/&gt;&lt;w:sz w:val=&quot;23&quot;/&gt;&lt;w:sz-cs w:val=&quot;23&quot;/&gt;&lt;/w:rPr&gt;&lt;m:t&gt;FP&lt;/m:t&gt;&lt;/m:r&gt;&lt;/m:e&gt;&lt;m:sub&gt;&lt;m:r&gt;&lt;w:rPr&gt;&lt;w:rFonts w:ascii=&quot;Cambria Math&quot; w:h-ansi=&quot;Cambria Math&quot;/&gt;&lt;wx:font wx:val=&quot;Cambria Math&quot;/&gt;&lt;w:i/&gt;&lt;w:sz w:val=&quot;23&quot;/&gt;&lt;w:sz-cs w:val=&quot;23&quot;/&gt;&lt;/w:rPr&gt;&lt;m:t&gt;it&lt;/m:t&gt;&lt;/m:r&gt;&lt;/m:sub&gt;&lt;/m:sSub&gt;&lt;m:r&gt;&lt;w:rPr&gt;&lt;w:rFonts w:ascii=&quot;Cambria Math&quot; w:h-ansi=&quot;Cambria Math&quot;/&gt;&lt;wx:font wx:val=&quot;Cambria Math&quot;/&gt;&lt;w:i/&gt;&lt;w:sz w:val=&quot;23&quot;/&gt;&lt;w:sz-cs w:val=&quot;23&quot;/&gt;&lt;/w:rPr&gt;&lt;m:t&gt;=&lt;/m:t&gt;&lt;/m:r&gt;&lt;m:sSub&gt;&lt;m:sSubPr&gt;&lt;m:ctrlPr&gt;&lt;w:rPr&gt;&lt;w:rFonts w:ascii=&quot;Cambria Math&quot; w:h-ansi=&quot;Cambria Math&quot;/&gt;&lt;wx:font wx:val=&quot;Cambria Math&quot;/&gt;&lt;w:i/&gt;&lt;w:sz w:val=&quot;23&quot;/&gt;&lt;w:sz-cs w:val=&quot;23&quot;/&gt;&lt;/w:rPr&gt;&lt;/m:ctrlPr&gt;&lt;/m:sSubPr&gt;&lt;m:e&gt;&lt;m:r&gt;&lt;w:rPr&gt;&lt;w:rFonts w:ascii=&quot;Cambria Math&quot; w:h-ansi=&quot;Cambria Math&quot;/&gt;&lt;wx:font wx:val=&quot;Cambria Math&quot;/&gt;&lt;w:i/&gt;&lt;w:sz w:val=&quot;23&quot;/&gt;&lt;w:sz-cs w:val=&quot;23&quot;/&gt;&lt;/w:rPr&gt;&lt;m:t&gt;Œ=&lt;/m:t&gt;&lt;/m:r&gt;&lt;/m:e&gt;&lt;m:sub&gt;&lt;m:r&gt;&lt;w:rPr&gt;&lt;w:rFonts w:ascii=&quot;Cambria Math&quot; w:h-ansi=&quot;Cambria Math&quot;/&gt;&lt;wx:font wx:val=&quot;Cambria Math&quot;/&gt;&lt;w:i/&gt;&lt;w:sz w:val=&quot;23&quot;/&gt;&lt;w:sz-cs w:val=&quot;23&quot;/&gt;&lt;/w:rPr&gt;&lt;m:t&gt;0&lt;/m:t&gt;&lt;/m:r&gt;&lt;/m:sub&gt;&lt;/m:sSub&gt;&lt;m:r&gt;&lt;w:rPr&gt;&lt;w:rFonts w:ascii=&quot;Cambria Math&quot; w:h-ansi=&quot;Cambria Math&quot;/&gt;&lt;wx:font wx:val=&quot;Cambria Math&quot;/&gt;&lt;w:i/&gt;&lt;w:sz w:val=&quot;23&quot;/&gt;&lt;w:sz-cs w:val=&quot;23&quot;/&gt;&lt;/w:rPr&gt;&lt;m:t&gt;+ &lt;/m:t&gt;&lt;/m:r&gt;&lt;aml:annotation aml:id=&quot;0&quot; w:type=&quot;Word.Bookmark.Start&quot; w:name=&quot;_Hlk505511161&quot;/&gt;&lt;m:sSub&gt;&lt;m:sSubPr&gt;&lt;m:ctrlPr&gt;&lt;w:rPr&gt;&lt;w:rFonts w:ascii=&quot;Cambria Math&quot; w:h-ansi=&quot;Cambria Math&quot;/&gt;&lt;wx:font wx:val=&quot;Cambria Math&quot;/&gt;&lt;w:i/&gt;&lt;w:sz w:val=&quot;23&quot;/&gt;&lt;w:sz-cs w:val=&quot;23&quot;/&gt;&lt;/w:rPr&gt;&lt;/m:ctrlPr&gt;&lt;/m:sSubPr&gt;&lt;m:e&gt;&lt;m:r&gt;&lt;w:rPr&gt;&lt;w:rFonts w:ascii=&quot;Cambria Math&quot; w:h-ansi=&quot;Cambria Math&quot;/&gt;&lt;wx:font wx:val=&quot;Cambria Math&quot;/&gt;&lt;w:i/&gt;&lt;w:sz w:val=&quot;23&quot;/&gt;&lt;w:sz-cs w:val=&quot;23&quot;/&gt;&lt;/w:rPr&gt;&lt;m:t&gt;Œ=&lt;/m:t&gt;&lt;/m:r&gt;&lt;/m:e&gt;&lt;m:sub&gt;&lt;m:r&gt;&lt;w:rPr&gt;&lt;w:rFonts w:ascii=&quot;Cambria Math&quot; w:h-ansi=&quot;Cambria Math&quot;/&gt;&lt;wx:font wx:val=&quot;Cambria Math&quot;/&gt;&lt;w:i/&gt;&lt;w:sz w:val=&quot;23&quot;/&gt;&lt;w:sz-cs w:val=&quot;23&quot;/&gt;&lt;/w:rPr&gt;&lt;m:t&gt;1&lt;/m:t&gt;&lt;/m:r&gt;&lt;/m:sub&gt;&lt;/m:sSub&gt;&lt;m:sSub&gt;&lt;m:sSubPr&gt;&lt;m:ctrlPr&gt;&lt;w:rPr&gt;&lt;w:rFonts w:ascii=&quot;Cambria Math&quot; w:h-ansi=&quot;Cambria Math&quot;/&gt;&lt;wx:font wx:val=&quot;Cambria Math&quot;/&gt;&lt;w:i/&gt;&lt;w:sz w:val=&quot;23&quot;/&gt;&lt;w:sz-cs w:val=&quot;23&quot;/&gt;&lt;/w:rPr&gt;&lt;/m:ctrlPr&gt;&lt;/m:sSubPr&gt;&lt;m:e&gt;&lt;m:r&gt;&lt;w:rPr&gt;&lt;w:rFonts w:ascii=&quot;Cambria Math&quot; w:h-ansi=&quot;Cambria Math&quot;/&gt;&lt;wx:font wx:val=&quot;Cambria Math&quot;/&gt;&lt;w:i/&gt;&lt;w:sz w:val=&quot;23&quot;/&gt;&lt;w:sz-cs w:val=&quot;23&quot;/&gt;&lt;/w:rPr&gt;&lt;m:t&gt;EMP&lt;/m:t&gt;&lt;/m:r&gt;&lt;/m:e&gt;&lt;m:sub&gt;&lt;m:r&gt;&lt;w:rPr&gt;&lt;w:rFonts w:ascii=&quot;Cambria Math&quot; w:h-ansi=&quot;Cambria Math&quot;/&gt;&lt;wx:font wx:val=&quot;Cambria Math&quot;/&gt;&lt;w:i/&gt;&lt;w:sz w:val=&quot;23&quot;/&gt;&lt;w:sz-cs w:val=&quot;23&quot;/&gt;&lt;/w:rPr&gt;&lt;m:t&gt;it&lt;/m:t&gt;&lt;/m:r&gt;&lt;/m:sub&gt;&lt;/m:sSub&gt;&lt;aml:annotation aml:id=&quot;0&quot; w:type=&quot;Word.Bookmark.End&quot;/&gt;&lt;m:r&gt;&lt;w:rPr&gt;&lt;w:rFonts w:ascii=&quot;Cambria Math&quot; w:h-ansi=&quot;Cambria Math&quot;/&gt;&lt;wx:font wx:val=&quot;Cambria Math&quot;/&gt;&lt;w:i/&gt;&lt;w:sz w:val=&quot;23&quot;/&gt;&lt;w:sz-cs w:val=&quot;23&quot;/&gt;&lt;/w:rPr&gt;&lt;m:t&gt;+&lt;/m:t&gt;&lt;/m:r&gt;&lt;m:sSub&gt;&lt;m:sSubPr&gt;&lt;m:ctrlPr&gt;&lt;w:rPr&gt;&lt;w:rFonts w:ascii=&quot;Cambria Math&quot; w:h-ansi=&quot;Cambria Math&quot;/&gt;&lt;wx:font wx:val=&quot;Cambria Math&quot;/&gt;&lt;w:i/&gt;&lt;w:sz w:val=&quot;23&quot;/&gt;&lt;w:sz-cs w:val=&quot;23&quot;/&gt;&lt;/w:rPr&gt;&lt;/m:ctrlPr&gt;&lt;/m:sSubPr&gt;&lt;m:e&gt;&lt;m:r&gt;&lt;w:rPr&gt;&lt;w:rFonts w:ascii=&quot;Cambria Math&quot; w:h-ansi=&quot;Cambria Math&quot;/&gt;&lt;wx:font wx:val=&quot;Cambria Math&quot;/&gt;&lt;w:i/&gt;&lt;w:sz w:val=&quot;23&quot;/&gt;&lt;w:sz-cs w:val=&quot;23&quot;/&gt;&lt;/w:rPr&gt;&lt;m:t&gt;Œ=&lt;/m:t&gt;&lt;/m:r&gt;&lt;/m:e&gt;&lt;m:sub&gt;&lt;m:r&gt;&lt;w:rPr&gt;&lt;w:rFonts w:ascii=&quot;Cambria Math&quot; w:h-ansi=&quot;Cambria Math&quot;/&gt;&lt;wx:font wx:val=&quot;Cambria Math&quot;/&gt;&lt;w:i/&gt;&lt;w:sz w:val=&quot;23&quot;/&gt;&lt;w:sz-cs w:val=&quot;23&quot;/&gt;&lt;/w:rPr&gt;&lt;m:t&gt;2&lt;/m:t&gt;&lt;/m:r&gt;&lt;/m:sub&gt;&lt;/m:sSub&gt;&lt;m:sSub&gt;&lt;m:sSubPr&gt;&lt;m:ctrlPr&gt;&lt;w:rPr&gt;&lt;w:rFonts w:ascii=&quot;Cambria Math&quot; w:h-ansi=&quot;Cambria Math&quot;/&gt;&lt;wx:font wx:val=&quot;Cambria Math&quot;/&gt;&lt;w:i/&gt;&lt;w:sz w:val=&quot;23&quot;/&gt;&lt;w:sz-cs w:val=&quot;23&quot;/&gt;&lt;/w:rPr&gt;&lt;/m:ctrlPr&gt;&lt;/m:sSubPr&gt;&lt;m:e&gt;&lt;m:r&gt;&lt;w:rPr&gt;&lt;w:rFonts w:ascii=&quot;Cambria Math&quot; w:h-ansi=&quot;Cambria Math&quot;/&gt;&lt;wx:font wx:val=&quot;Cambria Math&quot;/&gt;&lt;w:i/&gt;&lt;w:sz w:val=&quot;23&quot;/&gt;&lt;w:sz-cs w:val=&quot;23&quot;/&gt;&lt;/w:rPr&gt;&lt;m:t&gt;EMP2&lt;/m:t&gt;&lt;/m:r&gt;&lt;/m:e&gt;&lt;m:sub&gt;&lt;m:r&gt;&lt;w:rPr&gt;&lt;w:rFonts w:ascii=&quot;Cambria Math&quot; w:h-ansi=&quot;Cambria Math&quot;/&gt;&lt;wx:font wx:val=&quot;Cambria Math&quot;/&gt;&lt;w:i/&gt;&lt;w:sz w:val=&quot;23&quot;/&gt;&lt;w:sz-cs w:val=&quot;23&quot;/&gt;&lt;/w:rPr&gt;&lt;m:t&gt;it&lt;/m:t&gt;&lt;/m:r&gt;&lt;/m:sub&gt;&lt;/m:sSub&gt;&lt;m:sSub&gt;&lt;m:sSubPr&gt;&lt;m:ctrlPr&gt;&lt;w:rPr&gt;&lt;w:rFonts w:ascii=&quot;Cambria Math&quot; w:h-ansi=&quot;Cambria Math&quot;/&gt;&lt;wx:font wx:val=&quot;Cambria Math&quot;/&gt;&lt;w:i/&gt;&lt;w:sz w:val=&quot;23&quot;/&gt;&lt;w:sz-cs w:val=&quot;23&quot;/&gt;&lt;/w:rPr&gt;&lt;/m:ctrlPr&gt;&lt;/m:sSubPr&gt;&lt;m:e&gt;&lt;m:r&gt;&lt;w:rPr&gt;&lt;w:rFonts w:ascii=&quot;Cambria Math&quot; w:h-ansi=&quot;Cambria Math&quot;/&gt;&lt;wx:font wx:val=&quot;Cambria Math&quot;/&gt;&lt;w:i/&gt;&lt;w:sz w:val=&quot;23&quot;/&gt;&lt;w:sz-cs w:val=&quot;23&quot;/&gt;&lt;/w:rPr&gt;&lt;m:t&gt; Œ=&lt;/m:t&gt;&lt;/m:r&gt;&lt;/m:e&gt;&lt;m:sub&gt;&lt;m:r&gt;&lt;w:rPr&gt;&lt;w:rFonts w:ascii=&quot;Cambria Math&quot; w:h-ansi=&quot;Cambria Math&quot;/&gt;&lt;wx:font wx:val=&quot;Cambria Math&quot;/&gt;&lt;w:i/&gt;&lt;w:sz w:val=&quot;23&quot;/&gt;&lt;w:sz-cs w:val=&quot;23&quot;/&gt;&lt;/w:rPr&gt;&lt;m:t&gt;3&lt;/m:t&gt;&lt;/m:r&gt;&lt;/m:sub&gt;&lt;/m:sSub&gt;&lt;m:sSub&gt;&lt;m:sSubPr&gt;&lt;m:ctrlPr&gt;&lt;w:rPr&gt;&lt;w:rFonts w:ascii=&quot;Cambria Math&quot; w:h-ansi=&quot;Cambria Math&quot;/&gt;&lt;wx:font wx:val=&quot;Cambria Math&quot;/&gt;&lt;w:i/&gt;&lt;w:sz w:val=&quot;23&quot;/&gt;&lt;w:sz-cs w:val=&quot;23&quot;/&gt;&lt;/w:rPr&gt;&lt;/m:ctrlPr&gt;&lt;/m:sSubPr&gt;&lt;m:e&gt;&lt;m:r&gt;&lt;w:rPr&gt;&lt;w:rFonts w:ascii=&quot;Cambria Math&quot; w:h-ansi=&quot;Cambria Math&quot;/&gt;&lt;wx:font wx:val=&quot;Cambria Math&quot;/&gt;&lt;w:i/&gt;&lt;w:sz w:val=&quot;23&quot;/&gt;&lt;w:sz-cs w:val=&quot;23&quot;/&gt;&lt;/w:rPr&gt;&lt;m:t&gt;Controls&lt;/m:t&gt;&lt;/m:r&gt;&lt;/m:e&gt;&lt;m:sub&gt;&lt;m:r&gt;&lt;w:rPr&gt;&lt;w:rFonts w:ascii=&quot;Cambria Math&quot; w:h-ansi=&quot;Cambria Math&quot;/&gt;&lt;wx:font wx:val=&quot;Cambria Math&quot;/&gt;&lt;w:i/&gt;&lt;w:sz w:val=&quot;23&quot;/&gt;&lt;w:sz-cs w:val=&quot;23&quot;/&gt;&lt;/w:rPr&gt;&lt;m:t&gt;it&lt;/m:t&gt;&lt;/m:r&gt;&lt;/m:sub&gt;&lt;/m:sSub&gt;&lt;m:r&gt;&lt;w:rPr&gt;&lt;w:rFonts w:ascii=&quot;Cambria Math&quot; w:h-ansi=&quot;Cambria Math&quot;/&gt;&lt;wx:font wx:val=&quot;Cambria Math&quot;/&gt;&lt;w:i/&gt;&lt;w:sz w:val=&quot;23&quot;/&gt;&lt;w:sz-cs w:val=&quot;23&quot;/&gt;&lt;/w:rPr&gt;&lt;m:t&gt;+&lt;/m:t&gt;&lt;/m:r&gt;&lt;m:sSub&gt;&lt;m:sSubPr&gt;&lt;m:ctrlPr&gt;&lt;w:rPr&gt;&lt;w:rFonts w:ascii=&quot;Cambria Math&quot; w:h-ansi=&quot;Cambria Math&quot;/&gt;&lt;wx:font wx:val=&quot;Cambria Math&quot;/&gt;&lt;w:i/&gt;&lt;w:sz w:val=&quot;23&quot;/&gt;&lt;w:sz-cs w:val=&quot;23&quot;/&gt;&lt;/w:rPr&gt;&lt;/m:ctrlPr&gt;&lt;/m:sSubPr&gt;&lt;m:e&gt;&lt;m:r&gt;&lt;w:rPr&gt;&lt;w:rFonts w:ascii=&quot;Cambria Math&quot; w:h-ansi=&quot;Cambria Math&quot;/&gt;&lt;wx:font wx:val=&quot;Cambria Math&quot;/&gt;&lt;w:i/&gt;&lt;w:sz w:val=&quot;23&quot;/&gt;&lt;w:sz-cs w:val=&quot;23&quot;/&gt;&lt;/w:rPr&gt;&lt;m:t&gt;Œº&lt;/m:t&gt;&lt;/m:r&gt;&lt;/m:e&gt;&lt;m:sub&gt;&lt;m:r&gt;&lt;w:rPr&gt;&lt;w:rFonts w:ascii=&quot;Cambria Math&quot; w:h-ansi=&quot;Cambria Math&quot;/&gt;&lt;wx:font wx:val=&quot;Cambria Math&quot;/&gt;&lt;w:i/&gt;&lt;w:sz w:val=&quot;23&quot;/&gt;&lt;w:sz-cs w:val=&quot;23&quot;/&gt;&lt;/w:rPr&gt;&lt;m:t&gt;it&lt;/m:t&gt;&lt;/m:r&gt;&lt;/m:sub&gt;&lt;/m:sSub&gt;&lt;m:r&gt;&lt;w:rPr&gt;&lt;w:rFonts w:ascii=&quot;Cambria Math&quot; w:h-ansi=&quot;Cambria Math&quot;/&gt;&lt;wx:font wx:val=&quot;Cambria Math&quot;/&gt;&lt;w:i/&gt;&lt;w:sz w:val=&quot;23&quot;/&gt;&lt;w:sz-cs w:val=&quot;23&quot;/&gt;&lt;/w:rPr&gt;&lt;m:t&gt;+&lt;/m:t&gt;&lt;/m:r&gt;&lt;m:sSub&gt;&lt;m:sSubPr&gt;&lt;m:ctrlPr&gt;&lt;w:rPr&gt;&lt;w:rFonts w:ascii=&quot;Cambria Math&quot; w:h-ansi=&quot;Cambria Math&quot;/&gt;&lt;wx:font wx:val=&quot;Cambria Math&quot;/&gt;&lt;w:i/&gt;&lt;w:sz w:val=&quot;23&quot;/&gt;&lt;w:sz-cs w:val=&quot;23&quot;/&gt;&lt;/w:rPr&gt;&lt;/m:ctrlPr&gt;&lt;/m:sSubPr&gt;&lt;m:e&gt;&lt;m:r&gt;&lt;w:rPr&gt;&lt;w:rFonts w:ascii=&quot;Cambria Math&quot; w:h-ansi=&quot;Cambria Math&quot;/&gt;&lt;wx:font wx:val=&quot;Cambria Math&quot;/&gt;&lt;w:i/&gt;&lt;w:sz w:val=&quot;23&quot;/&gt;&lt;w:sz-cs w:val=&quot;23&quot;/&gt;&lt;/w:rPr&gt;&lt;m:t&gt;Œª&lt;/m:t&gt;&lt;/m:r&gt;&lt;/m:e&gt;&lt;m:sub&gt;&lt;m:r&gt;&lt;w:rPr&gt;&lt;w:rFonts w:ascii=&quot;Cambria Math&quot; w:h-ansi=&quot;Cambria Math&quot;/&gt;&lt;wx:font wx:val=&quot;Cambria Math&quot;/&gt;&lt;w:i/&gt;&lt;w:sz w:val=&quot;23&quot;/&gt;&lt;w:sz-cs w:val=&quot;23&quot;/&gt;&lt;/w:rPr&gt;&lt;m:t&gt;it&lt;/m:t&gt;&lt;/m:r&gt;&lt;/m:sub&gt;&lt;/m:sSub&gt;&lt;m:r&gt;&lt;w:rPr&gt;&lt;w:rFonts w:ascii=&quot;Cambria Math&quot; w:h-ansi=&quot;Cambria Math&quot;/&gt;&lt;wx:font wx:val=&quot;Cambria Math&quot;/&gt;&lt;w:i/&gt;&lt;w:sz w:val=&quot;23&quot;/&gt;&lt;w:sz-cs w:val=&quot;23&quot;/&gt;&lt;/w:rPr&gt;&lt;m:t&gt;+&lt;/m:t&gt;&lt;/m:r&gt;&lt;m:sSub&gt;&lt;m:sSubPr&gt;&lt;m:ctrlPr&gt;&lt;w:rPr&gt;&lt;w:rFonts w:ascii=&quot;Cambria Math&quot; w:h-ansi=&quot;Cambria Math&quot;/&gt;&lt;wx:font wx:val=&quot;Cambria Math&quot;/&gt;&lt;w:i/&gt;&lt;w:sz w:val=&quot;23&quot;/&gt;&lt;w:sz-cs w:val=&quot;23&quot;/&gt;&lt;/w:rPr&gt;&lt;/m:ctrlPr&gt;&lt;/m:sSubPr&gt;&lt;m:e&gt;&lt;m:r&gt;&lt;w:rPr&gt;&lt;w:rFonts w:ascii=&quot;Cambria Math&quot; w:h-ansi=&quot;Cambria Math&quot;/&gt;&lt;wx:font wx:val=&quot;Cambria Math&quot;/&gt;&lt;w:i/&gt;&lt;w:sz w:val=&quot;23&quot;/&gt;&lt;w:sz-cs w:val=&quot;23&quot;/&gt;&lt;/w:rPr&gt;&lt;m:t&gt;Œµ&lt;/m:t&gt;&lt;/m:r&gt;&lt;/m:e&gt;&lt;m:sub&gt;&lt;m:r&gt;&lt;w:rPr&gt;&lt;w:rFonts w:ascii=&quot;Cambria Math&quot; w:h-ansi=&quot;Cambria Math&quot;/&gt;&lt;wx:font wx:val=&quot;Cambria Math&quot;/&gt;&lt;w:i/&gt;&lt;w:sz w:val=&quot;23&quot;/&gt;&lt;w:sz-cs w:val=&quot;23&quot;/&gt;&lt;/w:rPr&gt;&lt;m:t&gt;it&lt;/m:t&gt;&lt;/m:r&gt;&lt;/m:sub&gt;&lt;/m:sSub&gt;&lt;/m:e&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055865">
        <w:rPr>
          <w:rFonts w:ascii="Garamond" w:eastAsia="Times New Roman" w:hAnsi="Garamond"/>
          <w:sz w:val="23"/>
          <w:szCs w:val="23"/>
        </w:rPr>
        <w:instrText xml:space="preserve"> </w:instrText>
      </w:r>
      <w:r w:rsidRPr="00055865">
        <w:rPr>
          <w:rFonts w:ascii="Garamond" w:eastAsia="Times New Roman" w:hAnsi="Garamond"/>
          <w:sz w:val="23"/>
          <w:szCs w:val="23"/>
        </w:rPr>
        <w:fldChar w:fldCharType="end"/>
      </w:r>
      <w:r w:rsidRPr="00055865">
        <w:rPr>
          <w:rFonts w:ascii="Garamond" w:hAnsi="Garamond"/>
          <w:sz w:val="23"/>
          <w:szCs w:val="23"/>
        </w:rPr>
        <w:br/>
      </w:r>
      <w:r w:rsidR="00806386">
        <w:rPr>
          <w:rFonts w:ascii="Garamond" w:hAnsi="Garamond"/>
          <w:noProof/>
        </w:rPr>
        <w:pict w14:anchorId="3B0F3543">
          <v:shape id="_x0000_i1033" type="#_x0000_t75" alt="" style="width:309.6pt;height:14.4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MzU2sTQ3MDO2MLIwMDVS0lEKTi0uzszPAykwMqgFAH0r8eUtAAAA&quot;/&gt;&lt;/w:docVars&gt;&lt;wsp:rsids&gt;&lt;wsp:rsidRoot wsp:val=&quot;006036E7&quot;/&gt;&lt;wsp:rsid wsp:val=&quot;00006990&quot;/&gt;&lt;wsp:rsid wsp:val=&quot;00013C17&quot;/&gt;&lt;wsp:rsid wsp:val=&quot;00017851&quot;/&gt;&lt;wsp:rsid wsp:val=&quot;00023262&quot;/&gt;&lt;wsp:rsid wsp:val=&quot;00024C92&quot;/&gt;&lt;wsp:rsid wsp:val=&quot;00030754&quot;/&gt;&lt;wsp:rsid wsp:val=&quot;0003694C&quot;/&gt;&lt;wsp:rsid wsp:val=&quot;00037DBB&quot;/&gt;&lt;wsp:rsid wsp:val=&quot;000444D2&quot;/&gt;&lt;wsp:rsid wsp:val=&quot;00044C1F&quot;/&gt;&lt;wsp:rsid wsp:val=&quot;00063A9B&quot;/&gt;&lt;wsp:rsid wsp:val=&quot;000675BF&quot;/&gt;&lt;wsp:rsid wsp:val=&quot;00075262&quot;/&gt;&lt;wsp:rsid wsp:val=&quot;0007589E&quot;/&gt;&lt;wsp:rsid wsp:val=&quot;00076741&quot;/&gt;&lt;wsp:rsid wsp:val=&quot;0008143B&quot;/&gt;&lt;wsp:rsid wsp:val=&quot;00081817&quot;/&gt;&lt;wsp:rsid wsp:val=&quot;00081A23&quot;/&gt;&lt;wsp:rsid wsp:val=&quot;00084561&quot;/&gt;&lt;wsp:rsid wsp:val=&quot;00085160&quot;/&gt;&lt;wsp:rsid wsp:val=&quot;00091380&quot;/&gt;&lt;wsp:rsid wsp:val=&quot;00095385&quot;/&gt;&lt;wsp:rsid wsp:val=&quot;000A07A0&quot;/&gt;&lt;wsp:rsid wsp:val=&quot;000A6CAB&quot;/&gt;&lt;wsp:rsid wsp:val=&quot;000A7612&quot;/&gt;&lt;wsp:rsid wsp:val=&quot;000B3D51&quot;/&gt;&lt;wsp:rsid wsp:val=&quot;000C3826&quot;/&gt;&lt;wsp:rsid wsp:val=&quot;000D1F37&quot;/&gt;&lt;wsp:rsid wsp:val=&quot;000D6337&quot;/&gt;&lt;wsp:rsid wsp:val=&quot;000E0DF4&quot;/&gt;&lt;wsp:rsid wsp:val=&quot;000E2B8A&quot;/&gt;&lt;wsp:rsid wsp:val=&quot;000E33FE&quot;/&gt;&lt;wsp:rsid wsp:val=&quot;000E701F&quot;/&gt;&lt;wsp:rsid wsp:val=&quot;000E7B98&quot;/&gt;&lt;wsp:rsid wsp:val=&quot;000F0A82&quot;/&gt;&lt;wsp:rsid wsp:val=&quot;0010708E&quot;/&gt;&lt;wsp:rsid wsp:val=&quot;00111DC4&quot;/&gt;&lt;wsp:rsid wsp:val=&quot;001121F1&quot;/&gt;&lt;wsp:rsid wsp:val=&quot;00114317&quot;/&gt;&lt;wsp:rsid wsp:val=&quot;001161CB&quot;/&gt;&lt;wsp:rsid wsp:val=&quot;0011798C&quot;/&gt;&lt;wsp:rsid wsp:val=&quot;0012578B&quot;/&gt;&lt;wsp:rsid wsp:val=&quot;0012795D&quot;/&gt;&lt;wsp:rsid wsp:val=&quot;00127DD3&quot;/&gt;&lt;wsp:rsid wsp:val=&quot;00130DC0&quot;/&gt;&lt;wsp:rsid wsp:val=&quot;00132EA0&quot;/&gt;&lt;wsp:rsid wsp:val=&quot;0013327A&quot;/&gt;&lt;wsp:rsid wsp:val=&quot;001372DD&quot;/&gt;&lt;wsp:rsid wsp:val=&quot;00145E9E&quot;/&gt;&lt;wsp:rsid wsp:val=&quot;001471EC&quot;/&gt;&lt;wsp:rsid wsp:val=&quot;00147E9B&quot;/&gt;&lt;wsp:rsid wsp:val=&quot;001510EB&quot;/&gt;&lt;wsp:rsid wsp:val=&quot;00157FBB&quot;/&gt;&lt;wsp:rsid wsp:val=&quot;00171230&quot;/&gt;&lt;wsp:rsid wsp:val=&quot;00172991&quot;/&gt;&lt;wsp:rsid wsp:val=&quot;00175083&quot;/&gt;&lt;wsp:rsid wsp:val=&quot;001751CC&quot;/&gt;&lt;wsp:rsid wsp:val=&quot;001764C5&quot;/&gt;&lt;wsp:rsid wsp:val=&quot;00181FF7&quot;/&gt;&lt;wsp:rsid wsp:val=&quot;001841B9&quot;/&gt;&lt;wsp:rsid wsp:val=&quot;00186608&quot;/&gt;&lt;wsp:rsid wsp:val=&quot;00197319&quot;/&gt;&lt;wsp:rsid wsp:val=&quot;001A3CA6&quot;/&gt;&lt;wsp:rsid wsp:val=&quot;001D1F21&quot;/&gt;&lt;wsp:rsid wsp:val=&quot;001D7CDA&quot;/&gt;&lt;wsp:rsid wsp:val=&quot;001E0827&quot;/&gt;&lt;wsp:rsid wsp:val=&quot;001E63EC&quot;/&gt;&lt;wsp:rsid wsp:val=&quot;001F29AD&quot;/&gt;&lt;wsp:rsid wsp:val=&quot;00200C00&quot;/&gt;&lt;wsp:rsid wsp:val=&quot;00201C10&quot;/&gt;&lt;wsp:rsid wsp:val=&quot;0020459A&quot;/&gt;&lt;wsp:rsid wsp:val=&quot;00204961&quot;/&gt;&lt;wsp:rsid wsp:val=&quot;00204EC7&quot;/&gt;&lt;wsp:rsid wsp:val=&quot;00223956&quot;/&gt;&lt;wsp:rsid wsp:val=&quot;00236E5E&quot;/&gt;&lt;wsp:rsid wsp:val=&quot;00240574&quot;/&gt;&lt;wsp:rsid wsp:val=&quot;00244145&quot;/&gt;&lt;wsp:rsid wsp:val=&quot;00245147&quot;/&gt;&lt;wsp:rsid wsp:val=&quot;00247544&quot;/&gt;&lt;wsp:rsid wsp:val=&quot;00267DA0&quot;/&gt;&lt;wsp:rsid wsp:val=&quot;00280155&quot;/&gt;&lt;wsp:rsid wsp:val=&quot;00285FBA&quot;/&gt;&lt;wsp:rsid wsp:val=&quot;00286D7C&quot;/&gt;&lt;wsp:rsid wsp:val=&quot;00286FEC&quot;/&gt;&lt;wsp:rsid wsp:val=&quot;002A01F1&quot;/&gt;&lt;wsp:rsid wsp:val=&quot;002A1E01&quot;/&gt;&lt;wsp:rsid wsp:val=&quot;002B7C72&quot;/&gt;&lt;wsp:rsid wsp:val=&quot;002C28F5&quot;/&gt;&lt;wsp:rsid wsp:val=&quot;002C6F94&quot;/&gt;&lt;wsp:rsid wsp:val=&quot;002C702F&quot;/&gt;&lt;wsp:rsid wsp:val=&quot;002D2311&quot;/&gt;&lt;wsp:rsid wsp:val=&quot;002D2C35&quot;/&gt;&lt;wsp:rsid wsp:val=&quot;002D470F&quot;/&gt;&lt;wsp:rsid wsp:val=&quot;002E0DDE&quot;/&gt;&lt;wsp:rsid wsp:val=&quot;002E26FB&quot;/&gt;&lt;wsp:rsid wsp:val=&quot;003012D3&quot;/&gt;&lt;wsp:rsid wsp:val=&quot;00304AAB&quot;/&gt;&lt;wsp:rsid wsp:val=&quot;00312355&quot;/&gt;&lt;wsp:rsid wsp:val=&quot;003375A1&quot;/&gt;&lt;wsp:rsid wsp:val=&quot;0034107D&quot;/&gt;&lt;wsp:rsid wsp:val=&quot;003455B5&quot;/&gt;&lt;wsp:rsid wsp:val=&quot;00355708&quot;/&gt;&lt;wsp:rsid wsp:val=&quot;00363419&quot;/&gt;&lt;wsp:rsid wsp:val=&quot;00363824&quot;/&gt;&lt;wsp:rsid wsp:val=&quot;003746A6&quot;/&gt;&lt;wsp:rsid wsp:val=&quot;00386296&quot;/&gt;&lt;wsp:rsid wsp:val=&quot;00390F79&quot;/&gt;&lt;wsp:rsid wsp:val=&quot;0039348B&quot;/&gt;&lt;wsp:rsid wsp:val=&quot;003B0842&quot;/&gt;&lt;wsp:rsid wsp:val=&quot;003B2D26&quot;/&gt;&lt;wsp:rsid wsp:val=&quot;003B3BE9&quot;/&gt;&lt;wsp:rsid wsp:val=&quot;003B6CFB&quot;/&gt;&lt;wsp:rsid wsp:val=&quot;003D2284&quot;/&gt;&lt;wsp:rsid wsp:val=&quot;003D3E6A&quot;/&gt;&lt;wsp:rsid wsp:val=&quot;003D7ECE&quot;/&gt;&lt;wsp:rsid wsp:val=&quot;003E2993&quot;/&gt;&lt;wsp:rsid wsp:val=&quot;003E4689&quot;/&gt;&lt;wsp:rsid wsp:val=&quot;003E74F0&quot;/&gt;&lt;wsp:rsid wsp:val=&quot;003F7E97&quot;/&gt;&lt;wsp:rsid wsp:val=&quot;0040109E&quot;/&gt;&lt;wsp:rsid wsp:val=&quot;004179F2&quot;/&gt;&lt;wsp:rsid wsp:val=&quot;00425317&quot;/&gt;&lt;wsp:rsid wsp:val=&quot;00431892&quot;/&gt;&lt;wsp:rsid wsp:val=&quot;00435FA0&quot;/&gt;&lt;wsp:rsid wsp:val=&quot;004432B8&quot;/&gt;&lt;wsp:rsid wsp:val=&quot;00444353&quot;/&gt;&lt;wsp:rsid wsp:val=&quot;0045476C&quot;/&gt;&lt;wsp:rsid wsp:val=&quot;00461247&quot;/&gt;&lt;wsp:rsid wsp:val=&quot;0047050D&quot;/&gt;&lt;wsp:rsid wsp:val=&quot;00480AAF&quot;/&gt;&lt;wsp:rsid wsp:val=&quot;00484DB2&quot;/&gt;&lt;wsp:rsid wsp:val=&quot;00491B7F&quot;/&gt;&lt;wsp:rsid wsp:val=&quot;004A5E00&quot;/&gt;&lt;wsp:rsid wsp:val=&quot;004B47B5&quot;/&gt;&lt;wsp:rsid wsp:val=&quot;004B62B0&quot;/&gt;&lt;wsp:rsid wsp:val=&quot;004D4808&quot;/&gt;&lt;wsp:rsid wsp:val=&quot;004E0EC3&quot;/&gt;&lt;wsp:rsid wsp:val=&quot;004E7D8D&quot;/&gt;&lt;wsp:rsid wsp:val=&quot;004F6EC4&quot;/&gt;&lt;wsp:rsid wsp:val=&quot;0050035A&quot;/&gt;&lt;wsp:rsid wsp:val=&quot;00502857&quot;/&gt;&lt;wsp:rsid wsp:val=&quot;00512E7E&quot;/&gt;&lt;wsp:rsid wsp:val=&quot;00514C22&quot;/&gt;&lt;wsp:rsid wsp:val=&quot;00515CEE&quot;/&gt;&lt;wsp:rsid wsp:val=&quot;00537569&quot;/&gt;&lt;wsp:rsid wsp:val=&quot;00542935&quot;/&gt;&lt;wsp:rsid wsp:val=&quot;00554C20&quot;/&gt;&lt;wsp:rsid wsp:val=&quot;0055706B&quot;/&gt;&lt;wsp:rsid wsp:val=&quot;00561598&quot;/&gt;&lt;wsp:rsid wsp:val=&quot;00564AB6&quot;/&gt;&lt;wsp:rsid wsp:val=&quot;00570837&quot;/&gt;&lt;wsp:rsid wsp:val=&quot;00577946&quot;/&gt;&lt;wsp:rsid wsp:val=&quot;0059264F&quot;/&gt;&lt;wsp:rsid wsp:val=&quot;005A1B24&quot;/&gt;&lt;wsp:rsid wsp:val=&quot;005A3AA7&quot;/&gt;&lt;wsp:rsid wsp:val=&quot;005A7EF3&quot;/&gt;&lt;wsp:rsid wsp:val=&quot;005B6C87&quot;/&gt;&lt;wsp:rsid wsp:val=&quot;005E4E83&quot;/&gt;&lt;wsp:rsid wsp:val=&quot;005F0782&quot;/&gt;&lt;wsp:rsid wsp:val=&quot;005F1A98&quot;/&gt;&lt;wsp:rsid wsp:val=&quot;005F5B68&quot;/&gt;&lt;wsp:rsid wsp:val=&quot;005F663B&quot;/&gt;&lt;wsp:rsid wsp:val=&quot;006036E7&quot;/&gt;&lt;wsp:rsid wsp:val=&quot;0060577A&quot;/&gt;&lt;wsp:rsid wsp:val=&quot;006177C3&quot;/&gt;&lt;wsp:rsid wsp:val=&quot;00620C3C&quot;/&gt;&lt;wsp:rsid wsp:val=&quot;0062134F&quot;/&gt;&lt;wsp:rsid wsp:val=&quot;00622289&quot;/&gt;&lt;wsp:rsid wsp:val=&quot;00633085&quot;/&gt;&lt;wsp:rsid wsp:val=&quot;0063416B&quot;/&gt;&lt;wsp:rsid wsp:val=&quot;00646027&quot;/&gt;&lt;wsp:rsid wsp:val=&quot;006503BD&quot;/&gt;&lt;wsp:rsid wsp:val=&quot;006539D1&quot;/&gt;&lt;wsp:rsid wsp:val=&quot;006604A7&quot;/&gt;&lt;wsp:rsid wsp:val=&quot;00663CEB&quot;/&gt;&lt;wsp:rsid wsp:val=&quot;00664AF4&quot;/&gt;&lt;wsp:rsid wsp:val=&quot;00664C06&quot;/&gt;&lt;wsp:rsid wsp:val=&quot;00671243&quot;/&gt;&lt;wsp:rsid wsp:val=&quot;00671D23&quot;/&gt;&lt;wsp:rsid wsp:val=&quot;00671F6E&quot;/&gt;&lt;wsp:rsid wsp:val=&quot;006801DC&quot;/&gt;&lt;wsp:rsid wsp:val=&quot;00680DC2&quot;/&gt;&lt;wsp:rsid wsp:val=&quot;00681D69&quot;/&gt;&lt;wsp:rsid wsp:val=&quot;00682770&quot;/&gt;&lt;wsp:rsid wsp:val=&quot;0068299C&quot;/&gt;&lt;wsp:rsid wsp:val=&quot;006859F6&quot;/&gt;&lt;wsp:rsid wsp:val=&quot;00694372&quot;/&gt;&lt;wsp:rsid wsp:val=&quot;006A637C&quot;/&gt;&lt;wsp:rsid wsp:val=&quot;006C0963&quot;/&gt;&lt;wsp:rsid wsp:val=&quot;006C2EDA&quot;/&gt;&lt;wsp:rsid wsp:val=&quot;006D1230&quot;/&gt;&lt;wsp:rsid wsp:val=&quot;006D4E2D&quot;/&gt;&lt;wsp:rsid wsp:val=&quot;006D6BF4&quot;/&gt;&lt;wsp:rsid wsp:val=&quot;007063E5&quot;/&gt;&lt;wsp:rsid wsp:val=&quot;00707CF1&quot;/&gt;&lt;wsp:rsid wsp:val=&quot;00713916&quot;/&gt;&lt;wsp:rsid wsp:val=&quot;00713EA8&quot;/&gt;&lt;wsp:rsid wsp:val=&quot;00717F21&quot;/&gt;&lt;wsp:rsid wsp:val=&quot;00721241&quot;/&gt;&lt;wsp:rsid wsp:val=&quot;007315FC&quot;/&gt;&lt;wsp:rsid wsp:val=&quot;00732AFA&quot;/&gt;&lt;wsp:rsid wsp:val=&quot;00732B17&quot;/&gt;&lt;wsp:rsid wsp:val=&quot;00746C7C&quot;/&gt;&lt;wsp:rsid wsp:val=&quot;00747FBB&quot;/&gt;&lt;wsp:rsid wsp:val=&quot;00750A57&quot;/&gt;&lt;wsp:rsid wsp:val=&quot;00770755&quot;/&gt;&lt;wsp:rsid wsp:val=&quot;00784E40&quot;/&gt;&lt;wsp:rsid wsp:val=&quot;00786A2D&quot;/&gt;&lt;wsp:rsid wsp:val=&quot;007A2EBF&quot;/&gt;&lt;wsp:rsid wsp:val=&quot;007A3A8E&quot;/&gt;&lt;wsp:rsid wsp:val=&quot;007A62C7&quot;/&gt;&lt;wsp:rsid wsp:val=&quot;007B1A74&quot;/&gt;&lt;wsp:rsid wsp:val=&quot;007B1BB0&quot;/&gt;&lt;wsp:rsid wsp:val=&quot;007B4D6B&quot;/&gt;&lt;wsp:rsid wsp:val=&quot;007B501B&quot;/&gt;&lt;wsp:rsid wsp:val=&quot;007B7372&quot;/&gt;&lt;wsp:rsid wsp:val=&quot;007C34CB&quot;/&gt;&lt;wsp:rsid wsp:val=&quot;007C4187&quot;/&gt;&lt;wsp:rsid wsp:val=&quot;007E748D&quot;/&gt;&lt;wsp:rsid wsp:val=&quot;007F0C3D&quot;/&gt;&lt;wsp:rsid wsp:val=&quot;007F7B1F&quot;/&gt;&lt;wsp:rsid wsp:val=&quot;008010E2&quot;/&gt;&lt;wsp:rsid wsp:val=&quot;0080339E&quot;/&gt;&lt;wsp:rsid wsp:val=&quot;00804F81&quot;/&gt;&lt;wsp:rsid wsp:val=&quot;00805B61&quot;/&gt;&lt;wsp:rsid wsp:val=&quot;00813AA8&quot;/&gt;&lt;wsp:rsid wsp:val=&quot;008140F0&quot;/&gt;&lt;wsp:rsid wsp:val=&quot;00823928&quot;/&gt;&lt;wsp:rsid wsp:val=&quot;0083293C&quot;/&gt;&lt;wsp:rsid wsp:val=&quot;0083510A&quot;/&gt;&lt;wsp:rsid wsp:val=&quot;0083540C&quot;/&gt;&lt;wsp:rsid wsp:val=&quot;00835DA0&quot;/&gt;&lt;wsp:rsid wsp:val=&quot;00837E76&quot;/&gt;&lt;wsp:rsid wsp:val=&quot;00842811&quot;/&gt;&lt;wsp:rsid wsp:val=&quot;00852765&quot;/&gt;&lt;wsp:rsid wsp:val=&quot;00862F41&quot;/&gt;&lt;wsp:rsid wsp:val=&quot;00873ECA&quot;/&gt;&lt;wsp:rsid wsp:val=&quot;0087631A&quot;/&gt;&lt;wsp:rsid wsp:val=&quot;008861D3&quot;/&gt;&lt;wsp:rsid wsp:val=&quot;00892D09&quot;/&gt;&lt;wsp:rsid wsp:val=&quot;008953EC&quot;/&gt;&lt;wsp:rsid wsp:val=&quot;008C1771&quot;/&gt;&lt;wsp:rsid wsp:val=&quot;008D2395&quot;/&gt;&lt;wsp:rsid wsp:val=&quot;008E5BF6&quot;/&gt;&lt;wsp:rsid wsp:val=&quot;008E6498&quot;/&gt;&lt;wsp:rsid wsp:val=&quot;008F6567&quot;/&gt;&lt;wsp:rsid wsp:val=&quot;009025B7&quot;/&gt;&lt;wsp:rsid wsp:val=&quot;00904E55&quot;/&gt;&lt;wsp:rsid wsp:val=&quot;00911FF7&quot;/&gt;&lt;wsp:rsid wsp:val=&quot;00913E73&quot;/&gt;&lt;wsp:rsid wsp:val=&quot;009178A6&quot;/&gt;&lt;wsp:rsid wsp:val=&quot;00920156&quot;/&gt;&lt;wsp:rsid wsp:val=&quot;00923E75&quot;/&gt;&lt;wsp:rsid wsp:val=&quot;00931888&quot;/&gt;&lt;wsp:rsid wsp:val=&quot;00933E38&quot;/&gt;&lt;wsp:rsid wsp:val=&quot;00943D6A&quot;/&gt;&lt;wsp:rsid wsp:val=&quot;00944979&quot;/&gt;&lt;wsp:rsid wsp:val=&quot;009460E1&quot;/&gt;&lt;wsp:rsid wsp:val=&quot;00952187&quot;/&gt;&lt;wsp:rsid wsp:val=&quot;00964421&quot;/&gt;&lt;wsp:rsid wsp:val=&quot;00972D85&quot;/&gt;&lt;wsp:rsid wsp:val=&quot;0098178D&quot;/&gt;&lt;wsp:rsid wsp:val=&quot;00984586&quot;/&gt;&lt;wsp:rsid wsp:val=&quot;00987810&quot;/&gt;&lt;wsp:rsid wsp:val=&quot;009A197D&quot;/&gt;&lt;wsp:rsid wsp:val=&quot;009B3300&quot;/&gt;&lt;wsp:rsid wsp:val=&quot;009B3527&quot;/&gt;&lt;wsp:rsid wsp:val=&quot;009C5F30&quot;/&gt;&lt;wsp:rsid wsp:val=&quot;009D1492&quot;/&gt;&lt;wsp:rsid wsp:val=&quot;00A06322&quot;/&gt;&lt;wsp:rsid wsp:val=&quot;00A24B9F&quot;/&gt;&lt;wsp:rsid wsp:val=&quot;00A27E08&quot;/&gt;&lt;wsp:rsid wsp:val=&quot;00A3543E&quot;/&gt;&lt;wsp:rsid wsp:val=&quot;00A35674&quot;/&gt;&lt;wsp:rsid wsp:val=&quot;00A362CE&quot;/&gt;&lt;wsp:rsid wsp:val=&quot;00A372A7&quot;/&gt;&lt;wsp:rsid wsp:val=&quot;00A411D9&quot;/&gt;&lt;wsp:rsid wsp:val=&quot;00A4402C&quot;/&gt;&lt;wsp:rsid wsp:val=&quot;00A516DC&quot;/&gt;&lt;wsp:rsid wsp:val=&quot;00A52913&quot;/&gt;&lt;wsp:rsid wsp:val=&quot;00A53C05&quot;/&gt;&lt;wsp:rsid wsp:val=&quot;00A60134&quot;/&gt;&lt;wsp:rsid wsp:val=&quot;00A71D23&quot;/&gt;&lt;wsp:rsid wsp:val=&quot;00A742CE&quot;/&gt;&lt;wsp:rsid wsp:val=&quot;00A90E4B&quot;/&gt;&lt;wsp:rsid wsp:val=&quot;00A91737&quot;/&gt;&lt;wsp:rsid wsp:val=&quot;00AB6E48&quot;/&gt;&lt;wsp:rsid wsp:val=&quot;00AB7620&quot;/&gt;&lt;wsp:rsid wsp:val=&quot;00AB7E5B&quot;/&gt;&lt;wsp:rsid wsp:val=&quot;00AC702D&quot;/&gt;&lt;wsp:rsid wsp:val=&quot;00AD292A&quot;/&gt;&lt;wsp:rsid wsp:val=&quot;00AD392E&quot;/&gt;&lt;wsp:rsid wsp:val=&quot;00AD56DD&quot;/&gt;&lt;wsp:rsid wsp:val=&quot;00AD5CC3&quot;/&gt;&lt;wsp:rsid wsp:val=&quot;00AE0067&quot;/&gt;&lt;wsp:rsid wsp:val=&quot;00AE1B1F&quot;/&gt;&lt;wsp:rsid wsp:val=&quot;00AF0B96&quot;/&gt;&lt;wsp:rsid wsp:val=&quot;00B01848&quot;/&gt;&lt;wsp:rsid wsp:val=&quot;00B14124&quot;/&gt;&lt;wsp:rsid wsp:val=&quot;00B15580&quot;/&gt;&lt;wsp:rsid wsp:val=&quot;00B24D45&quot;/&gt;&lt;wsp:rsid wsp:val=&quot;00B2767F&quot;/&gt;&lt;wsp:rsid wsp:val=&quot;00B27A51&quot;/&gt;&lt;wsp:rsid wsp:val=&quot;00B37776&quot;/&gt;&lt;wsp:rsid wsp:val=&quot;00B43603&quot;/&gt;&lt;wsp:rsid wsp:val=&quot;00B550C1&quot;/&gt;&lt;wsp:rsid wsp:val=&quot;00B55DEE&quot;/&gt;&lt;wsp:rsid wsp:val=&quot;00B568BA&quot;/&gt;&lt;wsp:rsid wsp:val=&quot;00B64692&quot;/&gt;&lt;wsp:rsid wsp:val=&quot;00B8373C&quot;/&gt;&lt;wsp:rsid wsp:val=&quot;00B83926&quot;/&gt;&lt;wsp:rsid wsp:val=&quot;00B83D4F&quot;/&gt;&lt;wsp:rsid wsp:val=&quot;00B873F5&quot;/&gt;&lt;wsp:rsid wsp:val=&quot;00B969D6&quot;/&gt;&lt;wsp:rsid wsp:val=&quot;00BA5D34&quot;/&gt;&lt;wsp:rsid wsp:val=&quot;00BA66D3&quot;/&gt;&lt;wsp:rsid wsp:val=&quot;00BB12D1&quot;/&gt;&lt;wsp:rsid wsp:val=&quot;00BC1988&quot;/&gt;&lt;wsp:rsid wsp:val=&quot;00BC305C&quot;/&gt;&lt;wsp:rsid wsp:val=&quot;00BD39A6&quot;/&gt;&lt;wsp:rsid wsp:val=&quot;00BD5625&quot;/&gt;&lt;wsp:rsid wsp:val=&quot;00BE6D92&quot;/&gt;&lt;wsp:rsid wsp:val=&quot;00BE710A&quot;/&gt;&lt;wsp:rsid wsp:val=&quot;00BE785A&quot;/&gt;&lt;wsp:rsid wsp:val=&quot;00BE7B58&quot;/&gt;&lt;wsp:rsid wsp:val=&quot;00BF0A94&quot;/&gt;&lt;wsp:rsid wsp:val=&quot;00BF0C5F&quot;/&gt;&lt;wsp:rsid wsp:val=&quot;00C00CED&quot;/&gt;&lt;wsp:rsid wsp:val=&quot;00C01D64&quot;/&gt;&lt;wsp:rsid wsp:val=&quot;00C05A48&quot;/&gt;&lt;wsp:rsid wsp:val=&quot;00C16404&quot;/&gt;&lt;wsp:rsid wsp:val=&quot;00C3173D&quot;/&gt;&lt;wsp:rsid wsp:val=&quot;00C32066&quot;/&gt;&lt;wsp:rsid wsp:val=&quot;00C3311A&quot;/&gt;&lt;wsp:rsid wsp:val=&quot;00C441D2&quot;/&gt;&lt;wsp:rsid wsp:val=&quot;00C46F61&quot;/&gt;&lt;wsp:rsid wsp:val=&quot;00C63222&quot;/&gt;&lt;wsp:rsid wsp:val=&quot;00C715F2&quot;/&gt;&lt;wsp:rsid wsp:val=&quot;00C84536&quot;/&gt;&lt;wsp:rsid wsp:val=&quot;00C8484C&quot;/&gt;&lt;wsp:rsid wsp:val=&quot;00C8569A&quot;/&gt;&lt;wsp:rsid wsp:val=&quot;00C876C3&quot;/&gt;&lt;wsp:rsid wsp:val=&quot;00C90293&quot;/&gt;&lt;wsp:rsid wsp:val=&quot;00CA106B&quot;/&gt;&lt;wsp:rsid wsp:val=&quot;00CB01E2&quot;/&gt;&lt;wsp:rsid wsp:val=&quot;00CB35DE&quot;/&gt;&lt;wsp:rsid wsp:val=&quot;00CD09BF&quot;/&gt;&lt;wsp:rsid wsp:val=&quot;00CD5F69&quot;/&gt;&lt;wsp:rsid wsp:val=&quot;00CE41B1&quot;/&gt;&lt;wsp:rsid wsp:val=&quot;00CF63FF&quot;/&gt;&lt;wsp:rsid wsp:val=&quot;00D1416A&quot;/&gt;&lt;wsp:rsid wsp:val=&quot;00D3248A&quot;/&gt;&lt;wsp:rsid wsp:val=&quot;00D32F74&quot;/&gt;&lt;wsp:rsid wsp:val=&quot;00D33267&quot;/&gt;&lt;wsp:rsid wsp:val=&quot;00D408A3&quot;/&gt;&lt;wsp:rsid wsp:val=&quot;00D41BCE&quot;/&gt;&lt;wsp:rsid wsp:val=&quot;00D557DD&quot;/&gt;&lt;wsp:rsid wsp:val=&quot;00D63CC5&quot;/&gt;&lt;wsp:rsid wsp:val=&quot;00D641CB&quot;/&gt;&lt;wsp:rsid wsp:val=&quot;00D67554&quot;/&gt;&lt;wsp:rsid wsp:val=&quot;00D72102&quot;/&gt;&lt;wsp:rsid wsp:val=&quot;00D730CF&quot;/&gt;&lt;wsp:rsid wsp:val=&quot;00D74D08&quot;/&gt;&lt;wsp:rsid wsp:val=&quot;00D76ABE&quot;/&gt;&lt;wsp:rsid wsp:val=&quot;00D86B47&quot;/&gt;&lt;wsp:rsid wsp:val=&quot;00D90BC5&quot;/&gt;&lt;wsp:rsid wsp:val=&quot;00D91C61&quot;/&gt;&lt;wsp:rsid wsp:val=&quot;00D95787&quot;/&gt;&lt;wsp:rsid wsp:val=&quot;00D97692&quot;/&gt;&lt;wsp:rsid wsp:val=&quot;00DC0CB0&quot;/&gt;&lt;wsp:rsid wsp:val=&quot;00DC3A3B&quot;/&gt;&lt;wsp:rsid wsp:val=&quot;00DC6380&quot;/&gt;&lt;wsp:rsid wsp:val=&quot;00DC6F9A&quot;/&gt;&lt;wsp:rsid wsp:val=&quot;00DD5E28&quot;/&gt;&lt;wsp:rsid wsp:val=&quot;00DD72FD&quot;/&gt;&lt;wsp:rsid wsp:val=&quot;00DE458B&quot;/&gt;&lt;wsp:rsid wsp:val=&quot;00DF0357&quot;/&gt;&lt;wsp:rsid wsp:val=&quot;00DF0F57&quot;/&gt;&lt;wsp:rsid wsp:val=&quot;00E1211A&quot;/&gt;&lt;wsp:rsid wsp:val=&quot;00E1211C&quot;/&gt;&lt;wsp:rsid wsp:val=&quot;00E15620&quot;/&gt;&lt;wsp:rsid wsp:val=&quot;00E2111D&quot;/&gt;&lt;wsp:rsid wsp:val=&quot;00E276CB&quot;/&gt;&lt;wsp:rsid wsp:val=&quot;00E42710&quot;/&gt;&lt;wsp:rsid wsp:val=&quot;00E462B6&quot;/&gt;&lt;wsp:rsid wsp:val=&quot;00E517D7&quot;/&gt;&lt;wsp:rsid wsp:val=&quot;00E51A93&quot;/&gt;&lt;wsp:rsid wsp:val=&quot;00E5474A&quot;/&gt;&lt;wsp:rsid wsp:val=&quot;00E671C9&quot;/&gt;&lt;wsp:rsid wsp:val=&quot;00E678CD&quot;/&gt;&lt;wsp:rsid wsp:val=&quot;00E8139B&quot;/&gt;&lt;wsp:rsid wsp:val=&quot;00E83268&quot;/&gt;&lt;wsp:rsid wsp:val=&quot;00E84BA2&quot;/&gt;&lt;wsp:rsid wsp:val=&quot;00E90A19&quot;/&gt;&lt;wsp:rsid wsp:val=&quot;00E95589&quot;/&gt;&lt;wsp:rsid wsp:val=&quot;00EF18E7&quot;/&gt;&lt;wsp:rsid wsp:val=&quot;00F03E48&quot;/&gt;&lt;wsp:rsid wsp:val=&quot;00F05FC3&quot;/&gt;&lt;wsp:rsid wsp:val=&quot;00F116D7&quot;/&gt;&lt;wsp:rsid wsp:val=&quot;00F3244C&quot;/&gt;&lt;wsp:rsid wsp:val=&quot;00F36E92&quot;/&gt;&lt;wsp:rsid wsp:val=&quot;00F54DFE&quot;/&gt;&lt;wsp:rsid wsp:val=&quot;00F60789&quot;/&gt;&lt;wsp:rsid wsp:val=&quot;00F62396&quot;/&gt;&lt;wsp:rsid wsp:val=&quot;00F63463&quot;/&gt;&lt;wsp:rsid wsp:val=&quot;00F87DDA&quot;/&gt;&lt;wsp:rsid wsp:val=&quot;00F9112C&quot;/&gt;&lt;wsp:rsid wsp:val=&quot;00F94541&quot;/&gt;&lt;wsp:rsid wsp:val=&quot;00F9529E&quot;/&gt;&lt;wsp:rsid wsp:val=&quot;00FA47A3&quot;/&gt;&lt;wsp:rsid wsp:val=&quot;00FC2A71&quot;/&gt;&lt;wsp:rsid wsp:val=&quot;00FC430F&quot;/&gt;&lt;wsp:rsid wsp:val=&quot;00FC6823&quot;/&gt;&lt;wsp:rsid wsp:val=&quot;00FD06AF&quot;/&gt;&lt;wsp:rsid wsp:val=&quot;00FE377B&quot;/&gt;&lt;wsp:rsid wsp:val=&quot;00FE5F09&quot;/&gt;&lt;wsp:rsid wsp:val=&quot;00FE682B&quot;/&gt;&lt;wsp:rsid wsp:val=&quot;00FF171F&quot;/&gt;&lt;wsp:rsid wsp:val=&quot;00FF4DC5&quot;/&gt;&lt;wsp:rsid wsp:val=&quot;00FF7744&quot;/&gt;&lt;/wsp:rsids&gt;&lt;/w:docPr&gt;&lt;w:body&gt;&lt;wx:sect&gt;&lt;w:p wsp:rsidR=&quot;00000000&quot; wsp:rsidRPr=&quot;00F9529E&quot; wsp:rsidRDefault=&quot;00F9529E&quot; wsp:rsidP=&quot;00F9529E&quot;&gt;&lt;m:oMathPara&gt;&lt;m:oMath&gt;&lt;m:sSub&gt;&lt;m:sSubPr&gt;&lt;m:ctrlPr&gt;&lt;aml:annotation aml:id=&quot;0&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aml:content&gt;&lt;/aml:annotation&gt;&lt;/m:ctrlPr&gt;&lt;/m:sSubPr&gt;&lt;m:e&gt;&lt;m:sSub&gt;&lt;m:sSubPr&gt;&lt;m:ctrlPr&gt;&lt;aml:annotation aml:id=&quot;1&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aml:content&gt;&lt;/aml:annotation&gt;&lt;/m:ctrlPr&gt;&lt;/m:sSubPr&gt;&lt;m:e&gt;&lt;m:r&gt;&lt;aml:annotation aml:id=&quot;2&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FP&lt;/m:t&gt;&lt;/aml:content&gt;&lt;/aml:annotation&gt;&lt;/m:r&gt;&lt;/m:e&gt;&lt;m:sub&gt;&lt;m:r&gt;&lt;aml:annotation aml:id=&quot;3&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it&lt;/m:t&gt;&lt;/aml:content&gt;&lt;/aml:annotation&gt;&lt;/m:r&gt;&lt;/m:sub&gt;&lt;/m:sSub&gt;&lt;m:r&gt;&lt;aml:annotation aml:id=&quot;4&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lt;/m:t&gt;&lt;/aml:content&gt;&lt;/aml:annotation&gt;&lt;/m:r&gt;&lt;m:sSub&gt;&lt;m:sSubPr&gt;&lt;m:ctrlPr&gt;&lt;aml:annotation aml:id=&quot;5&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aml:content&gt;&lt;/aml:annotation&gt;&lt;/m:ctrlPr&gt;&lt;/m:sSubPr&gt;&lt;m:e&gt;&lt;m:r&gt;&lt;aml:annotation aml:id=&quot;6&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Œ=&lt;/m:t&gt;&lt;/aml:content&gt;&lt;/aml:annotation&gt;&lt;/m:r&gt;&lt;/m:e&gt;&lt;m:sub&gt;&lt;m:r&gt;&lt;aml:annotation aml:id=&quot;7&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0&lt;/m:t&gt;&lt;/aml:content&gt;&lt;/aml:annotation&gt;&lt;/m:r&gt;&lt;/m:sub&gt;&lt;/m:sSub&gt;&lt;m:r&gt;&lt;aml:annotation aml:id=&quot;8&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 &lt;/m:t&gt;&lt;/aml:content&gt;&lt;/aml:annotation&gt;&lt;/m:r&gt;&lt;aml:annotation aml:id=&quot;9&quot; w:type=&quot;Word.Bookmark.Start&quot; w:name=&quot;_Hlk505511161&quot;/&gt;&lt;m:sSub&gt;&lt;m:sSubPr&gt;&lt;m:ctrlPr&gt;&lt;aml:annotation aml:id=&quot;10&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aml:content&gt;&lt;/aml:annotation&gt;&lt;/m:ctrlPr&gt;&lt;/m:sSubPr&gt;&lt;m:e&gt;&lt;m:r&gt;&lt;aml:annotation aml:id=&quot;11&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Œ=&lt;/m:t&gt;&lt;/aml:content&gt;&lt;/aml:annotation&gt;&lt;/m:r&gt;&lt;/m:e&gt;&lt;m:sub&gt;&lt;m:r&gt;&lt;aml:annotation aml:id=&quot;12&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1&lt;/m:t&gt;&lt;/aml:content&gt;&lt;/aml:annotation&gt;&lt;/m:r&gt;&lt;/m:sub&gt;&lt;/m:sSub&gt;&lt;m:sSub&gt;&lt;m:sSubPr&gt;&lt;m:ctrlPr&gt;&lt;aml:annotation aml:id=&quot;13&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aml:content&gt;&lt;/aml:annotation&gt;&lt;/m:ctrlPr&gt;&lt;/m:sSubPr&gt;&lt;m:e&gt;&lt;m:r&gt;&lt;aml:annotation aml:id=&quot;14&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SEP&lt;/m:t&gt;&lt;/aml:content&gt;&lt;/aml:annotation&gt;&lt;/m:r&gt;&lt;/m:e&gt;&lt;m:sub&gt;&lt;m:r&gt;&lt;aml:annotation aml:id=&quot;15&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it&lt;/m:t&gt;&lt;/aml:content&gt;&lt;/aml:annotation&gt;&lt;/m:r&gt;&lt;/m:sub&gt;&lt;/m:sSub&gt;&lt;aml:annotation aml:id=&quot;9&quot; w:type=&quot;Word.Bookmark.End&quot;/&gt;&lt;m:r&gt;&lt;aml:annotation aml:id=&quot;16&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lt;/m:t&gt;&lt;/aml:content&gt;&lt;/aml:annotation&gt;&lt;/m:r&gt;&lt;m:sSub&gt;&lt;m:sSubPr&gt;&lt;m:ctrlPr&gt;&lt;aml:annotation aml:id=&quot;17&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aml:content&gt;&lt;/aml:annotation&gt;&lt;/m:ctrlPr&gt;&lt;/m:sSubPr&gt;&lt;m:e&gt;&lt;m:r&gt;&lt;aml:annotation aml:id=&quot;18&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Œ=&lt;/m:t&gt;&lt;/aml:content&gt;&lt;/aml:annotation&gt;&lt;/m:r&gt;&lt;/m:e&gt;&lt;m:sub&gt;&lt;m:r&gt;&lt;aml:annotation aml:id=&quot;19&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2&lt;/m:t&gt;&lt;/aml:content&gt;&lt;/aml:annotation&gt;&lt;/m:r&gt;&lt;/m:sub&gt;&lt;/m:sSub&gt;&lt;m:sSub&gt;&lt;m:sSubPr&gt;&lt;m:ctrlPr&gt;&lt;aml:annotation aml:id=&quot;20&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aml:content&gt;&lt;/aml:annotation&gt;&lt;/m:ctrlPr&gt;&lt;/m:sSubPr&gt;&lt;m:e&gt;&lt;m:r&gt;&lt;aml:annotation aml:id=&quot;21&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SEP2&lt;/m:t&gt;&lt;/aml:content&gt;&lt;/aml:annotation&gt;&lt;/m:r&gt;&lt;/m:e&gt;&lt;m:sub&gt;&lt;m:r&gt;&lt;aml:annotation aml:id=&quot;22&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it&lt;/m:t&gt;&lt;/aml:content&gt;&lt;/aml:annotation&gt;&lt;/m:r&gt;&lt;/m:sub&gt;&lt;/m:sSub&gt;&lt;m:sSub&gt;&lt;m:sSubPr&gt;&lt;m:ctrlPr&gt;&lt;aml:annotation aml:id=&quot;23&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aml:content&gt;&lt;/aml:annotation&gt;&lt;/m:ctrlPr&gt;&lt;/m:sSubPr&gt;&lt;m:e&gt;&lt;m:r&gt;&lt;aml:annotation aml:id=&quot;24&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 Œ=&lt;/m:t&gt;&lt;/aml:content&gt;&lt;/aml:annotation&gt;&lt;/m:r&gt;&lt;/m:e&gt;&lt;m:sub&gt;&lt;m:r&gt;&lt;aml:annotation aml:id=&quot;25&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3&lt;/m:t&gt;&lt;/aml:content&gt;&lt;/aml:annotation&gt;&lt;/m:r&gt;&lt;/m:sub&gt;&lt;/m:sSub&gt;&lt;m:sSub&gt;&lt;m:sSubPr&gt;&lt;m:ctrlPr&gt;&lt;aml:annotation aml:id=&quot;26&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aml:content&gt;&lt;/aml:annotation&gt;&lt;/m:ctrlPr&gt;&lt;/m:sSubPr&gt;&lt;m:e&gt;&lt;m:r&gt;&lt;aml:annotation aml:id=&quot;27&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Controls&lt;/m:t&gt;&lt;/aml:content&gt;&lt;/aml:annotation&gt;&lt;/m:r&gt;&lt;/m:e&gt;&lt;m:sub&gt;&lt;m:r&gt;&lt;aml:annotation aml:id=&quot;28&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it&lt;/m:t&gt;&lt;/aml:content&gt;&lt;/aml:annotation&gt;&lt;/m:r&gt;&lt;/m:sub&gt;&lt;/m:sSub&gt;&lt;m:r&gt;&lt;aml:annotation aml:id=&quot;29&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lt;/m:t&gt;&lt;/aml:content&gt;&lt;/aml:annotation&gt;&lt;/m:r&gt;&lt;m:sSub&gt;&lt;m:sSubPr&gt;&lt;m:ctrlPr&gt;&lt;aml:annotation aml:id=&quot;30&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aml:content&gt;&lt;/aml:annotation&gt;&lt;/m:ctrlPr&gt;&lt;/m:sSubPr&gt;&lt;m:e&gt;&lt;m:r&gt;&lt;aml:annotation aml:id=&quot;31&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Œº&lt;/m:t&gt;&lt;/aml:content&gt;&lt;/aml:annotation&gt;&lt;/m:r&gt;&lt;/m:e&gt;&lt;m:sub&gt;&lt;m:r&gt;&lt;aml:annotation aml:id=&quot;32&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it&lt;/m:t&gt;&lt;/aml:content&gt;&lt;/aml:annotation&gt;&lt;/m:r&gt;&lt;/m:sub&gt;&lt;/m:sSub&gt;&lt;m:r&gt;&lt;aml:annotation aml:id=&quot;33&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lt;/m:t&gt;&lt;/aml:content&gt;&lt;/aml:annotation&gt;&lt;/m:r&gt;&lt;m:sSub&gt;&lt;m:sSubPr&gt;&lt;m:ctrlPr&gt;&lt;aml:annotation aml:id=&quot;34&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aml:content&gt;&lt;/aml:annotation&gt;&lt;/m:ctrlPr&gt;&lt;/m:sSubPr&gt;&lt;m:e&gt;&lt;m:r&gt;&lt;aml:annotation aml:id=&quot;35&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Œª&lt;/m:t&gt;&lt;/aml:content&gt;&lt;/aml:annotation&gt;&lt;/m:r&gt;&lt;/m:e&gt;&lt;m:sub&gt;&lt;m:r&gt;&lt;aml:annotation aml:id=&quot;36&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it&lt;/m:t&gt;&lt;/aml:content&gt;&lt;/aml:annotation&gt;&lt;/m:r&gt;&lt;/m:sub&gt;&lt;/m:sSub&gt;&lt;m:r&gt;&lt;aml:annotation aml:id=&quot;37&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lt;/m:t&gt;&lt;/aml:content&gt;&lt;/aml:annotation&gt;&lt;/m:r&gt;&lt;m:sSub&gt;&lt;m:sSubPr&gt;&lt;m:ctrlPr&gt;&lt;aml:annotation aml:id=&quot;38&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aml:content&gt;&lt;/aml:annotation&gt;&lt;/m:ctrlPr&gt;&lt;/m:sSubPr&gt;&lt;m:e&gt;&lt;m:r&gt;&lt;aml:annotation aml:id=&quot;39&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Œµ&lt;/m:t&gt;&lt;/aml:content&gt;&lt;/aml:annotation&gt;&lt;/m:r&gt;&lt;/m:e&gt;&lt;m:sub&gt;&lt;m:r&gt;&lt;aml:annotation aml:id=&quot;40&quot; w:type=&quot;Word.Insertion&quot; aml:author=&quot;user&quot; aml:createdate=&quot;2019-11-21T07:49:00Z&quot;&gt;&lt;aml:content&gt;&lt;w:rPr&gt;&lt;w:rFonts w:ascii=&quot;Cambria Math&quot; w:fareast=&quot;Calibri&quot; w:h-ansi=&quot;Cambria Math&quot;/&gt;&lt;wx:font wx:val=&quot;Cambria Math&quot;/&gt;&lt;w:i/&gt;&lt;w:sz w:val=&quot;23&quot;/&gt;&lt;w:sz-cs w:val=&quot;23&quot;/&gt;&lt;/w:rPr&gt;&lt;m:t&gt;it&lt;/m:t&gt;&lt;/aml:content&gt;&lt;/aml:annotation&gt;&lt;/m:r&gt;&lt;/m:sub&gt;&lt;/m:sSub&gt;&lt;/m:e&gt;&lt;m:sub/&gt;&lt;/m:sSub&gt;&lt;/m:oMath&gt;&lt;/m:oMathPara&gt;&lt;/w:p&gt;&lt;w:sectPr wsp:rsidR=&quot;00000000&quot; wsp:rsidRPr=&quot;00F9529E&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055865">
        <w:rPr>
          <w:rFonts w:ascii="Garamond" w:eastAsia="Times New Roman" w:hAnsi="Garamond"/>
          <w:sz w:val="23"/>
          <w:szCs w:val="23"/>
        </w:rPr>
        <w:t xml:space="preserve">                                                  </w:t>
      </w:r>
    </w:p>
    <w:p w14:paraId="39A94AD8" w14:textId="2774B76A" w:rsidR="00C3429E" w:rsidRPr="008332FB" w:rsidRDefault="00C3429E" w:rsidP="005B6FD7">
      <w:pPr>
        <w:spacing w:after="0" w:line="480" w:lineRule="auto"/>
        <w:contextualSpacing/>
        <w:jc w:val="both"/>
        <w:rPr>
          <w:rFonts w:ascii="Garamond" w:hAnsi="Garamond"/>
          <w:i/>
          <w:sz w:val="24"/>
          <w:szCs w:val="24"/>
        </w:rPr>
      </w:pPr>
      <w:r w:rsidRPr="008332FB">
        <w:rPr>
          <w:rFonts w:ascii="Garamond" w:hAnsi="Garamond"/>
          <w:iCs/>
          <w:sz w:val="24"/>
          <w:szCs w:val="24"/>
        </w:rPr>
        <w:t>Where FP: Financial performance (ROA and Tobin’s q), SEP: Sustainable Environmental Policies) which are Energy Efficiency, Waste Control, Pollution Control (GHG), Material and Resource Efficiency, and Stakeholder/Supply Chain Relationship.  SEP2 denotes the square term of SEP. Controls denote control variables:</w:t>
      </w:r>
      <w:r w:rsidRPr="008332FB">
        <w:rPr>
          <w:rFonts w:ascii="Garamond" w:hAnsi="Garamond"/>
          <w:bCs/>
          <w:iCs/>
          <w:sz w:val="24"/>
          <w:szCs w:val="24"/>
        </w:rPr>
        <w:t xml:space="preserve"> (Firm Size (Size), Liquidity (Liquidity), Financial Leverage (Gearing), Board Size (Board Size), Board Independence (NEDS)</w:t>
      </w:r>
      <w:r w:rsidR="00523B75">
        <w:rPr>
          <w:rFonts w:ascii="Garamond" w:hAnsi="Garamond"/>
          <w:bCs/>
          <w:iCs/>
          <w:sz w:val="24"/>
          <w:szCs w:val="24"/>
        </w:rPr>
        <w:t>,</w:t>
      </w:r>
      <w:r w:rsidRPr="008332FB">
        <w:rPr>
          <w:rFonts w:ascii="Garamond" w:hAnsi="Garamond"/>
          <w:bCs/>
          <w:iCs/>
          <w:sz w:val="24"/>
          <w:szCs w:val="24"/>
        </w:rPr>
        <w:t xml:space="preserve"> and CEO Remuneration (CEORem). </w:t>
      </w:r>
      <w:r w:rsidR="00DB6768" w:rsidRPr="008332FB">
        <w:rPr>
          <w:rFonts w:ascii="Garamond" w:hAnsi="Garamond"/>
          <w:iCs/>
          <w:sz w:val="24"/>
          <w:szCs w:val="24"/>
        </w:rPr>
        <w:t>T</w:t>
      </w:r>
      <w:r w:rsidRPr="008332FB">
        <w:rPr>
          <w:rFonts w:ascii="Garamond" w:hAnsi="Garamond"/>
          <w:iCs/>
          <w:sz w:val="24"/>
          <w:szCs w:val="24"/>
        </w:rPr>
        <w:t xml:space="preserve">he subscript </w:t>
      </w:r>
      <w:r w:rsidRPr="008332FB">
        <w:rPr>
          <w:rFonts w:ascii="Garamond" w:hAnsi="Garamond"/>
          <w:iCs/>
          <w:noProof/>
          <w:sz w:val="24"/>
          <w:szCs w:val="24"/>
        </w:rPr>
        <w:t>i</w:t>
      </w:r>
      <w:r w:rsidRPr="008332FB">
        <w:rPr>
          <w:rFonts w:ascii="Garamond" w:hAnsi="Garamond"/>
          <w:iCs/>
          <w:sz w:val="24"/>
          <w:szCs w:val="24"/>
        </w:rPr>
        <w:t xml:space="preserve"> denotes the nth company (i = 1... 201), and the subscript t denotes the year (t=1...6). </w:t>
      </w:r>
      <w:bookmarkStart w:id="7" w:name="_Hlk509130630"/>
      <w:r w:rsidRPr="008332FB">
        <w:rPr>
          <w:rFonts w:ascii="Garamond" w:hAnsi="Garamond"/>
          <w:iCs/>
          <w:sz w:val="24"/>
          <w:szCs w:val="24"/>
        </w:rPr>
        <w:t>μ</w:t>
      </w:r>
      <w:bookmarkEnd w:id="7"/>
      <w:r w:rsidRPr="008332FB">
        <w:rPr>
          <w:rFonts w:ascii="Garamond" w:hAnsi="Garamond"/>
          <w:iCs/>
          <w:sz w:val="24"/>
          <w:szCs w:val="24"/>
        </w:rPr>
        <w:t xml:space="preserve">i is the unobservable heterogeneity (individual effects) which is specific for each firm, </w:t>
      </w:r>
      <w:proofErr w:type="spellStart"/>
      <w:r w:rsidRPr="008332FB">
        <w:rPr>
          <w:rFonts w:ascii="Garamond" w:hAnsi="Garamond"/>
          <w:iCs/>
          <w:sz w:val="24"/>
          <w:szCs w:val="24"/>
        </w:rPr>
        <w:t>λt</w:t>
      </w:r>
      <w:proofErr w:type="spellEnd"/>
      <w:r w:rsidRPr="008332FB">
        <w:rPr>
          <w:rFonts w:ascii="Garamond" w:hAnsi="Garamond"/>
          <w:iCs/>
          <w:sz w:val="24"/>
          <w:szCs w:val="24"/>
        </w:rPr>
        <w:t xml:space="preserve"> is the parameters of time dummy variables and</w:t>
      </w:r>
      <w:r w:rsidRPr="008332FB">
        <w:rPr>
          <w:rFonts w:ascii="Garamond" w:hAnsi="Garamond"/>
          <w:bCs/>
          <w:iCs/>
          <w:sz w:val="24"/>
          <w:szCs w:val="24"/>
        </w:rPr>
        <w:fldChar w:fldCharType="begin"/>
      </w:r>
      <w:r w:rsidRPr="005B6FD7">
        <w:rPr>
          <w:rFonts w:ascii="Garamond" w:hAnsi="Garamond"/>
          <w:bCs/>
          <w:iCs/>
          <w:sz w:val="24"/>
          <w:szCs w:val="24"/>
        </w:rPr>
        <w:instrText xml:space="preserve"> QUOTE </w:instrText>
      </w:r>
      <w:r w:rsidR="00806386" w:rsidRPr="00806386">
        <w:rPr>
          <w:rFonts w:ascii="Garamond" w:hAnsi="Garamond"/>
          <w:iCs/>
          <w:noProof/>
          <w:position w:val="-6"/>
          <w:sz w:val="24"/>
          <w:szCs w:val="24"/>
        </w:rPr>
        <w:pict w14:anchorId="55435722">
          <v:shape id="_x0000_i1032" type="#_x0000_t75" alt="" style="width:14.4pt;height:14.4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MzU2sTQ3MDO2MLIwMDVS0lEKTi0uzszPAykwtKwFAG0udTYtAAAA&quot;/&gt;&lt;/w:docVars&gt;&lt;wsp:rsids&gt;&lt;wsp:rsidRoot wsp:val=&quot;006036E7&quot;/&gt;&lt;wsp:rsid wsp:val=&quot;00006990&quot;/&gt;&lt;wsp:rsid wsp:val=&quot;00013C17&quot;/&gt;&lt;wsp:rsid wsp:val=&quot;00017851&quot;/&gt;&lt;wsp:rsid wsp:val=&quot;00023262&quot;/&gt;&lt;wsp:rsid wsp:val=&quot;00024C92&quot;/&gt;&lt;wsp:rsid wsp:val=&quot;00030754&quot;/&gt;&lt;wsp:rsid wsp:val=&quot;0003694C&quot;/&gt;&lt;wsp:rsid wsp:val=&quot;00037DBB&quot;/&gt;&lt;wsp:rsid wsp:val=&quot;000444D2&quot;/&gt;&lt;wsp:rsid wsp:val=&quot;00044C1F&quot;/&gt;&lt;wsp:rsid wsp:val=&quot;00063A9B&quot;/&gt;&lt;wsp:rsid wsp:val=&quot;000675BF&quot;/&gt;&lt;wsp:rsid wsp:val=&quot;00075262&quot;/&gt;&lt;wsp:rsid wsp:val=&quot;0007589E&quot;/&gt;&lt;wsp:rsid wsp:val=&quot;00076741&quot;/&gt;&lt;wsp:rsid wsp:val=&quot;0008143B&quot;/&gt;&lt;wsp:rsid wsp:val=&quot;00081817&quot;/&gt;&lt;wsp:rsid wsp:val=&quot;00081A23&quot;/&gt;&lt;wsp:rsid wsp:val=&quot;00084561&quot;/&gt;&lt;wsp:rsid wsp:val=&quot;00085160&quot;/&gt;&lt;wsp:rsid wsp:val=&quot;00091380&quot;/&gt;&lt;wsp:rsid wsp:val=&quot;00095385&quot;/&gt;&lt;wsp:rsid wsp:val=&quot;000A07A0&quot;/&gt;&lt;wsp:rsid wsp:val=&quot;000A6CAB&quot;/&gt;&lt;wsp:rsid wsp:val=&quot;000A7612&quot;/&gt;&lt;wsp:rsid wsp:val=&quot;000B3D51&quot;/&gt;&lt;wsp:rsid wsp:val=&quot;000C3826&quot;/&gt;&lt;wsp:rsid wsp:val=&quot;000D1F37&quot;/&gt;&lt;wsp:rsid wsp:val=&quot;000D6337&quot;/&gt;&lt;wsp:rsid wsp:val=&quot;000E0DF4&quot;/&gt;&lt;wsp:rsid wsp:val=&quot;000E2B8A&quot;/&gt;&lt;wsp:rsid wsp:val=&quot;000E33FE&quot;/&gt;&lt;wsp:rsid wsp:val=&quot;000E701F&quot;/&gt;&lt;wsp:rsid wsp:val=&quot;000E7B98&quot;/&gt;&lt;wsp:rsid wsp:val=&quot;0010708E&quot;/&gt;&lt;wsp:rsid wsp:val=&quot;00111DC4&quot;/&gt;&lt;wsp:rsid wsp:val=&quot;001121F1&quot;/&gt;&lt;wsp:rsid wsp:val=&quot;00114317&quot;/&gt;&lt;wsp:rsid wsp:val=&quot;001161CB&quot;/&gt;&lt;wsp:rsid wsp:val=&quot;0011798C&quot;/&gt;&lt;wsp:rsid wsp:val=&quot;0012578B&quot;/&gt;&lt;wsp:rsid wsp:val=&quot;0012795D&quot;/&gt;&lt;wsp:rsid wsp:val=&quot;00127DD3&quot;/&gt;&lt;wsp:rsid wsp:val=&quot;00130DC0&quot;/&gt;&lt;wsp:rsid wsp:val=&quot;00132EA0&quot;/&gt;&lt;wsp:rsid wsp:val=&quot;0013327A&quot;/&gt;&lt;wsp:rsid wsp:val=&quot;001372DD&quot;/&gt;&lt;wsp:rsid wsp:val=&quot;00145E9E&quot;/&gt;&lt;wsp:rsid wsp:val=&quot;001471EC&quot;/&gt;&lt;wsp:rsid wsp:val=&quot;00147E9B&quot;/&gt;&lt;wsp:rsid wsp:val=&quot;001510EB&quot;/&gt;&lt;wsp:rsid wsp:val=&quot;00157FBB&quot;/&gt;&lt;wsp:rsid wsp:val=&quot;00171230&quot;/&gt;&lt;wsp:rsid wsp:val=&quot;00172991&quot;/&gt;&lt;wsp:rsid wsp:val=&quot;00175083&quot;/&gt;&lt;wsp:rsid wsp:val=&quot;001751CC&quot;/&gt;&lt;wsp:rsid wsp:val=&quot;001764C5&quot;/&gt;&lt;wsp:rsid wsp:val=&quot;00181FF7&quot;/&gt;&lt;wsp:rsid wsp:val=&quot;001841B9&quot;/&gt;&lt;wsp:rsid wsp:val=&quot;00186608&quot;/&gt;&lt;wsp:rsid wsp:val=&quot;00197319&quot;/&gt;&lt;wsp:rsid wsp:val=&quot;001A3CA6&quot;/&gt;&lt;wsp:rsid wsp:val=&quot;001D1F21&quot;/&gt;&lt;wsp:rsid wsp:val=&quot;001D7CDA&quot;/&gt;&lt;wsp:rsid wsp:val=&quot;001E0827&quot;/&gt;&lt;wsp:rsid wsp:val=&quot;001E63EC&quot;/&gt;&lt;wsp:rsid wsp:val=&quot;001F29AD&quot;/&gt;&lt;wsp:rsid wsp:val=&quot;00200C00&quot;/&gt;&lt;wsp:rsid wsp:val=&quot;00201C10&quot;/&gt;&lt;wsp:rsid wsp:val=&quot;0020459A&quot;/&gt;&lt;wsp:rsid wsp:val=&quot;00204961&quot;/&gt;&lt;wsp:rsid wsp:val=&quot;00204EC7&quot;/&gt;&lt;wsp:rsid wsp:val=&quot;00223956&quot;/&gt;&lt;wsp:rsid wsp:val=&quot;00236E5E&quot;/&gt;&lt;wsp:rsid wsp:val=&quot;00240574&quot;/&gt;&lt;wsp:rsid wsp:val=&quot;00244145&quot;/&gt;&lt;wsp:rsid wsp:val=&quot;00245147&quot;/&gt;&lt;wsp:rsid wsp:val=&quot;00247544&quot;/&gt;&lt;wsp:rsid wsp:val=&quot;00267DA0&quot;/&gt;&lt;wsp:rsid wsp:val=&quot;00280155&quot;/&gt;&lt;wsp:rsid wsp:val=&quot;00285FBA&quot;/&gt;&lt;wsp:rsid wsp:val=&quot;00286D7C&quot;/&gt;&lt;wsp:rsid wsp:val=&quot;00286FEC&quot;/&gt;&lt;wsp:rsid wsp:val=&quot;002A01F1&quot;/&gt;&lt;wsp:rsid wsp:val=&quot;002A1E01&quot;/&gt;&lt;wsp:rsid wsp:val=&quot;002B7C72&quot;/&gt;&lt;wsp:rsid wsp:val=&quot;002C28F5&quot;/&gt;&lt;wsp:rsid wsp:val=&quot;002C6F94&quot;/&gt;&lt;wsp:rsid wsp:val=&quot;002C702F&quot;/&gt;&lt;wsp:rsid wsp:val=&quot;002D2311&quot;/&gt;&lt;wsp:rsid wsp:val=&quot;002D2C35&quot;/&gt;&lt;wsp:rsid wsp:val=&quot;002D470F&quot;/&gt;&lt;wsp:rsid wsp:val=&quot;002E0DDE&quot;/&gt;&lt;wsp:rsid wsp:val=&quot;002E26FB&quot;/&gt;&lt;wsp:rsid wsp:val=&quot;003012D3&quot;/&gt;&lt;wsp:rsid wsp:val=&quot;00304AAB&quot;/&gt;&lt;wsp:rsid wsp:val=&quot;00312355&quot;/&gt;&lt;wsp:rsid wsp:val=&quot;003375A1&quot;/&gt;&lt;wsp:rsid wsp:val=&quot;0034107D&quot;/&gt;&lt;wsp:rsid wsp:val=&quot;003455B5&quot;/&gt;&lt;wsp:rsid wsp:val=&quot;00355708&quot;/&gt;&lt;wsp:rsid wsp:val=&quot;00363419&quot;/&gt;&lt;wsp:rsid wsp:val=&quot;00363824&quot;/&gt;&lt;wsp:rsid wsp:val=&quot;003746A6&quot;/&gt;&lt;wsp:rsid wsp:val=&quot;00386296&quot;/&gt;&lt;wsp:rsid wsp:val=&quot;00390F79&quot;/&gt;&lt;wsp:rsid wsp:val=&quot;0039348B&quot;/&gt;&lt;wsp:rsid wsp:val=&quot;003B0842&quot;/&gt;&lt;wsp:rsid wsp:val=&quot;003B2D26&quot;/&gt;&lt;wsp:rsid wsp:val=&quot;003B3BE9&quot;/&gt;&lt;wsp:rsid wsp:val=&quot;003B6CFB&quot;/&gt;&lt;wsp:rsid wsp:val=&quot;003D2284&quot;/&gt;&lt;wsp:rsid wsp:val=&quot;003D3E6A&quot;/&gt;&lt;wsp:rsid wsp:val=&quot;003D7ECE&quot;/&gt;&lt;wsp:rsid wsp:val=&quot;003E2993&quot;/&gt;&lt;wsp:rsid wsp:val=&quot;003E4689&quot;/&gt;&lt;wsp:rsid wsp:val=&quot;003E74F0&quot;/&gt;&lt;wsp:rsid wsp:val=&quot;003F7E97&quot;/&gt;&lt;wsp:rsid wsp:val=&quot;0040109E&quot;/&gt;&lt;wsp:rsid wsp:val=&quot;004179F2&quot;/&gt;&lt;wsp:rsid wsp:val=&quot;00425317&quot;/&gt;&lt;wsp:rsid wsp:val=&quot;00431892&quot;/&gt;&lt;wsp:rsid wsp:val=&quot;00435FA0&quot;/&gt;&lt;wsp:rsid wsp:val=&quot;004432B8&quot;/&gt;&lt;wsp:rsid wsp:val=&quot;00444353&quot;/&gt;&lt;wsp:rsid wsp:val=&quot;0045476C&quot;/&gt;&lt;wsp:rsid wsp:val=&quot;00461247&quot;/&gt;&lt;wsp:rsid wsp:val=&quot;0047050D&quot;/&gt;&lt;wsp:rsid wsp:val=&quot;00480AAF&quot;/&gt;&lt;wsp:rsid wsp:val=&quot;00484DB2&quot;/&gt;&lt;wsp:rsid wsp:val=&quot;00491B7F&quot;/&gt;&lt;wsp:rsid wsp:val=&quot;004A5E00&quot;/&gt;&lt;wsp:rsid wsp:val=&quot;004B47B5&quot;/&gt;&lt;wsp:rsid wsp:val=&quot;004B62B0&quot;/&gt;&lt;wsp:rsid wsp:val=&quot;004D4808&quot;/&gt;&lt;wsp:rsid wsp:val=&quot;004E0EC3&quot;/&gt;&lt;wsp:rsid wsp:val=&quot;004E7D8D&quot;/&gt;&lt;wsp:rsid wsp:val=&quot;004F6EC4&quot;/&gt;&lt;wsp:rsid wsp:val=&quot;0050035A&quot;/&gt;&lt;wsp:rsid wsp:val=&quot;00502857&quot;/&gt;&lt;wsp:rsid wsp:val=&quot;00512E7E&quot;/&gt;&lt;wsp:rsid wsp:val=&quot;00514C22&quot;/&gt;&lt;wsp:rsid wsp:val=&quot;00515CEE&quot;/&gt;&lt;wsp:rsid wsp:val=&quot;00537569&quot;/&gt;&lt;wsp:rsid wsp:val=&quot;00542935&quot;/&gt;&lt;wsp:rsid wsp:val=&quot;00554C20&quot;/&gt;&lt;wsp:rsid wsp:val=&quot;0055706B&quot;/&gt;&lt;wsp:rsid wsp:val=&quot;00561598&quot;/&gt;&lt;wsp:rsid wsp:val=&quot;00564AB6&quot;/&gt;&lt;wsp:rsid wsp:val=&quot;00570837&quot;/&gt;&lt;wsp:rsid wsp:val=&quot;00577946&quot;/&gt;&lt;wsp:rsid wsp:val=&quot;0059264F&quot;/&gt;&lt;wsp:rsid wsp:val=&quot;005A1B24&quot;/&gt;&lt;wsp:rsid wsp:val=&quot;005A3AA7&quot;/&gt;&lt;wsp:rsid wsp:val=&quot;005A7EF3&quot;/&gt;&lt;wsp:rsid wsp:val=&quot;005B6C87&quot;/&gt;&lt;wsp:rsid wsp:val=&quot;005E4E83&quot;/&gt;&lt;wsp:rsid wsp:val=&quot;005F0782&quot;/&gt;&lt;wsp:rsid wsp:val=&quot;005F1A98&quot;/&gt;&lt;wsp:rsid wsp:val=&quot;005F663B&quot;/&gt;&lt;wsp:rsid wsp:val=&quot;006036E7&quot;/&gt;&lt;wsp:rsid wsp:val=&quot;0060577A&quot;/&gt;&lt;wsp:rsid wsp:val=&quot;006177C3&quot;/&gt;&lt;wsp:rsid wsp:val=&quot;00620C3C&quot;/&gt;&lt;wsp:rsid wsp:val=&quot;0062134F&quot;/&gt;&lt;wsp:rsid wsp:val=&quot;00622289&quot;/&gt;&lt;wsp:rsid wsp:val=&quot;00633085&quot;/&gt;&lt;wsp:rsid wsp:val=&quot;0063416B&quot;/&gt;&lt;wsp:rsid wsp:val=&quot;00646027&quot;/&gt;&lt;wsp:rsid wsp:val=&quot;006503BD&quot;/&gt;&lt;wsp:rsid wsp:val=&quot;006539D1&quot;/&gt;&lt;wsp:rsid wsp:val=&quot;006604A7&quot;/&gt;&lt;wsp:rsid wsp:val=&quot;00663CEB&quot;/&gt;&lt;wsp:rsid wsp:val=&quot;00664AF4&quot;/&gt;&lt;wsp:rsid wsp:val=&quot;00664C06&quot;/&gt;&lt;wsp:rsid wsp:val=&quot;00671243&quot;/&gt;&lt;wsp:rsid wsp:val=&quot;00671D23&quot;/&gt;&lt;wsp:rsid wsp:val=&quot;00671F6E&quot;/&gt;&lt;wsp:rsid wsp:val=&quot;006801DC&quot;/&gt;&lt;wsp:rsid wsp:val=&quot;00680DC2&quot;/&gt;&lt;wsp:rsid wsp:val=&quot;00681D69&quot;/&gt;&lt;wsp:rsid wsp:val=&quot;00682770&quot;/&gt;&lt;wsp:rsid wsp:val=&quot;0068299C&quot;/&gt;&lt;wsp:rsid wsp:val=&quot;006859F6&quot;/&gt;&lt;wsp:rsid wsp:val=&quot;00694372&quot;/&gt;&lt;wsp:rsid wsp:val=&quot;006C0963&quot;/&gt;&lt;wsp:rsid wsp:val=&quot;006C2EDA&quot;/&gt;&lt;wsp:rsid wsp:val=&quot;006D1230&quot;/&gt;&lt;wsp:rsid wsp:val=&quot;006D4E2D&quot;/&gt;&lt;wsp:rsid wsp:val=&quot;006D6BF4&quot;/&gt;&lt;wsp:rsid wsp:val=&quot;007063E5&quot;/&gt;&lt;wsp:rsid wsp:val=&quot;00707CF1&quot;/&gt;&lt;wsp:rsid wsp:val=&quot;00713916&quot;/&gt;&lt;wsp:rsid wsp:val=&quot;00713EA8&quot;/&gt;&lt;wsp:rsid wsp:val=&quot;00717F21&quot;/&gt;&lt;wsp:rsid wsp:val=&quot;00721241&quot;/&gt;&lt;wsp:rsid wsp:val=&quot;007315FC&quot;/&gt;&lt;wsp:rsid wsp:val=&quot;00732B17&quot;/&gt;&lt;wsp:rsid wsp:val=&quot;00746C7C&quot;/&gt;&lt;wsp:rsid wsp:val=&quot;00747FBB&quot;/&gt;&lt;wsp:rsid wsp:val=&quot;00750A57&quot;/&gt;&lt;wsp:rsid wsp:val=&quot;00770755&quot;/&gt;&lt;wsp:rsid wsp:val=&quot;00784E40&quot;/&gt;&lt;wsp:rsid wsp:val=&quot;00786A2D&quot;/&gt;&lt;wsp:rsid wsp:val=&quot;007A2EBF&quot;/&gt;&lt;wsp:rsid wsp:val=&quot;007A3A8E&quot;/&gt;&lt;wsp:rsid wsp:val=&quot;007A62C7&quot;/&gt;&lt;wsp:rsid wsp:val=&quot;007B1A74&quot;/&gt;&lt;wsp:rsid wsp:val=&quot;007B1BB0&quot;/&gt;&lt;wsp:rsid wsp:val=&quot;007B4D6B&quot;/&gt;&lt;wsp:rsid wsp:val=&quot;007B501B&quot;/&gt;&lt;wsp:rsid wsp:val=&quot;007B7372&quot;/&gt;&lt;wsp:rsid wsp:val=&quot;007C34CB&quot;/&gt;&lt;wsp:rsid wsp:val=&quot;007C38FC&quot;/&gt;&lt;wsp:rsid wsp:val=&quot;007C4187&quot;/&gt;&lt;wsp:rsid wsp:val=&quot;007F0C3D&quot;/&gt;&lt;wsp:rsid wsp:val=&quot;007F7B1F&quot;/&gt;&lt;wsp:rsid wsp:val=&quot;008010E2&quot;/&gt;&lt;wsp:rsid wsp:val=&quot;0080339E&quot;/&gt;&lt;wsp:rsid wsp:val=&quot;00804F81&quot;/&gt;&lt;wsp:rsid wsp:val=&quot;00805B61&quot;/&gt;&lt;wsp:rsid wsp:val=&quot;00813AA8&quot;/&gt;&lt;wsp:rsid wsp:val=&quot;008140F0&quot;/&gt;&lt;wsp:rsid wsp:val=&quot;00823928&quot;/&gt;&lt;wsp:rsid wsp:val=&quot;0083293C&quot;/&gt;&lt;wsp:rsid wsp:val=&quot;0083510A&quot;/&gt;&lt;wsp:rsid wsp:val=&quot;0083540C&quot;/&gt;&lt;wsp:rsid wsp:val=&quot;00835DA0&quot;/&gt;&lt;wsp:rsid wsp:val=&quot;00837E76&quot;/&gt;&lt;wsp:rsid wsp:val=&quot;00842811&quot;/&gt;&lt;wsp:rsid wsp:val=&quot;00852765&quot;/&gt;&lt;wsp:rsid wsp:val=&quot;00862F41&quot;/&gt;&lt;wsp:rsid wsp:val=&quot;00873ECA&quot;/&gt;&lt;wsp:rsid wsp:val=&quot;0087631A&quot;/&gt;&lt;wsp:rsid wsp:val=&quot;008861D3&quot;/&gt;&lt;wsp:rsid wsp:val=&quot;00892D09&quot;/&gt;&lt;wsp:rsid wsp:val=&quot;008953EC&quot;/&gt;&lt;wsp:rsid wsp:val=&quot;008C1771&quot;/&gt;&lt;wsp:rsid wsp:val=&quot;008D2395&quot;/&gt;&lt;wsp:rsid wsp:val=&quot;008E5BF6&quot;/&gt;&lt;wsp:rsid wsp:val=&quot;008E6498&quot;/&gt;&lt;wsp:rsid wsp:val=&quot;008F6567&quot;/&gt;&lt;wsp:rsid wsp:val=&quot;00904E55&quot;/&gt;&lt;wsp:rsid wsp:val=&quot;00911FF7&quot;/&gt;&lt;wsp:rsid wsp:val=&quot;00913E73&quot;/&gt;&lt;wsp:rsid wsp:val=&quot;009178A6&quot;/&gt;&lt;wsp:rsid wsp:val=&quot;00920156&quot;/&gt;&lt;wsp:rsid wsp:val=&quot;00923E75&quot;/&gt;&lt;wsp:rsid wsp:val=&quot;00931888&quot;/&gt;&lt;wsp:rsid wsp:val=&quot;00933E38&quot;/&gt;&lt;wsp:rsid wsp:val=&quot;00943D6A&quot;/&gt;&lt;wsp:rsid wsp:val=&quot;00944979&quot;/&gt;&lt;wsp:rsid wsp:val=&quot;009460E1&quot;/&gt;&lt;wsp:rsid wsp:val=&quot;00952187&quot;/&gt;&lt;wsp:rsid wsp:val=&quot;00964421&quot;/&gt;&lt;wsp:rsid wsp:val=&quot;00972D85&quot;/&gt;&lt;wsp:rsid wsp:val=&quot;0098178D&quot;/&gt;&lt;wsp:rsid wsp:val=&quot;00984586&quot;/&gt;&lt;wsp:rsid wsp:val=&quot;00987810&quot;/&gt;&lt;wsp:rsid wsp:val=&quot;009B3300&quot;/&gt;&lt;wsp:rsid wsp:val=&quot;009C5F30&quot;/&gt;&lt;wsp:rsid wsp:val=&quot;009D1492&quot;/&gt;&lt;wsp:rsid wsp:val=&quot;00A06322&quot;/&gt;&lt;wsp:rsid wsp:val=&quot;00A24B9F&quot;/&gt;&lt;wsp:rsid wsp:val=&quot;00A27E08&quot;/&gt;&lt;wsp:rsid wsp:val=&quot;00A3543E&quot;/&gt;&lt;wsp:rsid wsp:val=&quot;00A362CE&quot;/&gt;&lt;wsp:rsid wsp:val=&quot;00A372A7&quot;/&gt;&lt;wsp:rsid wsp:val=&quot;00A411D9&quot;/&gt;&lt;wsp:rsid wsp:val=&quot;00A516DC&quot;/&gt;&lt;wsp:rsid wsp:val=&quot;00A52913&quot;/&gt;&lt;wsp:rsid wsp:val=&quot;00A53C05&quot;/&gt;&lt;wsp:rsid wsp:val=&quot;00A71D23&quot;/&gt;&lt;wsp:rsid wsp:val=&quot;00A742CE&quot;/&gt;&lt;wsp:rsid wsp:val=&quot;00A90E4B&quot;/&gt;&lt;wsp:rsid wsp:val=&quot;00A91737&quot;/&gt;&lt;wsp:rsid wsp:val=&quot;00AB6E48&quot;/&gt;&lt;wsp:rsid wsp:val=&quot;00AB7620&quot;/&gt;&lt;wsp:rsid wsp:val=&quot;00AB7E5B&quot;/&gt;&lt;wsp:rsid wsp:val=&quot;00AC702D&quot;/&gt;&lt;wsp:rsid wsp:val=&quot;00AD392E&quot;/&gt;&lt;wsp:rsid wsp:val=&quot;00AD56DD&quot;/&gt;&lt;wsp:rsid wsp:val=&quot;00AD5CC3&quot;/&gt;&lt;wsp:rsid wsp:val=&quot;00AE0067&quot;/&gt;&lt;wsp:rsid wsp:val=&quot;00AE1B1F&quot;/&gt;&lt;wsp:rsid wsp:val=&quot;00AF0B96&quot;/&gt;&lt;wsp:rsid wsp:val=&quot;00B01848&quot;/&gt;&lt;wsp:rsid wsp:val=&quot;00B14124&quot;/&gt;&lt;wsp:rsid wsp:val=&quot;00B15580&quot;/&gt;&lt;wsp:rsid wsp:val=&quot;00B24D45&quot;/&gt;&lt;wsp:rsid wsp:val=&quot;00B27A51&quot;/&gt;&lt;wsp:rsid wsp:val=&quot;00B37776&quot;/&gt;&lt;wsp:rsid wsp:val=&quot;00B43603&quot;/&gt;&lt;wsp:rsid wsp:val=&quot;00B550C1&quot;/&gt;&lt;wsp:rsid wsp:val=&quot;00B55DEE&quot;/&gt;&lt;wsp:rsid wsp:val=&quot;00B568BA&quot;/&gt;&lt;wsp:rsid wsp:val=&quot;00B64692&quot;/&gt;&lt;wsp:rsid wsp:val=&quot;00B8373C&quot;/&gt;&lt;wsp:rsid wsp:val=&quot;00B83926&quot;/&gt;&lt;wsp:rsid wsp:val=&quot;00B83D4F&quot;/&gt;&lt;wsp:rsid wsp:val=&quot;00B873F5&quot;/&gt;&lt;wsp:rsid wsp:val=&quot;00B969D6&quot;/&gt;&lt;wsp:rsid wsp:val=&quot;00BA5D34&quot;/&gt;&lt;wsp:rsid wsp:val=&quot;00BA66D3&quot;/&gt;&lt;wsp:rsid wsp:val=&quot;00BB12D1&quot;/&gt;&lt;wsp:rsid wsp:val=&quot;00BC1988&quot;/&gt;&lt;wsp:rsid wsp:val=&quot;00BC305C&quot;/&gt;&lt;wsp:rsid wsp:val=&quot;00BD39A6&quot;/&gt;&lt;wsp:rsid wsp:val=&quot;00BD5625&quot;/&gt;&lt;wsp:rsid wsp:val=&quot;00BE6D92&quot;/&gt;&lt;wsp:rsid wsp:val=&quot;00BE710A&quot;/&gt;&lt;wsp:rsid wsp:val=&quot;00BE785A&quot;/&gt;&lt;wsp:rsid wsp:val=&quot;00BE7B58&quot;/&gt;&lt;wsp:rsid wsp:val=&quot;00BF0A94&quot;/&gt;&lt;wsp:rsid wsp:val=&quot;00BF0C5F&quot;/&gt;&lt;wsp:rsid wsp:val=&quot;00C00CED&quot;/&gt;&lt;wsp:rsid wsp:val=&quot;00C01D64&quot;/&gt;&lt;wsp:rsid wsp:val=&quot;00C05A48&quot;/&gt;&lt;wsp:rsid wsp:val=&quot;00C16404&quot;/&gt;&lt;wsp:rsid wsp:val=&quot;00C3173D&quot;/&gt;&lt;wsp:rsid wsp:val=&quot;00C32066&quot;/&gt;&lt;wsp:rsid wsp:val=&quot;00C3311A&quot;/&gt;&lt;wsp:rsid wsp:val=&quot;00C441D2&quot;/&gt;&lt;wsp:rsid wsp:val=&quot;00C46F61&quot;/&gt;&lt;wsp:rsid wsp:val=&quot;00C63222&quot;/&gt;&lt;wsp:rsid wsp:val=&quot;00C715F2&quot;/&gt;&lt;wsp:rsid wsp:val=&quot;00C84536&quot;/&gt;&lt;wsp:rsid wsp:val=&quot;00C8484C&quot;/&gt;&lt;wsp:rsid wsp:val=&quot;00C8569A&quot;/&gt;&lt;wsp:rsid wsp:val=&quot;00C876C3&quot;/&gt;&lt;wsp:rsid wsp:val=&quot;00C90293&quot;/&gt;&lt;wsp:rsid wsp:val=&quot;00CA106B&quot;/&gt;&lt;wsp:rsid wsp:val=&quot;00CB01E2&quot;/&gt;&lt;wsp:rsid wsp:val=&quot;00CB35DE&quot;/&gt;&lt;wsp:rsid wsp:val=&quot;00CD09BF&quot;/&gt;&lt;wsp:rsid wsp:val=&quot;00CD5F69&quot;/&gt;&lt;wsp:rsid wsp:val=&quot;00CE41B1&quot;/&gt;&lt;wsp:rsid wsp:val=&quot;00CF63FF&quot;/&gt;&lt;wsp:rsid wsp:val=&quot;00D1416A&quot;/&gt;&lt;wsp:rsid wsp:val=&quot;00D3248A&quot;/&gt;&lt;wsp:rsid wsp:val=&quot;00D32F74&quot;/&gt;&lt;wsp:rsid wsp:val=&quot;00D33267&quot;/&gt;&lt;wsp:rsid wsp:val=&quot;00D408A3&quot;/&gt;&lt;wsp:rsid wsp:val=&quot;00D41BCE&quot;/&gt;&lt;wsp:rsid wsp:val=&quot;00D557DD&quot;/&gt;&lt;wsp:rsid wsp:val=&quot;00D63CC5&quot;/&gt;&lt;wsp:rsid wsp:val=&quot;00D641CB&quot;/&gt;&lt;wsp:rsid wsp:val=&quot;00D67554&quot;/&gt;&lt;wsp:rsid wsp:val=&quot;00D72102&quot;/&gt;&lt;wsp:rsid wsp:val=&quot;00D74D08&quot;/&gt;&lt;wsp:rsid wsp:val=&quot;00D76ABE&quot;/&gt;&lt;wsp:rsid wsp:val=&quot;00D86B47&quot;/&gt;&lt;wsp:rsid wsp:val=&quot;00D90BC5&quot;/&gt;&lt;wsp:rsid wsp:val=&quot;00D91C61&quot;/&gt;&lt;wsp:rsid wsp:val=&quot;00D95787&quot;/&gt;&lt;wsp:rsid wsp:val=&quot;00D97692&quot;/&gt;&lt;wsp:rsid wsp:val=&quot;00DC0CB0&quot;/&gt;&lt;wsp:rsid wsp:val=&quot;00DC3A3B&quot;/&gt;&lt;wsp:rsid wsp:val=&quot;00DC6380&quot;/&gt;&lt;wsp:rsid wsp:val=&quot;00DC6F9A&quot;/&gt;&lt;wsp:rsid wsp:val=&quot;00DD5E28&quot;/&gt;&lt;wsp:rsid wsp:val=&quot;00DD72FD&quot;/&gt;&lt;wsp:rsid wsp:val=&quot;00DE458B&quot;/&gt;&lt;wsp:rsid wsp:val=&quot;00DF0357&quot;/&gt;&lt;wsp:rsid wsp:val=&quot;00DF0F57&quot;/&gt;&lt;wsp:rsid wsp:val=&quot;00E1211A&quot;/&gt;&lt;wsp:rsid wsp:val=&quot;00E1211C&quot;/&gt;&lt;wsp:rsid wsp:val=&quot;00E15620&quot;/&gt;&lt;wsp:rsid wsp:val=&quot;00E2111D&quot;/&gt;&lt;wsp:rsid wsp:val=&quot;00E276CB&quot;/&gt;&lt;wsp:rsid wsp:val=&quot;00E42710&quot;/&gt;&lt;wsp:rsid wsp:val=&quot;00E462B6&quot;/&gt;&lt;wsp:rsid wsp:val=&quot;00E517D7&quot;/&gt;&lt;wsp:rsid wsp:val=&quot;00E51A93&quot;/&gt;&lt;wsp:rsid wsp:val=&quot;00E5474A&quot;/&gt;&lt;wsp:rsid wsp:val=&quot;00E671C9&quot;/&gt;&lt;wsp:rsid wsp:val=&quot;00E678CD&quot;/&gt;&lt;wsp:rsid wsp:val=&quot;00E8139B&quot;/&gt;&lt;wsp:rsid wsp:val=&quot;00E83268&quot;/&gt;&lt;wsp:rsid wsp:val=&quot;00E84BA2&quot;/&gt;&lt;wsp:rsid wsp:val=&quot;00E90A19&quot;/&gt;&lt;wsp:rsid wsp:val=&quot;00E95589&quot;/&gt;&lt;wsp:rsid wsp:val=&quot;00EF18E7&quot;/&gt;&lt;wsp:rsid wsp:val=&quot;00F03E48&quot;/&gt;&lt;wsp:rsid wsp:val=&quot;00F05FC3&quot;/&gt;&lt;wsp:rsid wsp:val=&quot;00F116D7&quot;/&gt;&lt;wsp:rsid wsp:val=&quot;00F3244C&quot;/&gt;&lt;wsp:rsid wsp:val=&quot;00F36E92&quot;/&gt;&lt;wsp:rsid wsp:val=&quot;00F54DFE&quot;/&gt;&lt;wsp:rsid wsp:val=&quot;00F87DDA&quot;/&gt;&lt;wsp:rsid wsp:val=&quot;00F9112C&quot;/&gt;&lt;wsp:rsid wsp:val=&quot;00F94541&quot;/&gt;&lt;wsp:rsid wsp:val=&quot;00FC2A71&quot;/&gt;&lt;wsp:rsid wsp:val=&quot;00FC6823&quot;/&gt;&lt;wsp:rsid wsp:val=&quot;00FD06AF&quot;/&gt;&lt;wsp:rsid wsp:val=&quot;00FE377B&quot;/&gt;&lt;wsp:rsid wsp:val=&quot;00FE5F09&quot;/&gt;&lt;wsp:rsid wsp:val=&quot;00FE682B&quot;/&gt;&lt;wsp:rsid wsp:val=&quot;00FF171F&quot;/&gt;&lt;wsp:rsid wsp:val=&quot;00FF4DC5&quot;/&gt;&lt;wsp:rsid wsp:val=&quot;00FF7744&quot;/&gt;&lt;/wsp:rsids&gt;&lt;/w:docPr&gt;&lt;w:body&gt;&lt;wx:sect&gt;&lt;w:p wsp:rsidR=&quot;00000000&quot; wsp:rsidRDefault=&quot;007C38FC&quot; wsp:rsidP=&quot;007C38FC&quot;&gt;&lt;m:oMathPara&gt;&lt;m:oMath&gt;&lt;m:r&gt;&lt;w:rPr&gt;&lt;w:rFonts w:ascii=&quot;Cambria Math&quot; w:h-ansi=&quot;Cambria Math&quot;/&gt;&lt;wx:font wx:val=&quot;Cambria Math&quot;/&gt;&lt;w:i/&gt;&lt;w:sz w:val=&quot;20&quot;/&gt;&lt;w:sz-cs w:val=&quot;20&quot;/&gt;&lt;/w:rPr&gt;&lt;m:t&gt; &lt;/m:t&gt;&lt;/m:r&gt;&lt;m:sSub&gt;&lt;m:sSubPr&gt;&lt;m:ctrlPr&gt;&lt;w:rPr&gt;&lt;w:rFonts w:ascii=&quot;Cambria Math&quot; w:h-ansi=&quot;Cambria Math&quot;/&gt;&lt;wx:font wx:val=&quot;Cambria Math&quot;/&gt;&lt;w:b-cs/&gt;&lt;w:i/&gt;&lt;w:i-cs/&gt;&lt;w:sz w:val=&quot;20&quot;/&gt;&lt;w:sz-cs w:val=&quot;20&quot;/&gt;&lt;/w:rPr&gt;&lt;/m:ctrlPr&gt;&lt;/m:sSubPr&gt;&lt;m:e&gt;&lt;m:r&gt;&lt;w:rPr&gt;&lt;w:rFonts w:ascii=&quot;Cambria Math&quot; w:h-ansi=&quot;Cambria Math&quot;/&gt;&lt;wx:font wx:val=&quot;Cambria Math&quot;/&gt;&lt;w:i/&gt;&lt;w:sz w:val=&quot;20&quot;/&gt;&lt;w:sz-cs w:val=&quot;20&quot;/&gt;&lt;/w:rPr&gt;&lt;m:t&gt;Œµ&lt;/m:t&gt;&lt;/m:r&gt;&lt;/m:e&gt;&lt;m:sub&gt;&lt;m:r&gt;&lt;w:rPr&gt;&lt;w:rFonts w:ascii=&quot;Cambria Math&quot; w:h-ansi=&quot;Cambria Math&quot;/&gt;&lt;wx:font wx:val=&quot;Cambria Math&quot;/&gt;&lt;w:i/&gt;&lt;w:sz w:val=&quot;20&quot;/&gt;&lt;w:sz-cs w:val=&quot;20&quot;/&gt;&lt;/w:rPr&gt;&lt;m:t&gt;i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5B6FD7">
        <w:rPr>
          <w:rFonts w:ascii="Garamond" w:hAnsi="Garamond"/>
          <w:bCs/>
          <w:iCs/>
          <w:sz w:val="24"/>
          <w:szCs w:val="24"/>
        </w:rPr>
        <w:instrText xml:space="preserve"> </w:instrText>
      </w:r>
      <w:r w:rsidRPr="008332FB">
        <w:rPr>
          <w:rFonts w:ascii="Garamond" w:hAnsi="Garamond"/>
          <w:bCs/>
          <w:iCs/>
          <w:sz w:val="24"/>
          <w:szCs w:val="24"/>
        </w:rPr>
        <w:fldChar w:fldCharType="separate"/>
      </w:r>
      <w:r w:rsidR="00806386" w:rsidRPr="00806386">
        <w:rPr>
          <w:rFonts w:ascii="Garamond" w:hAnsi="Garamond"/>
          <w:iCs/>
          <w:noProof/>
          <w:position w:val="-6"/>
          <w:sz w:val="24"/>
          <w:szCs w:val="24"/>
        </w:rPr>
        <w:pict w14:anchorId="13728926">
          <v:shape id="_x0000_i1031" type="#_x0000_t75" alt="" style="width:14.4pt;height:14.4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MzU2sTQ3MDO2MLIwMDVS0lEKTi0uzszPAykwtKwFAG0udTYtAAAA&quot;/&gt;&lt;/w:docVars&gt;&lt;wsp:rsids&gt;&lt;wsp:rsidRoot wsp:val=&quot;006036E7&quot;/&gt;&lt;wsp:rsid wsp:val=&quot;00006990&quot;/&gt;&lt;wsp:rsid wsp:val=&quot;00013C17&quot;/&gt;&lt;wsp:rsid wsp:val=&quot;00017851&quot;/&gt;&lt;wsp:rsid wsp:val=&quot;00023262&quot;/&gt;&lt;wsp:rsid wsp:val=&quot;00024C92&quot;/&gt;&lt;wsp:rsid wsp:val=&quot;00030754&quot;/&gt;&lt;wsp:rsid wsp:val=&quot;0003694C&quot;/&gt;&lt;wsp:rsid wsp:val=&quot;00037DBB&quot;/&gt;&lt;wsp:rsid wsp:val=&quot;000444D2&quot;/&gt;&lt;wsp:rsid wsp:val=&quot;00044C1F&quot;/&gt;&lt;wsp:rsid wsp:val=&quot;00063A9B&quot;/&gt;&lt;wsp:rsid wsp:val=&quot;000675BF&quot;/&gt;&lt;wsp:rsid wsp:val=&quot;00075262&quot;/&gt;&lt;wsp:rsid wsp:val=&quot;0007589E&quot;/&gt;&lt;wsp:rsid wsp:val=&quot;00076741&quot;/&gt;&lt;wsp:rsid wsp:val=&quot;0008143B&quot;/&gt;&lt;wsp:rsid wsp:val=&quot;00081817&quot;/&gt;&lt;wsp:rsid wsp:val=&quot;00081A23&quot;/&gt;&lt;wsp:rsid wsp:val=&quot;00084561&quot;/&gt;&lt;wsp:rsid wsp:val=&quot;00085160&quot;/&gt;&lt;wsp:rsid wsp:val=&quot;00091380&quot;/&gt;&lt;wsp:rsid wsp:val=&quot;00095385&quot;/&gt;&lt;wsp:rsid wsp:val=&quot;000A07A0&quot;/&gt;&lt;wsp:rsid wsp:val=&quot;000A6CAB&quot;/&gt;&lt;wsp:rsid wsp:val=&quot;000A7612&quot;/&gt;&lt;wsp:rsid wsp:val=&quot;000B3D51&quot;/&gt;&lt;wsp:rsid wsp:val=&quot;000C3826&quot;/&gt;&lt;wsp:rsid wsp:val=&quot;000D1F37&quot;/&gt;&lt;wsp:rsid wsp:val=&quot;000D6337&quot;/&gt;&lt;wsp:rsid wsp:val=&quot;000E0DF4&quot;/&gt;&lt;wsp:rsid wsp:val=&quot;000E2B8A&quot;/&gt;&lt;wsp:rsid wsp:val=&quot;000E33FE&quot;/&gt;&lt;wsp:rsid wsp:val=&quot;000E701F&quot;/&gt;&lt;wsp:rsid wsp:val=&quot;000E7B98&quot;/&gt;&lt;wsp:rsid wsp:val=&quot;0010708E&quot;/&gt;&lt;wsp:rsid wsp:val=&quot;00111DC4&quot;/&gt;&lt;wsp:rsid wsp:val=&quot;001121F1&quot;/&gt;&lt;wsp:rsid wsp:val=&quot;00114317&quot;/&gt;&lt;wsp:rsid wsp:val=&quot;001161CB&quot;/&gt;&lt;wsp:rsid wsp:val=&quot;0011798C&quot;/&gt;&lt;wsp:rsid wsp:val=&quot;0012578B&quot;/&gt;&lt;wsp:rsid wsp:val=&quot;0012795D&quot;/&gt;&lt;wsp:rsid wsp:val=&quot;00127DD3&quot;/&gt;&lt;wsp:rsid wsp:val=&quot;00130DC0&quot;/&gt;&lt;wsp:rsid wsp:val=&quot;00132EA0&quot;/&gt;&lt;wsp:rsid wsp:val=&quot;0013327A&quot;/&gt;&lt;wsp:rsid wsp:val=&quot;001372DD&quot;/&gt;&lt;wsp:rsid wsp:val=&quot;00145E9E&quot;/&gt;&lt;wsp:rsid wsp:val=&quot;001471EC&quot;/&gt;&lt;wsp:rsid wsp:val=&quot;00147E9B&quot;/&gt;&lt;wsp:rsid wsp:val=&quot;001510EB&quot;/&gt;&lt;wsp:rsid wsp:val=&quot;00157FBB&quot;/&gt;&lt;wsp:rsid wsp:val=&quot;00171230&quot;/&gt;&lt;wsp:rsid wsp:val=&quot;00172991&quot;/&gt;&lt;wsp:rsid wsp:val=&quot;00175083&quot;/&gt;&lt;wsp:rsid wsp:val=&quot;001751CC&quot;/&gt;&lt;wsp:rsid wsp:val=&quot;001764C5&quot;/&gt;&lt;wsp:rsid wsp:val=&quot;00181FF7&quot;/&gt;&lt;wsp:rsid wsp:val=&quot;001841B9&quot;/&gt;&lt;wsp:rsid wsp:val=&quot;00186608&quot;/&gt;&lt;wsp:rsid wsp:val=&quot;00197319&quot;/&gt;&lt;wsp:rsid wsp:val=&quot;001A3CA6&quot;/&gt;&lt;wsp:rsid wsp:val=&quot;001D1F21&quot;/&gt;&lt;wsp:rsid wsp:val=&quot;001D7CDA&quot;/&gt;&lt;wsp:rsid wsp:val=&quot;001E0827&quot;/&gt;&lt;wsp:rsid wsp:val=&quot;001E63EC&quot;/&gt;&lt;wsp:rsid wsp:val=&quot;001F29AD&quot;/&gt;&lt;wsp:rsid wsp:val=&quot;00200C00&quot;/&gt;&lt;wsp:rsid wsp:val=&quot;00201C10&quot;/&gt;&lt;wsp:rsid wsp:val=&quot;0020459A&quot;/&gt;&lt;wsp:rsid wsp:val=&quot;00204961&quot;/&gt;&lt;wsp:rsid wsp:val=&quot;00204EC7&quot;/&gt;&lt;wsp:rsid wsp:val=&quot;00223956&quot;/&gt;&lt;wsp:rsid wsp:val=&quot;00236E5E&quot;/&gt;&lt;wsp:rsid wsp:val=&quot;00240574&quot;/&gt;&lt;wsp:rsid wsp:val=&quot;00244145&quot;/&gt;&lt;wsp:rsid wsp:val=&quot;00245147&quot;/&gt;&lt;wsp:rsid wsp:val=&quot;00247544&quot;/&gt;&lt;wsp:rsid wsp:val=&quot;00267DA0&quot;/&gt;&lt;wsp:rsid wsp:val=&quot;00280155&quot;/&gt;&lt;wsp:rsid wsp:val=&quot;00285FBA&quot;/&gt;&lt;wsp:rsid wsp:val=&quot;00286D7C&quot;/&gt;&lt;wsp:rsid wsp:val=&quot;00286FEC&quot;/&gt;&lt;wsp:rsid wsp:val=&quot;002A01F1&quot;/&gt;&lt;wsp:rsid wsp:val=&quot;002A1E01&quot;/&gt;&lt;wsp:rsid wsp:val=&quot;002B7C72&quot;/&gt;&lt;wsp:rsid wsp:val=&quot;002C28F5&quot;/&gt;&lt;wsp:rsid wsp:val=&quot;002C6F94&quot;/&gt;&lt;wsp:rsid wsp:val=&quot;002C702F&quot;/&gt;&lt;wsp:rsid wsp:val=&quot;002D2311&quot;/&gt;&lt;wsp:rsid wsp:val=&quot;002D2C35&quot;/&gt;&lt;wsp:rsid wsp:val=&quot;002D470F&quot;/&gt;&lt;wsp:rsid wsp:val=&quot;002E0DDE&quot;/&gt;&lt;wsp:rsid wsp:val=&quot;002E26FB&quot;/&gt;&lt;wsp:rsid wsp:val=&quot;003012D3&quot;/&gt;&lt;wsp:rsid wsp:val=&quot;00304AAB&quot;/&gt;&lt;wsp:rsid wsp:val=&quot;00312355&quot;/&gt;&lt;wsp:rsid wsp:val=&quot;003375A1&quot;/&gt;&lt;wsp:rsid wsp:val=&quot;0034107D&quot;/&gt;&lt;wsp:rsid wsp:val=&quot;003455B5&quot;/&gt;&lt;wsp:rsid wsp:val=&quot;00355708&quot;/&gt;&lt;wsp:rsid wsp:val=&quot;00363419&quot;/&gt;&lt;wsp:rsid wsp:val=&quot;00363824&quot;/&gt;&lt;wsp:rsid wsp:val=&quot;003746A6&quot;/&gt;&lt;wsp:rsid wsp:val=&quot;00386296&quot;/&gt;&lt;wsp:rsid wsp:val=&quot;00390F79&quot;/&gt;&lt;wsp:rsid wsp:val=&quot;0039348B&quot;/&gt;&lt;wsp:rsid wsp:val=&quot;003B0842&quot;/&gt;&lt;wsp:rsid wsp:val=&quot;003B2D26&quot;/&gt;&lt;wsp:rsid wsp:val=&quot;003B3BE9&quot;/&gt;&lt;wsp:rsid wsp:val=&quot;003B6CFB&quot;/&gt;&lt;wsp:rsid wsp:val=&quot;003D2284&quot;/&gt;&lt;wsp:rsid wsp:val=&quot;003D3E6A&quot;/&gt;&lt;wsp:rsid wsp:val=&quot;003D7ECE&quot;/&gt;&lt;wsp:rsid wsp:val=&quot;003E2993&quot;/&gt;&lt;wsp:rsid wsp:val=&quot;003E4689&quot;/&gt;&lt;wsp:rsid wsp:val=&quot;003E74F0&quot;/&gt;&lt;wsp:rsid wsp:val=&quot;003F7E97&quot;/&gt;&lt;wsp:rsid wsp:val=&quot;0040109E&quot;/&gt;&lt;wsp:rsid wsp:val=&quot;004179F2&quot;/&gt;&lt;wsp:rsid wsp:val=&quot;00425317&quot;/&gt;&lt;wsp:rsid wsp:val=&quot;00431892&quot;/&gt;&lt;wsp:rsid wsp:val=&quot;00435FA0&quot;/&gt;&lt;wsp:rsid wsp:val=&quot;004432B8&quot;/&gt;&lt;wsp:rsid wsp:val=&quot;00444353&quot;/&gt;&lt;wsp:rsid wsp:val=&quot;0045476C&quot;/&gt;&lt;wsp:rsid wsp:val=&quot;00461247&quot;/&gt;&lt;wsp:rsid wsp:val=&quot;0047050D&quot;/&gt;&lt;wsp:rsid wsp:val=&quot;00480AAF&quot;/&gt;&lt;wsp:rsid wsp:val=&quot;00484DB2&quot;/&gt;&lt;wsp:rsid wsp:val=&quot;00491B7F&quot;/&gt;&lt;wsp:rsid wsp:val=&quot;004A5E00&quot;/&gt;&lt;wsp:rsid wsp:val=&quot;004B47B5&quot;/&gt;&lt;wsp:rsid wsp:val=&quot;004B62B0&quot;/&gt;&lt;wsp:rsid wsp:val=&quot;004D4808&quot;/&gt;&lt;wsp:rsid wsp:val=&quot;004E0EC3&quot;/&gt;&lt;wsp:rsid wsp:val=&quot;004E7D8D&quot;/&gt;&lt;wsp:rsid wsp:val=&quot;004F6EC4&quot;/&gt;&lt;wsp:rsid wsp:val=&quot;0050035A&quot;/&gt;&lt;wsp:rsid wsp:val=&quot;00502857&quot;/&gt;&lt;wsp:rsid wsp:val=&quot;00512E7E&quot;/&gt;&lt;wsp:rsid wsp:val=&quot;00514C22&quot;/&gt;&lt;wsp:rsid wsp:val=&quot;00515CEE&quot;/&gt;&lt;wsp:rsid wsp:val=&quot;00537569&quot;/&gt;&lt;wsp:rsid wsp:val=&quot;00542935&quot;/&gt;&lt;wsp:rsid wsp:val=&quot;00554C20&quot;/&gt;&lt;wsp:rsid wsp:val=&quot;0055706B&quot;/&gt;&lt;wsp:rsid wsp:val=&quot;00561598&quot;/&gt;&lt;wsp:rsid wsp:val=&quot;00564AB6&quot;/&gt;&lt;wsp:rsid wsp:val=&quot;00570837&quot;/&gt;&lt;wsp:rsid wsp:val=&quot;00577946&quot;/&gt;&lt;wsp:rsid wsp:val=&quot;0059264F&quot;/&gt;&lt;wsp:rsid wsp:val=&quot;005A1B24&quot;/&gt;&lt;wsp:rsid wsp:val=&quot;005A3AA7&quot;/&gt;&lt;wsp:rsid wsp:val=&quot;005A7EF3&quot;/&gt;&lt;wsp:rsid wsp:val=&quot;005B6C87&quot;/&gt;&lt;wsp:rsid wsp:val=&quot;005E4E83&quot;/&gt;&lt;wsp:rsid wsp:val=&quot;005F0782&quot;/&gt;&lt;wsp:rsid wsp:val=&quot;005F1A98&quot;/&gt;&lt;wsp:rsid wsp:val=&quot;005F663B&quot;/&gt;&lt;wsp:rsid wsp:val=&quot;006036E7&quot;/&gt;&lt;wsp:rsid wsp:val=&quot;0060577A&quot;/&gt;&lt;wsp:rsid wsp:val=&quot;006177C3&quot;/&gt;&lt;wsp:rsid wsp:val=&quot;00620C3C&quot;/&gt;&lt;wsp:rsid wsp:val=&quot;0062134F&quot;/&gt;&lt;wsp:rsid wsp:val=&quot;00622289&quot;/&gt;&lt;wsp:rsid wsp:val=&quot;00633085&quot;/&gt;&lt;wsp:rsid wsp:val=&quot;0063416B&quot;/&gt;&lt;wsp:rsid wsp:val=&quot;00646027&quot;/&gt;&lt;wsp:rsid wsp:val=&quot;006503BD&quot;/&gt;&lt;wsp:rsid wsp:val=&quot;006539D1&quot;/&gt;&lt;wsp:rsid wsp:val=&quot;006604A7&quot;/&gt;&lt;wsp:rsid wsp:val=&quot;00663CEB&quot;/&gt;&lt;wsp:rsid wsp:val=&quot;00664AF4&quot;/&gt;&lt;wsp:rsid wsp:val=&quot;00664C06&quot;/&gt;&lt;wsp:rsid wsp:val=&quot;00671243&quot;/&gt;&lt;wsp:rsid wsp:val=&quot;00671D23&quot;/&gt;&lt;wsp:rsid wsp:val=&quot;00671F6E&quot;/&gt;&lt;wsp:rsid wsp:val=&quot;006801DC&quot;/&gt;&lt;wsp:rsid wsp:val=&quot;00680DC2&quot;/&gt;&lt;wsp:rsid wsp:val=&quot;00681D69&quot;/&gt;&lt;wsp:rsid wsp:val=&quot;00682770&quot;/&gt;&lt;wsp:rsid wsp:val=&quot;0068299C&quot;/&gt;&lt;wsp:rsid wsp:val=&quot;006859F6&quot;/&gt;&lt;wsp:rsid wsp:val=&quot;00694372&quot;/&gt;&lt;wsp:rsid wsp:val=&quot;006C0963&quot;/&gt;&lt;wsp:rsid wsp:val=&quot;006C2EDA&quot;/&gt;&lt;wsp:rsid wsp:val=&quot;006D1230&quot;/&gt;&lt;wsp:rsid wsp:val=&quot;006D4E2D&quot;/&gt;&lt;wsp:rsid wsp:val=&quot;006D6BF4&quot;/&gt;&lt;wsp:rsid wsp:val=&quot;007063E5&quot;/&gt;&lt;wsp:rsid wsp:val=&quot;00707CF1&quot;/&gt;&lt;wsp:rsid wsp:val=&quot;00713916&quot;/&gt;&lt;wsp:rsid wsp:val=&quot;00713EA8&quot;/&gt;&lt;wsp:rsid wsp:val=&quot;00717F21&quot;/&gt;&lt;wsp:rsid wsp:val=&quot;00721241&quot;/&gt;&lt;wsp:rsid wsp:val=&quot;007315FC&quot;/&gt;&lt;wsp:rsid wsp:val=&quot;00732B17&quot;/&gt;&lt;wsp:rsid wsp:val=&quot;00746C7C&quot;/&gt;&lt;wsp:rsid wsp:val=&quot;00747FBB&quot;/&gt;&lt;wsp:rsid wsp:val=&quot;00750A57&quot;/&gt;&lt;wsp:rsid wsp:val=&quot;00770755&quot;/&gt;&lt;wsp:rsid wsp:val=&quot;00784E40&quot;/&gt;&lt;wsp:rsid wsp:val=&quot;00786A2D&quot;/&gt;&lt;wsp:rsid wsp:val=&quot;007A2EBF&quot;/&gt;&lt;wsp:rsid wsp:val=&quot;007A3A8E&quot;/&gt;&lt;wsp:rsid wsp:val=&quot;007A62C7&quot;/&gt;&lt;wsp:rsid wsp:val=&quot;007B1A74&quot;/&gt;&lt;wsp:rsid wsp:val=&quot;007B1BB0&quot;/&gt;&lt;wsp:rsid wsp:val=&quot;007B4D6B&quot;/&gt;&lt;wsp:rsid wsp:val=&quot;007B501B&quot;/&gt;&lt;wsp:rsid wsp:val=&quot;007B7372&quot;/&gt;&lt;wsp:rsid wsp:val=&quot;007C34CB&quot;/&gt;&lt;wsp:rsid wsp:val=&quot;007C38FC&quot;/&gt;&lt;wsp:rsid wsp:val=&quot;007C4187&quot;/&gt;&lt;wsp:rsid wsp:val=&quot;007F0C3D&quot;/&gt;&lt;wsp:rsid wsp:val=&quot;007F7B1F&quot;/&gt;&lt;wsp:rsid wsp:val=&quot;008010E2&quot;/&gt;&lt;wsp:rsid wsp:val=&quot;0080339E&quot;/&gt;&lt;wsp:rsid wsp:val=&quot;00804F81&quot;/&gt;&lt;wsp:rsid wsp:val=&quot;00805B61&quot;/&gt;&lt;wsp:rsid wsp:val=&quot;00813AA8&quot;/&gt;&lt;wsp:rsid wsp:val=&quot;008140F0&quot;/&gt;&lt;wsp:rsid wsp:val=&quot;00823928&quot;/&gt;&lt;wsp:rsid wsp:val=&quot;0083293C&quot;/&gt;&lt;wsp:rsid wsp:val=&quot;0083510A&quot;/&gt;&lt;wsp:rsid wsp:val=&quot;0083540C&quot;/&gt;&lt;wsp:rsid wsp:val=&quot;00835DA0&quot;/&gt;&lt;wsp:rsid wsp:val=&quot;00837E76&quot;/&gt;&lt;wsp:rsid wsp:val=&quot;00842811&quot;/&gt;&lt;wsp:rsid wsp:val=&quot;00852765&quot;/&gt;&lt;wsp:rsid wsp:val=&quot;00862F41&quot;/&gt;&lt;wsp:rsid wsp:val=&quot;00873ECA&quot;/&gt;&lt;wsp:rsid wsp:val=&quot;0087631A&quot;/&gt;&lt;wsp:rsid wsp:val=&quot;008861D3&quot;/&gt;&lt;wsp:rsid wsp:val=&quot;00892D09&quot;/&gt;&lt;wsp:rsid wsp:val=&quot;008953EC&quot;/&gt;&lt;wsp:rsid wsp:val=&quot;008C1771&quot;/&gt;&lt;wsp:rsid wsp:val=&quot;008D2395&quot;/&gt;&lt;wsp:rsid wsp:val=&quot;008E5BF6&quot;/&gt;&lt;wsp:rsid wsp:val=&quot;008E6498&quot;/&gt;&lt;wsp:rsid wsp:val=&quot;008F6567&quot;/&gt;&lt;wsp:rsid wsp:val=&quot;00904E55&quot;/&gt;&lt;wsp:rsid wsp:val=&quot;00911FF7&quot;/&gt;&lt;wsp:rsid wsp:val=&quot;00913E73&quot;/&gt;&lt;wsp:rsid wsp:val=&quot;009178A6&quot;/&gt;&lt;wsp:rsid wsp:val=&quot;00920156&quot;/&gt;&lt;wsp:rsid wsp:val=&quot;00923E75&quot;/&gt;&lt;wsp:rsid wsp:val=&quot;00931888&quot;/&gt;&lt;wsp:rsid wsp:val=&quot;00933E38&quot;/&gt;&lt;wsp:rsid wsp:val=&quot;00943D6A&quot;/&gt;&lt;wsp:rsid wsp:val=&quot;00944979&quot;/&gt;&lt;wsp:rsid wsp:val=&quot;009460E1&quot;/&gt;&lt;wsp:rsid wsp:val=&quot;00952187&quot;/&gt;&lt;wsp:rsid wsp:val=&quot;00964421&quot;/&gt;&lt;wsp:rsid wsp:val=&quot;00972D85&quot;/&gt;&lt;wsp:rsid wsp:val=&quot;0098178D&quot;/&gt;&lt;wsp:rsid wsp:val=&quot;00984586&quot;/&gt;&lt;wsp:rsid wsp:val=&quot;00987810&quot;/&gt;&lt;wsp:rsid wsp:val=&quot;009B3300&quot;/&gt;&lt;wsp:rsid wsp:val=&quot;009C5F30&quot;/&gt;&lt;wsp:rsid wsp:val=&quot;009D1492&quot;/&gt;&lt;wsp:rsid wsp:val=&quot;00A06322&quot;/&gt;&lt;wsp:rsid wsp:val=&quot;00A24B9F&quot;/&gt;&lt;wsp:rsid wsp:val=&quot;00A27E08&quot;/&gt;&lt;wsp:rsid wsp:val=&quot;00A3543E&quot;/&gt;&lt;wsp:rsid wsp:val=&quot;00A362CE&quot;/&gt;&lt;wsp:rsid wsp:val=&quot;00A372A7&quot;/&gt;&lt;wsp:rsid wsp:val=&quot;00A411D9&quot;/&gt;&lt;wsp:rsid wsp:val=&quot;00A516DC&quot;/&gt;&lt;wsp:rsid wsp:val=&quot;00A52913&quot;/&gt;&lt;wsp:rsid wsp:val=&quot;00A53C05&quot;/&gt;&lt;wsp:rsid wsp:val=&quot;00A71D23&quot;/&gt;&lt;wsp:rsid wsp:val=&quot;00A742CE&quot;/&gt;&lt;wsp:rsid wsp:val=&quot;00A90E4B&quot;/&gt;&lt;wsp:rsid wsp:val=&quot;00A91737&quot;/&gt;&lt;wsp:rsid wsp:val=&quot;00AB6E48&quot;/&gt;&lt;wsp:rsid wsp:val=&quot;00AB7620&quot;/&gt;&lt;wsp:rsid wsp:val=&quot;00AB7E5B&quot;/&gt;&lt;wsp:rsid wsp:val=&quot;00AC702D&quot;/&gt;&lt;wsp:rsid wsp:val=&quot;00AD392E&quot;/&gt;&lt;wsp:rsid wsp:val=&quot;00AD56DD&quot;/&gt;&lt;wsp:rsid wsp:val=&quot;00AD5CC3&quot;/&gt;&lt;wsp:rsid wsp:val=&quot;00AE0067&quot;/&gt;&lt;wsp:rsid wsp:val=&quot;00AE1B1F&quot;/&gt;&lt;wsp:rsid wsp:val=&quot;00AF0B96&quot;/&gt;&lt;wsp:rsid wsp:val=&quot;00B01848&quot;/&gt;&lt;wsp:rsid wsp:val=&quot;00B14124&quot;/&gt;&lt;wsp:rsid wsp:val=&quot;00B15580&quot;/&gt;&lt;wsp:rsid wsp:val=&quot;00B24D45&quot;/&gt;&lt;wsp:rsid wsp:val=&quot;00B27A51&quot;/&gt;&lt;wsp:rsid wsp:val=&quot;00B37776&quot;/&gt;&lt;wsp:rsid wsp:val=&quot;00B43603&quot;/&gt;&lt;wsp:rsid wsp:val=&quot;00B550C1&quot;/&gt;&lt;wsp:rsid wsp:val=&quot;00B55DEE&quot;/&gt;&lt;wsp:rsid wsp:val=&quot;00B568BA&quot;/&gt;&lt;wsp:rsid wsp:val=&quot;00B64692&quot;/&gt;&lt;wsp:rsid wsp:val=&quot;00B8373C&quot;/&gt;&lt;wsp:rsid wsp:val=&quot;00B83926&quot;/&gt;&lt;wsp:rsid wsp:val=&quot;00B83D4F&quot;/&gt;&lt;wsp:rsid wsp:val=&quot;00B873F5&quot;/&gt;&lt;wsp:rsid wsp:val=&quot;00B969D6&quot;/&gt;&lt;wsp:rsid wsp:val=&quot;00BA5D34&quot;/&gt;&lt;wsp:rsid wsp:val=&quot;00BA66D3&quot;/&gt;&lt;wsp:rsid wsp:val=&quot;00BB12D1&quot;/&gt;&lt;wsp:rsid wsp:val=&quot;00BC1988&quot;/&gt;&lt;wsp:rsid wsp:val=&quot;00BC305C&quot;/&gt;&lt;wsp:rsid wsp:val=&quot;00BD39A6&quot;/&gt;&lt;wsp:rsid wsp:val=&quot;00BD5625&quot;/&gt;&lt;wsp:rsid wsp:val=&quot;00BE6D92&quot;/&gt;&lt;wsp:rsid wsp:val=&quot;00BE710A&quot;/&gt;&lt;wsp:rsid wsp:val=&quot;00BE785A&quot;/&gt;&lt;wsp:rsid wsp:val=&quot;00BE7B58&quot;/&gt;&lt;wsp:rsid wsp:val=&quot;00BF0A94&quot;/&gt;&lt;wsp:rsid wsp:val=&quot;00BF0C5F&quot;/&gt;&lt;wsp:rsid wsp:val=&quot;00C00CED&quot;/&gt;&lt;wsp:rsid wsp:val=&quot;00C01D64&quot;/&gt;&lt;wsp:rsid wsp:val=&quot;00C05A48&quot;/&gt;&lt;wsp:rsid wsp:val=&quot;00C16404&quot;/&gt;&lt;wsp:rsid wsp:val=&quot;00C3173D&quot;/&gt;&lt;wsp:rsid wsp:val=&quot;00C32066&quot;/&gt;&lt;wsp:rsid wsp:val=&quot;00C3311A&quot;/&gt;&lt;wsp:rsid wsp:val=&quot;00C441D2&quot;/&gt;&lt;wsp:rsid wsp:val=&quot;00C46F61&quot;/&gt;&lt;wsp:rsid wsp:val=&quot;00C63222&quot;/&gt;&lt;wsp:rsid wsp:val=&quot;00C715F2&quot;/&gt;&lt;wsp:rsid wsp:val=&quot;00C84536&quot;/&gt;&lt;wsp:rsid wsp:val=&quot;00C8484C&quot;/&gt;&lt;wsp:rsid wsp:val=&quot;00C8569A&quot;/&gt;&lt;wsp:rsid wsp:val=&quot;00C876C3&quot;/&gt;&lt;wsp:rsid wsp:val=&quot;00C90293&quot;/&gt;&lt;wsp:rsid wsp:val=&quot;00CA106B&quot;/&gt;&lt;wsp:rsid wsp:val=&quot;00CB01E2&quot;/&gt;&lt;wsp:rsid wsp:val=&quot;00CB35DE&quot;/&gt;&lt;wsp:rsid wsp:val=&quot;00CD09BF&quot;/&gt;&lt;wsp:rsid wsp:val=&quot;00CD5F69&quot;/&gt;&lt;wsp:rsid wsp:val=&quot;00CE41B1&quot;/&gt;&lt;wsp:rsid wsp:val=&quot;00CF63FF&quot;/&gt;&lt;wsp:rsid wsp:val=&quot;00D1416A&quot;/&gt;&lt;wsp:rsid wsp:val=&quot;00D3248A&quot;/&gt;&lt;wsp:rsid wsp:val=&quot;00D32F74&quot;/&gt;&lt;wsp:rsid wsp:val=&quot;00D33267&quot;/&gt;&lt;wsp:rsid wsp:val=&quot;00D408A3&quot;/&gt;&lt;wsp:rsid wsp:val=&quot;00D41BCE&quot;/&gt;&lt;wsp:rsid wsp:val=&quot;00D557DD&quot;/&gt;&lt;wsp:rsid wsp:val=&quot;00D63CC5&quot;/&gt;&lt;wsp:rsid wsp:val=&quot;00D641CB&quot;/&gt;&lt;wsp:rsid wsp:val=&quot;00D67554&quot;/&gt;&lt;wsp:rsid wsp:val=&quot;00D72102&quot;/&gt;&lt;wsp:rsid wsp:val=&quot;00D74D08&quot;/&gt;&lt;wsp:rsid wsp:val=&quot;00D76ABE&quot;/&gt;&lt;wsp:rsid wsp:val=&quot;00D86B47&quot;/&gt;&lt;wsp:rsid wsp:val=&quot;00D90BC5&quot;/&gt;&lt;wsp:rsid wsp:val=&quot;00D91C61&quot;/&gt;&lt;wsp:rsid wsp:val=&quot;00D95787&quot;/&gt;&lt;wsp:rsid wsp:val=&quot;00D97692&quot;/&gt;&lt;wsp:rsid wsp:val=&quot;00DC0CB0&quot;/&gt;&lt;wsp:rsid wsp:val=&quot;00DC3A3B&quot;/&gt;&lt;wsp:rsid wsp:val=&quot;00DC6380&quot;/&gt;&lt;wsp:rsid wsp:val=&quot;00DC6F9A&quot;/&gt;&lt;wsp:rsid wsp:val=&quot;00DD5E28&quot;/&gt;&lt;wsp:rsid wsp:val=&quot;00DD72FD&quot;/&gt;&lt;wsp:rsid wsp:val=&quot;00DE458B&quot;/&gt;&lt;wsp:rsid wsp:val=&quot;00DF0357&quot;/&gt;&lt;wsp:rsid wsp:val=&quot;00DF0F57&quot;/&gt;&lt;wsp:rsid wsp:val=&quot;00E1211A&quot;/&gt;&lt;wsp:rsid wsp:val=&quot;00E1211C&quot;/&gt;&lt;wsp:rsid wsp:val=&quot;00E15620&quot;/&gt;&lt;wsp:rsid wsp:val=&quot;00E2111D&quot;/&gt;&lt;wsp:rsid wsp:val=&quot;00E276CB&quot;/&gt;&lt;wsp:rsid wsp:val=&quot;00E42710&quot;/&gt;&lt;wsp:rsid wsp:val=&quot;00E462B6&quot;/&gt;&lt;wsp:rsid wsp:val=&quot;00E517D7&quot;/&gt;&lt;wsp:rsid wsp:val=&quot;00E51A93&quot;/&gt;&lt;wsp:rsid wsp:val=&quot;00E5474A&quot;/&gt;&lt;wsp:rsid wsp:val=&quot;00E671C9&quot;/&gt;&lt;wsp:rsid wsp:val=&quot;00E678CD&quot;/&gt;&lt;wsp:rsid wsp:val=&quot;00E8139B&quot;/&gt;&lt;wsp:rsid wsp:val=&quot;00E83268&quot;/&gt;&lt;wsp:rsid wsp:val=&quot;00E84BA2&quot;/&gt;&lt;wsp:rsid wsp:val=&quot;00E90A19&quot;/&gt;&lt;wsp:rsid wsp:val=&quot;00E95589&quot;/&gt;&lt;wsp:rsid wsp:val=&quot;00EF18E7&quot;/&gt;&lt;wsp:rsid wsp:val=&quot;00F03E48&quot;/&gt;&lt;wsp:rsid wsp:val=&quot;00F05FC3&quot;/&gt;&lt;wsp:rsid wsp:val=&quot;00F116D7&quot;/&gt;&lt;wsp:rsid wsp:val=&quot;00F3244C&quot;/&gt;&lt;wsp:rsid wsp:val=&quot;00F36E92&quot;/&gt;&lt;wsp:rsid wsp:val=&quot;00F54DFE&quot;/&gt;&lt;wsp:rsid wsp:val=&quot;00F87DDA&quot;/&gt;&lt;wsp:rsid wsp:val=&quot;00F9112C&quot;/&gt;&lt;wsp:rsid wsp:val=&quot;00F94541&quot;/&gt;&lt;wsp:rsid wsp:val=&quot;00FC2A71&quot;/&gt;&lt;wsp:rsid wsp:val=&quot;00FC6823&quot;/&gt;&lt;wsp:rsid wsp:val=&quot;00FD06AF&quot;/&gt;&lt;wsp:rsid wsp:val=&quot;00FE377B&quot;/&gt;&lt;wsp:rsid wsp:val=&quot;00FE5F09&quot;/&gt;&lt;wsp:rsid wsp:val=&quot;00FE682B&quot;/&gt;&lt;wsp:rsid wsp:val=&quot;00FF171F&quot;/&gt;&lt;wsp:rsid wsp:val=&quot;00FF4DC5&quot;/&gt;&lt;wsp:rsid wsp:val=&quot;00FF7744&quot;/&gt;&lt;/wsp:rsids&gt;&lt;/w:docPr&gt;&lt;w:body&gt;&lt;wx:sect&gt;&lt;w:p wsp:rsidR=&quot;00000000&quot; wsp:rsidRDefault=&quot;007C38FC&quot; wsp:rsidP=&quot;007C38FC&quot;&gt;&lt;m:oMathPara&gt;&lt;m:oMath&gt;&lt;m:r&gt;&lt;w:rPr&gt;&lt;w:rFonts w:ascii=&quot;Cambria Math&quot; w:h-ansi=&quot;Cambria Math&quot;/&gt;&lt;wx:font wx:val=&quot;Cambria Math&quot;/&gt;&lt;w:i/&gt;&lt;w:sz w:val=&quot;20&quot;/&gt;&lt;w:sz-cs w:val=&quot;20&quot;/&gt;&lt;/w:rPr&gt;&lt;m:t&gt; &lt;/m:t&gt;&lt;/m:r&gt;&lt;m:sSub&gt;&lt;m:sSubPr&gt;&lt;m:ctrlPr&gt;&lt;w:rPr&gt;&lt;w:rFonts w:ascii=&quot;Cambria Math&quot; w:h-ansi=&quot;Cambria Math&quot;/&gt;&lt;wx:font wx:val=&quot;Cambria Math&quot;/&gt;&lt;w:b-cs/&gt;&lt;w:i/&gt;&lt;w:i-cs/&gt;&lt;w:sz w:val=&quot;20&quot;/&gt;&lt;w:sz-cs w:val=&quot;20&quot;/&gt;&lt;/w:rPr&gt;&lt;/m:ctrlPr&gt;&lt;/m:sSubPr&gt;&lt;m:e&gt;&lt;m:r&gt;&lt;w:rPr&gt;&lt;w:rFonts w:ascii=&quot;Cambria Math&quot; w:h-ansi=&quot;Cambria Math&quot;/&gt;&lt;wx:font wx:val=&quot;Cambria Math&quot;/&gt;&lt;w:i/&gt;&lt;w:sz w:val=&quot;20&quot;/&gt;&lt;w:sz-cs w:val=&quot;20&quot;/&gt;&lt;/w:rPr&gt;&lt;m:t&gt;Œµ&lt;/m:t&gt;&lt;/m:r&gt;&lt;/m:e&gt;&lt;m:sub&gt;&lt;m:r&gt;&lt;w:rPr&gt;&lt;w:rFonts w:ascii=&quot;Cambria Math&quot; w:h-ansi=&quot;Cambria Math&quot;/&gt;&lt;wx:font wx:val=&quot;Cambria Math&quot;/&gt;&lt;w:i/&gt;&lt;w:sz w:val=&quot;20&quot;/&gt;&lt;w:sz-cs w:val=&quot;20&quot;/&gt;&lt;/w:rPr&gt;&lt;m:t&gt;i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8332FB">
        <w:rPr>
          <w:rFonts w:ascii="Garamond" w:hAnsi="Garamond"/>
          <w:bCs/>
          <w:iCs/>
          <w:sz w:val="24"/>
          <w:szCs w:val="24"/>
        </w:rPr>
        <w:fldChar w:fldCharType="end"/>
      </w:r>
      <w:r w:rsidRPr="008332FB">
        <w:rPr>
          <w:rFonts w:ascii="Garamond" w:hAnsi="Garamond"/>
          <w:bCs/>
          <w:iCs/>
          <w:sz w:val="24"/>
          <w:szCs w:val="24"/>
        </w:rPr>
        <w:t xml:space="preserve"> </w:t>
      </w:r>
      <w:r w:rsidRPr="008332FB">
        <w:rPr>
          <w:rFonts w:ascii="Garamond" w:hAnsi="Garamond"/>
          <w:iCs/>
          <w:sz w:val="24"/>
          <w:szCs w:val="24"/>
        </w:rPr>
        <w:t>is the error term</w:t>
      </w:r>
      <w:r w:rsidRPr="008332FB">
        <w:rPr>
          <w:rFonts w:ascii="Garamond" w:hAnsi="Garamond"/>
          <w:i/>
          <w:sz w:val="24"/>
          <w:szCs w:val="24"/>
        </w:rPr>
        <w:t xml:space="preserve">. </w:t>
      </w:r>
      <w:bookmarkEnd w:id="6"/>
    </w:p>
    <w:p w14:paraId="2EA91AE9" w14:textId="77777777" w:rsidR="00C3429E" w:rsidRPr="00055865" w:rsidRDefault="00C3429E" w:rsidP="005B6FD7">
      <w:pPr>
        <w:spacing w:after="0" w:line="480" w:lineRule="auto"/>
        <w:contextualSpacing/>
        <w:jc w:val="both"/>
        <w:rPr>
          <w:rFonts w:ascii="Garamond" w:hAnsi="Garamond"/>
          <w:sz w:val="24"/>
          <w:szCs w:val="24"/>
        </w:rPr>
      </w:pPr>
    </w:p>
    <w:p w14:paraId="029FDE2E" w14:textId="45387296" w:rsidR="00A431E6" w:rsidRPr="00876D64" w:rsidRDefault="00807B9D" w:rsidP="005B6FD7">
      <w:pPr>
        <w:pStyle w:val="ListParagraph"/>
        <w:numPr>
          <w:ilvl w:val="0"/>
          <w:numId w:val="9"/>
        </w:numPr>
        <w:spacing w:after="0" w:line="480" w:lineRule="auto"/>
        <w:jc w:val="both"/>
        <w:rPr>
          <w:rFonts w:ascii="Garamond" w:hAnsi="Garamond"/>
          <w:b/>
          <w:sz w:val="24"/>
          <w:szCs w:val="24"/>
        </w:rPr>
      </w:pPr>
      <w:r>
        <w:rPr>
          <w:rFonts w:ascii="Garamond" w:hAnsi="Garamond"/>
          <w:b/>
          <w:sz w:val="24"/>
          <w:szCs w:val="24"/>
        </w:rPr>
        <w:t>Data Presentation and Discussion</w:t>
      </w:r>
    </w:p>
    <w:p w14:paraId="6F2AD706" w14:textId="6FF7C8A1" w:rsidR="00C3429E" w:rsidRPr="00055865" w:rsidRDefault="009E5C24" w:rsidP="005B6FD7">
      <w:pPr>
        <w:spacing w:after="0" w:line="480" w:lineRule="auto"/>
        <w:contextualSpacing/>
        <w:jc w:val="both"/>
        <w:rPr>
          <w:rFonts w:ascii="Garamond" w:hAnsi="Garamond"/>
          <w:b/>
          <w:sz w:val="24"/>
          <w:szCs w:val="24"/>
        </w:rPr>
      </w:pPr>
      <w:r>
        <w:rPr>
          <w:rFonts w:ascii="Garamond" w:hAnsi="Garamond"/>
          <w:b/>
          <w:sz w:val="24"/>
          <w:szCs w:val="24"/>
        </w:rPr>
        <w:t>4</w:t>
      </w:r>
      <w:r w:rsidR="00C3429E" w:rsidRPr="00055865">
        <w:rPr>
          <w:rFonts w:ascii="Garamond" w:hAnsi="Garamond"/>
          <w:b/>
          <w:sz w:val="24"/>
          <w:szCs w:val="24"/>
        </w:rPr>
        <w:t xml:space="preserve">.1 Descriptive statistics </w:t>
      </w:r>
    </w:p>
    <w:p w14:paraId="5987F8C4" w14:textId="6E0DAFAE" w:rsidR="00C3429E" w:rsidRPr="00055865" w:rsidRDefault="00876D64" w:rsidP="005B6FD7">
      <w:pPr>
        <w:spacing w:after="0" w:line="480" w:lineRule="auto"/>
        <w:contextualSpacing/>
        <w:jc w:val="both"/>
        <w:rPr>
          <w:rFonts w:ascii="Garamond" w:hAnsi="Garamond"/>
          <w:sz w:val="24"/>
          <w:szCs w:val="24"/>
        </w:rPr>
      </w:pPr>
      <w:r>
        <w:rPr>
          <w:rFonts w:ascii="Garamond" w:hAnsi="Garamond"/>
          <w:sz w:val="24"/>
          <w:szCs w:val="24"/>
        </w:rPr>
        <w:t xml:space="preserve">            </w:t>
      </w:r>
      <w:r w:rsidR="00523B75">
        <w:rPr>
          <w:rFonts w:ascii="Garamond" w:hAnsi="Garamond"/>
          <w:sz w:val="24"/>
          <w:szCs w:val="24"/>
        </w:rPr>
        <w:t>This section presents descriptive statistics. The</w:t>
      </w:r>
      <w:r w:rsidR="00506437" w:rsidRPr="00055865">
        <w:rPr>
          <w:rFonts w:ascii="Garamond" w:hAnsi="Garamond"/>
          <w:sz w:val="24"/>
          <w:szCs w:val="24"/>
        </w:rPr>
        <w:t xml:space="preserve"> </w:t>
      </w:r>
      <w:r w:rsidR="00C3429E" w:rsidRPr="00055865">
        <w:rPr>
          <w:rFonts w:ascii="Garamond" w:hAnsi="Garamond"/>
          <w:sz w:val="24"/>
          <w:szCs w:val="24"/>
        </w:rPr>
        <w:t xml:space="preserve">summary </w:t>
      </w:r>
      <w:r w:rsidR="00AE0090">
        <w:rPr>
          <w:rFonts w:ascii="Garamond" w:hAnsi="Garamond"/>
          <w:sz w:val="24"/>
          <w:szCs w:val="24"/>
        </w:rPr>
        <w:t>of statistics for the period</w:t>
      </w:r>
      <w:r w:rsidR="00C3429E" w:rsidRPr="00055865">
        <w:rPr>
          <w:rFonts w:ascii="Garamond" w:hAnsi="Garamond"/>
          <w:sz w:val="24"/>
          <w:szCs w:val="24"/>
        </w:rPr>
        <w:t xml:space="preserve"> 2011 to 2016 for all sampled companies listed on the Alternative Investment Market (AIM) in the UK</w:t>
      </w:r>
      <w:r w:rsidR="00523B75">
        <w:rPr>
          <w:rFonts w:ascii="Garamond" w:hAnsi="Garamond"/>
          <w:sz w:val="24"/>
          <w:szCs w:val="24"/>
        </w:rPr>
        <w:t xml:space="preserve"> is reported in</w:t>
      </w:r>
      <w:r w:rsidR="00523B75" w:rsidRPr="00055865">
        <w:rPr>
          <w:rFonts w:ascii="Garamond" w:hAnsi="Garamond"/>
          <w:sz w:val="24"/>
          <w:szCs w:val="24"/>
        </w:rPr>
        <w:t xml:space="preserve"> Table 1</w:t>
      </w:r>
      <w:r w:rsidR="00523B75">
        <w:rPr>
          <w:rFonts w:ascii="Garamond" w:hAnsi="Garamond"/>
          <w:sz w:val="24"/>
          <w:szCs w:val="24"/>
        </w:rPr>
        <w:t>. The data reveal a</w:t>
      </w:r>
      <w:r w:rsidR="00C3429E" w:rsidRPr="00055865">
        <w:rPr>
          <w:rFonts w:ascii="Garamond" w:hAnsi="Garamond"/>
          <w:sz w:val="24"/>
          <w:szCs w:val="24"/>
        </w:rPr>
        <w:t xml:space="preserve"> mean ROA of 0.07 (7%) and </w:t>
      </w:r>
      <w:r w:rsidR="00DB6768" w:rsidRPr="00055865">
        <w:rPr>
          <w:rFonts w:ascii="Garamond" w:hAnsi="Garamond"/>
          <w:sz w:val="24"/>
          <w:szCs w:val="24"/>
        </w:rPr>
        <w:t xml:space="preserve">a </w:t>
      </w:r>
      <w:r w:rsidR="00C3429E" w:rsidRPr="00055865">
        <w:rPr>
          <w:rFonts w:ascii="Garamond" w:hAnsi="Garamond"/>
          <w:sz w:val="24"/>
          <w:szCs w:val="24"/>
        </w:rPr>
        <w:t xml:space="preserve">standard deviation of 0.16 (16%). The minimum ROA of -0.92 (-92%) and a maximum of 0.84 (84%) indicates that there is a wide variation in the accounting profit of AIM-listed companies, which is in line with previous </w:t>
      </w:r>
      <w:r w:rsidR="00C3429E" w:rsidRPr="00055865">
        <w:rPr>
          <w:rFonts w:ascii="Garamond" w:hAnsi="Garamond"/>
          <w:sz w:val="24"/>
          <w:szCs w:val="24"/>
        </w:rPr>
        <w:lastRenderedPageBreak/>
        <w:t xml:space="preserve">studies by </w:t>
      </w:r>
      <w:r w:rsidR="00C3429E" w:rsidRPr="00055865">
        <w:rPr>
          <w:rFonts w:ascii="Garamond" w:hAnsi="Garamond"/>
          <w:sz w:val="24"/>
          <w:szCs w:val="24"/>
        </w:rPr>
        <w:fldChar w:fldCharType="begin" w:fldLock="1"/>
      </w:r>
      <w:r w:rsidR="00C3429E" w:rsidRPr="00055865">
        <w:rPr>
          <w:rFonts w:ascii="Garamond" w:hAnsi="Garamond"/>
          <w:sz w:val="24"/>
          <w:szCs w:val="24"/>
        </w:rPr>
        <w:instrText>ADDIN CSL_CITATION {"citationItems":[{"id":"ITEM-1","itemData":{"author":[{"dropping-particle":"","family":"Afrifa","given":"Godfred Adjappong","non-dropping-particle":"","parse-names":false,"suffix":""}],"id":"ITEM-1","issued":{"date-parts":[["2013"]]},"publisher":"Bournemouth","title":"Working Capital and Listed SMEs Profitability: A Mixed Research Method Approach","type":"thesis"},"uris":["http://www.mendeley.com/documents/?uuid=158d0199-6b14-4712-b61a-696bc393ea1f"]}],"mendeley":{"formattedCitation":"(Afrifa, 2013)","manualFormatting":"Afrifa (2013)","plainTextFormattedCitation":"(Afrifa, 2013)","previouslyFormattedCitation":"(Afrifa, 2013)"},"properties":{"noteIndex":0},"schema":"https://github.com/citation-style-language/schema/raw/master/csl-citation.json"}</w:instrText>
      </w:r>
      <w:r w:rsidR="00C3429E" w:rsidRPr="00055865">
        <w:rPr>
          <w:rFonts w:ascii="Garamond" w:hAnsi="Garamond"/>
          <w:sz w:val="24"/>
          <w:szCs w:val="24"/>
        </w:rPr>
        <w:fldChar w:fldCharType="separate"/>
      </w:r>
      <w:r w:rsidR="00C3429E" w:rsidRPr="00055865">
        <w:rPr>
          <w:rFonts w:ascii="Garamond" w:hAnsi="Garamond"/>
          <w:noProof/>
          <w:sz w:val="24"/>
          <w:szCs w:val="24"/>
        </w:rPr>
        <w:t>Afrifa (2013)</w:t>
      </w:r>
      <w:r w:rsidR="00C3429E" w:rsidRPr="00055865">
        <w:rPr>
          <w:rFonts w:ascii="Garamond" w:hAnsi="Garamond"/>
          <w:sz w:val="24"/>
          <w:szCs w:val="24"/>
        </w:rPr>
        <w:fldChar w:fldCharType="end"/>
      </w:r>
      <w:r w:rsidR="00523B75">
        <w:rPr>
          <w:rFonts w:ascii="Garamond" w:hAnsi="Garamond"/>
          <w:sz w:val="24"/>
          <w:szCs w:val="24"/>
        </w:rPr>
        <w:t>. Similarly, the data show</w:t>
      </w:r>
      <w:r w:rsidR="00C3429E" w:rsidRPr="00055865">
        <w:rPr>
          <w:rFonts w:ascii="Garamond" w:hAnsi="Garamond"/>
          <w:sz w:val="24"/>
          <w:szCs w:val="24"/>
        </w:rPr>
        <w:t xml:space="preserve"> firms to have an average Tobin’s q of 1.83</w:t>
      </w:r>
      <w:r w:rsidR="00523B75">
        <w:rPr>
          <w:rFonts w:ascii="Garamond" w:hAnsi="Garamond"/>
          <w:sz w:val="24"/>
          <w:szCs w:val="24"/>
        </w:rPr>
        <w:t>,</w:t>
      </w:r>
      <w:r w:rsidR="00C3429E" w:rsidRPr="00055865">
        <w:rPr>
          <w:rFonts w:ascii="Garamond" w:hAnsi="Garamond"/>
          <w:sz w:val="24"/>
          <w:szCs w:val="24"/>
        </w:rPr>
        <w:t xml:space="preserve"> with a maximum of 40.58 and minimum of 0.12.  </w:t>
      </w:r>
    </w:p>
    <w:p w14:paraId="1A276F99" w14:textId="5A0A7286" w:rsidR="001843D5" w:rsidRDefault="00C3429E" w:rsidP="005B6FD7">
      <w:pPr>
        <w:spacing w:after="0" w:line="480" w:lineRule="auto"/>
        <w:ind w:firstLine="720"/>
        <w:contextualSpacing/>
        <w:jc w:val="both"/>
        <w:rPr>
          <w:rFonts w:ascii="Garamond" w:hAnsi="Garamond"/>
          <w:sz w:val="24"/>
          <w:szCs w:val="24"/>
        </w:rPr>
      </w:pPr>
      <w:r w:rsidRPr="00055865">
        <w:rPr>
          <w:rFonts w:ascii="Garamond" w:hAnsi="Garamond"/>
          <w:sz w:val="24"/>
          <w:szCs w:val="24"/>
        </w:rPr>
        <w:t>Regarding the independent variables (sustainable environmental p</w:t>
      </w:r>
      <w:r w:rsidR="005C7A76" w:rsidRPr="00055865">
        <w:rPr>
          <w:rFonts w:ascii="Garamond" w:hAnsi="Garamond"/>
          <w:sz w:val="24"/>
          <w:szCs w:val="24"/>
        </w:rPr>
        <w:t>ractices</w:t>
      </w:r>
      <w:r w:rsidRPr="00055865">
        <w:rPr>
          <w:rFonts w:ascii="Garamond" w:hAnsi="Garamond"/>
          <w:sz w:val="24"/>
          <w:szCs w:val="24"/>
        </w:rPr>
        <w:t xml:space="preserve">), the mean value for all the environmental management measures </w:t>
      </w:r>
      <w:r w:rsidR="007A5EDA">
        <w:rPr>
          <w:rFonts w:ascii="Garamond" w:hAnsi="Garamond"/>
          <w:sz w:val="24"/>
          <w:szCs w:val="24"/>
        </w:rPr>
        <w:t>i</w:t>
      </w:r>
      <w:r w:rsidRPr="00055865">
        <w:rPr>
          <w:rFonts w:ascii="Garamond" w:hAnsi="Garamond"/>
          <w:sz w:val="24"/>
          <w:szCs w:val="24"/>
        </w:rPr>
        <w:t xml:space="preserve">s </w:t>
      </w:r>
      <w:r w:rsidR="007A5EDA">
        <w:rPr>
          <w:rFonts w:ascii="Garamond" w:hAnsi="Garamond"/>
          <w:sz w:val="24"/>
          <w:szCs w:val="24"/>
        </w:rPr>
        <w:t xml:space="preserve">found to be </w:t>
      </w:r>
      <w:r w:rsidRPr="00055865">
        <w:rPr>
          <w:rFonts w:ascii="Garamond" w:hAnsi="Garamond"/>
          <w:sz w:val="24"/>
          <w:szCs w:val="24"/>
        </w:rPr>
        <w:t>low</w:t>
      </w:r>
      <w:r w:rsidR="007A5EDA">
        <w:rPr>
          <w:rFonts w:ascii="Garamond" w:hAnsi="Garamond"/>
          <w:sz w:val="24"/>
          <w:szCs w:val="24"/>
        </w:rPr>
        <w:t>,</w:t>
      </w:r>
      <w:r w:rsidRPr="00055865">
        <w:rPr>
          <w:rFonts w:ascii="Garamond" w:hAnsi="Garamond"/>
          <w:sz w:val="24"/>
          <w:szCs w:val="24"/>
        </w:rPr>
        <w:t xml:space="preserve"> excep</w:t>
      </w:r>
      <w:r w:rsidR="007A5EDA">
        <w:rPr>
          <w:rFonts w:ascii="Garamond" w:hAnsi="Garamond"/>
          <w:sz w:val="24"/>
          <w:szCs w:val="24"/>
        </w:rPr>
        <w:t>t environmental compliance where</w:t>
      </w:r>
      <w:r w:rsidRPr="00055865">
        <w:rPr>
          <w:rFonts w:ascii="Garamond" w:hAnsi="Garamond"/>
          <w:sz w:val="24"/>
          <w:szCs w:val="24"/>
        </w:rPr>
        <w:t xml:space="preserve"> a mean of 3.2 and </w:t>
      </w:r>
      <w:r w:rsidR="007A5EDA">
        <w:rPr>
          <w:rFonts w:ascii="Garamond" w:hAnsi="Garamond"/>
          <w:sz w:val="24"/>
          <w:szCs w:val="24"/>
        </w:rPr>
        <w:t xml:space="preserve">a </w:t>
      </w:r>
      <w:r w:rsidRPr="00055865">
        <w:rPr>
          <w:rFonts w:ascii="Garamond" w:hAnsi="Garamond"/>
          <w:sz w:val="24"/>
          <w:szCs w:val="24"/>
        </w:rPr>
        <w:t xml:space="preserve">median of 3 out of a </w:t>
      </w:r>
      <w:r w:rsidRPr="00055865">
        <w:rPr>
          <w:rFonts w:ascii="Garamond" w:hAnsi="Garamond"/>
          <w:noProof/>
          <w:sz w:val="24"/>
          <w:szCs w:val="24"/>
        </w:rPr>
        <w:t>maximum</w:t>
      </w:r>
      <w:r w:rsidRPr="00055865">
        <w:rPr>
          <w:rFonts w:ascii="Garamond" w:hAnsi="Garamond"/>
          <w:sz w:val="24"/>
          <w:szCs w:val="24"/>
        </w:rPr>
        <w:t xml:space="preserve"> of 5</w:t>
      </w:r>
      <w:r w:rsidR="007A5EDA">
        <w:rPr>
          <w:rFonts w:ascii="Garamond" w:hAnsi="Garamond"/>
          <w:sz w:val="24"/>
          <w:szCs w:val="24"/>
        </w:rPr>
        <w:t>, were recorded</w:t>
      </w:r>
      <w:r w:rsidRPr="00055865">
        <w:rPr>
          <w:rFonts w:ascii="Garamond" w:hAnsi="Garamond"/>
          <w:sz w:val="24"/>
          <w:szCs w:val="24"/>
        </w:rPr>
        <w:t xml:space="preserve">. This </w:t>
      </w:r>
      <w:r w:rsidR="00DB6768" w:rsidRPr="00055865">
        <w:rPr>
          <w:rFonts w:ascii="Garamond" w:hAnsi="Garamond"/>
          <w:sz w:val="24"/>
          <w:szCs w:val="24"/>
        </w:rPr>
        <w:t xml:space="preserve">result </w:t>
      </w:r>
      <w:r w:rsidRPr="00055865">
        <w:rPr>
          <w:rFonts w:ascii="Garamond" w:hAnsi="Garamond"/>
          <w:sz w:val="24"/>
          <w:szCs w:val="24"/>
        </w:rPr>
        <w:t>suggests that about 64% of the companies listed on AIM are likely to put in place measures or policies to comply with environmental regulations. Th</w:t>
      </w:r>
      <w:r w:rsidR="00DB6768" w:rsidRPr="00055865">
        <w:rPr>
          <w:rFonts w:ascii="Garamond" w:hAnsi="Garamond"/>
          <w:sz w:val="24"/>
          <w:szCs w:val="24"/>
        </w:rPr>
        <w:t>e 64% for environmental compliance</w:t>
      </w:r>
      <w:r w:rsidRPr="00055865">
        <w:rPr>
          <w:rFonts w:ascii="Garamond" w:hAnsi="Garamond"/>
          <w:sz w:val="24"/>
          <w:szCs w:val="24"/>
        </w:rPr>
        <w:t xml:space="preserve"> is particularly high compared with the overall environmental management quality average of 25%. This finding is </w:t>
      </w:r>
      <w:r w:rsidR="00834B1E">
        <w:rPr>
          <w:rFonts w:ascii="Garamond" w:hAnsi="Garamond"/>
          <w:sz w:val="24"/>
          <w:szCs w:val="24"/>
        </w:rPr>
        <w:t xml:space="preserve">also </w:t>
      </w:r>
      <w:r w:rsidRPr="00055865">
        <w:rPr>
          <w:rFonts w:ascii="Garamond" w:hAnsi="Garamond"/>
          <w:sz w:val="24"/>
          <w:szCs w:val="24"/>
        </w:rPr>
        <w:t xml:space="preserve">supported by </w:t>
      </w:r>
      <w:r w:rsidRPr="00055865">
        <w:rPr>
          <w:rFonts w:ascii="Garamond" w:hAnsi="Garamond"/>
          <w:sz w:val="24"/>
          <w:szCs w:val="24"/>
        </w:rPr>
        <w:fldChar w:fldCharType="begin" w:fldLock="1"/>
      </w:r>
      <w:r w:rsidRPr="00055865">
        <w:rPr>
          <w:rFonts w:ascii="Garamond" w:hAnsi="Garamond"/>
          <w:sz w:val="24"/>
          <w:szCs w:val="24"/>
        </w:rPr>
        <w:instrText>ADDIN CSL_CITATION {"citationItems":[{"id":"ITEM-1","itemData":{"author":[{"dropping-particle":"","family":"Afagachie","given":"Cosmos","non-dropping-particle":"","parse-names":false,"suffix":""}],"id":"ITEM-1","issued":{"date-parts":[["2013"]]},"publisher":"University of Bristol","title":"THE RELATIONSHIP BETWEEN CORPORATE ENVIRONMENTAL PERFORMANCE AND CORPORATE FINANCIAL PERFORMANCE – USING THE FRAMEWORK OF CORPORATE ENVIRONMENTAL POLICY IMPLEMENTATION","type":"thesis"},"uris":["http://www.mendeley.com/documents/?uuid=8b1a24d0-e644-4fca-81ae-8a9708e36e27"]}],"mendeley":{"formattedCitation":"(Afagachie, 2013)","manualFormatting":"Afagachie (2013)","plainTextFormattedCitation":"(Afagachie, 2013)","previouslyFormattedCitation":"(Afagachie, 2013)"},"properties":{"noteIndex":0},"schema":"https://github.com/citation-style-language/schema/raw/master/csl-citation.json"}</w:instrText>
      </w:r>
      <w:r w:rsidRPr="00055865">
        <w:rPr>
          <w:rFonts w:ascii="Garamond" w:hAnsi="Garamond"/>
          <w:sz w:val="24"/>
          <w:szCs w:val="24"/>
        </w:rPr>
        <w:fldChar w:fldCharType="separate"/>
      </w:r>
      <w:r w:rsidRPr="00055865">
        <w:rPr>
          <w:rFonts w:ascii="Garamond" w:hAnsi="Garamond"/>
          <w:noProof/>
          <w:sz w:val="24"/>
          <w:szCs w:val="24"/>
        </w:rPr>
        <w:t>Afagachie (2013)</w:t>
      </w:r>
      <w:r w:rsidRPr="00055865">
        <w:rPr>
          <w:rFonts w:ascii="Garamond" w:hAnsi="Garamond"/>
          <w:sz w:val="24"/>
          <w:szCs w:val="24"/>
        </w:rPr>
        <w:fldChar w:fldCharType="end"/>
      </w:r>
      <w:r w:rsidRPr="00055865">
        <w:rPr>
          <w:rFonts w:ascii="Garamond" w:hAnsi="Garamond"/>
          <w:sz w:val="24"/>
          <w:szCs w:val="24"/>
        </w:rPr>
        <w:t>, w</w:t>
      </w:r>
      <w:r w:rsidR="00834B1E">
        <w:rPr>
          <w:rFonts w:ascii="Garamond" w:hAnsi="Garamond"/>
          <w:sz w:val="24"/>
          <w:szCs w:val="24"/>
        </w:rPr>
        <w:t>here environmental compliance i</w:t>
      </w:r>
      <w:r w:rsidRPr="00055865">
        <w:rPr>
          <w:rFonts w:ascii="Garamond" w:hAnsi="Garamond"/>
          <w:sz w:val="24"/>
          <w:szCs w:val="24"/>
        </w:rPr>
        <w:t>s ranked highest among all the sustainable environmental policies. On the other hand, all the other environmental poli</w:t>
      </w:r>
      <w:r w:rsidR="00834B1E">
        <w:rPr>
          <w:rFonts w:ascii="Garamond" w:hAnsi="Garamond"/>
          <w:sz w:val="24"/>
          <w:szCs w:val="24"/>
        </w:rPr>
        <w:t>cies tend to be low, as shown</w:t>
      </w:r>
      <w:r w:rsidRPr="00055865">
        <w:rPr>
          <w:rFonts w:ascii="Garamond" w:hAnsi="Garamond"/>
          <w:sz w:val="24"/>
          <w:szCs w:val="24"/>
        </w:rPr>
        <w:t xml:space="preserve"> in </w:t>
      </w:r>
      <w:r w:rsidR="00297769" w:rsidRPr="00055865">
        <w:rPr>
          <w:rFonts w:ascii="Garamond" w:hAnsi="Garamond"/>
          <w:sz w:val="24"/>
          <w:szCs w:val="24"/>
        </w:rPr>
        <w:t>T</w:t>
      </w:r>
      <w:r w:rsidRPr="00055865">
        <w:rPr>
          <w:rFonts w:ascii="Garamond" w:hAnsi="Garamond"/>
          <w:sz w:val="24"/>
          <w:szCs w:val="24"/>
        </w:rPr>
        <w:t xml:space="preserve">able 1. </w:t>
      </w:r>
    </w:p>
    <w:p w14:paraId="385F6EA8" w14:textId="4024EE2F" w:rsidR="001843D5" w:rsidRDefault="001843D5" w:rsidP="001843D5">
      <w:pPr>
        <w:spacing w:after="0" w:line="480" w:lineRule="auto"/>
        <w:contextualSpacing/>
        <w:jc w:val="both"/>
        <w:rPr>
          <w:rFonts w:ascii="Garamond" w:hAnsi="Garamond"/>
          <w:sz w:val="24"/>
          <w:szCs w:val="24"/>
        </w:rPr>
      </w:pPr>
    </w:p>
    <w:tbl>
      <w:tblPr>
        <w:tblW w:w="20270" w:type="dxa"/>
        <w:tblLook w:val="04A0" w:firstRow="1" w:lastRow="0" w:firstColumn="1" w:lastColumn="0" w:noHBand="0" w:noVBand="1"/>
      </w:tblPr>
      <w:tblGrid>
        <w:gridCol w:w="20270"/>
      </w:tblGrid>
      <w:tr w:rsidR="001843D5" w:rsidRPr="00055865" w14:paraId="5A17F913" w14:textId="77777777" w:rsidTr="005B6FD7">
        <w:trPr>
          <w:trHeight w:val="300"/>
        </w:trPr>
        <w:tc>
          <w:tcPr>
            <w:tcW w:w="10501" w:type="dxa"/>
            <w:tcBorders>
              <w:top w:val="nil"/>
              <w:left w:val="nil"/>
              <w:bottom w:val="nil"/>
              <w:right w:val="nil"/>
            </w:tcBorders>
            <w:shd w:val="clear" w:color="auto" w:fill="auto"/>
            <w:noWrap/>
            <w:vAlign w:val="center"/>
            <w:hideMark/>
          </w:tcPr>
          <w:p w14:paraId="407F956F" w14:textId="77777777" w:rsidR="001843D5" w:rsidRPr="00055865" w:rsidRDefault="001843D5" w:rsidP="005B6FD7">
            <w:pPr>
              <w:pStyle w:val="Caption"/>
              <w:spacing w:after="0" w:line="480" w:lineRule="auto"/>
              <w:contextualSpacing/>
              <w:rPr>
                <w:rFonts w:ascii="Garamond" w:eastAsia="Times New Roman" w:hAnsi="Garamond" w:cs="Calibri"/>
                <w:b/>
                <w:bCs/>
                <w:color w:val="auto"/>
                <w:lang w:eastAsia="en-GB"/>
              </w:rPr>
            </w:pPr>
            <w:r w:rsidRPr="00055865">
              <w:rPr>
                <w:rFonts w:ascii="Garamond" w:hAnsi="Garamond"/>
                <w:b/>
                <w:color w:val="auto"/>
                <w:sz w:val="24"/>
                <w:szCs w:val="24"/>
              </w:rPr>
              <w:t>Table 1</w:t>
            </w:r>
            <w:r w:rsidRPr="00055865">
              <w:rPr>
                <w:rFonts w:ascii="Garamond" w:hAnsi="Garamond"/>
                <w:b/>
                <w:bCs/>
                <w:color w:val="auto"/>
                <w:sz w:val="24"/>
                <w:szCs w:val="24"/>
              </w:rPr>
              <w:t xml:space="preserve">: Summary Statistics for All Continuous Variables </w:t>
            </w:r>
          </w:p>
          <w:p w14:paraId="209A059B" w14:textId="77777777" w:rsidR="001843D5" w:rsidRPr="001843D5" w:rsidRDefault="001843D5" w:rsidP="001843D5">
            <w:pPr>
              <w:pBdr>
                <w:top w:val="single" w:sz="4" w:space="1" w:color="auto"/>
              </w:pBdr>
              <w:spacing w:after="0" w:line="480" w:lineRule="auto"/>
              <w:contextualSpacing/>
              <w:jc w:val="both"/>
              <w:rPr>
                <w:rFonts w:ascii="Garamond" w:hAnsi="Garamond"/>
                <w:iCs/>
                <w:sz w:val="20"/>
                <w:szCs w:val="20"/>
                <w:vertAlign w:val="subscript"/>
                <w:lang w:eastAsia="en-GB"/>
              </w:rPr>
            </w:pPr>
            <w:r w:rsidRPr="001843D5">
              <w:rPr>
                <w:rFonts w:ascii="Garamond" w:hAnsi="Garamond"/>
                <w:sz w:val="20"/>
                <w:szCs w:val="20"/>
                <w:vertAlign w:val="subscript"/>
                <w:lang w:eastAsia="en-GB"/>
              </w:rPr>
              <w:t xml:space="preserve">This table reports </w:t>
            </w:r>
            <w:r w:rsidRPr="001843D5">
              <w:rPr>
                <w:rFonts w:ascii="Garamond" w:hAnsi="Garamond"/>
                <w:iCs/>
                <w:sz w:val="20"/>
                <w:szCs w:val="20"/>
                <w:vertAlign w:val="subscript"/>
                <w:lang w:eastAsia="en-GB"/>
              </w:rPr>
              <w:t xml:space="preserve">descriptive statistics for all continuous variables adopted in estimating the relationship between sustainable environmental policies and financial performance on a </w:t>
            </w:r>
          </w:p>
          <w:p w14:paraId="0A47579D" w14:textId="77777777" w:rsidR="001843D5" w:rsidRDefault="001843D5" w:rsidP="001843D5">
            <w:pPr>
              <w:pBdr>
                <w:top w:val="single" w:sz="4" w:space="1" w:color="auto"/>
              </w:pBdr>
              <w:spacing w:after="0" w:line="480" w:lineRule="auto"/>
              <w:contextualSpacing/>
              <w:jc w:val="both"/>
              <w:rPr>
                <w:rFonts w:ascii="Garamond" w:hAnsi="Garamond"/>
                <w:bCs/>
                <w:iCs/>
                <w:sz w:val="20"/>
                <w:szCs w:val="20"/>
                <w:vertAlign w:val="subscript"/>
                <w:lang w:eastAsia="en-GB"/>
              </w:rPr>
            </w:pPr>
            <w:r w:rsidRPr="001843D5">
              <w:rPr>
                <w:rFonts w:ascii="Garamond" w:hAnsi="Garamond"/>
                <w:iCs/>
                <w:sz w:val="20"/>
                <w:szCs w:val="20"/>
                <w:vertAlign w:val="subscript"/>
                <w:lang w:eastAsia="en-GB"/>
              </w:rPr>
              <w:t>sample of 201 listed companies on the Alternative Investment Market in the period 2011-2016.</w:t>
            </w:r>
            <w:r w:rsidRPr="001843D5">
              <w:rPr>
                <w:rFonts w:ascii="Garamond" w:hAnsi="Garamond"/>
                <w:bCs/>
                <w:iCs/>
                <w:sz w:val="20"/>
                <w:szCs w:val="20"/>
                <w:vertAlign w:val="subscript"/>
              </w:rPr>
              <w:t xml:space="preserve"> </w:t>
            </w:r>
            <w:r w:rsidRPr="001843D5">
              <w:rPr>
                <w:rFonts w:ascii="Garamond" w:hAnsi="Garamond"/>
                <w:bCs/>
                <w:iCs/>
                <w:sz w:val="20"/>
                <w:szCs w:val="20"/>
                <w:vertAlign w:val="subscript"/>
                <w:lang w:eastAsia="en-GB"/>
              </w:rPr>
              <w:t xml:space="preserve">It presents the dependent variables; return on assets (ROA), and Tobin’s q. This is followed by explanatory </w:t>
            </w:r>
          </w:p>
          <w:p w14:paraId="2F62DE84" w14:textId="5C6A1016" w:rsidR="001843D5" w:rsidRDefault="001843D5" w:rsidP="001843D5">
            <w:pPr>
              <w:pBdr>
                <w:top w:val="single" w:sz="4" w:space="1" w:color="auto"/>
              </w:pBdr>
              <w:spacing w:after="0" w:line="480" w:lineRule="auto"/>
              <w:contextualSpacing/>
              <w:jc w:val="both"/>
              <w:rPr>
                <w:rFonts w:ascii="Garamond" w:hAnsi="Garamond"/>
                <w:bCs/>
                <w:iCs/>
                <w:sz w:val="20"/>
                <w:szCs w:val="20"/>
                <w:vertAlign w:val="subscript"/>
                <w:lang w:eastAsia="en-GB"/>
              </w:rPr>
            </w:pPr>
            <w:r w:rsidRPr="001843D5">
              <w:rPr>
                <w:rFonts w:ascii="Garamond" w:hAnsi="Garamond"/>
                <w:bCs/>
                <w:iCs/>
                <w:sz w:val="20"/>
                <w:szCs w:val="20"/>
                <w:vertAlign w:val="subscript"/>
                <w:lang w:eastAsia="en-GB"/>
              </w:rPr>
              <w:t>variables which are made up of the sustainable environmental policies in order of Energy, Greenhouse Gases (GHG),</w:t>
            </w:r>
            <w:r>
              <w:rPr>
                <w:rFonts w:ascii="Garamond" w:hAnsi="Garamond"/>
                <w:bCs/>
                <w:iCs/>
                <w:sz w:val="20"/>
                <w:szCs w:val="20"/>
                <w:vertAlign w:val="subscript"/>
                <w:lang w:eastAsia="en-GB"/>
              </w:rPr>
              <w:t xml:space="preserve"> </w:t>
            </w:r>
            <w:r w:rsidRPr="001843D5">
              <w:rPr>
                <w:rFonts w:ascii="Garamond" w:hAnsi="Garamond"/>
                <w:bCs/>
                <w:iCs/>
                <w:sz w:val="20"/>
                <w:szCs w:val="20"/>
                <w:vertAlign w:val="subscript"/>
                <w:lang w:eastAsia="en-GB"/>
              </w:rPr>
              <w:t>Waste, Materials and Resource Efficiency (Materials), compliance to environmental</w:t>
            </w:r>
          </w:p>
          <w:p w14:paraId="708E523D" w14:textId="1E198DD7" w:rsidR="001843D5" w:rsidRDefault="001843D5" w:rsidP="001843D5">
            <w:pPr>
              <w:pBdr>
                <w:top w:val="single" w:sz="4" w:space="1" w:color="auto"/>
              </w:pBdr>
              <w:spacing w:after="0" w:line="480" w:lineRule="auto"/>
              <w:contextualSpacing/>
              <w:jc w:val="both"/>
              <w:rPr>
                <w:rFonts w:ascii="Garamond" w:hAnsi="Garamond"/>
                <w:bCs/>
                <w:iCs/>
                <w:sz w:val="20"/>
                <w:szCs w:val="20"/>
                <w:vertAlign w:val="subscript"/>
                <w:lang w:eastAsia="en-GB"/>
              </w:rPr>
            </w:pPr>
            <w:r w:rsidRPr="001843D5">
              <w:rPr>
                <w:rFonts w:ascii="Garamond" w:hAnsi="Garamond"/>
                <w:bCs/>
                <w:iCs/>
                <w:sz w:val="20"/>
                <w:szCs w:val="20"/>
                <w:vertAlign w:val="subscript"/>
                <w:lang w:eastAsia="en-GB"/>
              </w:rPr>
              <w:t xml:space="preserve"> regulations (Compliance) and stakeholder engagement (Stake). Finally, the control variables are also presented in order of Size, Liquidity, Gearing, Board Size, number of non-executive directors (NEDS)</w:t>
            </w:r>
          </w:p>
          <w:p w14:paraId="799499CA" w14:textId="1EF5F2A3" w:rsidR="001843D5" w:rsidRPr="001843D5" w:rsidRDefault="001843D5" w:rsidP="005B6FD7">
            <w:pPr>
              <w:pBdr>
                <w:top w:val="single" w:sz="4" w:space="1" w:color="auto"/>
              </w:pBdr>
              <w:spacing w:after="0" w:line="480" w:lineRule="auto"/>
              <w:contextualSpacing/>
              <w:jc w:val="both"/>
              <w:rPr>
                <w:rFonts w:ascii="Garamond" w:hAnsi="Garamond"/>
                <w:bCs/>
                <w:iCs/>
                <w:sz w:val="20"/>
                <w:szCs w:val="20"/>
                <w:vertAlign w:val="subscript"/>
                <w:lang w:eastAsia="en-GB"/>
              </w:rPr>
            </w:pPr>
            <w:r w:rsidRPr="001843D5">
              <w:rPr>
                <w:rFonts w:ascii="Garamond" w:hAnsi="Garamond"/>
                <w:bCs/>
                <w:iCs/>
                <w:sz w:val="20"/>
                <w:szCs w:val="20"/>
                <w:vertAlign w:val="subscript"/>
                <w:lang w:eastAsia="en-GB"/>
              </w:rPr>
              <w:t xml:space="preserve"> and CEO Remuneration (</w:t>
            </w:r>
            <w:proofErr w:type="spellStart"/>
            <w:r w:rsidRPr="001843D5">
              <w:rPr>
                <w:rFonts w:ascii="Garamond" w:hAnsi="Garamond"/>
                <w:bCs/>
                <w:iCs/>
                <w:sz w:val="20"/>
                <w:szCs w:val="20"/>
                <w:vertAlign w:val="subscript"/>
                <w:lang w:eastAsia="en-GB"/>
              </w:rPr>
              <w:t>CEORem</w:t>
            </w:r>
            <w:proofErr w:type="spellEnd"/>
            <w:r w:rsidRPr="001843D5">
              <w:rPr>
                <w:rFonts w:ascii="Garamond" w:hAnsi="Garamond"/>
                <w:bCs/>
                <w:iCs/>
                <w:sz w:val="20"/>
                <w:szCs w:val="20"/>
                <w:vertAlign w:val="subscript"/>
                <w:lang w:eastAsia="en-GB"/>
              </w:rPr>
              <w:t>).</w:t>
            </w:r>
          </w:p>
          <w:tbl>
            <w:tblPr>
              <w:tblW w:w="8860" w:type="dxa"/>
              <w:tblLook w:val="04A0" w:firstRow="1" w:lastRow="0" w:firstColumn="1" w:lastColumn="0" w:noHBand="0" w:noVBand="1"/>
            </w:tblPr>
            <w:tblGrid>
              <w:gridCol w:w="1411"/>
              <w:gridCol w:w="1355"/>
              <w:gridCol w:w="835"/>
              <w:gridCol w:w="1000"/>
              <w:gridCol w:w="732"/>
              <w:gridCol w:w="940"/>
              <w:gridCol w:w="931"/>
              <w:gridCol w:w="1113"/>
              <w:gridCol w:w="991"/>
            </w:tblGrid>
            <w:tr w:rsidR="001843D5" w:rsidRPr="00055865" w14:paraId="570CDF95" w14:textId="77777777" w:rsidTr="005B6FD7">
              <w:trPr>
                <w:trHeight w:val="615"/>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CCBC0" w14:textId="77777777" w:rsidR="001843D5" w:rsidRPr="00055865" w:rsidRDefault="001843D5" w:rsidP="005B6FD7">
                  <w:pPr>
                    <w:spacing w:after="0" w:line="240" w:lineRule="auto"/>
                    <w:rPr>
                      <w:rFonts w:ascii="Garamond" w:eastAsia="Times New Roman" w:hAnsi="Garamond" w:cs="Calibri"/>
                      <w:b/>
                      <w:bCs/>
                      <w:lang w:eastAsia="en-GB"/>
                    </w:rPr>
                  </w:pPr>
                  <w:r w:rsidRPr="00055865">
                    <w:rPr>
                      <w:rFonts w:ascii="Garamond" w:eastAsia="Times New Roman" w:hAnsi="Garamond" w:cs="Calibri"/>
                      <w:b/>
                      <w:bCs/>
                      <w:lang w:eastAsia="en-GB"/>
                    </w:rPr>
                    <w:t>Variables</w:t>
                  </w:r>
                </w:p>
              </w:tc>
              <w:tc>
                <w:tcPr>
                  <w:tcW w:w="1300" w:type="dxa"/>
                  <w:tcBorders>
                    <w:top w:val="single" w:sz="8" w:space="0" w:color="auto"/>
                    <w:left w:val="nil"/>
                    <w:bottom w:val="single" w:sz="8" w:space="0" w:color="auto"/>
                    <w:right w:val="nil"/>
                  </w:tcBorders>
                  <w:shd w:val="clear" w:color="auto" w:fill="auto"/>
                  <w:noWrap/>
                  <w:vAlign w:val="center"/>
                  <w:hideMark/>
                </w:tcPr>
                <w:p w14:paraId="358157D9" w14:textId="77777777" w:rsidR="001843D5" w:rsidRPr="00055865" w:rsidRDefault="001843D5" w:rsidP="005B6FD7">
                  <w:pPr>
                    <w:spacing w:after="0" w:line="240" w:lineRule="auto"/>
                    <w:rPr>
                      <w:rFonts w:ascii="Garamond" w:eastAsia="Times New Roman" w:hAnsi="Garamond" w:cs="Calibri"/>
                      <w:b/>
                      <w:bCs/>
                      <w:lang w:eastAsia="en-GB"/>
                    </w:rPr>
                  </w:pPr>
                  <w:r w:rsidRPr="00055865">
                    <w:rPr>
                      <w:rFonts w:ascii="Garamond" w:eastAsia="Times New Roman" w:hAnsi="Garamond" w:cs="Calibri"/>
                      <w:b/>
                      <w:bCs/>
                      <w:lang w:eastAsia="en-GB"/>
                    </w:rPr>
                    <w:t>Observation</w:t>
                  </w:r>
                </w:p>
              </w:tc>
              <w:tc>
                <w:tcPr>
                  <w:tcW w:w="740" w:type="dxa"/>
                  <w:tcBorders>
                    <w:top w:val="single" w:sz="8" w:space="0" w:color="auto"/>
                    <w:left w:val="nil"/>
                    <w:bottom w:val="single" w:sz="8" w:space="0" w:color="auto"/>
                    <w:right w:val="nil"/>
                  </w:tcBorders>
                  <w:shd w:val="clear" w:color="auto" w:fill="auto"/>
                  <w:noWrap/>
                  <w:vAlign w:val="center"/>
                  <w:hideMark/>
                </w:tcPr>
                <w:p w14:paraId="3E13E42B" w14:textId="77777777" w:rsidR="001843D5" w:rsidRPr="00055865" w:rsidRDefault="001843D5" w:rsidP="005B6FD7">
                  <w:pPr>
                    <w:spacing w:after="0" w:line="240" w:lineRule="auto"/>
                    <w:rPr>
                      <w:rFonts w:ascii="Garamond" w:eastAsia="Times New Roman" w:hAnsi="Garamond" w:cs="Calibri"/>
                      <w:b/>
                      <w:bCs/>
                      <w:lang w:eastAsia="en-GB"/>
                    </w:rPr>
                  </w:pPr>
                  <w:r w:rsidRPr="00055865">
                    <w:rPr>
                      <w:rFonts w:ascii="Garamond" w:eastAsia="Times New Roman" w:hAnsi="Garamond" w:cs="Calibri"/>
                      <w:b/>
                      <w:bCs/>
                      <w:lang w:eastAsia="en-GB"/>
                    </w:rPr>
                    <w:t>Mean</w:t>
                  </w:r>
                </w:p>
              </w:tc>
              <w:tc>
                <w:tcPr>
                  <w:tcW w:w="1000" w:type="dxa"/>
                  <w:tcBorders>
                    <w:top w:val="single" w:sz="8" w:space="0" w:color="auto"/>
                    <w:left w:val="nil"/>
                    <w:bottom w:val="single" w:sz="8" w:space="0" w:color="auto"/>
                    <w:right w:val="nil"/>
                  </w:tcBorders>
                  <w:shd w:val="clear" w:color="auto" w:fill="auto"/>
                  <w:noWrap/>
                  <w:vAlign w:val="center"/>
                  <w:hideMark/>
                </w:tcPr>
                <w:p w14:paraId="1C251246" w14:textId="77777777" w:rsidR="001843D5" w:rsidRPr="00055865" w:rsidRDefault="001843D5" w:rsidP="005B6FD7">
                  <w:pPr>
                    <w:spacing w:after="0" w:line="240" w:lineRule="auto"/>
                    <w:rPr>
                      <w:rFonts w:ascii="Garamond" w:eastAsia="Times New Roman" w:hAnsi="Garamond" w:cs="Calibri"/>
                      <w:b/>
                      <w:bCs/>
                      <w:lang w:eastAsia="en-GB"/>
                    </w:rPr>
                  </w:pPr>
                  <w:r w:rsidRPr="00055865">
                    <w:rPr>
                      <w:rFonts w:ascii="Garamond" w:eastAsia="Times New Roman" w:hAnsi="Garamond" w:cs="Calibri"/>
                      <w:b/>
                      <w:bCs/>
                      <w:lang w:eastAsia="en-GB"/>
                    </w:rPr>
                    <w:t>Std Dev</w:t>
                  </w:r>
                </w:p>
              </w:tc>
              <w:tc>
                <w:tcPr>
                  <w:tcW w:w="680" w:type="dxa"/>
                  <w:tcBorders>
                    <w:top w:val="single" w:sz="8" w:space="0" w:color="auto"/>
                    <w:left w:val="nil"/>
                    <w:bottom w:val="single" w:sz="8" w:space="0" w:color="auto"/>
                    <w:right w:val="nil"/>
                  </w:tcBorders>
                  <w:shd w:val="clear" w:color="auto" w:fill="auto"/>
                  <w:noWrap/>
                  <w:vAlign w:val="center"/>
                  <w:hideMark/>
                </w:tcPr>
                <w:p w14:paraId="553ADA4D" w14:textId="77777777" w:rsidR="001843D5" w:rsidRPr="00055865" w:rsidRDefault="001843D5" w:rsidP="005B6FD7">
                  <w:pPr>
                    <w:spacing w:after="0" w:line="240" w:lineRule="auto"/>
                    <w:rPr>
                      <w:rFonts w:ascii="Garamond" w:eastAsia="Times New Roman" w:hAnsi="Garamond" w:cs="Calibri"/>
                      <w:b/>
                      <w:bCs/>
                      <w:lang w:eastAsia="en-GB"/>
                    </w:rPr>
                  </w:pPr>
                  <w:r w:rsidRPr="00055865">
                    <w:rPr>
                      <w:rFonts w:ascii="Garamond" w:eastAsia="Times New Roman" w:hAnsi="Garamond" w:cs="Calibri"/>
                      <w:b/>
                      <w:bCs/>
                      <w:lang w:eastAsia="en-GB"/>
                    </w:rPr>
                    <w:t>Min</w:t>
                  </w:r>
                </w:p>
              </w:tc>
              <w:tc>
                <w:tcPr>
                  <w:tcW w:w="940" w:type="dxa"/>
                  <w:tcBorders>
                    <w:top w:val="single" w:sz="8" w:space="0" w:color="auto"/>
                    <w:left w:val="nil"/>
                    <w:bottom w:val="single" w:sz="8" w:space="0" w:color="auto"/>
                    <w:right w:val="nil"/>
                  </w:tcBorders>
                  <w:shd w:val="clear" w:color="auto" w:fill="auto"/>
                  <w:noWrap/>
                  <w:vAlign w:val="center"/>
                  <w:hideMark/>
                </w:tcPr>
                <w:p w14:paraId="4DD591C4" w14:textId="77777777" w:rsidR="001843D5" w:rsidRPr="00055865" w:rsidRDefault="001843D5" w:rsidP="005B6FD7">
                  <w:pPr>
                    <w:spacing w:after="0" w:line="240" w:lineRule="auto"/>
                    <w:rPr>
                      <w:rFonts w:ascii="Garamond" w:eastAsia="Times New Roman" w:hAnsi="Garamond" w:cs="Calibri"/>
                      <w:b/>
                      <w:bCs/>
                      <w:lang w:eastAsia="en-GB"/>
                    </w:rPr>
                  </w:pPr>
                  <w:r w:rsidRPr="00055865">
                    <w:rPr>
                      <w:rFonts w:ascii="Garamond" w:eastAsia="Times New Roman" w:hAnsi="Garamond" w:cs="Calibri"/>
                      <w:b/>
                      <w:bCs/>
                      <w:lang w:eastAsia="en-GB"/>
                    </w:rPr>
                    <w:t>Max</w:t>
                  </w:r>
                </w:p>
              </w:tc>
              <w:tc>
                <w:tcPr>
                  <w:tcW w:w="860" w:type="dxa"/>
                  <w:tcBorders>
                    <w:top w:val="single" w:sz="8" w:space="0" w:color="auto"/>
                    <w:left w:val="nil"/>
                    <w:bottom w:val="single" w:sz="8" w:space="0" w:color="auto"/>
                    <w:right w:val="nil"/>
                  </w:tcBorders>
                  <w:shd w:val="clear" w:color="auto" w:fill="auto"/>
                  <w:noWrap/>
                  <w:vAlign w:val="center"/>
                  <w:hideMark/>
                </w:tcPr>
                <w:p w14:paraId="1545E539" w14:textId="77777777" w:rsidR="001843D5" w:rsidRPr="00055865" w:rsidRDefault="001843D5" w:rsidP="005B6FD7">
                  <w:pPr>
                    <w:spacing w:after="0" w:line="240" w:lineRule="auto"/>
                    <w:rPr>
                      <w:rFonts w:ascii="Garamond" w:eastAsia="Times New Roman" w:hAnsi="Garamond" w:cs="Calibri"/>
                      <w:b/>
                      <w:bCs/>
                      <w:lang w:eastAsia="en-GB"/>
                    </w:rPr>
                  </w:pPr>
                  <w:r w:rsidRPr="00055865">
                    <w:rPr>
                      <w:rFonts w:ascii="Garamond" w:eastAsia="Times New Roman" w:hAnsi="Garamond" w:cs="Calibri"/>
                      <w:b/>
                      <w:bCs/>
                      <w:lang w:eastAsia="en-GB"/>
                    </w:rPr>
                    <w:t>Median</w:t>
                  </w:r>
                </w:p>
              </w:tc>
              <w:tc>
                <w:tcPr>
                  <w:tcW w:w="1060" w:type="dxa"/>
                  <w:tcBorders>
                    <w:top w:val="single" w:sz="8" w:space="0" w:color="auto"/>
                    <w:left w:val="nil"/>
                    <w:bottom w:val="single" w:sz="8" w:space="0" w:color="auto"/>
                    <w:right w:val="nil"/>
                  </w:tcBorders>
                  <w:shd w:val="clear" w:color="auto" w:fill="auto"/>
                  <w:vAlign w:val="center"/>
                  <w:hideMark/>
                </w:tcPr>
                <w:p w14:paraId="35776717" w14:textId="77777777" w:rsidR="001843D5" w:rsidRPr="00055865" w:rsidRDefault="001843D5" w:rsidP="005B6FD7">
                  <w:pPr>
                    <w:spacing w:after="0" w:line="240" w:lineRule="auto"/>
                    <w:rPr>
                      <w:rFonts w:ascii="Garamond" w:eastAsia="Times New Roman" w:hAnsi="Garamond" w:cs="Calibri"/>
                      <w:b/>
                      <w:bCs/>
                      <w:lang w:eastAsia="en-GB"/>
                    </w:rPr>
                  </w:pPr>
                  <w:r w:rsidRPr="00055865">
                    <w:rPr>
                      <w:rFonts w:ascii="Garamond" w:eastAsia="Times New Roman" w:hAnsi="Garamond" w:cs="Calibri"/>
                      <w:b/>
                      <w:bCs/>
                      <w:lang w:eastAsia="en-GB"/>
                    </w:rPr>
                    <w:t>Skewness</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14:paraId="40BABDB7" w14:textId="77777777" w:rsidR="001843D5" w:rsidRPr="00055865" w:rsidRDefault="001843D5" w:rsidP="005B6FD7">
                  <w:pPr>
                    <w:spacing w:after="0" w:line="240" w:lineRule="auto"/>
                    <w:rPr>
                      <w:rFonts w:ascii="Garamond" w:eastAsia="Times New Roman" w:hAnsi="Garamond" w:cs="Calibri"/>
                      <w:b/>
                      <w:bCs/>
                      <w:lang w:eastAsia="en-GB"/>
                    </w:rPr>
                  </w:pPr>
                  <w:r w:rsidRPr="00055865">
                    <w:rPr>
                      <w:rFonts w:ascii="Garamond" w:eastAsia="Times New Roman" w:hAnsi="Garamond" w:cs="Calibri"/>
                      <w:b/>
                      <w:bCs/>
                      <w:lang w:eastAsia="en-GB"/>
                    </w:rPr>
                    <w:t>Kurtosis</w:t>
                  </w:r>
                </w:p>
              </w:tc>
            </w:tr>
            <w:tr w:rsidR="001843D5" w:rsidRPr="00055865" w14:paraId="5CD6C67D" w14:textId="77777777" w:rsidTr="005B6FD7">
              <w:trPr>
                <w:trHeight w:val="300"/>
              </w:trPr>
              <w:tc>
                <w:tcPr>
                  <w:tcW w:w="1300" w:type="dxa"/>
                  <w:tcBorders>
                    <w:top w:val="nil"/>
                    <w:left w:val="single" w:sz="8" w:space="0" w:color="auto"/>
                    <w:bottom w:val="nil"/>
                    <w:right w:val="single" w:sz="8" w:space="0" w:color="auto"/>
                  </w:tcBorders>
                  <w:shd w:val="clear" w:color="auto" w:fill="auto"/>
                  <w:noWrap/>
                  <w:vAlign w:val="center"/>
                  <w:hideMark/>
                </w:tcPr>
                <w:p w14:paraId="23EA499F" w14:textId="77777777" w:rsidR="001843D5" w:rsidRPr="00055865" w:rsidRDefault="001843D5" w:rsidP="005B6FD7">
                  <w:pPr>
                    <w:spacing w:after="0" w:line="240" w:lineRule="auto"/>
                    <w:rPr>
                      <w:rFonts w:ascii="Garamond" w:eastAsia="Times New Roman" w:hAnsi="Garamond" w:cs="Calibri"/>
                      <w:b/>
                      <w:bCs/>
                      <w:lang w:eastAsia="en-GB"/>
                    </w:rPr>
                  </w:pPr>
                  <w:r w:rsidRPr="00055865">
                    <w:rPr>
                      <w:rFonts w:ascii="Garamond" w:eastAsia="Times New Roman" w:hAnsi="Garamond" w:cs="Calibri"/>
                      <w:b/>
                      <w:bCs/>
                      <w:lang w:eastAsia="en-GB"/>
                    </w:rPr>
                    <w:t>Dependent</w:t>
                  </w:r>
                </w:p>
              </w:tc>
              <w:tc>
                <w:tcPr>
                  <w:tcW w:w="1300" w:type="dxa"/>
                  <w:tcBorders>
                    <w:top w:val="nil"/>
                    <w:left w:val="nil"/>
                    <w:bottom w:val="nil"/>
                    <w:right w:val="nil"/>
                  </w:tcBorders>
                  <w:shd w:val="clear" w:color="auto" w:fill="auto"/>
                  <w:noWrap/>
                  <w:vAlign w:val="center"/>
                  <w:hideMark/>
                </w:tcPr>
                <w:p w14:paraId="6E172137" w14:textId="77777777" w:rsidR="001843D5" w:rsidRPr="00055865" w:rsidRDefault="001843D5" w:rsidP="005B6FD7">
                  <w:pPr>
                    <w:spacing w:after="0" w:line="240" w:lineRule="auto"/>
                    <w:rPr>
                      <w:rFonts w:ascii="Garamond" w:eastAsia="Times New Roman" w:hAnsi="Garamond" w:cs="Calibri"/>
                      <w:b/>
                      <w:bCs/>
                      <w:lang w:eastAsia="en-GB"/>
                    </w:rPr>
                  </w:pPr>
                </w:p>
              </w:tc>
              <w:tc>
                <w:tcPr>
                  <w:tcW w:w="740" w:type="dxa"/>
                  <w:tcBorders>
                    <w:top w:val="nil"/>
                    <w:left w:val="nil"/>
                    <w:bottom w:val="nil"/>
                    <w:right w:val="nil"/>
                  </w:tcBorders>
                  <w:shd w:val="clear" w:color="auto" w:fill="auto"/>
                  <w:noWrap/>
                  <w:vAlign w:val="center"/>
                  <w:hideMark/>
                </w:tcPr>
                <w:p w14:paraId="08622DA0" w14:textId="77777777" w:rsidR="001843D5" w:rsidRPr="00055865" w:rsidRDefault="001843D5" w:rsidP="005B6FD7">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center"/>
                  <w:hideMark/>
                </w:tcPr>
                <w:p w14:paraId="397D034E" w14:textId="77777777" w:rsidR="001843D5" w:rsidRPr="00055865" w:rsidRDefault="001843D5" w:rsidP="005B6FD7">
                  <w:pPr>
                    <w:spacing w:after="0" w:line="240" w:lineRule="auto"/>
                    <w:rPr>
                      <w:rFonts w:ascii="Times New Roman" w:eastAsia="Times New Roman" w:hAnsi="Times New Roman" w:cs="Times New Roman"/>
                      <w:sz w:val="20"/>
                      <w:szCs w:val="20"/>
                      <w:lang w:eastAsia="en-GB"/>
                    </w:rPr>
                  </w:pPr>
                </w:p>
              </w:tc>
              <w:tc>
                <w:tcPr>
                  <w:tcW w:w="680" w:type="dxa"/>
                  <w:tcBorders>
                    <w:top w:val="nil"/>
                    <w:left w:val="nil"/>
                    <w:bottom w:val="nil"/>
                    <w:right w:val="nil"/>
                  </w:tcBorders>
                  <w:shd w:val="clear" w:color="auto" w:fill="auto"/>
                  <w:noWrap/>
                  <w:vAlign w:val="center"/>
                  <w:hideMark/>
                </w:tcPr>
                <w:p w14:paraId="0BF49950" w14:textId="77777777" w:rsidR="001843D5" w:rsidRPr="00055865" w:rsidRDefault="001843D5" w:rsidP="005B6FD7">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41AA3A99" w14:textId="77777777" w:rsidR="001843D5" w:rsidRPr="00055865" w:rsidRDefault="001843D5" w:rsidP="005B6FD7">
                  <w:pPr>
                    <w:spacing w:after="0" w:line="240" w:lineRule="auto"/>
                    <w:rPr>
                      <w:rFonts w:ascii="Times New Roman" w:eastAsia="Times New Roman" w:hAnsi="Times New Roman" w:cs="Times New Roman"/>
                      <w:sz w:val="20"/>
                      <w:szCs w:val="20"/>
                      <w:lang w:eastAsia="en-GB"/>
                    </w:rPr>
                  </w:pPr>
                </w:p>
              </w:tc>
              <w:tc>
                <w:tcPr>
                  <w:tcW w:w="860" w:type="dxa"/>
                  <w:tcBorders>
                    <w:top w:val="nil"/>
                    <w:left w:val="nil"/>
                    <w:bottom w:val="nil"/>
                    <w:right w:val="nil"/>
                  </w:tcBorders>
                  <w:shd w:val="clear" w:color="auto" w:fill="auto"/>
                  <w:noWrap/>
                  <w:vAlign w:val="center"/>
                  <w:hideMark/>
                </w:tcPr>
                <w:p w14:paraId="3A96E3B0" w14:textId="77777777" w:rsidR="001843D5" w:rsidRPr="00055865" w:rsidRDefault="001843D5" w:rsidP="005B6FD7">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center"/>
                  <w:hideMark/>
                </w:tcPr>
                <w:p w14:paraId="49A9A430" w14:textId="77777777" w:rsidR="001843D5" w:rsidRPr="00055865" w:rsidRDefault="001843D5" w:rsidP="005B6FD7">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single" w:sz="8" w:space="0" w:color="auto"/>
                  </w:tcBorders>
                  <w:shd w:val="clear" w:color="auto" w:fill="auto"/>
                  <w:noWrap/>
                  <w:vAlign w:val="center"/>
                  <w:hideMark/>
                </w:tcPr>
                <w:p w14:paraId="0C0CA9B2"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 </w:t>
                  </w:r>
                </w:p>
              </w:tc>
            </w:tr>
            <w:tr w:rsidR="001843D5" w:rsidRPr="00055865" w14:paraId="5AFF7BE1" w14:textId="77777777" w:rsidTr="005B6FD7">
              <w:trPr>
                <w:trHeight w:val="300"/>
              </w:trPr>
              <w:tc>
                <w:tcPr>
                  <w:tcW w:w="1300" w:type="dxa"/>
                  <w:tcBorders>
                    <w:top w:val="nil"/>
                    <w:left w:val="single" w:sz="8" w:space="0" w:color="auto"/>
                    <w:bottom w:val="nil"/>
                    <w:right w:val="single" w:sz="8" w:space="0" w:color="auto"/>
                  </w:tcBorders>
                  <w:shd w:val="clear" w:color="auto" w:fill="auto"/>
                  <w:noWrap/>
                  <w:vAlign w:val="center"/>
                  <w:hideMark/>
                </w:tcPr>
                <w:p w14:paraId="3689856C"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ROA</w:t>
                  </w:r>
                </w:p>
              </w:tc>
              <w:tc>
                <w:tcPr>
                  <w:tcW w:w="1300" w:type="dxa"/>
                  <w:tcBorders>
                    <w:top w:val="nil"/>
                    <w:left w:val="nil"/>
                    <w:bottom w:val="nil"/>
                    <w:right w:val="nil"/>
                  </w:tcBorders>
                  <w:shd w:val="clear" w:color="auto" w:fill="auto"/>
                  <w:noWrap/>
                  <w:vAlign w:val="center"/>
                  <w:hideMark/>
                </w:tcPr>
                <w:p w14:paraId="54D05C2C"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1044</w:t>
                  </w:r>
                </w:p>
              </w:tc>
              <w:tc>
                <w:tcPr>
                  <w:tcW w:w="740" w:type="dxa"/>
                  <w:tcBorders>
                    <w:top w:val="nil"/>
                    <w:left w:val="nil"/>
                    <w:bottom w:val="nil"/>
                    <w:right w:val="nil"/>
                  </w:tcBorders>
                  <w:shd w:val="clear" w:color="auto" w:fill="auto"/>
                  <w:noWrap/>
                  <w:vAlign w:val="center"/>
                  <w:hideMark/>
                </w:tcPr>
                <w:p w14:paraId="586CD8F4"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0.07</w:t>
                  </w:r>
                </w:p>
              </w:tc>
              <w:tc>
                <w:tcPr>
                  <w:tcW w:w="1000" w:type="dxa"/>
                  <w:tcBorders>
                    <w:top w:val="nil"/>
                    <w:left w:val="nil"/>
                    <w:bottom w:val="nil"/>
                    <w:right w:val="nil"/>
                  </w:tcBorders>
                  <w:shd w:val="clear" w:color="auto" w:fill="auto"/>
                  <w:noWrap/>
                  <w:vAlign w:val="center"/>
                  <w:hideMark/>
                </w:tcPr>
                <w:p w14:paraId="62CBE1BB"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0.16</w:t>
                  </w:r>
                </w:p>
              </w:tc>
              <w:tc>
                <w:tcPr>
                  <w:tcW w:w="680" w:type="dxa"/>
                  <w:tcBorders>
                    <w:top w:val="nil"/>
                    <w:left w:val="nil"/>
                    <w:bottom w:val="nil"/>
                    <w:right w:val="nil"/>
                  </w:tcBorders>
                  <w:shd w:val="clear" w:color="auto" w:fill="auto"/>
                  <w:noWrap/>
                  <w:vAlign w:val="center"/>
                  <w:hideMark/>
                </w:tcPr>
                <w:p w14:paraId="429F9BA6"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-0.92</w:t>
                  </w:r>
                </w:p>
              </w:tc>
              <w:tc>
                <w:tcPr>
                  <w:tcW w:w="940" w:type="dxa"/>
                  <w:tcBorders>
                    <w:top w:val="nil"/>
                    <w:left w:val="nil"/>
                    <w:bottom w:val="nil"/>
                    <w:right w:val="nil"/>
                  </w:tcBorders>
                  <w:shd w:val="clear" w:color="auto" w:fill="auto"/>
                  <w:noWrap/>
                  <w:vAlign w:val="center"/>
                  <w:hideMark/>
                </w:tcPr>
                <w:p w14:paraId="00230B8C"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0.84</w:t>
                  </w:r>
                </w:p>
              </w:tc>
              <w:tc>
                <w:tcPr>
                  <w:tcW w:w="860" w:type="dxa"/>
                  <w:tcBorders>
                    <w:top w:val="nil"/>
                    <w:left w:val="nil"/>
                    <w:bottom w:val="nil"/>
                    <w:right w:val="nil"/>
                  </w:tcBorders>
                  <w:shd w:val="clear" w:color="auto" w:fill="auto"/>
                  <w:noWrap/>
                  <w:vAlign w:val="center"/>
                  <w:hideMark/>
                </w:tcPr>
                <w:p w14:paraId="5B7E9DF9"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0.03</w:t>
                  </w:r>
                </w:p>
              </w:tc>
              <w:tc>
                <w:tcPr>
                  <w:tcW w:w="1060" w:type="dxa"/>
                  <w:tcBorders>
                    <w:top w:val="nil"/>
                    <w:left w:val="nil"/>
                    <w:bottom w:val="nil"/>
                    <w:right w:val="nil"/>
                  </w:tcBorders>
                  <w:shd w:val="clear" w:color="auto" w:fill="auto"/>
                  <w:noWrap/>
                  <w:vAlign w:val="center"/>
                  <w:hideMark/>
                </w:tcPr>
                <w:p w14:paraId="237F486E"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-0.86</w:t>
                  </w:r>
                </w:p>
              </w:tc>
              <w:tc>
                <w:tcPr>
                  <w:tcW w:w="980" w:type="dxa"/>
                  <w:tcBorders>
                    <w:top w:val="nil"/>
                    <w:left w:val="nil"/>
                    <w:bottom w:val="nil"/>
                    <w:right w:val="single" w:sz="8" w:space="0" w:color="auto"/>
                  </w:tcBorders>
                  <w:shd w:val="clear" w:color="auto" w:fill="auto"/>
                  <w:noWrap/>
                  <w:vAlign w:val="center"/>
                  <w:hideMark/>
                </w:tcPr>
                <w:p w14:paraId="650A6632"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5.47</w:t>
                  </w:r>
                </w:p>
              </w:tc>
            </w:tr>
            <w:tr w:rsidR="001843D5" w:rsidRPr="00055865" w14:paraId="1B609A0B" w14:textId="77777777" w:rsidTr="005B6FD7">
              <w:trPr>
                <w:trHeight w:val="315"/>
              </w:trPr>
              <w:tc>
                <w:tcPr>
                  <w:tcW w:w="1300" w:type="dxa"/>
                  <w:tcBorders>
                    <w:top w:val="nil"/>
                    <w:left w:val="single" w:sz="8" w:space="0" w:color="auto"/>
                    <w:bottom w:val="nil"/>
                    <w:right w:val="single" w:sz="8" w:space="0" w:color="auto"/>
                  </w:tcBorders>
                  <w:shd w:val="clear" w:color="auto" w:fill="auto"/>
                  <w:noWrap/>
                  <w:vAlign w:val="center"/>
                  <w:hideMark/>
                </w:tcPr>
                <w:p w14:paraId="16406046"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Tobin Q</w:t>
                  </w:r>
                </w:p>
              </w:tc>
              <w:tc>
                <w:tcPr>
                  <w:tcW w:w="1300" w:type="dxa"/>
                  <w:tcBorders>
                    <w:top w:val="nil"/>
                    <w:left w:val="nil"/>
                    <w:bottom w:val="nil"/>
                    <w:right w:val="nil"/>
                  </w:tcBorders>
                  <w:shd w:val="clear" w:color="auto" w:fill="auto"/>
                  <w:noWrap/>
                  <w:vAlign w:val="center"/>
                  <w:hideMark/>
                </w:tcPr>
                <w:p w14:paraId="3EBA28BC"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897</w:t>
                  </w:r>
                </w:p>
              </w:tc>
              <w:tc>
                <w:tcPr>
                  <w:tcW w:w="740" w:type="dxa"/>
                  <w:tcBorders>
                    <w:top w:val="nil"/>
                    <w:left w:val="nil"/>
                    <w:bottom w:val="nil"/>
                    <w:right w:val="nil"/>
                  </w:tcBorders>
                  <w:shd w:val="clear" w:color="auto" w:fill="auto"/>
                  <w:noWrap/>
                  <w:vAlign w:val="center"/>
                  <w:hideMark/>
                </w:tcPr>
                <w:p w14:paraId="06B97CD5"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1.83</w:t>
                  </w:r>
                </w:p>
              </w:tc>
              <w:tc>
                <w:tcPr>
                  <w:tcW w:w="1000" w:type="dxa"/>
                  <w:tcBorders>
                    <w:top w:val="nil"/>
                    <w:left w:val="nil"/>
                    <w:bottom w:val="nil"/>
                    <w:right w:val="nil"/>
                  </w:tcBorders>
                  <w:shd w:val="clear" w:color="auto" w:fill="auto"/>
                  <w:noWrap/>
                  <w:vAlign w:val="center"/>
                  <w:hideMark/>
                </w:tcPr>
                <w:p w14:paraId="14F6A444"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2.82</w:t>
                  </w:r>
                </w:p>
              </w:tc>
              <w:tc>
                <w:tcPr>
                  <w:tcW w:w="680" w:type="dxa"/>
                  <w:tcBorders>
                    <w:top w:val="nil"/>
                    <w:left w:val="nil"/>
                    <w:bottom w:val="nil"/>
                    <w:right w:val="nil"/>
                  </w:tcBorders>
                  <w:shd w:val="clear" w:color="auto" w:fill="auto"/>
                  <w:noWrap/>
                  <w:vAlign w:val="center"/>
                  <w:hideMark/>
                </w:tcPr>
                <w:p w14:paraId="5508709C"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0.12</w:t>
                  </w:r>
                </w:p>
              </w:tc>
              <w:tc>
                <w:tcPr>
                  <w:tcW w:w="940" w:type="dxa"/>
                  <w:tcBorders>
                    <w:top w:val="nil"/>
                    <w:left w:val="nil"/>
                    <w:bottom w:val="nil"/>
                    <w:right w:val="nil"/>
                  </w:tcBorders>
                  <w:shd w:val="clear" w:color="auto" w:fill="auto"/>
                  <w:noWrap/>
                  <w:vAlign w:val="center"/>
                  <w:hideMark/>
                </w:tcPr>
                <w:p w14:paraId="3FD4FB72"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40.58</w:t>
                  </w:r>
                </w:p>
              </w:tc>
              <w:tc>
                <w:tcPr>
                  <w:tcW w:w="860" w:type="dxa"/>
                  <w:tcBorders>
                    <w:top w:val="nil"/>
                    <w:left w:val="nil"/>
                    <w:bottom w:val="nil"/>
                    <w:right w:val="nil"/>
                  </w:tcBorders>
                  <w:shd w:val="clear" w:color="auto" w:fill="auto"/>
                  <w:noWrap/>
                  <w:vAlign w:val="center"/>
                  <w:hideMark/>
                </w:tcPr>
                <w:p w14:paraId="68BF1808"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0.96</w:t>
                  </w:r>
                </w:p>
              </w:tc>
              <w:tc>
                <w:tcPr>
                  <w:tcW w:w="1060" w:type="dxa"/>
                  <w:tcBorders>
                    <w:top w:val="nil"/>
                    <w:left w:val="nil"/>
                    <w:bottom w:val="nil"/>
                    <w:right w:val="nil"/>
                  </w:tcBorders>
                  <w:shd w:val="clear" w:color="auto" w:fill="auto"/>
                  <w:noWrap/>
                  <w:vAlign w:val="center"/>
                  <w:hideMark/>
                </w:tcPr>
                <w:p w14:paraId="0609E006"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7.27</w:t>
                  </w:r>
                </w:p>
              </w:tc>
              <w:tc>
                <w:tcPr>
                  <w:tcW w:w="980" w:type="dxa"/>
                  <w:tcBorders>
                    <w:top w:val="nil"/>
                    <w:left w:val="nil"/>
                    <w:bottom w:val="nil"/>
                    <w:right w:val="single" w:sz="8" w:space="0" w:color="auto"/>
                  </w:tcBorders>
                  <w:shd w:val="clear" w:color="auto" w:fill="auto"/>
                  <w:noWrap/>
                  <w:vAlign w:val="center"/>
                  <w:hideMark/>
                </w:tcPr>
                <w:p w14:paraId="43E3F5FC"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79.52</w:t>
                  </w:r>
                </w:p>
              </w:tc>
            </w:tr>
            <w:tr w:rsidR="001843D5" w:rsidRPr="00055865" w14:paraId="3BC4EFF5" w14:textId="77777777" w:rsidTr="005B6FD7">
              <w:trPr>
                <w:trHeight w:val="300"/>
              </w:trPr>
              <w:tc>
                <w:tcPr>
                  <w:tcW w:w="1300" w:type="dxa"/>
                  <w:tcBorders>
                    <w:top w:val="single" w:sz="8" w:space="0" w:color="auto"/>
                    <w:left w:val="single" w:sz="8" w:space="0" w:color="auto"/>
                    <w:bottom w:val="nil"/>
                    <w:right w:val="single" w:sz="8" w:space="0" w:color="auto"/>
                  </w:tcBorders>
                  <w:shd w:val="clear" w:color="auto" w:fill="auto"/>
                  <w:noWrap/>
                  <w:vAlign w:val="center"/>
                  <w:hideMark/>
                </w:tcPr>
                <w:p w14:paraId="64025523" w14:textId="77777777" w:rsidR="001843D5" w:rsidRPr="00055865" w:rsidRDefault="001843D5" w:rsidP="005B6FD7">
                  <w:pPr>
                    <w:spacing w:after="0" w:line="240" w:lineRule="auto"/>
                    <w:rPr>
                      <w:rFonts w:ascii="Garamond" w:eastAsia="Times New Roman" w:hAnsi="Garamond" w:cs="Calibri"/>
                      <w:b/>
                      <w:bCs/>
                      <w:lang w:eastAsia="en-GB"/>
                    </w:rPr>
                  </w:pPr>
                  <w:r w:rsidRPr="00055865">
                    <w:rPr>
                      <w:rFonts w:ascii="Garamond" w:eastAsia="Times New Roman" w:hAnsi="Garamond" w:cs="Calibri"/>
                      <w:b/>
                      <w:bCs/>
                      <w:lang w:eastAsia="en-GB"/>
                    </w:rPr>
                    <w:t>Independent</w:t>
                  </w:r>
                </w:p>
              </w:tc>
              <w:tc>
                <w:tcPr>
                  <w:tcW w:w="1300" w:type="dxa"/>
                  <w:tcBorders>
                    <w:top w:val="single" w:sz="8" w:space="0" w:color="auto"/>
                    <w:left w:val="nil"/>
                    <w:bottom w:val="nil"/>
                    <w:right w:val="nil"/>
                  </w:tcBorders>
                  <w:shd w:val="clear" w:color="auto" w:fill="auto"/>
                  <w:noWrap/>
                  <w:vAlign w:val="center"/>
                  <w:hideMark/>
                </w:tcPr>
                <w:p w14:paraId="488901F2"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 </w:t>
                  </w:r>
                </w:p>
              </w:tc>
              <w:tc>
                <w:tcPr>
                  <w:tcW w:w="740" w:type="dxa"/>
                  <w:tcBorders>
                    <w:top w:val="single" w:sz="8" w:space="0" w:color="auto"/>
                    <w:left w:val="nil"/>
                    <w:bottom w:val="nil"/>
                    <w:right w:val="nil"/>
                  </w:tcBorders>
                  <w:shd w:val="clear" w:color="auto" w:fill="auto"/>
                  <w:noWrap/>
                  <w:vAlign w:val="center"/>
                  <w:hideMark/>
                </w:tcPr>
                <w:p w14:paraId="4B1C7FC6"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 </w:t>
                  </w:r>
                </w:p>
              </w:tc>
              <w:tc>
                <w:tcPr>
                  <w:tcW w:w="1000" w:type="dxa"/>
                  <w:tcBorders>
                    <w:top w:val="single" w:sz="8" w:space="0" w:color="auto"/>
                    <w:left w:val="nil"/>
                    <w:bottom w:val="nil"/>
                    <w:right w:val="nil"/>
                  </w:tcBorders>
                  <w:shd w:val="clear" w:color="auto" w:fill="auto"/>
                  <w:noWrap/>
                  <w:vAlign w:val="center"/>
                  <w:hideMark/>
                </w:tcPr>
                <w:p w14:paraId="1F5EA71F"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 </w:t>
                  </w:r>
                </w:p>
              </w:tc>
              <w:tc>
                <w:tcPr>
                  <w:tcW w:w="680" w:type="dxa"/>
                  <w:tcBorders>
                    <w:top w:val="single" w:sz="8" w:space="0" w:color="auto"/>
                    <w:left w:val="nil"/>
                    <w:bottom w:val="nil"/>
                    <w:right w:val="nil"/>
                  </w:tcBorders>
                  <w:shd w:val="clear" w:color="auto" w:fill="auto"/>
                  <w:noWrap/>
                  <w:vAlign w:val="center"/>
                  <w:hideMark/>
                </w:tcPr>
                <w:p w14:paraId="0D3E2216"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 </w:t>
                  </w:r>
                </w:p>
              </w:tc>
              <w:tc>
                <w:tcPr>
                  <w:tcW w:w="940" w:type="dxa"/>
                  <w:tcBorders>
                    <w:top w:val="single" w:sz="8" w:space="0" w:color="auto"/>
                    <w:left w:val="nil"/>
                    <w:bottom w:val="nil"/>
                    <w:right w:val="nil"/>
                  </w:tcBorders>
                  <w:shd w:val="clear" w:color="auto" w:fill="auto"/>
                  <w:noWrap/>
                  <w:vAlign w:val="center"/>
                  <w:hideMark/>
                </w:tcPr>
                <w:p w14:paraId="23AE66F5"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 </w:t>
                  </w:r>
                </w:p>
              </w:tc>
              <w:tc>
                <w:tcPr>
                  <w:tcW w:w="860" w:type="dxa"/>
                  <w:tcBorders>
                    <w:top w:val="single" w:sz="8" w:space="0" w:color="auto"/>
                    <w:left w:val="nil"/>
                    <w:bottom w:val="nil"/>
                    <w:right w:val="nil"/>
                  </w:tcBorders>
                  <w:shd w:val="clear" w:color="auto" w:fill="auto"/>
                  <w:noWrap/>
                  <w:vAlign w:val="center"/>
                  <w:hideMark/>
                </w:tcPr>
                <w:p w14:paraId="74B08AFC"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 </w:t>
                  </w:r>
                </w:p>
              </w:tc>
              <w:tc>
                <w:tcPr>
                  <w:tcW w:w="1060" w:type="dxa"/>
                  <w:tcBorders>
                    <w:top w:val="single" w:sz="8" w:space="0" w:color="auto"/>
                    <w:left w:val="nil"/>
                    <w:bottom w:val="nil"/>
                    <w:right w:val="nil"/>
                  </w:tcBorders>
                  <w:shd w:val="clear" w:color="auto" w:fill="auto"/>
                  <w:noWrap/>
                  <w:vAlign w:val="center"/>
                  <w:hideMark/>
                </w:tcPr>
                <w:p w14:paraId="33D0D86A"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 </w:t>
                  </w:r>
                </w:p>
              </w:tc>
              <w:tc>
                <w:tcPr>
                  <w:tcW w:w="980" w:type="dxa"/>
                  <w:tcBorders>
                    <w:top w:val="single" w:sz="8" w:space="0" w:color="auto"/>
                    <w:left w:val="nil"/>
                    <w:bottom w:val="nil"/>
                    <w:right w:val="single" w:sz="8" w:space="0" w:color="auto"/>
                  </w:tcBorders>
                  <w:shd w:val="clear" w:color="auto" w:fill="auto"/>
                  <w:noWrap/>
                  <w:vAlign w:val="center"/>
                  <w:hideMark/>
                </w:tcPr>
                <w:p w14:paraId="6E0B1F84"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 </w:t>
                  </w:r>
                </w:p>
              </w:tc>
            </w:tr>
            <w:tr w:rsidR="001843D5" w:rsidRPr="00055865" w14:paraId="0A5DB173" w14:textId="77777777" w:rsidTr="005B6FD7">
              <w:trPr>
                <w:trHeight w:val="300"/>
              </w:trPr>
              <w:tc>
                <w:tcPr>
                  <w:tcW w:w="1300" w:type="dxa"/>
                  <w:tcBorders>
                    <w:top w:val="nil"/>
                    <w:left w:val="single" w:sz="8" w:space="0" w:color="auto"/>
                    <w:bottom w:val="nil"/>
                    <w:right w:val="single" w:sz="8" w:space="0" w:color="auto"/>
                  </w:tcBorders>
                  <w:shd w:val="clear" w:color="auto" w:fill="auto"/>
                  <w:noWrap/>
                  <w:vAlign w:val="center"/>
                  <w:hideMark/>
                </w:tcPr>
                <w:p w14:paraId="0D365E27"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Energy</w:t>
                  </w:r>
                </w:p>
              </w:tc>
              <w:tc>
                <w:tcPr>
                  <w:tcW w:w="1300" w:type="dxa"/>
                  <w:tcBorders>
                    <w:top w:val="nil"/>
                    <w:left w:val="nil"/>
                    <w:bottom w:val="nil"/>
                    <w:right w:val="nil"/>
                  </w:tcBorders>
                  <w:shd w:val="clear" w:color="auto" w:fill="auto"/>
                  <w:noWrap/>
                  <w:vAlign w:val="center"/>
                  <w:hideMark/>
                </w:tcPr>
                <w:p w14:paraId="79C6B0F7"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1184</w:t>
                  </w:r>
                </w:p>
              </w:tc>
              <w:tc>
                <w:tcPr>
                  <w:tcW w:w="740" w:type="dxa"/>
                  <w:tcBorders>
                    <w:top w:val="nil"/>
                    <w:left w:val="nil"/>
                    <w:bottom w:val="nil"/>
                    <w:right w:val="nil"/>
                  </w:tcBorders>
                  <w:shd w:val="clear" w:color="auto" w:fill="auto"/>
                  <w:noWrap/>
                  <w:vAlign w:val="center"/>
                  <w:hideMark/>
                </w:tcPr>
                <w:p w14:paraId="567FF9C7"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0.83</w:t>
                  </w:r>
                </w:p>
              </w:tc>
              <w:tc>
                <w:tcPr>
                  <w:tcW w:w="1000" w:type="dxa"/>
                  <w:tcBorders>
                    <w:top w:val="nil"/>
                    <w:left w:val="nil"/>
                    <w:bottom w:val="nil"/>
                    <w:right w:val="nil"/>
                  </w:tcBorders>
                  <w:shd w:val="clear" w:color="auto" w:fill="auto"/>
                  <w:noWrap/>
                  <w:vAlign w:val="center"/>
                  <w:hideMark/>
                </w:tcPr>
                <w:p w14:paraId="069E1F7D"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1.41</w:t>
                  </w:r>
                </w:p>
              </w:tc>
              <w:tc>
                <w:tcPr>
                  <w:tcW w:w="680" w:type="dxa"/>
                  <w:tcBorders>
                    <w:top w:val="nil"/>
                    <w:left w:val="nil"/>
                    <w:bottom w:val="nil"/>
                    <w:right w:val="nil"/>
                  </w:tcBorders>
                  <w:shd w:val="clear" w:color="auto" w:fill="auto"/>
                  <w:noWrap/>
                  <w:vAlign w:val="center"/>
                  <w:hideMark/>
                </w:tcPr>
                <w:p w14:paraId="7B2AA9DE"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940" w:type="dxa"/>
                  <w:tcBorders>
                    <w:top w:val="nil"/>
                    <w:left w:val="nil"/>
                    <w:bottom w:val="nil"/>
                    <w:right w:val="nil"/>
                  </w:tcBorders>
                  <w:shd w:val="clear" w:color="auto" w:fill="auto"/>
                  <w:noWrap/>
                  <w:vAlign w:val="center"/>
                  <w:hideMark/>
                </w:tcPr>
                <w:p w14:paraId="2EC390FA"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5.00</w:t>
                  </w:r>
                </w:p>
              </w:tc>
              <w:tc>
                <w:tcPr>
                  <w:tcW w:w="860" w:type="dxa"/>
                  <w:tcBorders>
                    <w:top w:val="nil"/>
                    <w:left w:val="nil"/>
                    <w:bottom w:val="nil"/>
                    <w:right w:val="nil"/>
                  </w:tcBorders>
                  <w:shd w:val="clear" w:color="auto" w:fill="auto"/>
                  <w:noWrap/>
                  <w:vAlign w:val="center"/>
                  <w:hideMark/>
                </w:tcPr>
                <w:p w14:paraId="1F9D8CE1"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1060" w:type="dxa"/>
                  <w:tcBorders>
                    <w:top w:val="nil"/>
                    <w:left w:val="nil"/>
                    <w:bottom w:val="nil"/>
                    <w:right w:val="nil"/>
                  </w:tcBorders>
                  <w:shd w:val="clear" w:color="auto" w:fill="auto"/>
                  <w:noWrap/>
                  <w:vAlign w:val="center"/>
                  <w:hideMark/>
                </w:tcPr>
                <w:p w14:paraId="7A326735"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1.79</w:t>
                  </w:r>
                </w:p>
              </w:tc>
              <w:tc>
                <w:tcPr>
                  <w:tcW w:w="980" w:type="dxa"/>
                  <w:tcBorders>
                    <w:top w:val="nil"/>
                    <w:left w:val="nil"/>
                    <w:bottom w:val="nil"/>
                    <w:right w:val="single" w:sz="8" w:space="0" w:color="auto"/>
                  </w:tcBorders>
                  <w:shd w:val="clear" w:color="auto" w:fill="auto"/>
                  <w:noWrap/>
                  <w:vAlign w:val="center"/>
                  <w:hideMark/>
                </w:tcPr>
                <w:p w14:paraId="7AAE436D"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5.14</w:t>
                  </w:r>
                </w:p>
              </w:tc>
            </w:tr>
            <w:tr w:rsidR="001843D5" w:rsidRPr="00055865" w14:paraId="5FE5A296" w14:textId="77777777" w:rsidTr="005B6FD7">
              <w:trPr>
                <w:trHeight w:val="300"/>
              </w:trPr>
              <w:tc>
                <w:tcPr>
                  <w:tcW w:w="1300" w:type="dxa"/>
                  <w:tcBorders>
                    <w:top w:val="nil"/>
                    <w:left w:val="single" w:sz="8" w:space="0" w:color="auto"/>
                    <w:bottom w:val="nil"/>
                    <w:right w:val="single" w:sz="8" w:space="0" w:color="auto"/>
                  </w:tcBorders>
                  <w:shd w:val="clear" w:color="auto" w:fill="auto"/>
                  <w:noWrap/>
                  <w:vAlign w:val="center"/>
                  <w:hideMark/>
                </w:tcPr>
                <w:p w14:paraId="476D3E33"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GHG</w:t>
                  </w:r>
                </w:p>
              </w:tc>
              <w:tc>
                <w:tcPr>
                  <w:tcW w:w="1300" w:type="dxa"/>
                  <w:tcBorders>
                    <w:top w:val="nil"/>
                    <w:left w:val="nil"/>
                    <w:bottom w:val="nil"/>
                    <w:right w:val="nil"/>
                  </w:tcBorders>
                  <w:shd w:val="clear" w:color="auto" w:fill="auto"/>
                  <w:noWrap/>
                  <w:vAlign w:val="center"/>
                  <w:hideMark/>
                </w:tcPr>
                <w:p w14:paraId="44F817EC"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1184</w:t>
                  </w:r>
                </w:p>
              </w:tc>
              <w:tc>
                <w:tcPr>
                  <w:tcW w:w="740" w:type="dxa"/>
                  <w:tcBorders>
                    <w:top w:val="nil"/>
                    <w:left w:val="nil"/>
                    <w:bottom w:val="nil"/>
                    <w:right w:val="nil"/>
                  </w:tcBorders>
                  <w:shd w:val="clear" w:color="auto" w:fill="auto"/>
                  <w:noWrap/>
                  <w:vAlign w:val="center"/>
                  <w:hideMark/>
                </w:tcPr>
                <w:p w14:paraId="7CBA9A10"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0.87</w:t>
                  </w:r>
                </w:p>
              </w:tc>
              <w:tc>
                <w:tcPr>
                  <w:tcW w:w="1000" w:type="dxa"/>
                  <w:tcBorders>
                    <w:top w:val="nil"/>
                    <w:left w:val="nil"/>
                    <w:bottom w:val="nil"/>
                    <w:right w:val="nil"/>
                  </w:tcBorders>
                  <w:shd w:val="clear" w:color="auto" w:fill="auto"/>
                  <w:noWrap/>
                  <w:vAlign w:val="center"/>
                  <w:hideMark/>
                </w:tcPr>
                <w:p w14:paraId="1DB55625"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1.43</w:t>
                  </w:r>
                </w:p>
              </w:tc>
              <w:tc>
                <w:tcPr>
                  <w:tcW w:w="680" w:type="dxa"/>
                  <w:tcBorders>
                    <w:top w:val="nil"/>
                    <w:left w:val="nil"/>
                    <w:bottom w:val="nil"/>
                    <w:right w:val="nil"/>
                  </w:tcBorders>
                  <w:shd w:val="clear" w:color="auto" w:fill="auto"/>
                  <w:noWrap/>
                  <w:vAlign w:val="center"/>
                  <w:hideMark/>
                </w:tcPr>
                <w:p w14:paraId="50B68682"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940" w:type="dxa"/>
                  <w:tcBorders>
                    <w:top w:val="nil"/>
                    <w:left w:val="nil"/>
                    <w:bottom w:val="nil"/>
                    <w:right w:val="nil"/>
                  </w:tcBorders>
                  <w:shd w:val="clear" w:color="auto" w:fill="auto"/>
                  <w:noWrap/>
                  <w:vAlign w:val="center"/>
                  <w:hideMark/>
                </w:tcPr>
                <w:p w14:paraId="0553047E"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5.00</w:t>
                  </w:r>
                </w:p>
              </w:tc>
              <w:tc>
                <w:tcPr>
                  <w:tcW w:w="860" w:type="dxa"/>
                  <w:tcBorders>
                    <w:top w:val="nil"/>
                    <w:left w:val="nil"/>
                    <w:bottom w:val="nil"/>
                    <w:right w:val="nil"/>
                  </w:tcBorders>
                  <w:shd w:val="clear" w:color="auto" w:fill="auto"/>
                  <w:noWrap/>
                  <w:vAlign w:val="center"/>
                  <w:hideMark/>
                </w:tcPr>
                <w:p w14:paraId="5CE01264"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1060" w:type="dxa"/>
                  <w:tcBorders>
                    <w:top w:val="nil"/>
                    <w:left w:val="nil"/>
                    <w:bottom w:val="nil"/>
                    <w:right w:val="nil"/>
                  </w:tcBorders>
                  <w:shd w:val="clear" w:color="auto" w:fill="auto"/>
                  <w:noWrap/>
                  <w:vAlign w:val="center"/>
                  <w:hideMark/>
                </w:tcPr>
                <w:p w14:paraId="1B2E5E26"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1.73</w:t>
                  </w:r>
                </w:p>
              </w:tc>
              <w:tc>
                <w:tcPr>
                  <w:tcW w:w="980" w:type="dxa"/>
                  <w:tcBorders>
                    <w:top w:val="nil"/>
                    <w:left w:val="nil"/>
                    <w:bottom w:val="nil"/>
                    <w:right w:val="single" w:sz="8" w:space="0" w:color="auto"/>
                  </w:tcBorders>
                  <w:shd w:val="clear" w:color="auto" w:fill="auto"/>
                  <w:noWrap/>
                  <w:vAlign w:val="center"/>
                  <w:hideMark/>
                </w:tcPr>
                <w:p w14:paraId="5CDE86C9"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5.06</w:t>
                  </w:r>
                </w:p>
              </w:tc>
            </w:tr>
            <w:tr w:rsidR="001843D5" w:rsidRPr="00055865" w14:paraId="4B68BDB8" w14:textId="77777777" w:rsidTr="005B6FD7">
              <w:trPr>
                <w:trHeight w:val="300"/>
              </w:trPr>
              <w:tc>
                <w:tcPr>
                  <w:tcW w:w="1300" w:type="dxa"/>
                  <w:tcBorders>
                    <w:top w:val="nil"/>
                    <w:left w:val="single" w:sz="8" w:space="0" w:color="auto"/>
                    <w:bottom w:val="nil"/>
                    <w:right w:val="single" w:sz="8" w:space="0" w:color="auto"/>
                  </w:tcBorders>
                  <w:shd w:val="clear" w:color="auto" w:fill="auto"/>
                  <w:noWrap/>
                  <w:vAlign w:val="center"/>
                  <w:hideMark/>
                </w:tcPr>
                <w:p w14:paraId="079B3EF8"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Waste</w:t>
                  </w:r>
                </w:p>
              </w:tc>
              <w:tc>
                <w:tcPr>
                  <w:tcW w:w="1300" w:type="dxa"/>
                  <w:tcBorders>
                    <w:top w:val="nil"/>
                    <w:left w:val="nil"/>
                    <w:bottom w:val="nil"/>
                    <w:right w:val="nil"/>
                  </w:tcBorders>
                  <w:shd w:val="clear" w:color="auto" w:fill="auto"/>
                  <w:noWrap/>
                  <w:vAlign w:val="center"/>
                  <w:hideMark/>
                </w:tcPr>
                <w:p w14:paraId="69CB67D7"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1182</w:t>
                  </w:r>
                </w:p>
              </w:tc>
              <w:tc>
                <w:tcPr>
                  <w:tcW w:w="740" w:type="dxa"/>
                  <w:tcBorders>
                    <w:top w:val="nil"/>
                    <w:left w:val="nil"/>
                    <w:bottom w:val="nil"/>
                    <w:right w:val="nil"/>
                  </w:tcBorders>
                  <w:shd w:val="clear" w:color="auto" w:fill="auto"/>
                  <w:noWrap/>
                  <w:vAlign w:val="center"/>
                  <w:hideMark/>
                </w:tcPr>
                <w:p w14:paraId="3B5B8257"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0.74</w:t>
                  </w:r>
                </w:p>
              </w:tc>
              <w:tc>
                <w:tcPr>
                  <w:tcW w:w="1000" w:type="dxa"/>
                  <w:tcBorders>
                    <w:top w:val="nil"/>
                    <w:left w:val="nil"/>
                    <w:bottom w:val="nil"/>
                    <w:right w:val="nil"/>
                  </w:tcBorders>
                  <w:shd w:val="clear" w:color="auto" w:fill="auto"/>
                  <w:noWrap/>
                  <w:vAlign w:val="center"/>
                  <w:hideMark/>
                </w:tcPr>
                <w:p w14:paraId="40A41846"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1.18</w:t>
                  </w:r>
                </w:p>
              </w:tc>
              <w:tc>
                <w:tcPr>
                  <w:tcW w:w="680" w:type="dxa"/>
                  <w:tcBorders>
                    <w:top w:val="nil"/>
                    <w:left w:val="nil"/>
                    <w:bottom w:val="nil"/>
                    <w:right w:val="nil"/>
                  </w:tcBorders>
                  <w:shd w:val="clear" w:color="auto" w:fill="auto"/>
                  <w:noWrap/>
                  <w:vAlign w:val="center"/>
                  <w:hideMark/>
                </w:tcPr>
                <w:p w14:paraId="72441902"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940" w:type="dxa"/>
                  <w:tcBorders>
                    <w:top w:val="nil"/>
                    <w:left w:val="nil"/>
                    <w:bottom w:val="nil"/>
                    <w:right w:val="nil"/>
                  </w:tcBorders>
                  <w:shd w:val="clear" w:color="auto" w:fill="auto"/>
                  <w:noWrap/>
                  <w:vAlign w:val="center"/>
                  <w:hideMark/>
                </w:tcPr>
                <w:p w14:paraId="39804AED"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5.00</w:t>
                  </w:r>
                </w:p>
              </w:tc>
              <w:tc>
                <w:tcPr>
                  <w:tcW w:w="860" w:type="dxa"/>
                  <w:tcBorders>
                    <w:top w:val="nil"/>
                    <w:left w:val="nil"/>
                    <w:bottom w:val="nil"/>
                    <w:right w:val="nil"/>
                  </w:tcBorders>
                  <w:shd w:val="clear" w:color="auto" w:fill="auto"/>
                  <w:noWrap/>
                  <w:vAlign w:val="center"/>
                  <w:hideMark/>
                </w:tcPr>
                <w:p w14:paraId="09C740D7"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1060" w:type="dxa"/>
                  <w:tcBorders>
                    <w:top w:val="nil"/>
                    <w:left w:val="nil"/>
                    <w:bottom w:val="nil"/>
                    <w:right w:val="nil"/>
                  </w:tcBorders>
                  <w:shd w:val="clear" w:color="auto" w:fill="auto"/>
                  <w:noWrap/>
                  <w:vAlign w:val="center"/>
                  <w:hideMark/>
                </w:tcPr>
                <w:p w14:paraId="3C0F2A4F"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1.85</w:t>
                  </w:r>
                </w:p>
              </w:tc>
              <w:tc>
                <w:tcPr>
                  <w:tcW w:w="980" w:type="dxa"/>
                  <w:tcBorders>
                    <w:top w:val="nil"/>
                    <w:left w:val="nil"/>
                    <w:bottom w:val="nil"/>
                    <w:right w:val="single" w:sz="8" w:space="0" w:color="auto"/>
                  </w:tcBorders>
                  <w:shd w:val="clear" w:color="auto" w:fill="auto"/>
                  <w:noWrap/>
                  <w:vAlign w:val="center"/>
                  <w:hideMark/>
                </w:tcPr>
                <w:p w14:paraId="2CD6E700"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6.21</w:t>
                  </w:r>
                </w:p>
              </w:tc>
            </w:tr>
            <w:tr w:rsidR="001843D5" w:rsidRPr="00055865" w14:paraId="420E1470" w14:textId="77777777" w:rsidTr="005B6FD7">
              <w:trPr>
                <w:trHeight w:val="300"/>
              </w:trPr>
              <w:tc>
                <w:tcPr>
                  <w:tcW w:w="1300" w:type="dxa"/>
                  <w:tcBorders>
                    <w:top w:val="nil"/>
                    <w:left w:val="single" w:sz="8" w:space="0" w:color="auto"/>
                    <w:bottom w:val="nil"/>
                    <w:right w:val="single" w:sz="8" w:space="0" w:color="auto"/>
                  </w:tcBorders>
                  <w:shd w:val="clear" w:color="auto" w:fill="auto"/>
                  <w:noWrap/>
                  <w:vAlign w:val="center"/>
                  <w:hideMark/>
                </w:tcPr>
                <w:p w14:paraId="0C432A11"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Materials</w:t>
                  </w:r>
                </w:p>
              </w:tc>
              <w:tc>
                <w:tcPr>
                  <w:tcW w:w="1300" w:type="dxa"/>
                  <w:tcBorders>
                    <w:top w:val="nil"/>
                    <w:left w:val="nil"/>
                    <w:bottom w:val="nil"/>
                    <w:right w:val="nil"/>
                  </w:tcBorders>
                  <w:shd w:val="clear" w:color="auto" w:fill="auto"/>
                  <w:noWrap/>
                  <w:vAlign w:val="center"/>
                  <w:hideMark/>
                </w:tcPr>
                <w:p w14:paraId="07B18913"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1183</w:t>
                  </w:r>
                </w:p>
              </w:tc>
              <w:tc>
                <w:tcPr>
                  <w:tcW w:w="740" w:type="dxa"/>
                  <w:tcBorders>
                    <w:top w:val="nil"/>
                    <w:left w:val="nil"/>
                    <w:bottom w:val="nil"/>
                    <w:right w:val="nil"/>
                  </w:tcBorders>
                  <w:shd w:val="clear" w:color="auto" w:fill="auto"/>
                  <w:noWrap/>
                  <w:vAlign w:val="center"/>
                  <w:hideMark/>
                </w:tcPr>
                <w:p w14:paraId="40E44889"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1.14</w:t>
                  </w:r>
                </w:p>
              </w:tc>
              <w:tc>
                <w:tcPr>
                  <w:tcW w:w="1000" w:type="dxa"/>
                  <w:tcBorders>
                    <w:top w:val="nil"/>
                    <w:left w:val="nil"/>
                    <w:bottom w:val="nil"/>
                    <w:right w:val="nil"/>
                  </w:tcBorders>
                  <w:shd w:val="clear" w:color="auto" w:fill="auto"/>
                  <w:noWrap/>
                  <w:vAlign w:val="center"/>
                  <w:hideMark/>
                </w:tcPr>
                <w:p w14:paraId="10BF972C"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1.55</w:t>
                  </w:r>
                </w:p>
              </w:tc>
              <w:tc>
                <w:tcPr>
                  <w:tcW w:w="680" w:type="dxa"/>
                  <w:tcBorders>
                    <w:top w:val="nil"/>
                    <w:left w:val="nil"/>
                    <w:bottom w:val="nil"/>
                    <w:right w:val="nil"/>
                  </w:tcBorders>
                  <w:shd w:val="clear" w:color="auto" w:fill="auto"/>
                  <w:noWrap/>
                  <w:vAlign w:val="center"/>
                  <w:hideMark/>
                </w:tcPr>
                <w:p w14:paraId="21173FF0"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940" w:type="dxa"/>
                  <w:tcBorders>
                    <w:top w:val="nil"/>
                    <w:left w:val="nil"/>
                    <w:bottom w:val="nil"/>
                    <w:right w:val="nil"/>
                  </w:tcBorders>
                  <w:shd w:val="clear" w:color="auto" w:fill="auto"/>
                  <w:noWrap/>
                  <w:vAlign w:val="center"/>
                  <w:hideMark/>
                </w:tcPr>
                <w:p w14:paraId="13FCA292"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5.00</w:t>
                  </w:r>
                </w:p>
              </w:tc>
              <w:tc>
                <w:tcPr>
                  <w:tcW w:w="860" w:type="dxa"/>
                  <w:tcBorders>
                    <w:top w:val="nil"/>
                    <w:left w:val="nil"/>
                    <w:bottom w:val="nil"/>
                    <w:right w:val="nil"/>
                  </w:tcBorders>
                  <w:shd w:val="clear" w:color="auto" w:fill="auto"/>
                  <w:noWrap/>
                  <w:vAlign w:val="center"/>
                  <w:hideMark/>
                </w:tcPr>
                <w:p w14:paraId="5DF58059"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1060" w:type="dxa"/>
                  <w:tcBorders>
                    <w:top w:val="nil"/>
                    <w:left w:val="nil"/>
                    <w:bottom w:val="nil"/>
                    <w:right w:val="nil"/>
                  </w:tcBorders>
                  <w:shd w:val="clear" w:color="auto" w:fill="auto"/>
                  <w:noWrap/>
                  <w:vAlign w:val="center"/>
                  <w:hideMark/>
                </w:tcPr>
                <w:p w14:paraId="2E49B0D9"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1.17</w:t>
                  </w:r>
                </w:p>
              </w:tc>
              <w:tc>
                <w:tcPr>
                  <w:tcW w:w="980" w:type="dxa"/>
                  <w:tcBorders>
                    <w:top w:val="nil"/>
                    <w:left w:val="nil"/>
                    <w:bottom w:val="nil"/>
                    <w:right w:val="single" w:sz="8" w:space="0" w:color="auto"/>
                  </w:tcBorders>
                  <w:shd w:val="clear" w:color="auto" w:fill="auto"/>
                  <w:noWrap/>
                  <w:vAlign w:val="center"/>
                  <w:hideMark/>
                </w:tcPr>
                <w:p w14:paraId="5C12387E"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3.16</w:t>
                  </w:r>
                </w:p>
              </w:tc>
            </w:tr>
            <w:tr w:rsidR="001843D5" w:rsidRPr="00055865" w14:paraId="671507AA" w14:textId="77777777" w:rsidTr="005B6FD7">
              <w:trPr>
                <w:trHeight w:val="300"/>
              </w:trPr>
              <w:tc>
                <w:tcPr>
                  <w:tcW w:w="1300" w:type="dxa"/>
                  <w:tcBorders>
                    <w:top w:val="nil"/>
                    <w:left w:val="single" w:sz="8" w:space="0" w:color="auto"/>
                    <w:bottom w:val="nil"/>
                    <w:right w:val="single" w:sz="8" w:space="0" w:color="auto"/>
                  </w:tcBorders>
                  <w:shd w:val="clear" w:color="auto" w:fill="auto"/>
                  <w:noWrap/>
                  <w:vAlign w:val="center"/>
                  <w:hideMark/>
                </w:tcPr>
                <w:p w14:paraId="3132DE49"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Compliance</w:t>
                  </w:r>
                </w:p>
              </w:tc>
              <w:tc>
                <w:tcPr>
                  <w:tcW w:w="1300" w:type="dxa"/>
                  <w:tcBorders>
                    <w:top w:val="nil"/>
                    <w:left w:val="nil"/>
                    <w:bottom w:val="nil"/>
                    <w:right w:val="nil"/>
                  </w:tcBorders>
                  <w:shd w:val="clear" w:color="auto" w:fill="auto"/>
                  <w:noWrap/>
                  <w:vAlign w:val="center"/>
                  <w:hideMark/>
                </w:tcPr>
                <w:p w14:paraId="078668F2"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1183</w:t>
                  </w:r>
                </w:p>
              </w:tc>
              <w:tc>
                <w:tcPr>
                  <w:tcW w:w="740" w:type="dxa"/>
                  <w:tcBorders>
                    <w:top w:val="nil"/>
                    <w:left w:val="nil"/>
                    <w:bottom w:val="nil"/>
                    <w:right w:val="nil"/>
                  </w:tcBorders>
                  <w:shd w:val="clear" w:color="auto" w:fill="auto"/>
                  <w:noWrap/>
                  <w:vAlign w:val="center"/>
                  <w:hideMark/>
                </w:tcPr>
                <w:p w14:paraId="4A74B7E6"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3.17</w:t>
                  </w:r>
                </w:p>
              </w:tc>
              <w:tc>
                <w:tcPr>
                  <w:tcW w:w="1000" w:type="dxa"/>
                  <w:tcBorders>
                    <w:top w:val="nil"/>
                    <w:left w:val="nil"/>
                    <w:bottom w:val="nil"/>
                    <w:right w:val="nil"/>
                  </w:tcBorders>
                  <w:shd w:val="clear" w:color="auto" w:fill="auto"/>
                  <w:noWrap/>
                  <w:vAlign w:val="center"/>
                  <w:hideMark/>
                </w:tcPr>
                <w:p w14:paraId="7ABFBDEE"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1.48</w:t>
                  </w:r>
                </w:p>
              </w:tc>
              <w:tc>
                <w:tcPr>
                  <w:tcW w:w="680" w:type="dxa"/>
                  <w:tcBorders>
                    <w:top w:val="nil"/>
                    <w:left w:val="nil"/>
                    <w:bottom w:val="nil"/>
                    <w:right w:val="nil"/>
                  </w:tcBorders>
                  <w:shd w:val="clear" w:color="auto" w:fill="auto"/>
                  <w:noWrap/>
                  <w:vAlign w:val="center"/>
                  <w:hideMark/>
                </w:tcPr>
                <w:p w14:paraId="28E64953"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940" w:type="dxa"/>
                  <w:tcBorders>
                    <w:top w:val="nil"/>
                    <w:left w:val="nil"/>
                    <w:bottom w:val="nil"/>
                    <w:right w:val="nil"/>
                  </w:tcBorders>
                  <w:shd w:val="clear" w:color="auto" w:fill="auto"/>
                  <w:noWrap/>
                  <w:vAlign w:val="center"/>
                  <w:hideMark/>
                </w:tcPr>
                <w:p w14:paraId="2597C45A"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5.00</w:t>
                  </w:r>
                </w:p>
              </w:tc>
              <w:tc>
                <w:tcPr>
                  <w:tcW w:w="860" w:type="dxa"/>
                  <w:tcBorders>
                    <w:top w:val="nil"/>
                    <w:left w:val="nil"/>
                    <w:bottom w:val="nil"/>
                    <w:right w:val="nil"/>
                  </w:tcBorders>
                  <w:shd w:val="clear" w:color="auto" w:fill="auto"/>
                  <w:noWrap/>
                  <w:vAlign w:val="center"/>
                  <w:hideMark/>
                </w:tcPr>
                <w:p w14:paraId="4A548A4F"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3.00</w:t>
                  </w:r>
                </w:p>
              </w:tc>
              <w:tc>
                <w:tcPr>
                  <w:tcW w:w="1060" w:type="dxa"/>
                  <w:tcBorders>
                    <w:top w:val="nil"/>
                    <w:left w:val="nil"/>
                    <w:bottom w:val="nil"/>
                    <w:right w:val="nil"/>
                  </w:tcBorders>
                  <w:shd w:val="clear" w:color="auto" w:fill="auto"/>
                  <w:noWrap/>
                  <w:vAlign w:val="center"/>
                  <w:hideMark/>
                </w:tcPr>
                <w:p w14:paraId="284ADBD5"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-0.37</w:t>
                  </w:r>
                </w:p>
              </w:tc>
              <w:tc>
                <w:tcPr>
                  <w:tcW w:w="980" w:type="dxa"/>
                  <w:tcBorders>
                    <w:top w:val="nil"/>
                    <w:left w:val="nil"/>
                    <w:bottom w:val="nil"/>
                    <w:right w:val="single" w:sz="8" w:space="0" w:color="auto"/>
                  </w:tcBorders>
                  <w:shd w:val="clear" w:color="auto" w:fill="auto"/>
                  <w:noWrap/>
                  <w:vAlign w:val="center"/>
                  <w:hideMark/>
                </w:tcPr>
                <w:p w14:paraId="5AE039C4"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2.31</w:t>
                  </w:r>
                </w:p>
              </w:tc>
            </w:tr>
            <w:tr w:rsidR="001843D5" w:rsidRPr="00055865" w14:paraId="179A96A7" w14:textId="77777777" w:rsidTr="005B6FD7">
              <w:trPr>
                <w:trHeight w:val="300"/>
              </w:trPr>
              <w:tc>
                <w:tcPr>
                  <w:tcW w:w="1300" w:type="dxa"/>
                  <w:tcBorders>
                    <w:top w:val="nil"/>
                    <w:left w:val="single" w:sz="8" w:space="0" w:color="auto"/>
                    <w:bottom w:val="nil"/>
                    <w:right w:val="single" w:sz="8" w:space="0" w:color="auto"/>
                  </w:tcBorders>
                  <w:shd w:val="clear" w:color="auto" w:fill="auto"/>
                  <w:noWrap/>
                  <w:vAlign w:val="center"/>
                  <w:hideMark/>
                </w:tcPr>
                <w:p w14:paraId="2CD40171"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Stakeholders</w:t>
                  </w:r>
                </w:p>
              </w:tc>
              <w:tc>
                <w:tcPr>
                  <w:tcW w:w="1300" w:type="dxa"/>
                  <w:tcBorders>
                    <w:top w:val="nil"/>
                    <w:left w:val="nil"/>
                    <w:bottom w:val="nil"/>
                    <w:right w:val="nil"/>
                  </w:tcBorders>
                  <w:shd w:val="clear" w:color="auto" w:fill="auto"/>
                  <w:noWrap/>
                  <w:vAlign w:val="center"/>
                  <w:hideMark/>
                </w:tcPr>
                <w:p w14:paraId="5C48091E"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1183</w:t>
                  </w:r>
                </w:p>
              </w:tc>
              <w:tc>
                <w:tcPr>
                  <w:tcW w:w="740" w:type="dxa"/>
                  <w:tcBorders>
                    <w:top w:val="nil"/>
                    <w:left w:val="nil"/>
                    <w:bottom w:val="nil"/>
                    <w:right w:val="nil"/>
                  </w:tcBorders>
                  <w:shd w:val="clear" w:color="auto" w:fill="auto"/>
                  <w:noWrap/>
                  <w:vAlign w:val="center"/>
                  <w:hideMark/>
                </w:tcPr>
                <w:p w14:paraId="52929F29"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0.55</w:t>
                  </w:r>
                </w:p>
              </w:tc>
              <w:tc>
                <w:tcPr>
                  <w:tcW w:w="1000" w:type="dxa"/>
                  <w:tcBorders>
                    <w:top w:val="nil"/>
                    <w:left w:val="nil"/>
                    <w:bottom w:val="nil"/>
                    <w:right w:val="nil"/>
                  </w:tcBorders>
                  <w:shd w:val="clear" w:color="auto" w:fill="auto"/>
                  <w:noWrap/>
                  <w:vAlign w:val="center"/>
                  <w:hideMark/>
                </w:tcPr>
                <w:p w14:paraId="5DF0CAE0"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0.88</w:t>
                  </w:r>
                </w:p>
              </w:tc>
              <w:tc>
                <w:tcPr>
                  <w:tcW w:w="680" w:type="dxa"/>
                  <w:tcBorders>
                    <w:top w:val="nil"/>
                    <w:left w:val="nil"/>
                    <w:bottom w:val="nil"/>
                    <w:right w:val="nil"/>
                  </w:tcBorders>
                  <w:shd w:val="clear" w:color="auto" w:fill="auto"/>
                  <w:noWrap/>
                  <w:vAlign w:val="center"/>
                  <w:hideMark/>
                </w:tcPr>
                <w:p w14:paraId="79A3CB30"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940" w:type="dxa"/>
                  <w:tcBorders>
                    <w:top w:val="nil"/>
                    <w:left w:val="nil"/>
                    <w:bottom w:val="nil"/>
                    <w:right w:val="nil"/>
                  </w:tcBorders>
                  <w:shd w:val="clear" w:color="auto" w:fill="auto"/>
                  <w:noWrap/>
                  <w:vAlign w:val="center"/>
                  <w:hideMark/>
                </w:tcPr>
                <w:p w14:paraId="1BB6EC26"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5.00</w:t>
                  </w:r>
                </w:p>
              </w:tc>
              <w:tc>
                <w:tcPr>
                  <w:tcW w:w="860" w:type="dxa"/>
                  <w:tcBorders>
                    <w:top w:val="nil"/>
                    <w:left w:val="nil"/>
                    <w:bottom w:val="nil"/>
                    <w:right w:val="nil"/>
                  </w:tcBorders>
                  <w:shd w:val="clear" w:color="auto" w:fill="auto"/>
                  <w:noWrap/>
                  <w:vAlign w:val="center"/>
                  <w:hideMark/>
                </w:tcPr>
                <w:p w14:paraId="538E1D15"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1060" w:type="dxa"/>
                  <w:tcBorders>
                    <w:top w:val="nil"/>
                    <w:left w:val="nil"/>
                    <w:bottom w:val="nil"/>
                    <w:right w:val="nil"/>
                  </w:tcBorders>
                  <w:shd w:val="clear" w:color="auto" w:fill="auto"/>
                  <w:noWrap/>
                  <w:vAlign w:val="center"/>
                  <w:hideMark/>
                </w:tcPr>
                <w:p w14:paraId="0DFEA013"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1.17</w:t>
                  </w:r>
                </w:p>
              </w:tc>
              <w:tc>
                <w:tcPr>
                  <w:tcW w:w="980" w:type="dxa"/>
                  <w:tcBorders>
                    <w:top w:val="nil"/>
                    <w:left w:val="nil"/>
                    <w:bottom w:val="nil"/>
                    <w:right w:val="single" w:sz="8" w:space="0" w:color="auto"/>
                  </w:tcBorders>
                  <w:shd w:val="clear" w:color="auto" w:fill="auto"/>
                  <w:noWrap/>
                  <w:vAlign w:val="center"/>
                  <w:hideMark/>
                </w:tcPr>
                <w:p w14:paraId="7C4FAC86"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3.16</w:t>
                  </w:r>
                </w:p>
              </w:tc>
            </w:tr>
            <w:tr w:rsidR="001843D5" w:rsidRPr="00055865" w14:paraId="0F776CE6" w14:textId="77777777" w:rsidTr="005B6FD7">
              <w:trPr>
                <w:trHeight w:val="300"/>
              </w:trPr>
              <w:tc>
                <w:tcPr>
                  <w:tcW w:w="1300" w:type="dxa"/>
                  <w:tcBorders>
                    <w:top w:val="nil"/>
                    <w:left w:val="single" w:sz="8" w:space="0" w:color="auto"/>
                    <w:bottom w:val="nil"/>
                    <w:right w:val="single" w:sz="8" w:space="0" w:color="auto"/>
                  </w:tcBorders>
                  <w:shd w:val="clear" w:color="auto" w:fill="auto"/>
                  <w:noWrap/>
                  <w:vAlign w:val="center"/>
                  <w:hideMark/>
                </w:tcPr>
                <w:p w14:paraId="209255D1"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Size</w:t>
                  </w:r>
                </w:p>
              </w:tc>
              <w:tc>
                <w:tcPr>
                  <w:tcW w:w="1300" w:type="dxa"/>
                  <w:tcBorders>
                    <w:top w:val="nil"/>
                    <w:left w:val="nil"/>
                    <w:bottom w:val="nil"/>
                    <w:right w:val="nil"/>
                  </w:tcBorders>
                  <w:shd w:val="clear" w:color="auto" w:fill="auto"/>
                  <w:noWrap/>
                  <w:vAlign w:val="center"/>
                  <w:hideMark/>
                </w:tcPr>
                <w:p w14:paraId="28F301E7"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1090</w:t>
                  </w:r>
                </w:p>
              </w:tc>
              <w:tc>
                <w:tcPr>
                  <w:tcW w:w="740" w:type="dxa"/>
                  <w:tcBorders>
                    <w:top w:val="nil"/>
                    <w:left w:val="nil"/>
                    <w:bottom w:val="nil"/>
                    <w:right w:val="nil"/>
                  </w:tcBorders>
                  <w:shd w:val="clear" w:color="auto" w:fill="auto"/>
                  <w:noWrap/>
                  <w:vAlign w:val="center"/>
                  <w:hideMark/>
                </w:tcPr>
                <w:p w14:paraId="0D9CBFA1"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460.00</w:t>
                  </w:r>
                </w:p>
              </w:tc>
              <w:tc>
                <w:tcPr>
                  <w:tcW w:w="1000" w:type="dxa"/>
                  <w:tcBorders>
                    <w:top w:val="nil"/>
                    <w:left w:val="nil"/>
                    <w:bottom w:val="nil"/>
                    <w:right w:val="nil"/>
                  </w:tcBorders>
                  <w:shd w:val="clear" w:color="auto" w:fill="auto"/>
                  <w:noWrap/>
                  <w:vAlign w:val="center"/>
                  <w:hideMark/>
                </w:tcPr>
                <w:p w14:paraId="51704C9E"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795.00</w:t>
                  </w:r>
                </w:p>
              </w:tc>
              <w:tc>
                <w:tcPr>
                  <w:tcW w:w="680" w:type="dxa"/>
                  <w:tcBorders>
                    <w:top w:val="nil"/>
                    <w:left w:val="nil"/>
                    <w:bottom w:val="nil"/>
                    <w:right w:val="nil"/>
                  </w:tcBorders>
                  <w:shd w:val="clear" w:color="auto" w:fill="auto"/>
                  <w:noWrap/>
                  <w:vAlign w:val="center"/>
                  <w:hideMark/>
                </w:tcPr>
                <w:p w14:paraId="5C382E07"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1.00</w:t>
                  </w:r>
                </w:p>
              </w:tc>
              <w:tc>
                <w:tcPr>
                  <w:tcW w:w="940" w:type="dxa"/>
                  <w:tcBorders>
                    <w:top w:val="nil"/>
                    <w:left w:val="nil"/>
                    <w:bottom w:val="nil"/>
                    <w:right w:val="nil"/>
                  </w:tcBorders>
                  <w:shd w:val="clear" w:color="auto" w:fill="auto"/>
                  <w:noWrap/>
                  <w:vAlign w:val="center"/>
                  <w:hideMark/>
                </w:tcPr>
                <w:p w14:paraId="724A9A35"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5611.00</w:t>
                  </w:r>
                </w:p>
              </w:tc>
              <w:tc>
                <w:tcPr>
                  <w:tcW w:w="860" w:type="dxa"/>
                  <w:tcBorders>
                    <w:top w:val="nil"/>
                    <w:left w:val="nil"/>
                    <w:bottom w:val="nil"/>
                    <w:right w:val="nil"/>
                  </w:tcBorders>
                  <w:shd w:val="clear" w:color="auto" w:fill="auto"/>
                  <w:noWrap/>
                  <w:vAlign w:val="center"/>
                  <w:hideMark/>
                </w:tcPr>
                <w:p w14:paraId="330AD106"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138.00</w:t>
                  </w:r>
                </w:p>
              </w:tc>
              <w:tc>
                <w:tcPr>
                  <w:tcW w:w="1060" w:type="dxa"/>
                  <w:tcBorders>
                    <w:top w:val="nil"/>
                    <w:left w:val="nil"/>
                    <w:bottom w:val="nil"/>
                    <w:right w:val="nil"/>
                  </w:tcBorders>
                  <w:shd w:val="clear" w:color="auto" w:fill="auto"/>
                  <w:noWrap/>
                  <w:vAlign w:val="center"/>
                  <w:hideMark/>
                </w:tcPr>
                <w:p w14:paraId="4101B111"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3.03</w:t>
                  </w:r>
                </w:p>
              </w:tc>
              <w:tc>
                <w:tcPr>
                  <w:tcW w:w="980" w:type="dxa"/>
                  <w:tcBorders>
                    <w:top w:val="nil"/>
                    <w:left w:val="nil"/>
                    <w:bottom w:val="nil"/>
                    <w:right w:val="single" w:sz="8" w:space="0" w:color="auto"/>
                  </w:tcBorders>
                  <w:shd w:val="clear" w:color="auto" w:fill="auto"/>
                  <w:noWrap/>
                  <w:vAlign w:val="center"/>
                  <w:hideMark/>
                </w:tcPr>
                <w:p w14:paraId="78F2A380"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13.53</w:t>
                  </w:r>
                </w:p>
              </w:tc>
            </w:tr>
            <w:tr w:rsidR="001843D5" w:rsidRPr="00055865" w14:paraId="7488CE77" w14:textId="77777777" w:rsidTr="005B6FD7">
              <w:trPr>
                <w:trHeight w:val="300"/>
              </w:trPr>
              <w:tc>
                <w:tcPr>
                  <w:tcW w:w="1300" w:type="dxa"/>
                  <w:tcBorders>
                    <w:top w:val="nil"/>
                    <w:left w:val="single" w:sz="8" w:space="0" w:color="auto"/>
                    <w:bottom w:val="nil"/>
                    <w:right w:val="single" w:sz="8" w:space="0" w:color="auto"/>
                  </w:tcBorders>
                  <w:shd w:val="clear" w:color="auto" w:fill="auto"/>
                  <w:noWrap/>
                  <w:vAlign w:val="center"/>
                  <w:hideMark/>
                </w:tcPr>
                <w:p w14:paraId="73996FB8"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Liquidity</w:t>
                  </w:r>
                </w:p>
              </w:tc>
              <w:tc>
                <w:tcPr>
                  <w:tcW w:w="1300" w:type="dxa"/>
                  <w:tcBorders>
                    <w:top w:val="nil"/>
                    <w:left w:val="nil"/>
                    <w:bottom w:val="nil"/>
                    <w:right w:val="nil"/>
                  </w:tcBorders>
                  <w:shd w:val="clear" w:color="auto" w:fill="auto"/>
                  <w:noWrap/>
                  <w:vAlign w:val="center"/>
                  <w:hideMark/>
                </w:tcPr>
                <w:p w14:paraId="605FE093"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1147</w:t>
                  </w:r>
                </w:p>
              </w:tc>
              <w:tc>
                <w:tcPr>
                  <w:tcW w:w="740" w:type="dxa"/>
                  <w:tcBorders>
                    <w:top w:val="nil"/>
                    <w:left w:val="nil"/>
                    <w:bottom w:val="nil"/>
                    <w:right w:val="nil"/>
                  </w:tcBorders>
                  <w:shd w:val="clear" w:color="auto" w:fill="auto"/>
                  <w:noWrap/>
                  <w:vAlign w:val="center"/>
                  <w:hideMark/>
                </w:tcPr>
                <w:p w14:paraId="5937559F"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3.70</w:t>
                  </w:r>
                </w:p>
              </w:tc>
              <w:tc>
                <w:tcPr>
                  <w:tcW w:w="1000" w:type="dxa"/>
                  <w:tcBorders>
                    <w:top w:val="nil"/>
                    <w:left w:val="nil"/>
                    <w:bottom w:val="nil"/>
                    <w:right w:val="nil"/>
                  </w:tcBorders>
                  <w:shd w:val="clear" w:color="auto" w:fill="auto"/>
                  <w:noWrap/>
                  <w:vAlign w:val="center"/>
                  <w:hideMark/>
                </w:tcPr>
                <w:p w14:paraId="3ADC9605"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8.91</w:t>
                  </w:r>
                </w:p>
              </w:tc>
              <w:tc>
                <w:tcPr>
                  <w:tcW w:w="680" w:type="dxa"/>
                  <w:tcBorders>
                    <w:top w:val="nil"/>
                    <w:left w:val="nil"/>
                    <w:bottom w:val="nil"/>
                    <w:right w:val="nil"/>
                  </w:tcBorders>
                  <w:shd w:val="clear" w:color="auto" w:fill="auto"/>
                  <w:noWrap/>
                  <w:vAlign w:val="center"/>
                  <w:hideMark/>
                </w:tcPr>
                <w:p w14:paraId="3B740ED1"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0.01</w:t>
                  </w:r>
                </w:p>
              </w:tc>
              <w:tc>
                <w:tcPr>
                  <w:tcW w:w="940" w:type="dxa"/>
                  <w:tcBorders>
                    <w:top w:val="nil"/>
                    <w:left w:val="nil"/>
                    <w:bottom w:val="nil"/>
                    <w:right w:val="nil"/>
                  </w:tcBorders>
                  <w:shd w:val="clear" w:color="auto" w:fill="auto"/>
                  <w:noWrap/>
                  <w:vAlign w:val="center"/>
                  <w:hideMark/>
                </w:tcPr>
                <w:p w14:paraId="6E6928F6"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170.26</w:t>
                  </w:r>
                </w:p>
              </w:tc>
              <w:tc>
                <w:tcPr>
                  <w:tcW w:w="860" w:type="dxa"/>
                  <w:tcBorders>
                    <w:top w:val="nil"/>
                    <w:left w:val="nil"/>
                    <w:bottom w:val="nil"/>
                    <w:right w:val="nil"/>
                  </w:tcBorders>
                  <w:shd w:val="clear" w:color="auto" w:fill="auto"/>
                  <w:noWrap/>
                  <w:vAlign w:val="center"/>
                  <w:hideMark/>
                </w:tcPr>
                <w:p w14:paraId="535558AE"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1.33</w:t>
                  </w:r>
                </w:p>
              </w:tc>
              <w:tc>
                <w:tcPr>
                  <w:tcW w:w="1060" w:type="dxa"/>
                  <w:tcBorders>
                    <w:top w:val="nil"/>
                    <w:left w:val="nil"/>
                    <w:bottom w:val="nil"/>
                    <w:right w:val="nil"/>
                  </w:tcBorders>
                  <w:shd w:val="clear" w:color="auto" w:fill="auto"/>
                  <w:noWrap/>
                  <w:vAlign w:val="center"/>
                  <w:hideMark/>
                </w:tcPr>
                <w:p w14:paraId="0C37FA09"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8.97</w:t>
                  </w:r>
                </w:p>
              </w:tc>
              <w:tc>
                <w:tcPr>
                  <w:tcW w:w="980" w:type="dxa"/>
                  <w:tcBorders>
                    <w:top w:val="nil"/>
                    <w:left w:val="nil"/>
                    <w:bottom w:val="nil"/>
                    <w:right w:val="single" w:sz="8" w:space="0" w:color="auto"/>
                  </w:tcBorders>
                  <w:shd w:val="clear" w:color="auto" w:fill="auto"/>
                  <w:noWrap/>
                  <w:vAlign w:val="center"/>
                  <w:hideMark/>
                </w:tcPr>
                <w:p w14:paraId="5A7FD12F"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129.04</w:t>
                  </w:r>
                </w:p>
              </w:tc>
            </w:tr>
            <w:tr w:rsidR="001843D5" w:rsidRPr="00055865" w14:paraId="65B88387" w14:textId="77777777" w:rsidTr="005B6FD7">
              <w:trPr>
                <w:trHeight w:val="300"/>
              </w:trPr>
              <w:tc>
                <w:tcPr>
                  <w:tcW w:w="1300" w:type="dxa"/>
                  <w:tcBorders>
                    <w:top w:val="nil"/>
                    <w:left w:val="single" w:sz="8" w:space="0" w:color="auto"/>
                    <w:bottom w:val="nil"/>
                    <w:right w:val="single" w:sz="8" w:space="0" w:color="auto"/>
                  </w:tcBorders>
                  <w:shd w:val="clear" w:color="auto" w:fill="auto"/>
                  <w:noWrap/>
                  <w:vAlign w:val="center"/>
                  <w:hideMark/>
                </w:tcPr>
                <w:p w14:paraId="3F6595A1"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Gearing</w:t>
                  </w:r>
                </w:p>
              </w:tc>
              <w:tc>
                <w:tcPr>
                  <w:tcW w:w="1300" w:type="dxa"/>
                  <w:tcBorders>
                    <w:top w:val="nil"/>
                    <w:left w:val="nil"/>
                    <w:bottom w:val="nil"/>
                    <w:right w:val="nil"/>
                  </w:tcBorders>
                  <w:shd w:val="clear" w:color="auto" w:fill="auto"/>
                  <w:noWrap/>
                  <w:vAlign w:val="center"/>
                  <w:hideMark/>
                </w:tcPr>
                <w:p w14:paraId="372A18A1"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1122</w:t>
                  </w:r>
                </w:p>
              </w:tc>
              <w:tc>
                <w:tcPr>
                  <w:tcW w:w="740" w:type="dxa"/>
                  <w:tcBorders>
                    <w:top w:val="nil"/>
                    <w:left w:val="nil"/>
                    <w:bottom w:val="nil"/>
                    <w:right w:val="nil"/>
                  </w:tcBorders>
                  <w:shd w:val="clear" w:color="auto" w:fill="auto"/>
                  <w:noWrap/>
                  <w:vAlign w:val="center"/>
                  <w:hideMark/>
                </w:tcPr>
                <w:p w14:paraId="64FFBBD7"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47.29</w:t>
                  </w:r>
                </w:p>
              </w:tc>
              <w:tc>
                <w:tcPr>
                  <w:tcW w:w="1000" w:type="dxa"/>
                  <w:tcBorders>
                    <w:top w:val="nil"/>
                    <w:left w:val="nil"/>
                    <w:bottom w:val="nil"/>
                    <w:right w:val="nil"/>
                  </w:tcBorders>
                  <w:shd w:val="clear" w:color="auto" w:fill="auto"/>
                  <w:noWrap/>
                  <w:vAlign w:val="center"/>
                  <w:hideMark/>
                </w:tcPr>
                <w:p w14:paraId="41D621C3"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70.42</w:t>
                  </w:r>
                </w:p>
              </w:tc>
              <w:tc>
                <w:tcPr>
                  <w:tcW w:w="680" w:type="dxa"/>
                  <w:tcBorders>
                    <w:top w:val="nil"/>
                    <w:left w:val="nil"/>
                    <w:bottom w:val="nil"/>
                    <w:right w:val="nil"/>
                  </w:tcBorders>
                  <w:shd w:val="clear" w:color="auto" w:fill="auto"/>
                  <w:noWrap/>
                  <w:vAlign w:val="center"/>
                  <w:hideMark/>
                </w:tcPr>
                <w:p w14:paraId="4EDA1CF1"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940" w:type="dxa"/>
                  <w:tcBorders>
                    <w:top w:val="nil"/>
                    <w:left w:val="nil"/>
                    <w:bottom w:val="nil"/>
                    <w:right w:val="nil"/>
                  </w:tcBorders>
                  <w:shd w:val="clear" w:color="auto" w:fill="auto"/>
                  <w:noWrap/>
                  <w:vAlign w:val="center"/>
                  <w:hideMark/>
                </w:tcPr>
                <w:p w14:paraId="209520FF"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844.34</w:t>
                  </w:r>
                </w:p>
              </w:tc>
              <w:tc>
                <w:tcPr>
                  <w:tcW w:w="860" w:type="dxa"/>
                  <w:tcBorders>
                    <w:top w:val="nil"/>
                    <w:left w:val="nil"/>
                    <w:bottom w:val="nil"/>
                    <w:right w:val="nil"/>
                  </w:tcBorders>
                  <w:shd w:val="clear" w:color="auto" w:fill="auto"/>
                  <w:noWrap/>
                  <w:vAlign w:val="center"/>
                  <w:hideMark/>
                </w:tcPr>
                <w:p w14:paraId="141F8924"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25.85</w:t>
                  </w:r>
                </w:p>
              </w:tc>
              <w:tc>
                <w:tcPr>
                  <w:tcW w:w="1060" w:type="dxa"/>
                  <w:tcBorders>
                    <w:top w:val="nil"/>
                    <w:left w:val="nil"/>
                    <w:bottom w:val="nil"/>
                    <w:right w:val="nil"/>
                  </w:tcBorders>
                  <w:shd w:val="clear" w:color="auto" w:fill="auto"/>
                  <w:noWrap/>
                  <w:vAlign w:val="center"/>
                  <w:hideMark/>
                </w:tcPr>
                <w:p w14:paraId="18DCEDE4"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4.57</w:t>
                  </w:r>
                </w:p>
              </w:tc>
              <w:tc>
                <w:tcPr>
                  <w:tcW w:w="980" w:type="dxa"/>
                  <w:tcBorders>
                    <w:top w:val="nil"/>
                    <w:left w:val="nil"/>
                    <w:bottom w:val="nil"/>
                    <w:right w:val="single" w:sz="8" w:space="0" w:color="auto"/>
                  </w:tcBorders>
                  <w:shd w:val="clear" w:color="auto" w:fill="auto"/>
                  <w:noWrap/>
                  <w:vAlign w:val="center"/>
                  <w:hideMark/>
                </w:tcPr>
                <w:p w14:paraId="6E9F0610"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35.68</w:t>
                  </w:r>
                </w:p>
              </w:tc>
            </w:tr>
            <w:tr w:rsidR="001843D5" w:rsidRPr="00055865" w14:paraId="12127574" w14:textId="77777777" w:rsidTr="005B6FD7">
              <w:trPr>
                <w:trHeight w:val="300"/>
              </w:trPr>
              <w:tc>
                <w:tcPr>
                  <w:tcW w:w="1300" w:type="dxa"/>
                  <w:tcBorders>
                    <w:top w:val="nil"/>
                    <w:left w:val="single" w:sz="8" w:space="0" w:color="auto"/>
                    <w:bottom w:val="nil"/>
                    <w:right w:val="single" w:sz="8" w:space="0" w:color="auto"/>
                  </w:tcBorders>
                  <w:shd w:val="clear" w:color="auto" w:fill="auto"/>
                  <w:noWrap/>
                  <w:vAlign w:val="center"/>
                  <w:hideMark/>
                </w:tcPr>
                <w:p w14:paraId="729ACBA6"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lastRenderedPageBreak/>
                    <w:t>Board Size</w:t>
                  </w:r>
                </w:p>
              </w:tc>
              <w:tc>
                <w:tcPr>
                  <w:tcW w:w="1300" w:type="dxa"/>
                  <w:tcBorders>
                    <w:top w:val="nil"/>
                    <w:left w:val="nil"/>
                    <w:bottom w:val="nil"/>
                    <w:right w:val="nil"/>
                  </w:tcBorders>
                  <w:shd w:val="clear" w:color="auto" w:fill="auto"/>
                  <w:noWrap/>
                  <w:vAlign w:val="center"/>
                  <w:hideMark/>
                </w:tcPr>
                <w:p w14:paraId="378397F1"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1107</w:t>
                  </w:r>
                </w:p>
              </w:tc>
              <w:tc>
                <w:tcPr>
                  <w:tcW w:w="740" w:type="dxa"/>
                  <w:tcBorders>
                    <w:top w:val="nil"/>
                    <w:left w:val="nil"/>
                    <w:bottom w:val="nil"/>
                    <w:right w:val="nil"/>
                  </w:tcBorders>
                  <w:shd w:val="clear" w:color="auto" w:fill="auto"/>
                  <w:noWrap/>
                  <w:vAlign w:val="center"/>
                  <w:hideMark/>
                </w:tcPr>
                <w:p w14:paraId="4E68BD1C"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6.03</w:t>
                  </w:r>
                </w:p>
              </w:tc>
              <w:tc>
                <w:tcPr>
                  <w:tcW w:w="1000" w:type="dxa"/>
                  <w:tcBorders>
                    <w:top w:val="nil"/>
                    <w:left w:val="nil"/>
                    <w:bottom w:val="nil"/>
                    <w:right w:val="nil"/>
                  </w:tcBorders>
                  <w:shd w:val="clear" w:color="auto" w:fill="auto"/>
                  <w:noWrap/>
                  <w:vAlign w:val="center"/>
                  <w:hideMark/>
                </w:tcPr>
                <w:p w14:paraId="232BBCBB"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1.94</w:t>
                  </w:r>
                </w:p>
              </w:tc>
              <w:tc>
                <w:tcPr>
                  <w:tcW w:w="680" w:type="dxa"/>
                  <w:tcBorders>
                    <w:top w:val="nil"/>
                    <w:left w:val="nil"/>
                    <w:bottom w:val="nil"/>
                    <w:right w:val="nil"/>
                  </w:tcBorders>
                  <w:shd w:val="clear" w:color="auto" w:fill="auto"/>
                  <w:noWrap/>
                  <w:vAlign w:val="center"/>
                  <w:hideMark/>
                </w:tcPr>
                <w:p w14:paraId="5FF41871"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940" w:type="dxa"/>
                  <w:tcBorders>
                    <w:top w:val="nil"/>
                    <w:left w:val="nil"/>
                    <w:bottom w:val="nil"/>
                    <w:right w:val="nil"/>
                  </w:tcBorders>
                  <w:shd w:val="clear" w:color="auto" w:fill="auto"/>
                  <w:noWrap/>
                  <w:vAlign w:val="center"/>
                  <w:hideMark/>
                </w:tcPr>
                <w:p w14:paraId="325A7DF8"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13.00</w:t>
                  </w:r>
                </w:p>
              </w:tc>
              <w:tc>
                <w:tcPr>
                  <w:tcW w:w="860" w:type="dxa"/>
                  <w:tcBorders>
                    <w:top w:val="nil"/>
                    <w:left w:val="nil"/>
                    <w:bottom w:val="nil"/>
                    <w:right w:val="nil"/>
                  </w:tcBorders>
                  <w:shd w:val="clear" w:color="auto" w:fill="auto"/>
                  <w:noWrap/>
                  <w:vAlign w:val="center"/>
                  <w:hideMark/>
                </w:tcPr>
                <w:p w14:paraId="549F618B"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6.00</w:t>
                  </w:r>
                </w:p>
              </w:tc>
              <w:tc>
                <w:tcPr>
                  <w:tcW w:w="1060" w:type="dxa"/>
                  <w:tcBorders>
                    <w:top w:val="nil"/>
                    <w:left w:val="nil"/>
                    <w:bottom w:val="nil"/>
                    <w:right w:val="nil"/>
                  </w:tcBorders>
                  <w:shd w:val="clear" w:color="auto" w:fill="auto"/>
                  <w:noWrap/>
                  <w:vAlign w:val="center"/>
                  <w:hideMark/>
                </w:tcPr>
                <w:p w14:paraId="016DF228"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0.33</w:t>
                  </w:r>
                </w:p>
              </w:tc>
              <w:tc>
                <w:tcPr>
                  <w:tcW w:w="980" w:type="dxa"/>
                  <w:tcBorders>
                    <w:top w:val="nil"/>
                    <w:left w:val="nil"/>
                    <w:bottom w:val="nil"/>
                    <w:right w:val="single" w:sz="8" w:space="0" w:color="auto"/>
                  </w:tcBorders>
                  <w:shd w:val="clear" w:color="auto" w:fill="auto"/>
                  <w:noWrap/>
                  <w:vAlign w:val="center"/>
                  <w:hideMark/>
                </w:tcPr>
                <w:p w14:paraId="71EFA825"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3.44</w:t>
                  </w:r>
                </w:p>
              </w:tc>
            </w:tr>
            <w:tr w:rsidR="001843D5" w:rsidRPr="00055865" w14:paraId="61C35C40" w14:textId="77777777" w:rsidTr="005B6FD7">
              <w:trPr>
                <w:trHeight w:val="300"/>
              </w:trPr>
              <w:tc>
                <w:tcPr>
                  <w:tcW w:w="1300" w:type="dxa"/>
                  <w:tcBorders>
                    <w:top w:val="nil"/>
                    <w:left w:val="single" w:sz="8" w:space="0" w:color="auto"/>
                    <w:bottom w:val="nil"/>
                    <w:right w:val="single" w:sz="8" w:space="0" w:color="auto"/>
                  </w:tcBorders>
                  <w:shd w:val="clear" w:color="auto" w:fill="auto"/>
                  <w:noWrap/>
                  <w:vAlign w:val="center"/>
                  <w:hideMark/>
                </w:tcPr>
                <w:p w14:paraId="69309245"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NEDS</w:t>
                  </w:r>
                </w:p>
              </w:tc>
              <w:tc>
                <w:tcPr>
                  <w:tcW w:w="1300" w:type="dxa"/>
                  <w:tcBorders>
                    <w:top w:val="nil"/>
                    <w:left w:val="nil"/>
                    <w:bottom w:val="nil"/>
                    <w:right w:val="nil"/>
                  </w:tcBorders>
                  <w:shd w:val="clear" w:color="auto" w:fill="auto"/>
                  <w:noWrap/>
                  <w:vAlign w:val="center"/>
                  <w:hideMark/>
                </w:tcPr>
                <w:p w14:paraId="07684493"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1107</w:t>
                  </w:r>
                </w:p>
              </w:tc>
              <w:tc>
                <w:tcPr>
                  <w:tcW w:w="740" w:type="dxa"/>
                  <w:tcBorders>
                    <w:top w:val="nil"/>
                    <w:left w:val="nil"/>
                    <w:bottom w:val="nil"/>
                    <w:right w:val="nil"/>
                  </w:tcBorders>
                  <w:shd w:val="clear" w:color="auto" w:fill="auto"/>
                  <w:noWrap/>
                  <w:vAlign w:val="center"/>
                  <w:hideMark/>
                </w:tcPr>
                <w:p w14:paraId="461B7745"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3.33</w:t>
                  </w:r>
                </w:p>
              </w:tc>
              <w:tc>
                <w:tcPr>
                  <w:tcW w:w="1000" w:type="dxa"/>
                  <w:tcBorders>
                    <w:top w:val="nil"/>
                    <w:left w:val="nil"/>
                    <w:bottom w:val="nil"/>
                    <w:right w:val="nil"/>
                  </w:tcBorders>
                  <w:shd w:val="clear" w:color="auto" w:fill="auto"/>
                  <w:noWrap/>
                  <w:vAlign w:val="center"/>
                  <w:hideMark/>
                </w:tcPr>
                <w:p w14:paraId="26BB70ED"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1.49</w:t>
                  </w:r>
                </w:p>
              </w:tc>
              <w:tc>
                <w:tcPr>
                  <w:tcW w:w="680" w:type="dxa"/>
                  <w:tcBorders>
                    <w:top w:val="nil"/>
                    <w:left w:val="nil"/>
                    <w:bottom w:val="nil"/>
                    <w:right w:val="nil"/>
                  </w:tcBorders>
                  <w:shd w:val="clear" w:color="auto" w:fill="auto"/>
                  <w:noWrap/>
                  <w:vAlign w:val="center"/>
                  <w:hideMark/>
                </w:tcPr>
                <w:p w14:paraId="7FE80C49"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0.00</w:t>
                  </w:r>
                </w:p>
              </w:tc>
              <w:tc>
                <w:tcPr>
                  <w:tcW w:w="940" w:type="dxa"/>
                  <w:tcBorders>
                    <w:top w:val="nil"/>
                    <w:left w:val="nil"/>
                    <w:bottom w:val="nil"/>
                    <w:right w:val="nil"/>
                  </w:tcBorders>
                  <w:shd w:val="clear" w:color="auto" w:fill="auto"/>
                  <w:noWrap/>
                  <w:vAlign w:val="center"/>
                  <w:hideMark/>
                </w:tcPr>
                <w:p w14:paraId="042C44B5"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11.00</w:t>
                  </w:r>
                </w:p>
              </w:tc>
              <w:tc>
                <w:tcPr>
                  <w:tcW w:w="860" w:type="dxa"/>
                  <w:tcBorders>
                    <w:top w:val="nil"/>
                    <w:left w:val="nil"/>
                    <w:bottom w:val="nil"/>
                    <w:right w:val="nil"/>
                  </w:tcBorders>
                  <w:shd w:val="clear" w:color="auto" w:fill="auto"/>
                  <w:noWrap/>
                  <w:vAlign w:val="center"/>
                  <w:hideMark/>
                </w:tcPr>
                <w:p w14:paraId="315494B8"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3.00</w:t>
                  </w:r>
                </w:p>
              </w:tc>
              <w:tc>
                <w:tcPr>
                  <w:tcW w:w="1060" w:type="dxa"/>
                  <w:tcBorders>
                    <w:top w:val="nil"/>
                    <w:left w:val="nil"/>
                    <w:bottom w:val="nil"/>
                    <w:right w:val="nil"/>
                  </w:tcBorders>
                  <w:shd w:val="clear" w:color="auto" w:fill="auto"/>
                  <w:noWrap/>
                  <w:vAlign w:val="center"/>
                  <w:hideMark/>
                </w:tcPr>
                <w:p w14:paraId="14DA1CD4"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0.75</w:t>
                  </w:r>
                </w:p>
              </w:tc>
              <w:tc>
                <w:tcPr>
                  <w:tcW w:w="980" w:type="dxa"/>
                  <w:tcBorders>
                    <w:top w:val="nil"/>
                    <w:left w:val="nil"/>
                    <w:bottom w:val="nil"/>
                    <w:right w:val="single" w:sz="8" w:space="0" w:color="auto"/>
                  </w:tcBorders>
                  <w:shd w:val="clear" w:color="auto" w:fill="auto"/>
                  <w:noWrap/>
                  <w:vAlign w:val="center"/>
                  <w:hideMark/>
                </w:tcPr>
                <w:p w14:paraId="0E90BD85"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4.20</w:t>
                  </w:r>
                </w:p>
              </w:tc>
            </w:tr>
            <w:tr w:rsidR="001843D5" w:rsidRPr="00055865" w14:paraId="08FFAB9C" w14:textId="77777777" w:rsidTr="005B6FD7">
              <w:trPr>
                <w:trHeight w:val="315"/>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EB6E14A" w14:textId="77777777" w:rsidR="001843D5" w:rsidRPr="00055865" w:rsidRDefault="001843D5" w:rsidP="005B6FD7">
                  <w:pPr>
                    <w:spacing w:after="0" w:line="240" w:lineRule="auto"/>
                    <w:rPr>
                      <w:rFonts w:ascii="Garamond" w:eastAsia="Times New Roman" w:hAnsi="Garamond" w:cs="Calibri"/>
                      <w:lang w:eastAsia="en-GB"/>
                    </w:rPr>
                  </w:pPr>
                  <w:r w:rsidRPr="00055865">
                    <w:rPr>
                      <w:rFonts w:ascii="Garamond" w:eastAsia="Times New Roman" w:hAnsi="Garamond" w:cs="Calibri"/>
                      <w:lang w:eastAsia="en-GB"/>
                    </w:rPr>
                    <w:t>CEO Rem</w:t>
                  </w:r>
                </w:p>
              </w:tc>
              <w:tc>
                <w:tcPr>
                  <w:tcW w:w="1300" w:type="dxa"/>
                  <w:tcBorders>
                    <w:top w:val="nil"/>
                    <w:left w:val="nil"/>
                    <w:bottom w:val="single" w:sz="8" w:space="0" w:color="auto"/>
                    <w:right w:val="nil"/>
                  </w:tcBorders>
                  <w:shd w:val="clear" w:color="auto" w:fill="auto"/>
                  <w:noWrap/>
                  <w:vAlign w:val="center"/>
                  <w:hideMark/>
                </w:tcPr>
                <w:p w14:paraId="68ED85C8"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1064</w:t>
                  </w:r>
                </w:p>
              </w:tc>
              <w:tc>
                <w:tcPr>
                  <w:tcW w:w="740" w:type="dxa"/>
                  <w:tcBorders>
                    <w:top w:val="nil"/>
                    <w:left w:val="nil"/>
                    <w:bottom w:val="single" w:sz="8" w:space="0" w:color="auto"/>
                    <w:right w:val="nil"/>
                  </w:tcBorders>
                  <w:shd w:val="clear" w:color="auto" w:fill="auto"/>
                  <w:noWrap/>
                  <w:vAlign w:val="center"/>
                  <w:hideMark/>
                </w:tcPr>
                <w:p w14:paraId="7B3248CE"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336710</w:t>
                  </w:r>
                </w:p>
              </w:tc>
              <w:tc>
                <w:tcPr>
                  <w:tcW w:w="1000" w:type="dxa"/>
                  <w:tcBorders>
                    <w:top w:val="nil"/>
                    <w:left w:val="nil"/>
                    <w:bottom w:val="single" w:sz="8" w:space="0" w:color="auto"/>
                    <w:right w:val="nil"/>
                  </w:tcBorders>
                  <w:shd w:val="clear" w:color="auto" w:fill="auto"/>
                  <w:noWrap/>
                  <w:vAlign w:val="center"/>
                  <w:hideMark/>
                </w:tcPr>
                <w:p w14:paraId="53201067"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280220</w:t>
                  </w:r>
                </w:p>
              </w:tc>
              <w:tc>
                <w:tcPr>
                  <w:tcW w:w="680" w:type="dxa"/>
                  <w:tcBorders>
                    <w:top w:val="nil"/>
                    <w:left w:val="nil"/>
                    <w:bottom w:val="single" w:sz="8" w:space="0" w:color="auto"/>
                    <w:right w:val="nil"/>
                  </w:tcBorders>
                  <w:shd w:val="clear" w:color="auto" w:fill="auto"/>
                  <w:noWrap/>
                  <w:vAlign w:val="center"/>
                  <w:hideMark/>
                </w:tcPr>
                <w:p w14:paraId="10222C24"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12000</w:t>
                  </w:r>
                </w:p>
              </w:tc>
              <w:tc>
                <w:tcPr>
                  <w:tcW w:w="940" w:type="dxa"/>
                  <w:tcBorders>
                    <w:top w:val="nil"/>
                    <w:left w:val="nil"/>
                    <w:bottom w:val="single" w:sz="8" w:space="0" w:color="auto"/>
                    <w:right w:val="nil"/>
                  </w:tcBorders>
                  <w:shd w:val="clear" w:color="auto" w:fill="auto"/>
                  <w:noWrap/>
                  <w:vAlign w:val="center"/>
                  <w:hideMark/>
                </w:tcPr>
                <w:p w14:paraId="0A042A10"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3731302</w:t>
                  </w:r>
                </w:p>
              </w:tc>
              <w:tc>
                <w:tcPr>
                  <w:tcW w:w="860" w:type="dxa"/>
                  <w:tcBorders>
                    <w:top w:val="nil"/>
                    <w:left w:val="nil"/>
                    <w:bottom w:val="single" w:sz="8" w:space="0" w:color="auto"/>
                    <w:right w:val="nil"/>
                  </w:tcBorders>
                  <w:shd w:val="clear" w:color="auto" w:fill="auto"/>
                  <w:noWrap/>
                  <w:vAlign w:val="center"/>
                  <w:hideMark/>
                </w:tcPr>
                <w:p w14:paraId="5CCE5824"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254447</w:t>
                  </w:r>
                </w:p>
              </w:tc>
              <w:tc>
                <w:tcPr>
                  <w:tcW w:w="1060" w:type="dxa"/>
                  <w:tcBorders>
                    <w:top w:val="nil"/>
                    <w:left w:val="nil"/>
                    <w:bottom w:val="single" w:sz="8" w:space="0" w:color="auto"/>
                    <w:right w:val="nil"/>
                  </w:tcBorders>
                  <w:shd w:val="clear" w:color="auto" w:fill="auto"/>
                  <w:noWrap/>
                  <w:vAlign w:val="center"/>
                  <w:hideMark/>
                </w:tcPr>
                <w:p w14:paraId="73183CFC"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3.77</w:t>
                  </w:r>
                </w:p>
              </w:tc>
              <w:tc>
                <w:tcPr>
                  <w:tcW w:w="980" w:type="dxa"/>
                  <w:tcBorders>
                    <w:top w:val="nil"/>
                    <w:left w:val="nil"/>
                    <w:bottom w:val="single" w:sz="8" w:space="0" w:color="auto"/>
                    <w:right w:val="single" w:sz="8" w:space="0" w:color="auto"/>
                  </w:tcBorders>
                  <w:shd w:val="clear" w:color="auto" w:fill="auto"/>
                  <w:noWrap/>
                  <w:vAlign w:val="center"/>
                  <w:hideMark/>
                </w:tcPr>
                <w:p w14:paraId="03E87C92" w14:textId="77777777" w:rsidR="001843D5" w:rsidRPr="00055865" w:rsidRDefault="001843D5" w:rsidP="005B6FD7">
                  <w:pPr>
                    <w:spacing w:after="0" w:line="240" w:lineRule="auto"/>
                    <w:jc w:val="right"/>
                    <w:rPr>
                      <w:rFonts w:ascii="Garamond" w:eastAsia="Times New Roman" w:hAnsi="Garamond" w:cs="Calibri"/>
                      <w:lang w:eastAsia="en-GB"/>
                    </w:rPr>
                  </w:pPr>
                  <w:r w:rsidRPr="00055865">
                    <w:rPr>
                      <w:rFonts w:ascii="Garamond" w:eastAsia="Times New Roman" w:hAnsi="Garamond" w:cs="Calibri"/>
                      <w:lang w:eastAsia="en-GB"/>
                    </w:rPr>
                    <w:t>31.78</w:t>
                  </w:r>
                </w:p>
              </w:tc>
            </w:tr>
          </w:tbl>
          <w:p w14:paraId="5367267C" w14:textId="77777777" w:rsidR="001843D5" w:rsidRPr="00055865" w:rsidRDefault="001843D5" w:rsidP="005B6FD7">
            <w:pPr>
              <w:spacing w:after="0" w:line="480" w:lineRule="auto"/>
              <w:contextualSpacing/>
              <w:rPr>
                <w:rFonts w:ascii="Garamond" w:eastAsia="Times New Roman" w:hAnsi="Garamond" w:cs="Calibri"/>
                <w:b/>
                <w:bCs/>
                <w:lang w:eastAsia="en-GB"/>
              </w:rPr>
            </w:pPr>
          </w:p>
          <w:p w14:paraId="373C4055" w14:textId="77777777" w:rsidR="001843D5" w:rsidRPr="00055865" w:rsidRDefault="001843D5" w:rsidP="005B6FD7">
            <w:pPr>
              <w:spacing w:after="0" w:line="480" w:lineRule="auto"/>
              <w:contextualSpacing/>
              <w:rPr>
                <w:rFonts w:ascii="Garamond" w:eastAsia="Times New Roman" w:hAnsi="Garamond" w:cs="Calibri"/>
                <w:b/>
                <w:bCs/>
                <w:lang w:eastAsia="en-GB"/>
              </w:rPr>
            </w:pPr>
          </w:p>
          <w:p w14:paraId="1D7CDC31" w14:textId="77777777" w:rsidR="001843D5" w:rsidRPr="00055865" w:rsidRDefault="001843D5" w:rsidP="005B6FD7">
            <w:pPr>
              <w:spacing w:after="0" w:line="480" w:lineRule="auto"/>
              <w:contextualSpacing/>
              <w:rPr>
                <w:rFonts w:ascii="Garamond" w:eastAsia="Times New Roman" w:hAnsi="Garamond" w:cs="Calibri"/>
                <w:b/>
                <w:bCs/>
                <w:lang w:eastAsia="en-GB"/>
              </w:rPr>
            </w:pPr>
          </w:p>
        </w:tc>
      </w:tr>
    </w:tbl>
    <w:p w14:paraId="1767CB33" w14:textId="09EB87D0" w:rsidR="00C3429E" w:rsidRPr="00055865" w:rsidRDefault="009E5C24" w:rsidP="005D6CE4">
      <w:pPr>
        <w:spacing w:after="0" w:line="480" w:lineRule="auto"/>
        <w:contextualSpacing/>
        <w:jc w:val="both"/>
        <w:rPr>
          <w:rFonts w:ascii="Garamond" w:hAnsi="Garamond"/>
          <w:b/>
          <w:sz w:val="24"/>
          <w:szCs w:val="24"/>
        </w:rPr>
      </w:pPr>
      <w:r>
        <w:rPr>
          <w:rFonts w:ascii="Garamond" w:hAnsi="Garamond"/>
          <w:b/>
          <w:sz w:val="24"/>
          <w:szCs w:val="24"/>
        </w:rPr>
        <w:lastRenderedPageBreak/>
        <w:t>4</w:t>
      </w:r>
      <w:r w:rsidR="00C3429E" w:rsidRPr="00055865">
        <w:rPr>
          <w:rFonts w:ascii="Garamond" w:hAnsi="Garamond"/>
          <w:b/>
          <w:sz w:val="24"/>
          <w:szCs w:val="24"/>
        </w:rPr>
        <w:t>.2. Correlation Matrix</w:t>
      </w:r>
    </w:p>
    <w:p w14:paraId="7CB163A3" w14:textId="7CB23068" w:rsidR="001843D5" w:rsidRDefault="00164C8B" w:rsidP="005D6CE4">
      <w:pPr>
        <w:spacing w:after="0" w:line="480" w:lineRule="auto"/>
        <w:contextualSpacing/>
        <w:jc w:val="both"/>
        <w:rPr>
          <w:rFonts w:ascii="Garamond" w:hAnsi="Garamond"/>
          <w:sz w:val="24"/>
          <w:szCs w:val="24"/>
        </w:rPr>
      </w:pPr>
      <w:r w:rsidRPr="00055865">
        <w:rPr>
          <w:rFonts w:ascii="Garamond" w:hAnsi="Garamond"/>
          <w:sz w:val="24"/>
          <w:szCs w:val="24"/>
        </w:rPr>
        <w:t xml:space="preserve">            </w:t>
      </w:r>
      <w:r w:rsidR="00C3429E" w:rsidRPr="00055865">
        <w:rPr>
          <w:rFonts w:ascii="Garamond" w:hAnsi="Garamond"/>
          <w:sz w:val="24"/>
          <w:szCs w:val="24"/>
        </w:rPr>
        <w:t xml:space="preserve">Table 2 shows the detail correlation matrix of the dependent, independence and control variables. The financial performance measure ROA shows a significant positive correlation with all the sustainable environmental policies: energy efficiency, </w:t>
      </w:r>
      <w:r w:rsidR="005445B5" w:rsidRPr="00055865">
        <w:rPr>
          <w:rFonts w:ascii="Garamond" w:hAnsi="Garamond"/>
          <w:sz w:val="24"/>
          <w:szCs w:val="24"/>
        </w:rPr>
        <w:t>greenhouse gas, waste management, material and resource efficiency, environmental policy</w:t>
      </w:r>
      <w:r w:rsidR="00C0056F">
        <w:rPr>
          <w:rFonts w:ascii="Garamond" w:hAnsi="Garamond"/>
          <w:sz w:val="24"/>
          <w:szCs w:val="24"/>
        </w:rPr>
        <w:t>,</w:t>
      </w:r>
      <w:r w:rsidR="005445B5" w:rsidRPr="00055865">
        <w:rPr>
          <w:rFonts w:ascii="Garamond" w:hAnsi="Garamond"/>
          <w:sz w:val="24"/>
          <w:szCs w:val="24"/>
        </w:rPr>
        <w:t xml:space="preserve"> and </w:t>
      </w:r>
      <w:r w:rsidR="005445B5" w:rsidRPr="00055865">
        <w:rPr>
          <w:rFonts w:ascii="Garamond" w:hAnsi="Garamond"/>
          <w:noProof/>
          <w:sz w:val="24"/>
          <w:szCs w:val="24"/>
        </w:rPr>
        <w:t>stakeholder</w:t>
      </w:r>
      <w:r w:rsidR="005445B5" w:rsidRPr="00055865">
        <w:rPr>
          <w:rFonts w:ascii="Garamond" w:hAnsi="Garamond"/>
          <w:sz w:val="24"/>
          <w:szCs w:val="24"/>
        </w:rPr>
        <w:t>/supply</w:t>
      </w:r>
      <w:r w:rsidR="005B6FD7">
        <w:rPr>
          <w:rFonts w:ascii="Garamond" w:hAnsi="Garamond"/>
          <w:sz w:val="24"/>
          <w:szCs w:val="24"/>
        </w:rPr>
        <w:t xml:space="preserve"> c</w:t>
      </w:r>
      <w:r w:rsidR="00C3429E" w:rsidRPr="00055865">
        <w:rPr>
          <w:rFonts w:ascii="Garamond" w:hAnsi="Garamond"/>
          <w:sz w:val="24"/>
          <w:szCs w:val="24"/>
        </w:rPr>
        <w:t>hain. The c</w:t>
      </w:r>
      <w:r w:rsidR="00C0056F">
        <w:rPr>
          <w:rFonts w:ascii="Garamond" w:hAnsi="Garamond"/>
          <w:sz w:val="24"/>
          <w:szCs w:val="24"/>
        </w:rPr>
        <w:t xml:space="preserve">orrelation matrix also confirms the fact that multicollinearity is not a problem, in line with the suggestion by </w:t>
      </w:r>
      <w:r w:rsidR="00C3429E" w:rsidRPr="00055865">
        <w:rPr>
          <w:rFonts w:ascii="Garamond" w:hAnsi="Garamond"/>
          <w:sz w:val="24"/>
          <w:szCs w:val="24"/>
        </w:rPr>
        <w:fldChar w:fldCharType="begin" w:fldLock="1"/>
      </w:r>
      <w:r w:rsidR="00C3429E" w:rsidRPr="00055865">
        <w:rPr>
          <w:rFonts w:ascii="Garamond" w:hAnsi="Garamond"/>
          <w:sz w:val="24"/>
          <w:szCs w:val="24"/>
        </w:rPr>
        <w:instrText>ADDIN CSL_CITATION {"citationItems":[{"id":"ITEM-1","itemData":{"DOI":"10.1016/B978-012691360-6/50012-4","ISBN":"9780126913606","ISSN":"03092402","PMID":"11173259","abstract":"By the end of this seminar you should: • Have a working knowledge of the ways in which similarity between cases can be quantified (e.g. single linkage, complete linkage and average linkage). • Be able to produce and interpret dendrograms produced by SPSS. • Know that different methods of clustering will produce different cluster structures.","author":[{"dropping-particle":"","family":"Field","given":"Andy","non-dropping-particle":"","parse-names":false,"suffix":""}],"container-title":"Discovering Statistics using IBM SPSS Statistics","id":"ITEM-1","issued":{"date-parts":[["2013"]]},"page":"297-321","title":"Discovering Statistics using IBM SPSS Statistics","type":"article-journal"},"uris":["http://www.mendeley.com/documents/?uuid=7b519847-4b5f-4cf2-8465-e72f6433b280"]}],"mendeley":{"formattedCitation":"(Field, 2013)","manualFormatting":"Field (2013)","plainTextFormattedCitation":"(Field, 2013)","previouslyFormattedCitation":"(Field, 2013)"},"properties":{"noteIndex":0},"schema":"https://github.com/citation-style-language/schema/raw/master/csl-citation.json"}</w:instrText>
      </w:r>
      <w:r w:rsidR="00C3429E" w:rsidRPr="00055865">
        <w:rPr>
          <w:rFonts w:ascii="Garamond" w:hAnsi="Garamond"/>
          <w:sz w:val="24"/>
          <w:szCs w:val="24"/>
        </w:rPr>
        <w:fldChar w:fldCharType="separate"/>
      </w:r>
      <w:r w:rsidR="00C3429E" w:rsidRPr="00055865">
        <w:rPr>
          <w:rFonts w:ascii="Garamond" w:hAnsi="Garamond"/>
          <w:noProof/>
          <w:sz w:val="24"/>
          <w:szCs w:val="24"/>
        </w:rPr>
        <w:t>Field (2013)</w:t>
      </w:r>
      <w:r w:rsidR="00C3429E" w:rsidRPr="00055865">
        <w:rPr>
          <w:rFonts w:ascii="Garamond" w:hAnsi="Garamond"/>
          <w:sz w:val="24"/>
          <w:szCs w:val="24"/>
        </w:rPr>
        <w:fldChar w:fldCharType="end"/>
      </w:r>
      <w:r w:rsidR="00C3429E" w:rsidRPr="00055865">
        <w:rPr>
          <w:rFonts w:ascii="Garamond" w:hAnsi="Garamond"/>
          <w:sz w:val="24"/>
          <w:szCs w:val="24"/>
        </w:rPr>
        <w:t xml:space="preserve"> that correlation among the predictors is not considered </w:t>
      </w:r>
      <w:r w:rsidR="00AE0090">
        <w:rPr>
          <w:rFonts w:ascii="Garamond" w:hAnsi="Garamond"/>
          <w:sz w:val="24"/>
          <w:szCs w:val="24"/>
        </w:rPr>
        <w:t>problematic unless it</w:t>
      </w:r>
      <w:r w:rsidR="00C0056F">
        <w:rPr>
          <w:rFonts w:ascii="Garamond" w:hAnsi="Garamond"/>
          <w:sz w:val="24"/>
          <w:szCs w:val="24"/>
        </w:rPr>
        <w:t xml:space="preserve"> exceed</w:t>
      </w:r>
      <w:r w:rsidR="00AE0090">
        <w:rPr>
          <w:rFonts w:ascii="Garamond" w:hAnsi="Garamond"/>
          <w:sz w:val="24"/>
          <w:szCs w:val="24"/>
        </w:rPr>
        <w:t>s</w:t>
      </w:r>
      <w:r w:rsidR="00C0056F">
        <w:rPr>
          <w:rFonts w:ascii="Garamond" w:hAnsi="Garamond"/>
          <w:sz w:val="24"/>
          <w:szCs w:val="24"/>
        </w:rPr>
        <w:t xml:space="preserve"> </w:t>
      </w:r>
      <w:r w:rsidR="00C3429E" w:rsidRPr="00055865">
        <w:rPr>
          <w:rFonts w:ascii="Garamond" w:hAnsi="Garamond"/>
          <w:sz w:val="24"/>
          <w:szCs w:val="24"/>
        </w:rPr>
        <w:t xml:space="preserve">90. </w:t>
      </w:r>
    </w:p>
    <w:p w14:paraId="57020D5C" w14:textId="77777777" w:rsidR="0060274A" w:rsidRDefault="0060274A" w:rsidP="005D6CE4">
      <w:pPr>
        <w:spacing w:after="0" w:line="480" w:lineRule="auto"/>
        <w:contextualSpacing/>
        <w:jc w:val="both"/>
        <w:rPr>
          <w:rFonts w:ascii="Garamond" w:hAnsi="Garamond"/>
          <w:sz w:val="24"/>
          <w:szCs w:val="24"/>
        </w:rPr>
        <w:sectPr w:rsidR="0060274A" w:rsidSect="00A424E3">
          <w:headerReference w:type="default" r:id="rId11"/>
          <w:footerReference w:type="default" r:id="rId12"/>
          <w:pgSz w:w="11906" w:h="16838" w:code="9"/>
          <w:pgMar w:top="1440" w:right="1440" w:bottom="1440" w:left="1440" w:header="708" w:footer="708" w:gutter="0"/>
          <w:cols w:space="708"/>
          <w:docGrid w:linePitch="360"/>
        </w:sectPr>
      </w:pPr>
    </w:p>
    <w:p w14:paraId="08450E3F" w14:textId="77777777" w:rsidR="0060274A" w:rsidRPr="00055865" w:rsidRDefault="0060274A" w:rsidP="0060274A">
      <w:pPr>
        <w:pStyle w:val="Caption"/>
        <w:spacing w:after="0" w:line="480" w:lineRule="auto"/>
        <w:contextualSpacing/>
        <w:rPr>
          <w:rFonts w:ascii="Garamond" w:hAnsi="Garamond"/>
          <w:b/>
          <w:i w:val="0"/>
          <w:color w:val="auto"/>
          <w:sz w:val="24"/>
          <w:szCs w:val="24"/>
        </w:rPr>
      </w:pPr>
      <w:r w:rsidRPr="00055865">
        <w:rPr>
          <w:rFonts w:ascii="Garamond" w:hAnsi="Garamond"/>
          <w:b/>
          <w:i w:val="0"/>
          <w:color w:val="auto"/>
          <w:sz w:val="24"/>
          <w:szCs w:val="24"/>
        </w:rPr>
        <w:lastRenderedPageBreak/>
        <w:t xml:space="preserve">Table 2: Correlation Matrix </w:t>
      </w:r>
    </w:p>
    <w:p w14:paraId="5C403305" w14:textId="77777777" w:rsidR="0060274A" w:rsidRPr="00055865" w:rsidRDefault="0060274A" w:rsidP="0060274A">
      <w:pPr>
        <w:pBdr>
          <w:top w:val="single" w:sz="4" w:space="1" w:color="auto"/>
          <w:bottom w:val="single" w:sz="4" w:space="1" w:color="auto"/>
        </w:pBdr>
        <w:spacing w:after="0" w:line="480" w:lineRule="auto"/>
        <w:contextualSpacing/>
        <w:rPr>
          <w:rFonts w:ascii="Garamond" w:hAnsi="Garamond"/>
          <w:sz w:val="24"/>
          <w:szCs w:val="24"/>
          <w:vertAlign w:val="subscript"/>
        </w:rPr>
      </w:pPr>
      <w:r w:rsidRPr="00055865">
        <w:rPr>
          <w:rFonts w:ascii="Garamond" w:hAnsi="Garamond"/>
          <w:sz w:val="24"/>
          <w:szCs w:val="24"/>
          <w:vertAlign w:val="subscript"/>
          <w:lang w:eastAsia="en-GB"/>
        </w:rPr>
        <w:t xml:space="preserve">This table reports </w:t>
      </w:r>
      <w:r w:rsidRPr="00055865">
        <w:rPr>
          <w:rFonts w:ascii="Garamond" w:hAnsi="Garamond"/>
          <w:iCs/>
          <w:sz w:val="24"/>
          <w:szCs w:val="24"/>
          <w:vertAlign w:val="subscript"/>
          <w:lang w:eastAsia="en-GB"/>
        </w:rPr>
        <w:t>the correlation coefficients for all continuous variables adopted in estimating the relationship between environmental management performance and financial performance.</w:t>
      </w:r>
      <w:r w:rsidRPr="00055865">
        <w:rPr>
          <w:rFonts w:ascii="Garamond" w:hAnsi="Garamond"/>
          <w:bCs/>
          <w:iCs/>
          <w:sz w:val="24"/>
          <w:szCs w:val="24"/>
          <w:vertAlign w:val="subscript"/>
        </w:rPr>
        <w:t xml:space="preserve"> </w:t>
      </w:r>
      <w:r w:rsidRPr="00055865">
        <w:rPr>
          <w:rFonts w:ascii="Garamond" w:hAnsi="Garamond"/>
          <w:bCs/>
          <w:iCs/>
          <w:sz w:val="24"/>
          <w:szCs w:val="24"/>
          <w:vertAlign w:val="subscript"/>
          <w:lang w:eastAsia="en-GB"/>
        </w:rPr>
        <w:t>Variables are defined as follows: return on assets (ROA), Tobin’s q (TBQ), Sustainable Environmental Policies (SEP), Energy Efficiency Practices (Energy), Greenhouse Gases (GHG), Waste Management (Waste), Stakeholder Engagement (Stake), Material and Resource Efficiency (Mat), Compliance to environmental regulations (COMP), Firm Size (Size), Liquidity (Liquidity) Board Size (B Size), Number on non-executive directors (NEDs) CEO Remuneration (CEO Rem).</w:t>
      </w:r>
    </w:p>
    <w:tbl>
      <w:tblPr>
        <w:tblW w:w="13231" w:type="dxa"/>
        <w:tblLook w:val="04A0" w:firstRow="1" w:lastRow="0" w:firstColumn="1" w:lastColumn="0" w:noHBand="0" w:noVBand="1"/>
      </w:tblPr>
      <w:tblGrid>
        <w:gridCol w:w="1120"/>
        <w:gridCol w:w="772"/>
        <w:gridCol w:w="780"/>
        <w:gridCol w:w="840"/>
        <w:gridCol w:w="800"/>
        <w:gridCol w:w="772"/>
        <w:gridCol w:w="814"/>
        <w:gridCol w:w="772"/>
        <w:gridCol w:w="772"/>
        <w:gridCol w:w="820"/>
        <w:gridCol w:w="800"/>
        <w:gridCol w:w="911"/>
        <w:gridCol w:w="880"/>
        <w:gridCol w:w="820"/>
        <w:gridCol w:w="772"/>
        <w:gridCol w:w="820"/>
      </w:tblGrid>
      <w:tr w:rsidR="0060274A" w:rsidRPr="00055865" w14:paraId="439C935C" w14:textId="77777777" w:rsidTr="005B6FD7">
        <w:trPr>
          <w:trHeight w:val="300"/>
        </w:trPr>
        <w:tc>
          <w:tcPr>
            <w:tcW w:w="1120" w:type="dxa"/>
            <w:tcBorders>
              <w:top w:val="nil"/>
              <w:left w:val="nil"/>
              <w:bottom w:val="nil"/>
              <w:right w:val="nil"/>
            </w:tcBorders>
            <w:shd w:val="clear" w:color="auto" w:fill="auto"/>
            <w:noWrap/>
            <w:vAlign w:val="bottom"/>
            <w:hideMark/>
          </w:tcPr>
          <w:p w14:paraId="25F23720" w14:textId="77777777" w:rsidR="0060274A" w:rsidRPr="00055865" w:rsidRDefault="0060274A" w:rsidP="005B6FD7">
            <w:pPr>
              <w:spacing w:after="0" w:line="480" w:lineRule="auto"/>
              <w:contextualSpacing/>
              <w:rPr>
                <w:rFonts w:ascii="Garamond" w:eastAsia="Times New Roman" w:hAnsi="Garamond"/>
                <w:sz w:val="24"/>
                <w:szCs w:val="24"/>
                <w:lang w:eastAsia="en-GB"/>
              </w:rPr>
            </w:pPr>
          </w:p>
        </w:tc>
        <w:tc>
          <w:tcPr>
            <w:tcW w:w="772" w:type="dxa"/>
            <w:tcBorders>
              <w:top w:val="nil"/>
              <w:left w:val="nil"/>
              <w:bottom w:val="nil"/>
              <w:right w:val="nil"/>
            </w:tcBorders>
            <w:shd w:val="clear" w:color="auto" w:fill="auto"/>
            <w:noWrap/>
            <w:vAlign w:val="center"/>
            <w:hideMark/>
          </w:tcPr>
          <w:p w14:paraId="58399BE4"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ROA</w:t>
            </w:r>
          </w:p>
        </w:tc>
        <w:tc>
          <w:tcPr>
            <w:tcW w:w="780" w:type="dxa"/>
            <w:tcBorders>
              <w:top w:val="nil"/>
              <w:left w:val="nil"/>
              <w:bottom w:val="nil"/>
              <w:right w:val="nil"/>
            </w:tcBorders>
            <w:shd w:val="clear" w:color="auto" w:fill="auto"/>
            <w:noWrap/>
            <w:vAlign w:val="center"/>
            <w:hideMark/>
          </w:tcPr>
          <w:p w14:paraId="351E6ECB"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 xml:space="preserve">  TBQ</w:t>
            </w:r>
          </w:p>
        </w:tc>
        <w:tc>
          <w:tcPr>
            <w:tcW w:w="840" w:type="dxa"/>
            <w:tcBorders>
              <w:top w:val="nil"/>
              <w:left w:val="nil"/>
              <w:bottom w:val="nil"/>
              <w:right w:val="nil"/>
            </w:tcBorders>
            <w:shd w:val="clear" w:color="auto" w:fill="auto"/>
            <w:noWrap/>
            <w:vAlign w:val="center"/>
            <w:hideMark/>
          </w:tcPr>
          <w:p w14:paraId="6B8D29FA"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 xml:space="preserve"> SEP</w:t>
            </w:r>
          </w:p>
        </w:tc>
        <w:tc>
          <w:tcPr>
            <w:tcW w:w="800" w:type="dxa"/>
            <w:tcBorders>
              <w:top w:val="nil"/>
              <w:left w:val="nil"/>
              <w:bottom w:val="nil"/>
              <w:right w:val="nil"/>
            </w:tcBorders>
            <w:shd w:val="clear" w:color="auto" w:fill="auto"/>
            <w:noWrap/>
            <w:vAlign w:val="center"/>
            <w:hideMark/>
          </w:tcPr>
          <w:p w14:paraId="2190398F"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Energy</w:t>
            </w:r>
          </w:p>
        </w:tc>
        <w:tc>
          <w:tcPr>
            <w:tcW w:w="772" w:type="dxa"/>
            <w:tcBorders>
              <w:top w:val="nil"/>
              <w:left w:val="nil"/>
              <w:bottom w:val="nil"/>
              <w:right w:val="nil"/>
            </w:tcBorders>
            <w:shd w:val="clear" w:color="auto" w:fill="auto"/>
            <w:noWrap/>
            <w:vAlign w:val="center"/>
            <w:hideMark/>
          </w:tcPr>
          <w:p w14:paraId="34FCDF6B"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GHG</w:t>
            </w:r>
          </w:p>
        </w:tc>
        <w:tc>
          <w:tcPr>
            <w:tcW w:w="780" w:type="dxa"/>
            <w:tcBorders>
              <w:top w:val="nil"/>
              <w:left w:val="nil"/>
              <w:bottom w:val="nil"/>
              <w:right w:val="nil"/>
            </w:tcBorders>
            <w:shd w:val="clear" w:color="auto" w:fill="auto"/>
            <w:noWrap/>
            <w:vAlign w:val="center"/>
            <w:hideMark/>
          </w:tcPr>
          <w:p w14:paraId="6413D5C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Waste</w:t>
            </w:r>
          </w:p>
        </w:tc>
        <w:tc>
          <w:tcPr>
            <w:tcW w:w="772" w:type="dxa"/>
            <w:tcBorders>
              <w:top w:val="nil"/>
              <w:left w:val="nil"/>
              <w:bottom w:val="nil"/>
              <w:right w:val="nil"/>
            </w:tcBorders>
            <w:shd w:val="clear" w:color="auto" w:fill="auto"/>
            <w:noWrap/>
            <w:vAlign w:val="center"/>
            <w:hideMark/>
          </w:tcPr>
          <w:p w14:paraId="67FC0455"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Stake</w:t>
            </w:r>
          </w:p>
        </w:tc>
        <w:tc>
          <w:tcPr>
            <w:tcW w:w="772" w:type="dxa"/>
            <w:tcBorders>
              <w:top w:val="nil"/>
              <w:left w:val="nil"/>
              <w:bottom w:val="nil"/>
              <w:right w:val="nil"/>
            </w:tcBorders>
            <w:shd w:val="clear" w:color="auto" w:fill="auto"/>
            <w:noWrap/>
            <w:vAlign w:val="center"/>
            <w:hideMark/>
          </w:tcPr>
          <w:p w14:paraId="4A3F2C1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 xml:space="preserve">   Mat</w:t>
            </w:r>
          </w:p>
        </w:tc>
        <w:tc>
          <w:tcPr>
            <w:tcW w:w="820" w:type="dxa"/>
            <w:tcBorders>
              <w:top w:val="nil"/>
              <w:left w:val="nil"/>
              <w:bottom w:val="nil"/>
              <w:right w:val="nil"/>
            </w:tcBorders>
            <w:shd w:val="clear" w:color="auto" w:fill="auto"/>
            <w:noWrap/>
            <w:vAlign w:val="center"/>
            <w:hideMark/>
          </w:tcPr>
          <w:p w14:paraId="748A2CF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Comp</w:t>
            </w:r>
          </w:p>
        </w:tc>
        <w:tc>
          <w:tcPr>
            <w:tcW w:w="800" w:type="dxa"/>
            <w:tcBorders>
              <w:top w:val="nil"/>
              <w:left w:val="nil"/>
              <w:bottom w:val="nil"/>
              <w:right w:val="nil"/>
            </w:tcBorders>
            <w:shd w:val="clear" w:color="auto" w:fill="auto"/>
            <w:noWrap/>
            <w:vAlign w:val="center"/>
            <w:hideMark/>
          </w:tcPr>
          <w:p w14:paraId="73EBE0AF"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 xml:space="preserve">     Size</w:t>
            </w:r>
          </w:p>
        </w:tc>
        <w:tc>
          <w:tcPr>
            <w:tcW w:w="911" w:type="dxa"/>
            <w:tcBorders>
              <w:top w:val="nil"/>
              <w:left w:val="nil"/>
              <w:bottom w:val="nil"/>
              <w:right w:val="nil"/>
            </w:tcBorders>
            <w:shd w:val="clear" w:color="auto" w:fill="auto"/>
            <w:noWrap/>
            <w:vAlign w:val="center"/>
            <w:hideMark/>
          </w:tcPr>
          <w:p w14:paraId="3B179B9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Liquidity</w:t>
            </w:r>
          </w:p>
        </w:tc>
        <w:tc>
          <w:tcPr>
            <w:tcW w:w="880" w:type="dxa"/>
            <w:tcBorders>
              <w:top w:val="nil"/>
              <w:left w:val="nil"/>
              <w:bottom w:val="nil"/>
              <w:right w:val="nil"/>
            </w:tcBorders>
            <w:shd w:val="clear" w:color="auto" w:fill="auto"/>
            <w:noWrap/>
            <w:vAlign w:val="center"/>
            <w:hideMark/>
          </w:tcPr>
          <w:p w14:paraId="13B835F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Gearing</w:t>
            </w:r>
          </w:p>
        </w:tc>
        <w:tc>
          <w:tcPr>
            <w:tcW w:w="820" w:type="dxa"/>
            <w:tcBorders>
              <w:top w:val="nil"/>
              <w:left w:val="nil"/>
              <w:bottom w:val="nil"/>
              <w:right w:val="nil"/>
            </w:tcBorders>
            <w:shd w:val="clear" w:color="auto" w:fill="auto"/>
            <w:noWrap/>
            <w:vAlign w:val="center"/>
            <w:hideMark/>
          </w:tcPr>
          <w:p w14:paraId="1CFA025E"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B Size</w:t>
            </w:r>
          </w:p>
        </w:tc>
        <w:tc>
          <w:tcPr>
            <w:tcW w:w="772" w:type="dxa"/>
            <w:tcBorders>
              <w:top w:val="nil"/>
              <w:left w:val="nil"/>
              <w:bottom w:val="nil"/>
              <w:right w:val="nil"/>
            </w:tcBorders>
            <w:shd w:val="clear" w:color="auto" w:fill="auto"/>
            <w:noWrap/>
            <w:vAlign w:val="center"/>
            <w:hideMark/>
          </w:tcPr>
          <w:p w14:paraId="3E39A33F"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 xml:space="preserve">NEDS     </w:t>
            </w:r>
          </w:p>
        </w:tc>
        <w:tc>
          <w:tcPr>
            <w:tcW w:w="820" w:type="dxa"/>
            <w:tcBorders>
              <w:top w:val="nil"/>
              <w:left w:val="nil"/>
              <w:bottom w:val="nil"/>
              <w:right w:val="nil"/>
            </w:tcBorders>
            <w:shd w:val="clear" w:color="auto" w:fill="auto"/>
            <w:noWrap/>
            <w:vAlign w:val="center"/>
            <w:hideMark/>
          </w:tcPr>
          <w:p w14:paraId="44386C3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CEO Rem</w:t>
            </w:r>
          </w:p>
        </w:tc>
      </w:tr>
      <w:tr w:rsidR="0060274A" w:rsidRPr="00055865" w14:paraId="00E6D3F7" w14:textId="77777777" w:rsidTr="005B6FD7">
        <w:trPr>
          <w:trHeight w:val="300"/>
        </w:trPr>
        <w:tc>
          <w:tcPr>
            <w:tcW w:w="1120" w:type="dxa"/>
            <w:tcBorders>
              <w:top w:val="nil"/>
              <w:left w:val="nil"/>
              <w:bottom w:val="nil"/>
              <w:right w:val="nil"/>
            </w:tcBorders>
            <w:shd w:val="clear" w:color="auto" w:fill="auto"/>
            <w:noWrap/>
            <w:vAlign w:val="center"/>
            <w:hideMark/>
          </w:tcPr>
          <w:p w14:paraId="68CE034A"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ROA</w:t>
            </w:r>
          </w:p>
        </w:tc>
        <w:tc>
          <w:tcPr>
            <w:tcW w:w="772" w:type="dxa"/>
            <w:tcBorders>
              <w:top w:val="nil"/>
              <w:left w:val="nil"/>
              <w:bottom w:val="nil"/>
              <w:right w:val="nil"/>
            </w:tcBorders>
            <w:shd w:val="clear" w:color="auto" w:fill="auto"/>
            <w:noWrap/>
            <w:vAlign w:val="center"/>
            <w:hideMark/>
          </w:tcPr>
          <w:p w14:paraId="42612A0A"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780" w:type="dxa"/>
            <w:tcBorders>
              <w:top w:val="nil"/>
              <w:left w:val="nil"/>
              <w:bottom w:val="nil"/>
              <w:right w:val="nil"/>
            </w:tcBorders>
            <w:shd w:val="clear" w:color="auto" w:fill="auto"/>
            <w:noWrap/>
            <w:vAlign w:val="bottom"/>
            <w:hideMark/>
          </w:tcPr>
          <w:p w14:paraId="24969AA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40" w:type="dxa"/>
            <w:tcBorders>
              <w:top w:val="nil"/>
              <w:left w:val="nil"/>
              <w:bottom w:val="nil"/>
              <w:right w:val="nil"/>
            </w:tcBorders>
            <w:shd w:val="clear" w:color="auto" w:fill="auto"/>
            <w:noWrap/>
            <w:vAlign w:val="bottom"/>
            <w:hideMark/>
          </w:tcPr>
          <w:p w14:paraId="40B7A40D"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00" w:type="dxa"/>
            <w:tcBorders>
              <w:top w:val="nil"/>
              <w:left w:val="nil"/>
              <w:bottom w:val="nil"/>
              <w:right w:val="nil"/>
            </w:tcBorders>
            <w:shd w:val="clear" w:color="auto" w:fill="auto"/>
            <w:noWrap/>
            <w:vAlign w:val="bottom"/>
            <w:hideMark/>
          </w:tcPr>
          <w:p w14:paraId="601D6714"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63085ABB"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80" w:type="dxa"/>
            <w:tcBorders>
              <w:top w:val="nil"/>
              <w:left w:val="nil"/>
              <w:bottom w:val="nil"/>
              <w:right w:val="nil"/>
            </w:tcBorders>
            <w:shd w:val="clear" w:color="auto" w:fill="auto"/>
            <w:noWrap/>
            <w:vAlign w:val="bottom"/>
            <w:hideMark/>
          </w:tcPr>
          <w:p w14:paraId="528DAA6C"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1FCFE00E"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04D3455E"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3818D72E"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00" w:type="dxa"/>
            <w:tcBorders>
              <w:top w:val="nil"/>
              <w:left w:val="nil"/>
              <w:bottom w:val="nil"/>
              <w:right w:val="nil"/>
            </w:tcBorders>
            <w:shd w:val="clear" w:color="auto" w:fill="auto"/>
            <w:noWrap/>
            <w:vAlign w:val="bottom"/>
            <w:hideMark/>
          </w:tcPr>
          <w:p w14:paraId="2C03C3BF"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911" w:type="dxa"/>
            <w:tcBorders>
              <w:top w:val="nil"/>
              <w:left w:val="nil"/>
              <w:bottom w:val="nil"/>
              <w:right w:val="nil"/>
            </w:tcBorders>
            <w:shd w:val="clear" w:color="auto" w:fill="auto"/>
            <w:noWrap/>
            <w:vAlign w:val="bottom"/>
            <w:hideMark/>
          </w:tcPr>
          <w:p w14:paraId="27794D88"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80" w:type="dxa"/>
            <w:tcBorders>
              <w:top w:val="nil"/>
              <w:left w:val="nil"/>
              <w:bottom w:val="nil"/>
              <w:right w:val="nil"/>
            </w:tcBorders>
            <w:shd w:val="clear" w:color="auto" w:fill="auto"/>
            <w:noWrap/>
            <w:vAlign w:val="bottom"/>
            <w:hideMark/>
          </w:tcPr>
          <w:p w14:paraId="73A01765"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5FAE7859"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434BD582"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4F4ABAA3"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r>
      <w:tr w:rsidR="0060274A" w:rsidRPr="00055865" w14:paraId="630F80F5" w14:textId="77777777" w:rsidTr="005B6FD7">
        <w:trPr>
          <w:trHeight w:val="300"/>
        </w:trPr>
        <w:tc>
          <w:tcPr>
            <w:tcW w:w="1120" w:type="dxa"/>
            <w:tcBorders>
              <w:top w:val="nil"/>
              <w:left w:val="nil"/>
              <w:bottom w:val="nil"/>
              <w:right w:val="nil"/>
            </w:tcBorders>
            <w:shd w:val="clear" w:color="auto" w:fill="auto"/>
            <w:noWrap/>
            <w:vAlign w:val="center"/>
            <w:hideMark/>
          </w:tcPr>
          <w:p w14:paraId="325E488E"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TBQ</w:t>
            </w:r>
          </w:p>
        </w:tc>
        <w:tc>
          <w:tcPr>
            <w:tcW w:w="772" w:type="dxa"/>
            <w:tcBorders>
              <w:top w:val="nil"/>
              <w:left w:val="nil"/>
              <w:bottom w:val="nil"/>
              <w:right w:val="nil"/>
            </w:tcBorders>
            <w:shd w:val="clear" w:color="auto" w:fill="auto"/>
            <w:noWrap/>
            <w:vAlign w:val="center"/>
            <w:hideMark/>
          </w:tcPr>
          <w:p w14:paraId="66122E4D"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0.116*</w:t>
            </w:r>
          </w:p>
        </w:tc>
        <w:tc>
          <w:tcPr>
            <w:tcW w:w="780" w:type="dxa"/>
            <w:tcBorders>
              <w:top w:val="nil"/>
              <w:left w:val="nil"/>
              <w:bottom w:val="nil"/>
              <w:right w:val="nil"/>
            </w:tcBorders>
            <w:shd w:val="clear" w:color="auto" w:fill="auto"/>
            <w:noWrap/>
            <w:vAlign w:val="center"/>
            <w:hideMark/>
          </w:tcPr>
          <w:p w14:paraId="6287269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840" w:type="dxa"/>
            <w:tcBorders>
              <w:top w:val="nil"/>
              <w:left w:val="nil"/>
              <w:bottom w:val="nil"/>
              <w:right w:val="nil"/>
            </w:tcBorders>
            <w:shd w:val="clear" w:color="auto" w:fill="auto"/>
            <w:noWrap/>
            <w:vAlign w:val="bottom"/>
            <w:hideMark/>
          </w:tcPr>
          <w:p w14:paraId="75E02C25"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00" w:type="dxa"/>
            <w:tcBorders>
              <w:top w:val="nil"/>
              <w:left w:val="nil"/>
              <w:bottom w:val="nil"/>
              <w:right w:val="nil"/>
            </w:tcBorders>
            <w:shd w:val="clear" w:color="auto" w:fill="auto"/>
            <w:noWrap/>
            <w:vAlign w:val="bottom"/>
            <w:hideMark/>
          </w:tcPr>
          <w:p w14:paraId="340A779C"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109B725E"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80" w:type="dxa"/>
            <w:tcBorders>
              <w:top w:val="nil"/>
              <w:left w:val="nil"/>
              <w:bottom w:val="nil"/>
              <w:right w:val="nil"/>
            </w:tcBorders>
            <w:shd w:val="clear" w:color="auto" w:fill="auto"/>
            <w:noWrap/>
            <w:vAlign w:val="bottom"/>
            <w:hideMark/>
          </w:tcPr>
          <w:p w14:paraId="367F39B2"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49D52852"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1178B6A5"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5F039E26"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00" w:type="dxa"/>
            <w:tcBorders>
              <w:top w:val="nil"/>
              <w:left w:val="nil"/>
              <w:bottom w:val="nil"/>
              <w:right w:val="nil"/>
            </w:tcBorders>
            <w:shd w:val="clear" w:color="auto" w:fill="auto"/>
            <w:noWrap/>
            <w:vAlign w:val="bottom"/>
            <w:hideMark/>
          </w:tcPr>
          <w:p w14:paraId="28D6F937"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911" w:type="dxa"/>
            <w:tcBorders>
              <w:top w:val="nil"/>
              <w:left w:val="nil"/>
              <w:bottom w:val="nil"/>
              <w:right w:val="nil"/>
            </w:tcBorders>
            <w:shd w:val="clear" w:color="auto" w:fill="auto"/>
            <w:noWrap/>
            <w:vAlign w:val="bottom"/>
            <w:hideMark/>
          </w:tcPr>
          <w:p w14:paraId="5A236B8D"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80" w:type="dxa"/>
            <w:tcBorders>
              <w:top w:val="nil"/>
              <w:left w:val="nil"/>
              <w:bottom w:val="nil"/>
              <w:right w:val="nil"/>
            </w:tcBorders>
            <w:shd w:val="clear" w:color="auto" w:fill="auto"/>
            <w:noWrap/>
            <w:vAlign w:val="bottom"/>
            <w:hideMark/>
          </w:tcPr>
          <w:p w14:paraId="1BE1DF62"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4343804D"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0F9DF1AD"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394D3C4F"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r>
      <w:tr w:rsidR="0060274A" w:rsidRPr="00055865" w14:paraId="3B355939" w14:textId="77777777" w:rsidTr="005B6FD7">
        <w:trPr>
          <w:trHeight w:val="300"/>
        </w:trPr>
        <w:tc>
          <w:tcPr>
            <w:tcW w:w="1120" w:type="dxa"/>
            <w:tcBorders>
              <w:top w:val="nil"/>
              <w:left w:val="nil"/>
              <w:bottom w:val="nil"/>
              <w:right w:val="nil"/>
            </w:tcBorders>
            <w:shd w:val="clear" w:color="auto" w:fill="auto"/>
            <w:noWrap/>
            <w:vAlign w:val="center"/>
            <w:hideMark/>
          </w:tcPr>
          <w:p w14:paraId="64D3242C"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SEP</w:t>
            </w:r>
          </w:p>
        </w:tc>
        <w:tc>
          <w:tcPr>
            <w:tcW w:w="772" w:type="dxa"/>
            <w:tcBorders>
              <w:top w:val="nil"/>
              <w:left w:val="nil"/>
              <w:bottom w:val="nil"/>
              <w:right w:val="nil"/>
            </w:tcBorders>
            <w:shd w:val="clear" w:color="auto" w:fill="auto"/>
            <w:noWrap/>
            <w:vAlign w:val="center"/>
            <w:hideMark/>
          </w:tcPr>
          <w:p w14:paraId="131F9EC7"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0.493*</w:t>
            </w:r>
          </w:p>
        </w:tc>
        <w:tc>
          <w:tcPr>
            <w:tcW w:w="780" w:type="dxa"/>
            <w:tcBorders>
              <w:top w:val="nil"/>
              <w:left w:val="nil"/>
              <w:bottom w:val="nil"/>
              <w:right w:val="nil"/>
            </w:tcBorders>
            <w:shd w:val="clear" w:color="auto" w:fill="auto"/>
            <w:noWrap/>
            <w:vAlign w:val="center"/>
            <w:hideMark/>
          </w:tcPr>
          <w:p w14:paraId="3F1AF642"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-0.036</w:t>
            </w:r>
          </w:p>
        </w:tc>
        <w:tc>
          <w:tcPr>
            <w:tcW w:w="840" w:type="dxa"/>
            <w:tcBorders>
              <w:top w:val="nil"/>
              <w:left w:val="nil"/>
              <w:bottom w:val="nil"/>
              <w:right w:val="nil"/>
            </w:tcBorders>
            <w:shd w:val="clear" w:color="auto" w:fill="auto"/>
            <w:noWrap/>
            <w:vAlign w:val="center"/>
            <w:hideMark/>
          </w:tcPr>
          <w:p w14:paraId="0866242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800" w:type="dxa"/>
            <w:tcBorders>
              <w:top w:val="nil"/>
              <w:left w:val="nil"/>
              <w:bottom w:val="nil"/>
              <w:right w:val="nil"/>
            </w:tcBorders>
            <w:shd w:val="clear" w:color="auto" w:fill="auto"/>
            <w:noWrap/>
            <w:vAlign w:val="bottom"/>
            <w:hideMark/>
          </w:tcPr>
          <w:p w14:paraId="5185043E"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772" w:type="dxa"/>
            <w:tcBorders>
              <w:top w:val="nil"/>
              <w:left w:val="nil"/>
              <w:bottom w:val="nil"/>
              <w:right w:val="nil"/>
            </w:tcBorders>
            <w:shd w:val="clear" w:color="auto" w:fill="auto"/>
            <w:noWrap/>
            <w:vAlign w:val="bottom"/>
            <w:hideMark/>
          </w:tcPr>
          <w:p w14:paraId="77009AD5"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80" w:type="dxa"/>
            <w:tcBorders>
              <w:top w:val="nil"/>
              <w:left w:val="nil"/>
              <w:bottom w:val="nil"/>
              <w:right w:val="nil"/>
            </w:tcBorders>
            <w:shd w:val="clear" w:color="auto" w:fill="auto"/>
            <w:noWrap/>
            <w:vAlign w:val="bottom"/>
            <w:hideMark/>
          </w:tcPr>
          <w:p w14:paraId="6D40D530"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6B3F7D5C"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7DB9140D"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40432AA3"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00" w:type="dxa"/>
            <w:tcBorders>
              <w:top w:val="nil"/>
              <w:left w:val="nil"/>
              <w:bottom w:val="nil"/>
              <w:right w:val="nil"/>
            </w:tcBorders>
            <w:shd w:val="clear" w:color="auto" w:fill="auto"/>
            <w:noWrap/>
            <w:vAlign w:val="bottom"/>
            <w:hideMark/>
          </w:tcPr>
          <w:p w14:paraId="6BC7890D"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911" w:type="dxa"/>
            <w:tcBorders>
              <w:top w:val="nil"/>
              <w:left w:val="nil"/>
              <w:bottom w:val="nil"/>
              <w:right w:val="nil"/>
            </w:tcBorders>
            <w:shd w:val="clear" w:color="auto" w:fill="auto"/>
            <w:noWrap/>
            <w:vAlign w:val="bottom"/>
            <w:hideMark/>
          </w:tcPr>
          <w:p w14:paraId="60E1AFC2"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80" w:type="dxa"/>
            <w:tcBorders>
              <w:top w:val="nil"/>
              <w:left w:val="nil"/>
              <w:bottom w:val="nil"/>
              <w:right w:val="nil"/>
            </w:tcBorders>
            <w:shd w:val="clear" w:color="auto" w:fill="auto"/>
            <w:noWrap/>
            <w:vAlign w:val="bottom"/>
            <w:hideMark/>
          </w:tcPr>
          <w:p w14:paraId="4D207F04"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72B5989D"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3BACA8E9"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69D8BF72"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r>
      <w:tr w:rsidR="0060274A" w:rsidRPr="00055865" w14:paraId="587690D1" w14:textId="77777777" w:rsidTr="005B6FD7">
        <w:trPr>
          <w:trHeight w:val="300"/>
        </w:trPr>
        <w:tc>
          <w:tcPr>
            <w:tcW w:w="1120" w:type="dxa"/>
            <w:tcBorders>
              <w:top w:val="nil"/>
              <w:left w:val="nil"/>
              <w:bottom w:val="nil"/>
              <w:right w:val="nil"/>
            </w:tcBorders>
            <w:shd w:val="clear" w:color="auto" w:fill="auto"/>
            <w:noWrap/>
            <w:vAlign w:val="center"/>
            <w:hideMark/>
          </w:tcPr>
          <w:p w14:paraId="08ACAD4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Energy</w:t>
            </w:r>
          </w:p>
        </w:tc>
        <w:tc>
          <w:tcPr>
            <w:tcW w:w="772" w:type="dxa"/>
            <w:tcBorders>
              <w:top w:val="nil"/>
              <w:left w:val="nil"/>
              <w:bottom w:val="nil"/>
              <w:right w:val="nil"/>
            </w:tcBorders>
            <w:shd w:val="clear" w:color="auto" w:fill="auto"/>
            <w:noWrap/>
            <w:vAlign w:val="center"/>
            <w:hideMark/>
          </w:tcPr>
          <w:p w14:paraId="637F96BD"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0.372*</w:t>
            </w:r>
          </w:p>
        </w:tc>
        <w:tc>
          <w:tcPr>
            <w:tcW w:w="780" w:type="dxa"/>
            <w:tcBorders>
              <w:top w:val="nil"/>
              <w:left w:val="nil"/>
              <w:bottom w:val="nil"/>
              <w:right w:val="nil"/>
            </w:tcBorders>
            <w:shd w:val="clear" w:color="auto" w:fill="auto"/>
            <w:noWrap/>
            <w:vAlign w:val="center"/>
            <w:hideMark/>
          </w:tcPr>
          <w:p w14:paraId="30C6C1BA"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-0.032</w:t>
            </w:r>
          </w:p>
        </w:tc>
        <w:tc>
          <w:tcPr>
            <w:tcW w:w="840" w:type="dxa"/>
            <w:tcBorders>
              <w:top w:val="nil"/>
              <w:left w:val="nil"/>
              <w:bottom w:val="nil"/>
              <w:right w:val="nil"/>
            </w:tcBorders>
            <w:shd w:val="clear" w:color="auto" w:fill="auto"/>
            <w:noWrap/>
            <w:vAlign w:val="center"/>
            <w:hideMark/>
          </w:tcPr>
          <w:p w14:paraId="5402DA14"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0.748*</w:t>
            </w:r>
          </w:p>
        </w:tc>
        <w:tc>
          <w:tcPr>
            <w:tcW w:w="800" w:type="dxa"/>
            <w:tcBorders>
              <w:top w:val="nil"/>
              <w:left w:val="nil"/>
              <w:bottom w:val="nil"/>
              <w:right w:val="nil"/>
            </w:tcBorders>
            <w:shd w:val="clear" w:color="auto" w:fill="auto"/>
            <w:noWrap/>
            <w:vAlign w:val="center"/>
            <w:hideMark/>
          </w:tcPr>
          <w:p w14:paraId="0C75257C"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772" w:type="dxa"/>
            <w:tcBorders>
              <w:top w:val="nil"/>
              <w:left w:val="nil"/>
              <w:bottom w:val="nil"/>
              <w:right w:val="nil"/>
            </w:tcBorders>
            <w:shd w:val="clear" w:color="auto" w:fill="auto"/>
            <w:noWrap/>
            <w:vAlign w:val="bottom"/>
            <w:hideMark/>
          </w:tcPr>
          <w:p w14:paraId="052BAEF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780" w:type="dxa"/>
            <w:tcBorders>
              <w:top w:val="nil"/>
              <w:left w:val="nil"/>
              <w:bottom w:val="nil"/>
              <w:right w:val="nil"/>
            </w:tcBorders>
            <w:shd w:val="clear" w:color="auto" w:fill="auto"/>
            <w:noWrap/>
            <w:vAlign w:val="bottom"/>
            <w:hideMark/>
          </w:tcPr>
          <w:p w14:paraId="77E3CD95"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7952D280"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79625EA0"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4DD51024"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00" w:type="dxa"/>
            <w:tcBorders>
              <w:top w:val="nil"/>
              <w:left w:val="nil"/>
              <w:bottom w:val="nil"/>
              <w:right w:val="nil"/>
            </w:tcBorders>
            <w:shd w:val="clear" w:color="auto" w:fill="auto"/>
            <w:noWrap/>
            <w:vAlign w:val="bottom"/>
            <w:hideMark/>
          </w:tcPr>
          <w:p w14:paraId="01D92433"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911" w:type="dxa"/>
            <w:tcBorders>
              <w:top w:val="nil"/>
              <w:left w:val="nil"/>
              <w:bottom w:val="nil"/>
              <w:right w:val="nil"/>
            </w:tcBorders>
            <w:shd w:val="clear" w:color="auto" w:fill="auto"/>
            <w:noWrap/>
            <w:vAlign w:val="bottom"/>
            <w:hideMark/>
          </w:tcPr>
          <w:p w14:paraId="024E7A52"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80" w:type="dxa"/>
            <w:tcBorders>
              <w:top w:val="nil"/>
              <w:left w:val="nil"/>
              <w:bottom w:val="nil"/>
              <w:right w:val="nil"/>
            </w:tcBorders>
            <w:shd w:val="clear" w:color="auto" w:fill="auto"/>
            <w:noWrap/>
            <w:vAlign w:val="bottom"/>
            <w:hideMark/>
          </w:tcPr>
          <w:p w14:paraId="17B73B57"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6B6C2EC6"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304B40A9"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51FC55DB"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r>
      <w:tr w:rsidR="0060274A" w:rsidRPr="00055865" w14:paraId="0DDD9CF0" w14:textId="77777777" w:rsidTr="005B6FD7">
        <w:trPr>
          <w:trHeight w:val="300"/>
        </w:trPr>
        <w:tc>
          <w:tcPr>
            <w:tcW w:w="1120" w:type="dxa"/>
            <w:tcBorders>
              <w:top w:val="nil"/>
              <w:left w:val="nil"/>
              <w:bottom w:val="nil"/>
              <w:right w:val="nil"/>
            </w:tcBorders>
            <w:shd w:val="clear" w:color="auto" w:fill="auto"/>
            <w:noWrap/>
            <w:vAlign w:val="center"/>
            <w:hideMark/>
          </w:tcPr>
          <w:p w14:paraId="579E8F18"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GHG</w:t>
            </w:r>
          </w:p>
        </w:tc>
        <w:tc>
          <w:tcPr>
            <w:tcW w:w="772" w:type="dxa"/>
            <w:tcBorders>
              <w:top w:val="nil"/>
              <w:left w:val="nil"/>
              <w:bottom w:val="nil"/>
              <w:right w:val="nil"/>
            </w:tcBorders>
            <w:shd w:val="clear" w:color="auto" w:fill="auto"/>
            <w:noWrap/>
            <w:vAlign w:val="center"/>
            <w:hideMark/>
          </w:tcPr>
          <w:p w14:paraId="78E47E81"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0.396*</w:t>
            </w:r>
          </w:p>
        </w:tc>
        <w:tc>
          <w:tcPr>
            <w:tcW w:w="780" w:type="dxa"/>
            <w:tcBorders>
              <w:top w:val="nil"/>
              <w:left w:val="nil"/>
              <w:bottom w:val="nil"/>
              <w:right w:val="nil"/>
            </w:tcBorders>
            <w:shd w:val="clear" w:color="auto" w:fill="auto"/>
            <w:noWrap/>
            <w:vAlign w:val="center"/>
            <w:hideMark/>
          </w:tcPr>
          <w:p w14:paraId="70D6258E"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-0.017</w:t>
            </w:r>
          </w:p>
        </w:tc>
        <w:tc>
          <w:tcPr>
            <w:tcW w:w="840" w:type="dxa"/>
            <w:tcBorders>
              <w:top w:val="nil"/>
              <w:left w:val="nil"/>
              <w:bottom w:val="nil"/>
              <w:right w:val="nil"/>
            </w:tcBorders>
            <w:shd w:val="clear" w:color="auto" w:fill="auto"/>
            <w:noWrap/>
            <w:vAlign w:val="center"/>
            <w:hideMark/>
          </w:tcPr>
          <w:p w14:paraId="626B9AD1"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0.797*</w:t>
            </w:r>
          </w:p>
        </w:tc>
        <w:tc>
          <w:tcPr>
            <w:tcW w:w="800" w:type="dxa"/>
            <w:tcBorders>
              <w:top w:val="nil"/>
              <w:left w:val="nil"/>
              <w:bottom w:val="nil"/>
              <w:right w:val="nil"/>
            </w:tcBorders>
            <w:shd w:val="clear" w:color="auto" w:fill="auto"/>
            <w:noWrap/>
            <w:vAlign w:val="center"/>
            <w:hideMark/>
          </w:tcPr>
          <w:p w14:paraId="551F22DC"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0.585*</w:t>
            </w:r>
          </w:p>
        </w:tc>
        <w:tc>
          <w:tcPr>
            <w:tcW w:w="772" w:type="dxa"/>
            <w:tcBorders>
              <w:top w:val="nil"/>
              <w:left w:val="nil"/>
              <w:bottom w:val="nil"/>
              <w:right w:val="nil"/>
            </w:tcBorders>
            <w:shd w:val="clear" w:color="auto" w:fill="auto"/>
            <w:noWrap/>
            <w:vAlign w:val="center"/>
            <w:hideMark/>
          </w:tcPr>
          <w:p w14:paraId="26893115"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780" w:type="dxa"/>
            <w:tcBorders>
              <w:top w:val="nil"/>
              <w:left w:val="nil"/>
              <w:bottom w:val="nil"/>
              <w:right w:val="nil"/>
            </w:tcBorders>
            <w:shd w:val="clear" w:color="auto" w:fill="auto"/>
            <w:noWrap/>
            <w:vAlign w:val="bottom"/>
            <w:hideMark/>
          </w:tcPr>
          <w:p w14:paraId="782CC054"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772" w:type="dxa"/>
            <w:tcBorders>
              <w:top w:val="nil"/>
              <w:left w:val="nil"/>
              <w:bottom w:val="nil"/>
              <w:right w:val="nil"/>
            </w:tcBorders>
            <w:shd w:val="clear" w:color="auto" w:fill="auto"/>
            <w:noWrap/>
            <w:vAlign w:val="bottom"/>
            <w:hideMark/>
          </w:tcPr>
          <w:p w14:paraId="67DB3E37"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60EEACCE"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3F683919"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00" w:type="dxa"/>
            <w:tcBorders>
              <w:top w:val="nil"/>
              <w:left w:val="nil"/>
              <w:bottom w:val="nil"/>
              <w:right w:val="nil"/>
            </w:tcBorders>
            <w:shd w:val="clear" w:color="auto" w:fill="auto"/>
            <w:noWrap/>
            <w:vAlign w:val="bottom"/>
            <w:hideMark/>
          </w:tcPr>
          <w:p w14:paraId="1C633AE4"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911" w:type="dxa"/>
            <w:tcBorders>
              <w:top w:val="nil"/>
              <w:left w:val="nil"/>
              <w:bottom w:val="nil"/>
              <w:right w:val="nil"/>
            </w:tcBorders>
            <w:shd w:val="clear" w:color="auto" w:fill="auto"/>
            <w:noWrap/>
            <w:vAlign w:val="bottom"/>
            <w:hideMark/>
          </w:tcPr>
          <w:p w14:paraId="25D70942"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80" w:type="dxa"/>
            <w:tcBorders>
              <w:top w:val="nil"/>
              <w:left w:val="nil"/>
              <w:bottom w:val="nil"/>
              <w:right w:val="nil"/>
            </w:tcBorders>
            <w:shd w:val="clear" w:color="auto" w:fill="auto"/>
            <w:noWrap/>
            <w:vAlign w:val="bottom"/>
            <w:hideMark/>
          </w:tcPr>
          <w:p w14:paraId="458AE6F1"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7CCA8DB4"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01AB30A6"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1F760655"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r>
      <w:tr w:rsidR="0060274A" w:rsidRPr="00055865" w14:paraId="5D3B364F" w14:textId="77777777" w:rsidTr="005B6FD7">
        <w:trPr>
          <w:trHeight w:val="300"/>
        </w:trPr>
        <w:tc>
          <w:tcPr>
            <w:tcW w:w="1120" w:type="dxa"/>
            <w:tcBorders>
              <w:top w:val="nil"/>
              <w:left w:val="nil"/>
              <w:bottom w:val="nil"/>
              <w:right w:val="nil"/>
            </w:tcBorders>
            <w:shd w:val="clear" w:color="auto" w:fill="auto"/>
            <w:noWrap/>
            <w:vAlign w:val="center"/>
            <w:hideMark/>
          </w:tcPr>
          <w:p w14:paraId="09DA5432"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Waste</w:t>
            </w:r>
          </w:p>
        </w:tc>
        <w:tc>
          <w:tcPr>
            <w:tcW w:w="772" w:type="dxa"/>
            <w:tcBorders>
              <w:top w:val="nil"/>
              <w:left w:val="nil"/>
              <w:bottom w:val="nil"/>
              <w:right w:val="nil"/>
            </w:tcBorders>
            <w:shd w:val="clear" w:color="auto" w:fill="auto"/>
            <w:noWrap/>
            <w:vAlign w:val="center"/>
            <w:hideMark/>
          </w:tcPr>
          <w:p w14:paraId="17DCADB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0.354*</w:t>
            </w:r>
          </w:p>
        </w:tc>
        <w:tc>
          <w:tcPr>
            <w:tcW w:w="780" w:type="dxa"/>
            <w:tcBorders>
              <w:top w:val="nil"/>
              <w:left w:val="nil"/>
              <w:bottom w:val="nil"/>
              <w:right w:val="nil"/>
            </w:tcBorders>
            <w:shd w:val="clear" w:color="auto" w:fill="auto"/>
            <w:noWrap/>
            <w:vAlign w:val="center"/>
            <w:hideMark/>
          </w:tcPr>
          <w:p w14:paraId="080073F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-0.023</w:t>
            </w:r>
          </w:p>
        </w:tc>
        <w:tc>
          <w:tcPr>
            <w:tcW w:w="840" w:type="dxa"/>
            <w:tcBorders>
              <w:top w:val="nil"/>
              <w:left w:val="nil"/>
              <w:bottom w:val="nil"/>
              <w:right w:val="nil"/>
            </w:tcBorders>
            <w:shd w:val="clear" w:color="auto" w:fill="auto"/>
            <w:noWrap/>
            <w:vAlign w:val="center"/>
            <w:hideMark/>
          </w:tcPr>
          <w:p w14:paraId="146D663B"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0.719*</w:t>
            </w:r>
          </w:p>
        </w:tc>
        <w:tc>
          <w:tcPr>
            <w:tcW w:w="800" w:type="dxa"/>
            <w:tcBorders>
              <w:top w:val="nil"/>
              <w:left w:val="nil"/>
              <w:bottom w:val="nil"/>
              <w:right w:val="nil"/>
            </w:tcBorders>
            <w:shd w:val="clear" w:color="auto" w:fill="auto"/>
            <w:noWrap/>
            <w:vAlign w:val="center"/>
            <w:hideMark/>
          </w:tcPr>
          <w:p w14:paraId="43F7B24F"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0.443*</w:t>
            </w:r>
          </w:p>
        </w:tc>
        <w:tc>
          <w:tcPr>
            <w:tcW w:w="772" w:type="dxa"/>
            <w:tcBorders>
              <w:top w:val="nil"/>
              <w:left w:val="nil"/>
              <w:bottom w:val="nil"/>
              <w:right w:val="nil"/>
            </w:tcBorders>
            <w:shd w:val="clear" w:color="auto" w:fill="auto"/>
            <w:noWrap/>
            <w:vAlign w:val="center"/>
            <w:hideMark/>
          </w:tcPr>
          <w:p w14:paraId="1080687A"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0.516*</w:t>
            </w:r>
          </w:p>
        </w:tc>
        <w:tc>
          <w:tcPr>
            <w:tcW w:w="780" w:type="dxa"/>
            <w:tcBorders>
              <w:top w:val="nil"/>
              <w:left w:val="nil"/>
              <w:bottom w:val="nil"/>
              <w:right w:val="nil"/>
            </w:tcBorders>
            <w:shd w:val="clear" w:color="auto" w:fill="auto"/>
            <w:noWrap/>
            <w:vAlign w:val="center"/>
            <w:hideMark/>
          </w:tcPr>
          <w:p w14:paraId="2934D9C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772" w:type="dxa"/>
            <w:tcBorders>
              <w:top w:val="nil"/>
              <w:left w:val="nil"/>
              <w:bottom w:val="nil"/>
              <w:right w:val="nil"/>
            </w:tcBorders>
            <w:shd w:val="clear" w:color="auto" w:fill="auto"/>
            <w:noWrap/>
            <w:vAlign w:val="bottom"/>
            <w:hideMark/>
          </w:tcPr>
          <w:p w14:paraId="6B9274E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772" w:type="dxa"/>
            <w:tcBorders>
              <w:top w:val="nil"/>
              <w:left w:val="nil"/>
              <w:bottom w:val="nil"/>
              <w:right w:val="nil"/>
            </w:tcBorders>
            <w:shd w:val="clear" w:color="auto" w:fill="auto"/>
            <w:noWrap/>
            <w:vAlign w:val="bottom"/>
            <w:hideMark/>
          </w:tcPr>
          <w:p w14:paraId="6C9B1602"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14A83A26"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00" w:type="dxa"/>
            <w:tcBorders>
              <w:top w:val="nil"/>
              <w:left w:val="nil"/>
              <w:bottom w:val="nil"/>
              <w:right w:val="nil"/>
            </w:tcBorders>
            <w:shd w:val="clear" w:color="auto" w:fill="auto"/>
            <w:noWrap/>
            <w:vAlign w:val="bottom"/>
            <w:hideMark/>
          </w:tcPr>
          <w:p w14:paraId="14CB7B2E"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911" w:type="dxa"/>
            <w:tcBorders>
              <w:top w:val="nil"/>
              <w:left w:val="nil"/>
              <w:bottom w:val="nil"/>
              <w:right w:val="nil"/>
            </w:tcBorders>
            <w:shd w:val="clear" w:color="auto" w:fill="auto"/>
            <w:noWrap/>
            <w:vAlign w:val="bottom"/>
            <w:hideMark/>
          </w:tcPr>
          <w:p w14:paraId="5D41501A"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80" w:type="dxa"/>
            <w:tcBorders>
              <w:top w:val="nil"/>
              <w:left w:val="nil"/>
              <w:bottom w:val="nil"/>
              <w:right w:val="nil"/>
            </w:tcBorders>
            <w:shd w:val="clear" w:color="auto" w:fill="auto"/>
            <w:noWrap/>
            <w:vAlign w:val="bottom"/>
            <w:hideMark/>
          </w:tcPr>
          <w:p w14:paraId="2DAADEB9"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0F2F1A8E"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1D1A67AB"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1907D9CC"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r>
      <w:tr w:rsidR="0060274A" w:rsidRPr="00055865" w14:paraId="5DD9D8BA" w14:textId="77777777" w:rsidTr="005B6FD7">
        <w:trPr>
          <w:trHeight w:val="300"/>
        </w:trPr>
        <w:tc>
          <w:tcPr>
            <w:tcW w:w="1120" w:type="dxa"/>
            <w:tcBorders>
              <w:top w:val="nil"/>
              <w:left w:val="nil"/>
              <w:bottom w:val="nil"/>
              <w:right w:val="nil"/>
            </w:tcBorders>
            <w:shd w:val="clear" w:color="auto" w:fill="auto"/>
            <w:noWrap/>
            <w:vAlign w:val="center"/>
            <w:hideMark/>
          </w:tcPr>
          <w:p w14:paraId="439F4E5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Stake</w:t>
            </w:r>
          </w:p>
        </w:tc>
        <w:tc>
          <w:tcPr>
            <w:tcW w:w="772" w:type="dxa"/>
            <w:tcBorders>
              <w:top w:val="nil"/>
              <w:left w:val="nil"/>
              <w:bottom w:val="nil"/>
              <w:right w:val="nil"/>
            </w:tcBorders>
            <w:shd w:val="clear" w:color="auto" w:fill="auto"/>
            <w:noWrap/>
            <w:vAlign w:val="center"/>
            <w:hideMark/>
          </w:tcPr>
          <w:p w14:paraId="518C3631"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0.303*</w:t>
            </w:r>
          </w:p>
        </w:tc>
        <w:tc>
          <w:tcPr>
            <w:tcW w:w="780" w:type="dxa"/>
            <w:tcBorders>
              <w:top w:val="nil"/>
              <w:left w:val="nil"/>
              <w:bottom w:val="nil"/>
              <w:right w:val="nil"/>
            </w:tcBorders>
            <w:shd w:val="clear" w:color="auto" w:fill="auto"/>
            <w:noWrap/>
            <w:vAlign w:val="center"/>
            <w:hideMark/>
          </w:tcPr>
          <w:p w14:paraId="0B07DB8F"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0.019</w:t>
            </w:r>
          </w:p>
        </w:tc>
        <w:tc>
          <w:tcPr>
            <w:tcW w:w="840" w:type="dxa"/>
            <w:tcBorders>
              <w:top w:val="nil"/>
              <w:left w:val="nil"/>
              <w:bottom w:val="nil"/>
              <w:right w:val="nil"/>
            </w:tcBorders>
            <w:shd w:val="clear" w:color="auto" w:fill="auto"/>
            <w:noWrap/>
            <w:vAlign w:val="center"/>
            <w:hideMark/>
          </w:tcPr>
          <w:p w14:paraId="477EA3B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0.546*</w:t>
            </w:r>
          </w:p>
        </w:tc>
        <w:tc>
          <w:tcPr>
            <w:tcW w:w="800" w:type="dxa"/>
            <w:tcBorders>
              <w:top w:val="nil"/>
              <w:left w:val="nil"/>
              <w:bottom w:val="nil"/>
              <w:right w:val="nil"/>
            </w:tcBorders>
            <w:shd w:val="clear" w:color="auto" w:fill="auto"/>
            <w:noWrap/>
            <w:vAlign w:val="center"/>
            <w:hideMark/>
          </w:tcPr>
          <w:p w14:paraId="605A6D41"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0.269*</w:t>
            </w:r>
          </w:p>
        </w:tc>
        <w:tc>
          <w:tcPr>
            <w:tcW w:w="772" w:type="dxa"/>
            <w:tcBorders>
              <w:top w:val="nil"/>
              <w:left w:val="nil"/>
              <w:bottom w:val="nil"/>
              <w:right w:val="nil"/>
            </w:tcBorders>
            <w:shd w:val="clear" w:color="auto" w:fill="auto"/>
            <w:noWrap/>
            <w:vAlign w:val="center"/>
            <w:hideMark/>
          </w:tcPr>
          <w:p w14:paraId="081E3A0C"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0.534*</w:t>
            </w:r>
          </w:p>
        </w:tc>
        <w:tc>
          <w:tcPr>
            <w:tcW w:w="780" w:type="dxa"/>
            <w:tcBorders>
              <w:top w:val="nil"/>
              <w:left w:val="nil"/>
              <w:bottom w:val="nil"/>
              <w:right w:val="nil"/>
            </w:tcBorders>
            <w:shd w:val="clear" w:color="auto" w:fill="auto"/>
            <w:noWrap/>
            <w:vAlign w:val="center"/>
            <w:hideMark/>
          </w:tcPr>
          <w:p w14:paraId="0AA5934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0.293*</w:t>
            </w:r>
          </w:p>
        </w:tc>
        <w:tc>
          <w:tcPr>
            <w:tcW w:w="772" w:type="dxa"/>
            <w:tcBorders>
              <w:top w:val="nil"/>
              <w:left w:val="nil"/>
              <w:bottom w:val="nil"/>
              <w:right w:val="nil"/>
            </w:tcBorders>
            <w:shd w:val="clear" w:color="auto" w:fill="auto"/>
            <w:noWrap/>
            <w:vAlign w:val="center"/>
            <w:hideMark/>
          </w:tcPr>
          <w:p w14:paraId="0D0F2DF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772" w:type="dxa"/>
            <w:tcBorders>
              <w:top w:val="nil"/>
              <w:left w:val="nil"/>
              <w:bottom w:val="nil"/>
              <w:right w:val="nil"/>
            </w:tcBorders>
            <w:shd w:val="clear" w:color="auto" w:fill="auto"/>
            <w:noWrap/>
            <w:vAlign w:val="bottom"/>
            <w:hideMark/>
          </w:tcPr>
          <w:p w14:paraId="1A62E7D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20" w:type="dxa"/>
            <w:tcBorders>
              <w:top w:val="nil"/>
              <w:left w:val="nil"/>
              <w:bottom w:val="nil"/>
              <w:right w:val="nil"/>
            </w:tcBorders>
            <w:shd w:val="clear" w:color="auto" w:fill="auto"/>
            <w:noWrap/>
            <w:vAlign w:val="bottom"/>
            <w:hideMark/>
          </w:tcPr>
          <w:p w14:paraId="5F6438A1"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00" w:type="dxa"/>
            <w:tcBorders>
              <w:top w:val="nil"/>
              <w:left w:val="nil"/>
              <w:bottom w:val="nil"/>
              <w:right w:val="nil"/>
            </w:tcBorders>
            <w:shd w:val="clear" w:color="auto" w:fill="auto"/>
            <w:noWrap/>
            <w:vAlign w:val="bottom"/>
            <w:hideMark/>
          </w:tcPr>
          <w:p w14:paraId="22DD746C"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911" w:type="dxa"/>
            <w:tcBorders>
              <w:top w:val="nil"/>
              <w:left w:val="nil"/>
              <w:bottom w:val="nil"/>
              <w:right w:val="nil"/>
            </w:tcBorders>
            <w:shd w:val="clear" w:color="auto" w:fill="auto"/>
            <w:noWrap/>
            <w:vAlign w:val="bottom"/>
            <w:hideMark/>
          </w:tcPr>
          <w:p w14:paraId="24C81759"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80" w:type="dxa"/>
            <w:tcBorders>
              <w:top w:val="nil"/>
              <w:left w:val="nil"/>
              <w:bottom w:val="nil"/>
              <w:right w:val="nil"/>
            </w:tcBorders>
            <w:shd w:val="clear" w:color="auto" w:fill="auto"/>
            <w:noWrap/>
            <w:vAlign w:val="bottom"/>
            <w:hideMark/>
          </w:tcPr>
          <w:p w14:paraId="2B346915"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14B00381"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3F831A2B"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238FC734"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r>
      <w:tr w:rsidR="0060274A" w:rsidRPr="00055865" w14:paraId="589344D2" w14:textId="77777777" w:rsidTr="005B6FD7">
        <w:trPr>
          <w:trHeight w:val="300"/>
        </w:trPr>
        <w:tc>
          <w:tcPr>
            <w:tcW w:w="1120" w:type="dxa"/>
            <w:tcBorders>
              <w:top w:val="nil"/>
              <w:left w:val="nil"/>
              <w:bottom w:val="nil"/>
              <w:right w:val="nil"/>
            </w:tcBorders>
            <w:shd w:val="clear" w:color="auto" w:fill="auto"/>
            <w:noWrap/>
            <w:vAlign w:val="center"/>
            <w:hideMark/>
          </w:tcPr>
          <w:p w14:paraId="095C325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Mat</w:t>
            </w:r>
          </w:p>
        </w:tc>
        <w:tc>
          <w:tcPr>
            <w:tcW w:w="772" w:type="dxa"/>
            <w:tcBorders>
              <w:top w:val="nil"/>
              <w:left w:val="nil"/>
              <w:bottom w:val="nil"/>
              <w:right w:val="nil"/>
            </w:tcBorders>
            <w:shd w:val="clear" w:color="auto" w:fill="auto"/>
            <w:noWrap/>
            <w:vAlign w:val="center"/>
            <w:hideMark/>
          </w:tcPr>
          <w:p w14:paraId="3102D944"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0.379*</w:t>
            </w:r>
          </w:p>
        </w:tc>
        <w:tc>
          <w:tcPr>
            <w:tcW w:w="780" w:type="dxa"/>
            <w:tcBorders>
              <w:top w:val="nil"/>
              <w:left w:val="nil"/>
              <w:bottom w:val="nil"/>
              <w:right w:val="nil"/>
            </w:tcBorders>
            <w:shd w:val="clear" w:color="auto" w:fill="auto"/>
            <w:noWrap/>
            <w:vAlign w:val="center"/>
            <w:hideMark/>
          </w:tcPr>
          <w:p w14:paraId="5555D401"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0.009</w:t>
            </w:r>
          </w:p>
        </w:tc>
        <w:tc>
          <w:tcPr>
            <w:tcW w:w="840" w:type="dxa"/>
            <w:tcBorders>
              <w:top w:val="nil"/>
              <w:left w:val="nil"/>
              <w:bottom w:val="nil"/>
              <w:right w:val="nil"/>
            </w:tcBorders>
            <w:shd w:val="clear" w:color="auto" w:fill="auto"/>
            <w:noWrap/>
            <w:vAlign w:val="center"/>
            <w:hideMark/>
          </w:tcPr>
          <w:p w14:paraId="58B2FD15"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0.780*</w:t>
            </w:r>
          </w:p>
        </w:tc>
        <w:tc>
          <w:tcPr>
            <w:tcW w:w="800" w:type="dxa"/>
            <w:tcBorders>
              <w:top w:val="nil"/>
              <w:left w:val="nil"/>
              <w:bottom w:val="nil"/>
              <w:right w:val="nil"/>
            </w:tcBorders>
            <w:shd w:val="clear" w:color="auto" w:fill="auto"/>
            <w:noWrap/>
            <w:vAlign w:val="center"/>
            <w:hideMark/>
          </w:tcPr>
          <w:p w14:paraId="65A3FCD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0.552*</w:t>
            </w:r>
          </w:p>
        </w:tc>
        <w:tc>
          <w:tcPr>
            <w:tcW w:w="772" w:type="dxa"/>
            <w:tcBorders>
              <w:top w:val="nil"/>
              <w:left w:val="nil"/>
              <w:bottom w:val="nil"/>
              <w:right w:val="nil"/>
            </w:tcBorders>
            <w:shd w:val="clear" w:color="auto" w:fill="auto"/>
            <w:noWrap/>
            <w:vAlign w:val="center"/>
            <w:hideMark/>
          </w:tcPr>
          <w:p w14:paraId="5F27F21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0.537*</w:t>
            </w:r>
          </w:p>
        </w:tc>
        <w:tc>
          <w:tcPr>
            <w:tcW w:w="780" w:type="dxa"/>
            <w:tcBorders>
              <w:top w:val="nil"/>
              <w:left w:val="nil"/>
              <w:bottom w:val="nil"/>
              <w:right w:val="nil"/>
            </w:tcBorders>
            <w:shd w:val="clear" w:color="auto" w:fill="auto"/>
            <w:noWrap/>
            <w:vAlign w:val="center"/>
            <w:hideMark/>
          </w:tcPr>
          <w:p w14:paraId="1A7F2D5B"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0.544*</w:t>
            </w:r>
          </w:p>
        </w:tc>
        <w:tc>
          <w:tcPr>
            <w:tcW w:w="772" w:type="dxa"/>
            <w:tcBorders>
              <w:top w:val="nil"/>
              <w:left w:val="nil"/>
              <w:bottom w:val="nil"/>
              <w:right w:val="nil"/>
            </w:tcBorders>
            <w:shd w:val="clear" w:color="auto" w:fill="auto"/>
            <w:noWrap/>
            <w:vAlign w:val="center"/>
            <w:hideMark/>
          </w:tcPr>
          <w:p w14:paraId="1BFBBD1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0.285*</w:t>
            </w:r>
          </w:p>
        </w:tc>
        <w:tc>
          <w:tcPr>
            <w:tcW w:w="772" w:type="dxa"/>
            <w:tcBorders>
              <w:top w:val="nil"/>
              <w:left w:val="nil"/>
              <w:bottom w:val="nil"/>
              <w:right w:val="nil"/>
            </w:tcBorders>
            <w:shd w:val="clear" w:color="auto" w:fill="auto"/>
            <w:noWrap/>
            <w:vAlign w:val="center"/>
            <w:hideMark/>
          </w:tcPr>
          <w:p w14:paraId="2392350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820" w:type="dxa"/>
            <w:tcBorders>
              <w:top w:val="nil"/>
              <w:left w:val="nil"/>
              <w:bottom w:val="nil"/>
              <w:right w:val="nil"/>
            </w:tcBorders>
            <w:shd w:val="clear" w:color="auto" w:fill="auto"/>
            <w:noWrap/>
            <w:vAlign w:val="bottom"/>
            <w:hideMark/>
          </w:tcPr>
          <w:p w14:paraId="3B0962A7"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00" w:type="dxa"/>
            <w:tcBorders>
              <w:top w:val="nil"/>
              <w:left w:val="nil"/>
              <w:bottom w:val="nil"/>
              <w:right w:val="nil"/>
            </w:tcBorders>
            <w:shd w:val="clear" w:color="auto" w:fill="auto"/>
            <w:noWrap/>
            <w:vAlign w:val="bottom"/>
            <w:hideMark/>
          </w:tcPr>
          <w:p w14:paraId="721A65F9"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911" w:type="dxa"/>
            <w:tcBorders>
              <w:top w:val="nil"/>
              <w:left w:val="nil"/>
              <w:bottom w:val="nil"/>
              <w:right w:val="nil"/>
            </w:tcBorders>
            <w:shd w:val="clear" w:color="auto" w:fill="auto"/>
            <w:noWrap/>
            <w:vAlign w:val="bottom"/>
            <w:hideMark/>
          </w:tcPr>
          <w:p w14:paraId="79C70255"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80" w:type="dxa"/>
            <w:tcBorders>
              <w:top w:val="nil"/>
              <w:left w:val="nil"/>
              <w:bottom w:val="nil"/>
              <w:right w:val="nil"/>
            </w:tcBorders>
            <w:shd w:val="clear" w:color="auto" w:fill="auto"/>
            <w:noWrap/>
            <w:vAlign w:val="bottom"/>
            <w:hideMark/>
          </w:tcPr>
          <w:p w14:paraId="62B160E7"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49DF58A8"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1858FD99"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2905A4E2"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r>
      <w:tr w:rsidR="0060274A" w:rsidRPr="00055865" w14:paraId="0E4347B1" w14:textId="77777777" w:rsidTr="005B6FD7">
        <w:trPr>
          <w:trHeight w:val="300"/>
        </w:trPr>
        <w:tc>
          <w:tcPr>
            <w:tcW w:w="1120" w:type="dxa"/>
            <w:tcBorders>
              <w:top w:val="nil"/>
              <w:left w:val="nil"/>
              <w:bottom w:val="nil"/>
              <w:right w:val="nil"/>
            </w:tcBorders>
            <w:shd w:val="clear" w:color="auto" w:fill="auto"/>
            <w:noWrap/>
            <w:vAlign w:val="center"/>
            <w:hideMark/>
          </w:tcPr>
          <w:p w14:paraId="24C41A8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Comp</w:t>
            </w:r>
          </w:p>
        </w:tc>
        <w:tc>
          <w:tcPr>
            <w:tcW w:w="772" w:type="dxa"/>
            <w:tcBorders>
              <w:top w:val="nil"/>
              <w:left w:val="nil"/>
              <w:bottom w:val="nil"/>
              <w:right w:val="nil"/>
            </w:tcBorders>
            <w:shd w:val="clear" w:color="auto" w:fill="auto"/>
            <w:noWrap/>
            <w:vAlign w:val="center"/>
            <w:hideMark/>
          </w:tcPr>
          <w:p w14:paraId="1239CE7D"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0.240*</w:t>
            </w:r>
          </w:p>
        </w:tc>
        <w:tc>
          <w:tcPr>
            <w:tcW w:w="780" w:type="dxa"/>
            <w:tcBorders>
              <w:top w:val="nil"/>
              <w:left w:val="nil"/>
              <w:bottom w:val="nil"/>
              <w:right w:val="nil"/>
            </w:tcBorders>
            <w:shd w:val="clear" w:color="auto" w:fill="auto"/>
            <w:noWrap/>
            <w:vAlign w:val="center"/>
            <w:hideMark/>
          </w:tcPr>
          <w:p w14:paraId="4EB33C0B"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-0.09*</w:t>
            </w:r>
          </w:p>
        </w:tc>
        <w:tc>
          <w:tcPr>
            <w:tcW w:w="840" w:type="dxa"/>
            <w:tcBorders>
              <w:top w:val="nil"/>
              <w:left w:val="nil"/>
              <w:bottom w:val="nil"/>
              <w:right w:val="nil"/>
            </w:tcBorders>
            <w:shd w:val="clear" w:color="auto" w:fill="auto"/>
            <w:noWrap/>
            <w:vAlign w:val="center"/>
            <w:hideMark/>
          </w:tcPr>
          <w:p w14:paraId="4D13596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0.544*</w:t>
            </w:r>
          </w:p>
        </w:tc>
        <w:tc>
          <w:tcPr>
            <w:tcW w:w="800" w:type="dxa"/>
            <w:tcBorders>
              <w:top w:val="nil"/>
              <w:left w:val="nil"/>
              <w:bottom w:val="nil"/>
              <w:right w:val="nil"/>
            </w:tcBorders>
            <w:shd w:val="clear" w:color="auto" w:fill="auto"/>
            <w:noWrap/>
            <w:vAlign w:val="center"/>
            <w:hideMark/>
          </w:tcPr>
          <w:p w14:paraId="7A596B01"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0.190*</w:t>
            </w:r>
          </w:p>
        </w:tc>
        <w:tc>
          <w:tcPr>
            <w:tcW w:w="772" w:type="dxa"/>
            <w:tcBorders>
              <w:top w:val="nil"/>
              <w:left w:val="nil"/>
              <w:bottom w:val="nil"/>
              <w:right w:val="nil"/>
            </w:tcBorders>
            <w:shd w:val="clear" w:color="auto" w:fill="auto"/>
            <w:noWrap/>
            <w:vAlign w:val="center"/>
            <w:hideMark/>
          </w:tcPr>
          <w:p w14:paraId="536AF41B"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0.276*</w:t>
            </w:r>
          </w:p>
        </w:tc>
        <w:tc>
          <w:tcPr>
            <w:tcW w:w="780" w:type="dxa"/>
            <w:tcBorders>
              <w:top w:val="nil"/>
              <w:left w:val="nil"/>
              <w:bottom w:val="nil"/>
              <w:right w:val="nil"/>
            </w:tcBorders>
            <w:shd w:val="clear" w:color="auto" w:fill="auto"/>
            <w:noWrap/>
            <w:vAlign w:val="center"/>
            <w:hideMark/>
          </w:tcPr>
          <w:p w14:paraId="49239BA1"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0.214*</w:t>
            </w:r>
          </w:p>
        </w:tc>
        <w:tc>
          <w:tcPr>
            <w:tcW w:w="772" w:type="dxa"/>
            <w:tcBorders>
              <w:top w:val="nil"/>
              <w:left w:val="nil"/>
              <w:bottom w:val="nil"/>
              <w:right w:val="nil"/>
            </w:tcBorders>
            <w:shd w:val="clear" w:color="auto" w:fill="auto"/>
            <w:noWrap/>
            <w:vAlign w:val="center"/>
            <w:hideMark/>
          </w:tcPr>
          <w:p w14:paraId="761657EF"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0.291*</w:t>
            </w:r>
          </w:p>
        </w:tc>
        <w:tc>
          <w:tcPr>
            <w:tcW w:w="772" w:type="dxa"/>
            <w:tcBorders>
              <w:top w:val="nil"/>
              <w:left w:val="nil"/>
              <w:bottom w:val="nil"/>
              <w:right w:val="nil"/>
            </w:tcBorders>
            <w:shd w:val="clear" w:color="auto" w:fill="auto"/>
            <w:noWrap/>
            <w:vAlign w:val="center"/>
            <w:hideMark/>
          </w:tcPr>
          <w:p w14:paraId="523873F8"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0.227*</w:t>
            </w:r>
          </w:p>
        </w:tc>
        <w:tc>
          <w:tcPr>
            <w:tcW w:w="820" w:type="dxa"/>
            <w:tcBorders>
              <w:top w:val="nil"/>
              <w:left w:val="nil"/>
              <w:bottom w:val="nil"/>
              <w:right w:val="nil"/>
            </w:tcBorders>
            <w:shd w:val="clear" w:color="auto" w:fill="auto"/>
            <w:noWrap/>
            <w:vAlign w:val="center"/>
            <w:hideMark/>
          </w:tcPr>
          <w:p w14:paraId="5AC5CC94"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800" w:type="dxa"/>
            <w:tcBorders>
              <w:top w:val="nil"/>
              <w:left w:val="nil"/>
              <w:bottom w:val="nil"/>
              <w:right w:val="nil"/>
            </w:tcBorders>
            <w:shd w:val="clear" w:color="auto" w:fill="auto"/>
            <w:noWrap/>
            <w:vAlign w:val="bottom"/>
            <w:hideMark/>
          </w:tcPr>
          <w:p w14:paraId="714641A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911" w:type="dxa"/>
            <w:tcBorders>
              <w:top w:val="nil"/>
              <w:left w:val="nil"/>
              <w:bottom w:val="nil"/>
              <w:right w:val="nil"/>
            </w:tcBorders>
            <w:shd w:val="clear" w:color="auto" w:fill="auto"/>
            <w:noWrap/>
            <w:vAlign w:val="bottom"/>
            <w:hideMark/>
          </w:tcPr>
          <w:p w14:paraId="2F516F1F"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80" w:type="dxa"/>
            <w:tcBorders>
              <w:top w:val="nil"/>
              <w:left w:val="nil"/>
              <w:bottom w:val="nil"/>
              <w:right w:val="nil"/>
            </w:tcBorders>
            <w:shd w:val="clear" w:color="auto" w:fill="auto"/>
            <w:noWrap/>
            <w:vAlign w:val="bottom"/>
            <w:hideMark/>
          </w:tcPr>
          <w:p w14:paraId="6220CECD"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1FAA86CF"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6C028219"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3745DD30"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r>
      <w:tr w:rsidR="0060274A" w:rsidRPr="00055865" w14:paraId="313A9875" w14:textId="77777777" w:rsidTr="005B6FD7">
        <w:trPr>
          <w:trHeight w:val="300"/>
        </w:trPr>
        <w:tc>
          <w:tcPr>
            <w:tcW w:w="1120" w:type="dxa"/>
            <w:tcBorders>
              <w:top w:val="nil"/>
              <w:left w:val="nil"/>
              <w:bottom w:val="nil"/>
              <w:right w:val="nil"/>
            </w:tcBorders>
            <w:shd w:val="clear" w:color="auto" w:fill="auto"/>
            <w:noWrap/>
            <w:vAlign w:val="center"/>
            <w:hideMark/>
          </w:tcPr>
          <w:p w14:paraId="46220F31"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Size</w:t>
            </w:r>
          </w:p>
        </w:tc>
        <w:tc>
          <w:tcPr>
            <w:tcW w:w="772" w:type="dxa"/>
            <w:tcBorders>
              <w:top w:val="nil"/>
              <w:left w:val="nil"/>
              <w:bottom w:val="nil"/>
              <w:right w:val="nil"/>
            </w:tcBorders>
            <w:shd w:val="clear" w:color="auto" w:fill="auto"/>
            <w:noWrap/>
            <w:vAlign w:val="center"/>
            <w:hideMark/>
          </w:tcPr>
          <w:p w14:paraId="23ADA5FE"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0.253*</w:t>
            </w:r>
          </w:p>
        </w:tc>
        <w:tc>
          <w:tcPr>
            <w:tcW w:w="780" w:type="dxa"/>
            <w:tcBorders>
              <w:top w:val="nil"/>
              <w:left w:val="nil"/>
              <w:bottom w:val="nil"/>
              <w:right w:val="nil"/>
            </w:tcBorders>
            <w:shd w:val="clear" w:color="auto" w:fill="auto"/>
            <w:noWrap/>
            <w:vAlign w:val="center"/>
            <w:hideMark/>
          </w:tcPr>
          <w:p w14:paraId="57C5B6EC"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-0.048</w:t>
            </w:r>
          </w:p>
        </w:tc>
        <w:tc>
          <w:tcPr>
            <w:tcW w:w="840" w:type="dxa"/>
            <w:tcBorders>
              <w:top w:val="nil"/>
              <w:left w:val="nil"/>
              <w:bottom w:val="nil"/>
              <w:right w:val="nil"/>
            </w:tcBorders>
            <w:shd w:val="clear" w:color="auto" w:fill="auto"/>
            <w:noWrap/>
            <w:vAlign w:val="center"/>
            <w:hideMark/>
          </w:tcPr>
          <w:p w14:paraId="570757AC"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0.335*</w:t>
            </w:r>
          </w:p>
        </w:tc>
        <w:tc>
          <w:tcPr>
            <w:tcW w:w="800" w:type="dxa"/>
            <w:tcBorders>
              <w:top w:val="nil"/>
              <w:left w:val="nil"/>
              <w:bottom w:val="nil"/>
              <w:right w:val="nil"/>
            </w:tcBorders>
            <w:shd w:val="clear" w:color="auto" w:fill="auto"/>
            <w:noWrap/>
            <w:vAlign w:val="center"/>
            <w:hideMark/>
          </w:tcPr>
          <w:p w14:paraId="4FBB3674"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0.242*</w:t>
            </w:r>
          </w:p>
        </w:tc>
        <w:tc>
          <w:tcPr>
            <w:tcW w:w="772" w:type="dxa"/>
            <w:tcBorders>
              <w:top w:val="nil"/>
              <w:left w:val="nil"/>
              <w:bottom w:val="nil"/>
              <w:right w:val="nil"/>
            </w:tcBorders>
            <w:shd w:val="clear" w:color="auto" w:fill="auto"/>
            <w:noWrap/>
            <w:vAlign w:val="center"/>
            <w:hideMark/>
          </w:tcPr>
          <w:p w14:paraId="5C24D93B"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0.283*</w:t>
            </w:r>
          </w:p>
        </w:tc>
        <w:tc>
          <w:tcPr>
            <w:tcW w:w="780" w:type="dxa"/>
            <w:tcBorders>
              <w:top w:val="nil"/>
              <w:left w:val="nil"/>
              <w:bottom w:val="nil"/>
              <w:right w:val="nil"/>
            </w:tcBorders>
            <w:shd w:val="clear" w:color="auto" w:fill="auto"/>
            <w:noWrap/>
            <w:vAlign w:val="center"/>
            <w:hideMark/>
          </w:tcPr>
          <w:p w14:paraId="0CAE8527"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0.223*</w:t>
            </w:r>
          </w:p>
        </w:tc>
        <w:tc>
          <w:tcPr>
            <w:tcW w:w="772" w:type="dxa"/>
            <w:tcBorders>
              <w:top w:val="nil"/>
              <w:left w:val="nil"/>
              <w:bottom w:val="nil"/>
              <w:right w:val="nil"/>
            </w:tcBorders>
            <w:shd w:val="clear" w:color="auto" w:fill="auto"/>
            <w:noWrap/>
            <w:vAlign w:val="center"/>
            <w:hideMark/>
          </w:tcPr>
          <w:p w14:paraId="1E36DF0B"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0.210*</w:t>
            </w:r>
          </w:p>
        </w:tc>
        <w:tc>
          <w:tcPr>
            <w:tcW w:w="772" w:type="dxa"/>
            <w:tcBorders>
              <w:top w:val="nil"/>
              <w:left w:val="nil"/>
              <w:bottom w:val="nil"/>
              <w:right w:val="nil"/>
            </w:tcBorders>
            <w:shd w:val="clear" w:color="auto" w:fill="auto"/>
            <w:noWrap/>
            <w:vAlign w:val="center"/>
            <w:hideMark/>
          </w:tcPr>
          <w:p w14:paraId="3A17737A"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0.212</w:t>
            </w:r>
          </w:p>
        </w:tc>
        <w:tc>
          <w:tcPr>
            <w:tcW w:w="820" w:type="dxa"/>
            <w:tcBorders>
              <w:top w:val="nil"/>
              <w:left w:val="nil"/>
              <w:bottom w:val="nil"/>
              <w:right w:val="nil"/>
            </w:tcBorders>
            <w:shd w:val="clear" w:color="auto" w:fill="auto"/>
            <w:noWrap/>
            <w:vAlign w:val="center"/>
            <w:hideMark/>
          </w:tcPr>
          <w:p w14:paraId="30B5D7ED"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0.184*</w:t>
            </w:r>
          </w:p>
        </w:tc>
        <w:tc>
          <w:tcPr>
            <w:tcW w:w="800" w:type="dxa"/>
            <w:tcBorders>
              <w:top w:val="nil"/>
              <w:left w:val="nil"/>
              <w:bottom w:val="nil"/>
              <w:right w:val="nil"/>
            </w:tcBorders>
            <w:shd w:val="clear" w:color="auto" w:fill="auto"/>
            <w:noWrap/>
            <w:vAlign w:val="center"/>
            <w:hideMark/>
          </w:tcPr>
          <w:p w14:paraId="4B29795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911" w:type="dxa"/>
            <w:tcBorders>
              <w:top w:val="nil"/>
              <w:left w:val="nil"/>
              <w:bottom w:val="nil"/>
              <w:right w:val="nil"/>
            </w:tcBorders>
            <w:shd w:val="clear" w:color="auto" w:fill="auto"/>
            <w:noWrap/>
            <w:vAlign w:val="bottom"/>
            <w:hideMark/>
          </w:tcPr>
          <w:p w14:paraId="111FC037"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80" w:type="dxa"/>
            <w:tcBorders>
              <w:top w:val="nil"/>
              <w:left w:val="nil"/>
              <w:bottom w:val="nil"/>
              <w:right w:val="nil"/>
            </w:tcBorders>
            <w:shd w:val="clear" w:color="auto" w:fill="auto"/>
            <w:noWrap/>
            <w:vAlign w:val="bottom"/>
            <w:hideMark/>
          </w:tcPr>
          <w:p w14:paraId="0A1DC2C5"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32C5A94D"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63FCCF7A"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74B079B9"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r>
      <w:tr w:rsidR="0060274A" w:rsidRPr="00055865" w14:paraId="4C5D8B9B" w14:textId="77777777" w:rsidTr="005B6FD7">
        <w:trPr>
          <w:trHeight w:val="300"/>
        </w:trPr>
        <w:tc>
          <w:tcPr>
            <w:tcW w:w="1120" w:type="dxa"/>
            <w:tcBorders>
              <w:top w:val="nil"/>
              <w:left w:val="nil"/>
              <w:bottom w:val="nil"/>
              <w:right w:val="nil"/>
            </w:tcBorders>
            <w:shd w:val="clear" w:color="auto" w:fill="auto"/>
            <w:noWrap/>
            <w:vAlign w:val="center"/>
            <w:hideMark/>
          </w:tcPr>
          <w:p w14:paraId="2FF789DC"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Liquidity</w:t>
            </w:r>
          </w:p>
        </w:tc>
        <w:tc>
          <w:tcPr>
            <w:tcW w:w="772" w:type="dxa"/>
            <w:tcBorders>
              <w:top w:val="nil"/>
              <w:left w:val="nil"/>
              <w:bottom w:val="nil"/>
              <w:right w:val="nil"/>
            </w:tcBorders>
            <w:shd w:val="clear" w:color="auto" w:fill="auto"/>
            <w:noWrap/>
            <w:vAlign w:val="center"/>
            <w:hideMark/>
          </w:tcPr>
          <w:p w14:paraId="46709018"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-0.137</w:t>
            </w:r>
          </w:p>
        </w:tc>
        <w:tc>
          <w:tcPr>
            <w:tcW w:w="780" w:type="dxa"/>
            <w:tcBorders>
              <w:top w:val="nil"/>
              <w:left w:val="nil"/>
              <w:bottom w:val="nil"/>
              <w:right w:val="nil"/>
            </w:tcBorders>
            <w:shd w:val="clear" w:color="auto" w:fill="auto"/>
            <w:noWrap/>
            <w:vAlign w:val="center"/>
            <w:hideMark/>
          </w:tcPr>
          <w:p w14:paraId="6754B405"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0.115*</w:t>
            </w:r>
          </w:p>
        </w:tc>
        <w:tc>
          <w:tcPr>
            <w:tcW w:w="840" w:type="dxa"/>
            <w:tcBorders>
              <w:top w:val="nil"/>
              <w:left w:val="nil"/>
              <w:bottom w:val="nil"/>
              <w:right w:val="nil"/>
            </w:tcBorders>
            <w:shd w:val="clear" w:color="auto" w:fill="auto"/>
            <w:noWrap/>
            <w:vAlign w:val="center"/>
            <w:hideMark/>
          </w:tcPr>
          <w:p w14:paraId="378B12B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-0.117</w:t>
            </w:r>
          </w:p>
        </w:tc>
        <w:tc>
          <w:tcPr>
            <w:tcW w:w="800" w:type="dxa"/>
            <w:tcBorders>
              <w:top w:val="nil"/>
              <w:left w:val="nil"/>
              <w:bottom w:val="nil"/>
              <w:right w:val="nil"/>
            </w:tcBorders>
            <w:shd w:val="clear" w:color="auto" w:fill="auto"/>
            <w:noWrap/>
            <w:vAlign w:val="center"/>
            <w:hideMark/>
          </w:tcPr>
          <w:p w14:paraId="6D59A35C"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-0.14*</w:t>
            </w:r>
          </w:p>
        </w:tc>
        <w:tc>
          <w:tcPr>
            <w:tcW w:w="772" w:type="dxa"/>
            <w:tcBorders>
              <w:top w:val="nil"/>
              <w:left w:val="nil"/>
              <w:bottom w:val="nil"/>
              <w:right w:val="nil"/>
            </w:tcBorders>
            <w:shd w:val="clear" w:color="auto" w:fill="auto"/>
            <w:noWrap/>
            <w:vAlign w:val="center"/>
            <w:hideMark/>
          </w:tcPr>
          <w:p w14:paraId="22DCF90F"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-0.11*</w:t>
            </w:r>
          </w:p>
        </w:tc>
        <w:tc>
          <w:tcPr>
            <w:tcW w:w="780" w:type="dxa"/>
            <w:tcBorders>
              <w:top w:val="nil"/>
              <w:left w:val="nil"/>
              <w:bottom w:val="nil"/>
              <w:right w:val="nil"/>
            </w:tcBorders>
            <w:shd w:val="clear" w:color="auto" w:fill="auto"/>
            <w:noWrap/>
            <w:vAlign w:val="center"/>
            <w:hideMark/>
          </w:tcPr>
          <w:p w14:paraId="124B790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-0.11*</w:t>
            </w:r>
          </w:p>
        </w:tc>
        <w:tc>
          <w:tcPr>
            <w:tcW w:w="772" w:type="dxa"/>
            <w:tcBorders>
              <w:top w:val="nil"/>
              <w:left w:val="nil"/>
              <w:bottom w:val="nil"/>
              <w:right w:val="nil"/>
            </w:tcBorders>
            <w:shd w:val="clear" w:color="auto" w:fill="auto"/>
            <w:noWrap/>
            <w:vAlign w:val="center"/>
            <w:hideMark/>
          </w:tcPr>
          <w:p w14:paraId="746E2348"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-0.003</w:t>
            </w:r>
          </w:p>
        </w:tc>
        <w:tc>
          <w:tcPr>
            <w:tcW w:w="772" w:type="dxa"/>
            <w:tcBorders>
              <w:top w:val="nil"/>
              <w:left w:val="nil"/>
              <w:bottom w:val="nil"/>
              <w:right w:val="nil"/>
            </w:tcBorders>
            <w:shd w:val="clear" w:color="auto" w:fill="auto"/>
            <w:noWrap/>
            <w:vAlign w:val="center"/>
            <w:hideMark/>
          </w:tcPr>
          <w:p w14:paraId="404C6E07"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-0.13*</w:t>
            </w:r>
          </w:p>
        </w:tc>
        <w:tc>
          <w:tcPr>
            <w:tcW w:w="820" w:type="dxa"/>
            <w:tcBorders>
              <w:top w:val="nil"/>
              <w:left w:val="nil"/>
              <w:bottom w:val="nil"/>
              <w:right w:val="nil"/>
            </w:tcBorders>
            <w:shd w:val="clear" w:color="auto" w:fill="auto"/>
            <w:noWrap/>
            <w:vAlign w:val="center"/>
            <w:hideMark/>
          </w:tcPr>
          <w:p w14:paraId="4F25D98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0.018</w:t>
            </w:r>
          </w:p>
        </w:tc>
        <w:tc>
          <w:tcPr>
            <w:tcW w:w="800" w:type="dxa"/>
            <w:tcBorders>
              <w:top w:val="nil"/>
              <w:left w:val="nil"/>
              <w:bottom w:val="nil"/>
              <w:right w:val="nil"/>
            </w:tcBorders>
            <w:shd w:val="clear" w:color="auto" w:fill="auto"/>
            <w:noWrap/>
            <w:vAlign w:val="center"/>
            <w:hideMark/>
          </w:tcPr>
          <w:p w14:paraId="7A17322F"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-0.180*</w:t>
            </w:r>
          </w:p>
        </w:tc>
        <w:tc>
          <w:tcPr>
            <w:tcW w:w="911" w:type="dxa"/>
            <w:tcBorders>
              <w:top w:val="nil"/>
              <w:left w:val="nil"/>
              <w:bottom w:val="nil"/>
              <w:right w:val="nil"/>
            </w:tcBorders>
            <w:shd w:val="clear" w:color="auto" w:fill="auto"/>
            <w:noWrap/>
            <w:vAlign w:val="center"/>
            <w:hideMark/>
          </w:tcPr>
          <w:p w14:paraId="66ED37F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880" w:type="dxa"/>
            <w:tcBorders>
              <w:top w:val="nil"/>
              <w:left w:val="nil"/>
              <w:bottom w:val="nil"/>
              <w:right w:val="nil"/>
            </w:tcBorders>
            <w:shd w:val="clear" w:color="auto" w:fill="auto"/>
            <w:noWrap/>
            <w:vAlign w:val="bottom"/>
            <w:hideMark/>
          </w:tcPr>
          <w:p w14:paraId="358931E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20" w:type="dxa"/>
            <w:tcBorders>
              <w:top w:val="nil"/>
              <w:left w:val="nil"/>
              <w:bottom w:val="nil"/>
              <w:right w:val="nil"/>
            </w:tcBorders>
            <w:shd w:val="clear" w:color="auto" w:fill="auto"/>
            <w:noWrap/>
            <w:vAlign w:val="bottom"/>
            <w:hideMark/>
          </w:tcPr>
          <w:p w14:paraId="6B4B908D"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772" w:type="dxa"/>
            <w:tcBorders>
              <w:top w:val="nil"/>
              <w:left w:val="nil"/>
              <w:bottom w:val="nil"/>
              <w:right w:val="nil"/>
            </w:tcBorders>
            <w:shd w:val="clear" w:color="auto" w:fill="auto"/>
            <w:noWrap/>
            <w:vAlign w:val="bottom"/>
            <w:hideMark/>
          </w:tcPr>
          <w:p w14:paraId="4CF56F2D"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7EB6F838"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r>
      <w:tr w:rsidR="0060274A" w:rsidRPr="00055865" w14:paraId="64FB3A79" w14:textId="77777777" w:rsidTr="005B6FD7">
        <w:trPr>
          <w:trHeight w:val="300"/>
        </w:trPr>
        <w:tc>
          <w:tcPr>
            <w:tcW w:w="1120" w:type="dxa"/>
            <w:tcBorders>
              <w:top w:val="nil"/>
              <w:left w:val="nil"/>
              <w:bottom w:val="nil"/>
              <w:right w:val="nil"/>
            </w:tcBorders>
            <w:shd w:val="clear" w:color="auto" w:fill="auto"/>
            <w:noWrap/>
            <w:vAlign w:val="center"/>
            <w:hideMark/>
          </w:tcPr>
          <w:p w14:paraId="3BC19E8A"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Gearing</w:t>
            </w:r>
          </w:p>
        </w:tc>
        <w:tc>
          <w:tcPr>
            <w:tcW w:w="772" w:type="dxa"/>
            <w:tcBorders>
              <w:top w:val="nil"/>
              <w:left w:val="nil"/>
              <w:bottom w:val="nil"/>
              <w:right w:val="nil"/>
            </w:tcBorders>
            <w:shd w:val="clear" w:color="auto" w:fill="auto"/>
            <w:noWrap/>
            <w:vAlign w:val="center"/>
            <w:hideMark/>
          </w:tcPr>
          <w:p w14:paraId="0DEBD6D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0.050</w:t>
            </w:r>
          </w:p>
        </w:tc>
        <w:tc>
          <w:tcPr>
            <w:tcW w:w="780" w:type="dxa"/>
            <w:tcBorders>
              <w:top w:val="nil"/>
              <w:left w:val="nil"/>
              <w:bottom w:val="nil"/>
              <w:right w:val="nil"/>
            </w:tcBorders>
            <w:shd w:val="clear" w:color="auto" w:fill="auto"/>
            <w:noWrap/>
            <w:vAlign w:val="center"/>
            <w:hideMark/>
          </w:tcPr>
          <w:p w14:paraId="2B9D0318"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0.046</w:t>
            </w:r>
          </w:p>
        </w:tc>
        <w:tc>
          <w:tcPr>
            <w:tcW w:w="840" w:type="dxa"/>
            <w:tcBorders>
              <w:top w:val="nil"/>
              <w:left w:val="nil"/>
              <w:bottom w:val="nil"/>
              <w:right w:val="nil"/>
            </w:tcBorders>
            <w:shd w:val="clear" w:color="auto" w:fill="auto"/>
            <w:noWrap/>
            <w:vAlign w:val="center"/>
            <w:hideMark/>
          </w:tcPr>
          <w:p w14:paraId="418C6A2A"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0.054</w:t>
            </w:r>
          </w:p>
        </w:tc>
        <w:tc>
          <w:tcPr>
            <w:tcW w:w="800" w:type="dxa"/>
            <w:tcBorders>
              <w:top w:val="nil"/>
              <w:left w:val="nil"/>
              <w:bottom w:val="nil"/>
              <w:right w:val="nil"/>
            </w:tcBorders>
            <w:shd w:val="clear" w:color="auto" w:fill="auto"/>
            <w:noWrap/>
            <w:vAlign w:val="center"/>
            <w:hideMark/>
          </w:tcPr>
          <w:p w14:paraId="42D19ACF"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0.054</w:t>
            </w:r>
          </w:p>
        </w:tc>
        <w:tc>
          <w:tcPr>
            <w:tcW w:w="772" w:type="dxa"/>
            <w:tcBorders>
              <w:top w:val="nil"/>
              <w:left w:val="nil"/>
              <w:bottom w:val="nil"/>
              <w:right w:val="nil"/>
            </w:tcBorders>
            <w:shd w:val="clear" w:color="auto" w:fill="auto"/>
            <w:noWrap/>
            <w:vAlign w:val="center"/>
            <w:hideMark/>
          </w:tcPr>
          <w:p w14:paraId="7E2CD0F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0.047</w:t>
            </w:r>
          </w:p>
        </w:tc>
        <w:tc>
          <w:tcPr>
            <w:tcW w:w="780" w:type="dxa"/>
            <w:tcBorders>
              <w:top w:val="nil"/>
              <w:left w:val="nil"/>
              <w:bottom w:val="nil"/>
              <w:right w:val="nil"/>
            </w:tcBorders>
            <w:shd w:val="clear" w:color="auto" w:fill="auto"/>
            <w:noWrap/>
            <w:vAlign w:val="center"/>
            <w:hideMark/>
          </w:tcPr>
          <w:p w14:paraId="18595E7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0.001</w:t>
            </w:r>
          </w:p>
        </w:tc>
        <w:tc>
          <w:tcPr>
            <w:tcW w:w="772" w:type="dxa"/>
            <w:tcBorders>
              <w:top w:val="nil"/>
              <w:left w:val="nil"/>
              <w:bottom w:val="nil"/>
              <w:right w:val="nil"/>
            </w:tcBorders>
            <w:shd w:val="clear" w:color="auto" w:fill="auto"/>
            <w:noWrap/>
            <w:vAlign w:val="center"/>
            <w:hideMark/>
          </w:tcPr>
          <w:p w14:paraId="3788A5E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-0.001</w:t>
            </w:r>
          </w:p>
        </w:tc>
        <w:tc>
          <w:tcPr>
            <w:tcW w:w="772" w:type="dxa"/>
            <w:tcBorders>
              <w:top w:val="nil"/>
              <w:left w:val="nil"/>
              <w:bottom w:val="nil"/>
              <w:right w:val="nil"/>
            </w:tcBorders>
            <w:shd w:val="clear" w:color="auto" w:fill="auto"/>
            <w:noWrap/>
            <w:vAlign w:val="center"/>
            <w:hideMark/>
          </w:tcPr>
          <w:p w14:paraId="1051B077"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0.059*</w:t>
            </w:r>
          </w:p>
        </w:tc>
        <w:tc>
          <w:tcPr>
            <w:tcW w:w="820" w:type="dxa"/>
            <w:tcBorders>
              <w:top w:val="nil"/>
              <w:left w:val="nil"/>
              <w:bottom w:val="nil"/>
              <w:right w:val="nil"/>
            </w:tcBorders>
            <w:shd w:val="clear" w:color="auto" w:fill="auto"/>
            <w:noWrap/>
            <w:vAlign w:val="center"/>
            <w:hideMark/>
          </w:tcPr>
          <w:p w14:paraId="28EB906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0.044</w:t>
            </w:r>
          </w:p>
        </w:tc>
        <w:tc>
          <w:tcPr>
            <w:tcW w:w="800" w:type="dxa"/>
            <w:tcBorders>
              <w:top w:val="nil"/>
              <w:left w:val="nil"/>
              <w:bottom w:val="nil"/>
              <w:right w:val="nil"/>
            </w:tcBorders>
            <w:shd w:val="clear" w:color="auto" w:fill="auto"/>
            <w:noWrap/>
            <w:vAlign w:val="center"/>
            <w:hideMark/>
          </w:tcPr>
          <w:p w14:paraId="700EE08E"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0.163*</w:t>
            </w:r>
          </w:p>
        </w:tc>
        <w:tc>
          <w:tcPr>
            <w:tcW w:w="911" w:type="dxa"/>
            <w:tcBorders>
              <w:top w:val="nil"/>
              <w:left w:val="nil"/>
              <w:bottom w:val="nil"/>
              <w:right w:val="nil"/>
            </w:tcBorders>
            <w:shd w:val="clear" w:color="auto" w:fill="auto"/>
            <w:noWrap/>
            <w:vAlign w:val="center"/>
            <w:hideMark/>
          </w:tcPr>
          <w:p w14:paraId="05C9A971"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-0.140*</w:t>
            </w:r>
          </w:p>
        </w:tc>
        <w:tc>
          <w:tcPr>
            <w:tcW w:w="880" w:type="dxa"/>
            <w:tcBorders>
              <w:top w:val="nil"/>
              <w:left w:val="nil"/>
              <w:bottom w:val="nil"/>
              <w:right w:val="nil"/>
            </w:tcBorders>
            <w:shd w:val="clear" w:color="auto" w:fill="auto"/>
            <w:noWrap/>
            <w:vAlign w:val="center"/>
            <w:hideMark/>
          </w:tcPr>
          <w:p w14:paraId="2475FF4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820" w:type="dxa"/>
            <w:tcBorders>
              <w:top w:val="nil"/>
              <w:left w:val="nil"/>
              <w:bottom w:val="nil"/>
              <w:right w:val="nil"/>
            </w:tcBorders>
            <w:shd w:val="clear" w:color="auto" w:fill="auto"/>
            <w:noWrap/>
            <w:vAlign w:val="bottom"/>
            <w:hideMark/>
          </w:tcPr>
          <w:p w14:paraId="5DCF65F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772" w:type="dxa"/>
            <w:tcBorders>
              <w:top w:val="nil"/>
              <w:left w:val="nil"/>
              <w:bottom w:val="nil"/>
              <w:right w:val="nil"/>
            </w:tcBorders>
            <w:shd w:val="clear" w:color="auto" w:fill="auto"/>
            <w:noWrap/>
            <w:vAlign w:val="bottom"/>
            <w:hideMark/>
          </w:tcPr>
          <w:p w14:paraId="7886A0E5"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c>
          <w:tcPr>
            <w:tcW w:w="820" w:type="dxa"/>
            <w:tcBorders>
              <w:top w:val="nil"/>
              <w:left w:val="nil"/>
              <w:bottom w:val="nil"/>
              <w:right w:val="nil"/>
            </w:tcBorders>
            <w:shd w:val="clear" w:color="auto" w:fill="auto"/>
            <w:noWrap/>
            <w:vAlign w:val="bottom"/>
            <w:hideMark/>
          </w:tcPr>
          <w:p w14:paraId="5FD762EE"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r>
      <w:tr w:rsidR="0060274A" w:rsidRPr="00055865" w14:paraId="4E9A6793" w14:textId="77777777" w:rsidTr="005B6FD7">
        <w:trPr>
          <w:trHeight w:val="300"/>
        </w:trPr>
        <w:tc>
          <w:tcPr>
            <w:tcW w:w="1120" w:type="dxa"/>
            <w:tcBorders>
              <w:top w:val="nil"/>
              <w:left w:val="nil"/>
              <w:bottom w:val="nil"/>
              <w:right w:val="nil"/>
            </w:tcBorders>
            <w:shd w:val="clear" w:color="auto" w:fill="auto"/>
            <w:noWrap/>
            <w:vAlign w:val="center"/>
            <w:hideMark/>
          </w:tcPr>
          <w:p w14:paraId="14FF1105"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B Size</w:t>
            </w:r>
          </w:p>
        </w:tc>
        <w:tc>
          <w:tcPr>
            <w:tcW w:w="772" w:type="dxa"/>
            <w:tcBorders>
              <w:top w:val="nil"/>
              <w:left w:val="nil"/>
              <w:bottom w:val="nil"/>
              <w:right w:val="nil"/>
            </w:tcBorders>
            <w:shd w:val="clear" w:color="auto" w:fill="auto"/>
            <w:noWrap/>
            <w:vAlign w:val="center"/>
            <w:hideMark/>
          </w:tcPr>
          <w:p w14:paraId="183CB73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0.167*</w:t>
            </w:r>
          </w:p>
        </w:tc>
        <w:tc>
          <w:tcPr>
            <w:tcW w:w="780" w:type="dxa"/>
            <w:tcBorders>
              <w:top w:val="nil"/>
              <w:left w:val="nil"/>
              <w:bottom w:val="nil"/>
              <w:right w:val="nil"/>
            </w:tcBorders>
            <w:shd w:val="clear" w:color="auto" w:fill="auto"/>
            <w:noWrap/>
            <w:vAlign w:val="center"/>
            <w:hideMark/>
          </w:tcPr>
          <w:p w14:paraId="6C4DC758"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-0.026</w:t>
            </w:r>
          </w:p>
        </w:tc>
        <w:tc>
          <w:tcPr>
            <w:tcW w:w="840" w:type="dxa"/>
            <w:tcBorders>
              <w:top w:val="nil"/>
              <w:left w:val="nil"/>
              <w:bottom w:val="nil"/>
              <w:right w:val="nil"/>
            </w:tcBorders>
            <w:shd w:val="clear" w:color="auto" w:fill="auto"/>
            <w:noWrap/>
            <w:vAlign w:val="center"/>
            <w:hideMark/>
          </w:tcPr>
          <w:p w14:paraId="7EE5594D"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0.138*</w:t>
            </w:r>
          </w:p>
        </w:tc>
        <w:tc>
          <w:tcPr>
            <w:tcW w:w="800" w:type="dxa"/>
            <w:tcBorders>
              <w:top w:val="nil"/>
              <w:left w:val="nil"/>
              <w:bottom w:val="nil"/>
              <w:right w:val="nil"/>
            </w:tcBorders>
            <w:shd w:val="clear" w:color="auto" w:fill="auto"/>
            <w:noWrap/>
            <w:vAlign w:val="center"/>
            <w:hideMark/>
          </w:tcPr>
          <w:p w14:paraId="3F9FD33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0.132*</w:t>
            </w:r>
          </w:p>
        </w:tc>
        <w:tc>
          <w:tcPr>
            <w:tcW w:w="772" w:type="dxa"/>
            <w:tcBorders>
              <w:top w:val="nil"/>
              <w:left w:val="nil"/>
              <w:bottom w:val="nil"/>
              <w:right w:val="nil"/>
            </w:tcBorders>
            <w:shd w:val="clear" w:color="auto" w:fill="auto"/>
            <w:noWrap/>
            <w:vAlign w:val="center"/>
            <w:hideMark/>
          </w:tcPr>
          <w:p w14:paraId="7175A7C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0.119*</w:t>
            </w:r>
          </w:p>
        </w:tc>
        <w:tc>
          <w:tcPr>
            <w:tcW w:w="780" w:type="dxa"/>
            <w:tcBorders>
              <w:top w:val="nil"/>
              <w:left w:val="nil"/>
              <w:bottom w:val="nil"/>
              <w:right w:val="nil"/>
            </w:tcBorders>
            <w:shd w:val="clear" w:color="auto" w:fill="auto"/>
            <w:noWrap/>
            <w:vAlign w:val="center"/>
            <w:hideMark/>
          </w:tcPr>
          <w:p w14:paraId="49B2B192"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0.071*</w:t>
            </w:r>
          </w:p>
        </w:tc>
        <w:tc>
          <w:tcPr>
            <w:tcW w:w="772" w:type="dxa"/>
            <w:tcBorders>
              <w:top w:val="nil"/>
              <w:left w:val="nil"/>
              <w:bottom w:val="nil"/>
              <w:right w:val="nil"/>
            </w:tcBorders>
            <w:shd w:val="clear" w:color="auto" w:fill="auto"/>
            <w:noWrap/>
            <w:vAlign w:val="center"/>
            <w:hideMark/>
          </w:tcPr>
          <w:p w14:paraId="6753091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0.148*</w:t>
            </w:r>
          </w:p>
        </w:tc>
        <w:tc>
          <w:tcPr>
            <w:tcW w:w="772" w:type="dxa"/>
            <w:tcBorders>
              <w:top w:val="nil"/>
              <w:left w:val="nil"/>
              <w:bottom w:val="nil"/>
              <w:right w:val="nil"/>
            </w:tcBorders>
            <w:shd w:val="clear" w:color="auto" w:fill="auto"/>
            <w:noWrap/>
            <w:vAlign w:val="center"/>
            <w:hideMark/>
          </w:tcPr>
          <w:p w14:paraId="7790125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0.073*</w:t>
            </w:r>
          </w:p>
        </w:tc>
        <w:tc>
          <w:tcPr>
            <w:tcW w:w="820" w:type="dxa"/>
            <w:tcBorders>
              <w:top w:val="nil"/>
              <w:left w:val="nil"/>
              <w:bottom w:val="nil"/>
              <w:right w:val="nil"/>
            </w:tcBorders>
            <w:shd w:val="clear" w:color="auto" w:fill="auto"/>
            <w:noWrap/>
            <w:vAlign w:val="center"/>
            <w:hideMark/>
          </w:tcPr>
          <w:p w14:paraId="6D1C77C8"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0.044</w:t>
            </w:r>
          </w:p>
        </w:tc>
        <w:tc>
          <w:tcPr>
            <w:tcW w:w="800" w:type="dxa"/>
            <w:tcBorders>
              <w:top w:val="nil"/>
              <w:left w:val="nil"/>
              <w:bottom w:val="nil"/>
              <w:right w:val="nil"/>
            </w:tcBorders>
            <w:shd w:val="clear" w:color="auto" w:fill="auto"/>
            <w:noWrap/>
            <w:vAlign w:val="center"/>
            <w:hideMark/>
          </w:tcPr>
          <w:p w14:paraId="782C2E5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0.125*</w:t>
            </w:r>
          </w:p>
        </w:tc>
        <w:tc>
          <w:tcPr>
            <w:tcW w:w="911" w:type="dxa"/>
            <w:tcBorders>
              <w:top w:val="nil"/>
              <w:left w:val="nil"/>
              <w:bottom w:val="nil"/>
              <w:right w:val="nil"/>
            </w:tcBorders>
            <w:shd w:val="clear" w:color="auto" w:fill="auto"/>
            <w:noWrap/>
            <w:vAlign w:val="center"/>
            <w:hideMark/>
          </w:tcPr>
          <w:p w14:paraId="51F99A3D"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-0.120*</w:t>
            </w:r>
          </w:p>
        </w:tc>
        <w:tc>
          <w:tcPr>
            <w:tcW w:w="880" w:type="dxa"/>
            <w:tcBorders>
              <w:top w:val="nil"/>
              <w:left w:val="nil"/>
              <w:bottom w:val="nil"/>
              <w:right w:val="nil"/>
            </w:tcBorders>
            <w:shd w:val="clear" w:color="auto" w:fill="auto"/>
            <w:noWrap/>
            <w:vAlign w:val="center"/>
            <w:hideMark/>
          </w:tcPr>
          <w:p w14:paraId="6F9EF4A4"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0.053*</w:t>
            </w:r>
          </w:p>
        </w:tc>
        <w:tc>
          <w:tcPr>
            <w:tcW w:w="820" w:type="dxa"/>
            <w:tcBorders>
              <w:top w:val="nil"/>
              <w:left w:val="nil"/>
              <w:bottom w:val="nil"/>
              <w:right w:val="nil"/>
            </w:tcBorders>
            <w:shd w:val="clear" w:color="auto" w:fill="auto"/>
            <w:noWrap/>
            <w:vAlign w:val="center"/>
            <w:hideMark/>
          </w:tcPr>
          <w:p w14:paraId="401C39A7"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772" w:type="dxa"/>
            <w:tcBorders>
              <w:top w:val="nil"/>
              <w:left w:val="nil"/>
              <w:bottom w:val="nil"/>
              <w:right w:val="nil"/>
            </w:tcBorders>
            <w:shd w:val="clear" w:color="auto" w:fill="auto"/>
            <w:noWrap/>
            <w:vAlign w:val="bottom"/>
            <w:hideMark/>
          </w:tcPr>
          <w:p w14:paraId="15DCA21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20" w:type="dxa"/>
            <w:tcBorders>
              <w:top w:val="nil"/>
              <w:left w:val="nil"/>
              <w:bottom w:val="nil"/>
              <w:right w:val="nil"/>
            </w:tcBorders>
            <w:shd w:val="clear" w:color="auto" w:fill="auto"/>
            <w:noWrap/>
            <w:vAlign w:val="bottom"/>
            <w:hideMark/>
          </w:tcPr>
          <w:p w14:paraId="4C43582C" w14:textId="77777777" w:rsidR="0060274A" w:rsidRPr="00055865" w:rsidRDefault="0060274A" w:rsidP="005B6FD7">
            <w:pPr>
              <w:spacing w:after="0" w:line="480" w:lineRule="auto"/>
              <w:contextualSpacing/>
              <w:rPr>
                <w:rFonts w:ascii="Garamond" w:eastAsia="Times New Roman" w:hAnsi="Garamond"/>
                <w:sz w:val="20"/>
                <w:szCs w:val="20"/>
                <w:lang w:eastAsia="en-GB"/>
              </w:rPr>
            </w:pPr>
          </w:p>
        </w:tc>
      </w:tr>
      <w:tr w:rsidR="0060274A" w:rsidRPr="00055865" w14:paraId="5B1F30FC" w14:textId="77777777" w:rsidTr="005B6FD7">
        <w:trPr>
          <w:trHeight w:val="300"/>
        </w:trPr>
        <w:tc>
          <w:tcPr>
            <w:tcW w:w="1120" w:type="dxa"/>
            <w:tcBorders>
              <w:top w:val="nil"/>
              <w:left w:val="nil"/>
              <w:bottom w:val="nil"/>
              <w:right w:val="nil"/>
            </w:tcBorders>
            <w:shd w:val="clear" w:color="auto" w:fill="auto"/>
            <w:noWrap/>
            <w:vAlign w:val="center"/>
            <w:hideMark/>
          </w:tcPr>
          <w:p w14:paraId="14845935"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lastRenderedPageBreak/>
              <w:t>NEDS</w:t>
            </w:r>
          </w:p>
        </w:tc>
        <w:tc>
          <w:tcPr>
            <w:tcW w:w="772" w:type="dxa"/>
            <w:tcBorders>
              <w:top w:val="nil"/>
              <w:left w:val="nil"/>
              <w:bottom w:val="nil"/>
              <w:right w:val="nil"/>
            </w:tcBorders>
            <w:shd w:val="clear" w:color="auto" w:fill="auto"/>
            <w:noWrap/>
            <w:vAlign w:val="center"/>
            <w:hideMark/>
          </w:tcPr>
          <w:p w14:paraId="345F01D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0.092*</w:t>
            </w:r>
          </w:p>
        </w:tc>
        <w:tc>
          <w:tcPr>
            <w:tcW w:w="780" w:type="dxa"/>
            <w:tcBorders>
              <w:top w:val="nil"/>
              <w:left w:val="nil"/>
              <w:bottom w:val="nil"/>
              <w:right w:val="nil"/>
            </w:tcBorders>
            <w:shd w:val="clear" w:color="auto" w:fill="auto"/>
            <w:noWrap/>
            <w:vAlign w:val="center"/>
            <w:hideMark/>
          </w:tcPr>
          <w:p w14:paraId="3BD5BEA4"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0.016</w:t>
            </w:r>
          </w:p>
        </w:tc>
        <w:tc>
          <w:tcPr>
            <w:tcW w:w="840" w:type="dxa"/>
            <w:tcBorders>
              <w:top w:val="nil"/>
              <w:left w:val="nil"/>
              <w:bottom w:val="nil"/>
              <w:right w:val="nil"/>
            </w:tcBorders>
            <w:shd w:val="clear" w:color="auto" w:fill="auto"/>
            <w:noWrap/>
            <w:vAlign w:val="center"/>
            <w:hideMark/>
          </w:tcPr>
          <w:p w14:paraId="11FF5BE5"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0.088*</w:t>
            </w:r>
          </w:p>
        </w:tc>
        <w:tc>
          <w:tcPr>
            <w:tcW w:w="800" w:type="dxa"/>
            <w:tcBorders>
              <w:top w:val="nil"/>
              <w:left w:val="nil"/>
              <w:bottom w:val="nil"/>
              <w:right w:val="nil"/>
            </w:tcBorders>
            <w:shd w:val="clear" w:color="auto" w:fill="auto"/>
            <w:noWrap/>
            <w:vAlign w:val="center"/>
            <w:hideMark/>
          </w:tcPr>
          <w:p w14:paraId="0C750A28"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0.047</w:t>
            </w:r>
          </w:p>
        </w:tc>
        <w:tc>
          <w:tcPr>
            <w:tcW w:w="772" w:type="dxa"/>
            <w:tcBorders>
              <w:top w:val="nil"/>
              <w:left w:val="nil"/>
              <w:bottom w:val="nil"/>
              <w:right w:val="nil"/>
            </w:tcBorders>
            <w:shd w:val="clear" w:color="auto" w:fill="auto"/>
            <w:noWrap/>
            <w:vAlign w:val="center"/>
            <w:hideMark/>
          </w:tcPr>
          <w:p w14:paraId="0113493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0.026</w:t>
            </w:r>
          </w:p>
        </w:tc>
        <w:tc>
          <w:tcPr>
            <w:tcW w:w="780" w:type="dxa"/>
            <w:tcBorders>
              <w:top w:val="nil"/>
              <w:left w:val="nil"/>
              <w:bottom w:val="nil"/>
              <w:right w:val="nil"/>
            </w:tcBorders>
            <w:shd w:val="clear" w:color="auto" w:fill="auto"/>
            <w:noWrap/>
            <w:vAlign w:val="center"/>
            <w:hideMark/>
          </w:tcPr>
          <w:p w14:paraId="5BECB505"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0.061*</w:t>
            </w:r>
          </w:p>
        </w:tc>
        <w:tc>
          <w:tcPr>
            <w:tcW w:w="772" w:type="dxa"/>
            <w:tcBorders>
              <w:top w:val="nil"/>
              <w:left w:val="nil"/>
              <w:bottom w:val="nil"/>
              <w:right w:val="nil"/>
            </w:tcBorders>
            <w:shd w:val="clear" w:color="auto" w:fill="auto"/>
            <w:noWrap/>
            <w:vAlign w:val="center"/>
            <w:hideMark/>
          </w:tcPr>
          <w:p w14:paraId="22E96C31"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0.069*</w:t>
            </w:r>
          </w:p>
        </w:tc>
        <w:tc>
          <w:tcPr>
            <w:tcW w:w="772" w:type="dxa"/>
            <w:tcBorders>
              <w:top w:val="nil"/>
              <w:left w:val="nil"/>
              <w:bottom w:val="nil"/>
              <w:right w:val="nil"/>
            </w:tcBorders>
            <w:shd w:val="clear" w:color="auto" w:fill="auto"/>
            <w:noWrap/>
            <w:vAlign w:val="center"/>
            <w:hideMark/>
          </w:tcPr>
          <w:p w14:paraId="6FE85DE7"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0.034</w:t>
            </w:r>
          </w:p>
        </w:tc>
        <w:tc>
          <w:tcPr>
            <w:tcW w:w="820" w:type="dxa"/>
            <w:tcBorders>
              <w:top w:val="nil"/>
              <w:left w:val="nil"/>
              <w:bottom w:val="nil"/>
              <w:right w:val="nil"/>
            </w:tcBorders>
            <w:shd w:val="clear" w:color="auto" w:fill="auto"/>
            <w:noWrap/>
            <w:vAlign w:val="center"/>
            <w:hideMark/>
          </w:tcPr>
          <w:p w14:paraId="4067596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0.129*</w:t>
            </w:r>
          </w:p>
        </w:tc>
        <w:tc>
          <w:tcPr>
            <w:tcW w:w="800" w:type="dxa"/>
            <w:tcBorders>
              <w:top w:val="nil"/>
              <w:left w:val="nil"/>
              <w:bottom w:val="nil"/>
              <w:right w:val="nil"/>
            </w:tcBorders>
            <w:shd w:val="clear" w:color="auto" w:fill="auto"/>
            <w:noWrap/>
            <w:vAlign w:val="center"/>
            <w:hideMark/>
          </w:tcPr>
          <w:p w14:paraId="57DDD99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0.076*</w:t>
            </w:r>
          </w:p>
        </w:tc>
        <w:tc>
          <w:tcPr>
            <w:tcW w:w="911" w:type="dxa"/>
            <w:tcBorders>
              <w:top w:val="nil"/>
              <w:left w:val="nil"/>
              <w:bottom w:val="nil"/>
              <w:right w:val="nil"/>
            </w:tcBorders>
            <w:shd w:val="clear" w:color="auto" w:fill="auto"/>
            <w:noWrap/>
            <w:vAlign w:val="center"/>
            <w:hideMark/>
          </w:tcPr>
          <w:p w14:paraId="74F1B538"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0.03</w:t>
            </w:r>
          </w:p>
        </w:tc>
        <w:tc>
          <w:tcPr>
            <w:tcW w:w="880" w:type="dxa"/>
            <w:tcBorders>
              <w:top w:val="nil"/>
              <w:left w:val="nil"/>
              <w:bottom w:val="nil"/>
              <w:right w:val="nil"/>
            </w:tcBorders>
            <w:shd w:val="clear" w:color="auto" w:fill="auto"/>
            <w:noWrap/>
            <w:vAlign w:val="center"/>
            <w:hideMark/>
          </w:tcPr>
          <w:p w14:paraId="77C2221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-0.008</w:t>
            </w:r>
          </w:p>
        </w:tc>
        <w:tc>
          <w:tcPr>
            <w:tcW w:w="820" w:type="dxa"/>
            <w:tcBorders>
              <w:top w:val="nil"/>
              <w:left w:val="nil"/>
              <w:bottom w:val="nil"/>
              <w:right w:val="nil"/>
            </w:tcBorders>
            <w:shd w:val="clear" w:color="auto" w:fill="auto"/>
            <w:noWrap/>
            <w:vAlign w:val="center"/>
            <w:hideMark/>
          </w:tcPr>
          <w:p w14:paraId="6DA3038D"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0.697*</w:t>
            </w:r>
          </w:p>
        </w:tc>
        <w:tc>
          <w:tcPr>
            <w:tcW w:w="772" w:type="dxa"/>
            <w:tcBorders>
              <w:top w:val="nil"/>
              <w:left w:val="nil"/>
              <w:bottom w:val="nil"/>
              <w:right w:val="nil"/>
            </w:tcBorders>
            <w:shd w:val="clear" w:color="auto" w:fill="auto"/>
            <w:noWrap/>
            <w:vAlign w:val="center"/>
            <w:hideMark/>
          </w:tcPr>
          <w:p w14:paraId="21CC3CC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c>
          <w:tcPr>
            <w:tcW w:w="820" w:type="dxa"/>
            <w:tcBorders>
              <w:top w:val="nil"/>
              <w:left w:val="nil"/>
              <w:bottom w:val="nil"/>
              <w:right w:val="nil"/>
            </w:tcBorders>
            <w:shd w:val="clear" w:color="auto" w:fill="auto"/>
            <w:noWrap/>
            <w:vAlign w:val="bottom"/>
            <w:hideMark/>
          </w:tcPr>
          <w:p w14:paraId="334437D8"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r>
      <w:tr w:rsidR="0060274A" w:rsidRPr="00055865" w14:paraId="565DCFA9" w14:textId="77777777" w:rsidTr="005B6FD7">
        <w:trPr>
          <w:trHeight w:val="300"/>
        </w:trPr>
        <w:tc>
          <w:tcPr>
            <w:tcW w:w="1120" w:type="dxa"/>
            <w:tcBorders>
              <w:top w:val="nil"/>
              <w:left w:val="nil"/>
              <w:bottom w:val="nil"/>
              <w:right w:val="nil"/>
            </w:tcBorders>
            <w:shd w:val="clear" w:color="auto" w:fill="auto"/>
            <w:noWrap/>
            <w:vAlign w:val="center"/>
            <w:hideMark/>
          </w:tcPr>
          <w:p w14:paraId="56A71361"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CEO Rem</w:t>
            </w:r>
          </w:p>
        </w:tc>
        <w:tc>
          <w:tcPr>
            <w:tcW w:w="772" w:type="dxa"/>
            <w:tcBorders>
              <w:top w:val="nil"/>
              <w:left w:val="nil"/>
              <w:bottom w:val="nil"/>
              <w:right w:val="nil"/>
            </w:tcBorders>
            <w:shd w:val="clear" w:color="auto" w:fill="auto"/>
            <w:noWrap/>
            <w:vAlign w:val="center"/>
            <w:hideMark/>
          </w:tcPr>
          <w:p w14:paraId="629F564A"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0.175*</w:t>
            </w:r>
          </w:p>
        </w:tc>
        <w:tc>
          <w:tcPr>
            <w:tcW w:w="780" w:type="dxa"/>
            <w:tcBorders>
              <w:top w:val="nil"/>
              <w:left w:val="nil"/>
              <w:bottom w:val="nil"/>
              <w:right w:val="nil"/>
            </w:tcBorders>
            <w:shd w:val="clear" w:color="auto" w:fill="auto"/>
            <w:noWrap/>
            <w:vAlign w:val="center"/>
            <w:hideMark/>
          </w:tcPr>
          <w:p w14:paraId="15BE3DDC"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-0.026</w:t>
            </w:r>
          </w:p>
        </w:tc>
        <w:tc>
          <w:tcPr>
            <w:tcW w:w="840" w:type="dxa"/>
            <w:tcBorders>
              <w:top w:val="nil"/>
              <w:left w:val="nil"/>
              <w:bottom w:val="nil"/>
              <w:right w:val="nil"/>
            </w:tcBorders>
            <w:shd w:val="clear" w:color="auto" w:fill="auto"/>
            <w:noWrap/>
            <w:vAlign w:val="center"/>
            <w:hideMark/>
          </w:tcPr>
          <w:p w14:paraId="3E57E6C1"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0.222*</w:t>
            </w:r>
          </w:p>
        </w:tc>
        <w:tc>
          <w:tcPr>
            <w:tcW w:w="800" w:type="dxa"/>
            <w:tcBorders>
              <w:top w:val="nil"/>
              <w:left w:val="nil"/>
              <w:bottom w:val="nil"/>
              <w:right w:val="nil"/>
            </w:tcBorders>
            <w:shd w:val="clear" w:color="auto" w:fill="auto"/>
            <w:noWrap/>
            <w:vAlign w:val="center"/>
            <w:hideMark/>
          </w:tcPr>
          <w:p w14:paraId="4D3C5F0B"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0.208*</w:t>
            </w:r>
          </w:p>
        </w:tc>
        <w:tc>
          <w:tcPr>
            <w:tcW w:w="772" w:type="dxa"/>
            <w:tcBorders>
              <w:top w:val="nil"/>
              <w:left w:val="nil"/>
              <w:bottom w:val="nil"/>
              <w:right w:val="nil"/>
            </w:tcBorders>
            <w:shd w:val="clear" w:color="auto" w:fill="auto"/>
            <w:noWrap/>
            <w:vAlign w:val="center"/>
            <w:hideMark/>
          </w:tcPr>
          <w:p w14:paraId="2016F62D"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0.259*</w:t>
            </w:r>
          </w:p>
        </w:tc>
        <w:tc>
          <w:tcPr>
            <w:tcW w:w="780" w:type="dxa"/>
            <w:tcBorders>
              <w:top w:val="nil"/>
              <w:left w:val="nil"/>
              <w:bottom w:val="nil"/>
              <w:right w:val="nil"/>
            </w:tcBorders>
            <w:shd w:val="clear" w:color="auto" w:fill="auto"/>
            <w:noWrap/>
            <w:vAlign w:val="center"/>
            <w:hideMark/>
          </w:tcPr>
          <w:p w14:paraId="2BEED346"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0.0970*</w:t>
            </w:r>
          </w:p>
        </w:tc>
        <w:tc>
          <w:tcPr>
            <w:tcW w:w="772" w:type="dxa"/>
            <w:tcBorders>
              <w:top w:val="nil"/>
              <w:left w:val="nil"/>
              <w:bottom w:val="nil"/>
              <w:right w:val="nil"/>
            </w:tcBorders>
            <w:shd w:val="clear" w:color="auto" w:fill="auto"/>
            <w:noWrap/>
            <w:vAlign w:val="center"/>
            <w:hideMark/>
          </w:tcPr>
          <w:p w14:paraId="042BDD61"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0.117*</w:t>
            </w:r>
          </w:p>
        </w:tc>
        <w:tc>
          <w:tcPr>
            <w:tcW w:w="772" w:type="dxa"/>
            <w:tcBorders>
              <w:top w:val="nil"/>
              <w:left w:val="nil"/>
              <w:bottom w:val="nil"/>
              <w:right w:val="nil"/>
            </w:tcBorders>
            <w:shd w:val="clear" w:color="auto" w:fill="auto"/>
            <w:noWrap/>
            <w:vAlign w:val="center"/>
            <w:hideMark/>
          </w:tcPr>
          <w:p w14:paraId="21D88784"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0.168*</w:t>
            </w:r>
          </w:p>
        </w:tc>
        <w:tc>
          <w:tcPr>
            <w:tcW w:w="820" w:type="dxa"/>
            <w:tcBorders>
              <w:top w:val="nil"/>
              <w:left w:val="nil"/>
              <w:bottom w:val="nil"/>
              <w:right w:val="nil"/>
            </w:tcBorders>
            <w:shd w:val="clear" w:color="auto" w:fill="auto"/>
            <w:noWrap/>
            <w:vAlign w:val="center"/>
            <w:hideMark/>
          </w:tcPr>
          <w:p w14:paraId="0AD38C0D"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0.048</w:t>
            </w:r>
          </w:p>
        </w:tc>
        <w:tc>
          <w:tcPr>
            <w:tcW w:w="800" w:type="dxa"/>
            <w:tcBorders>
              <w:top w:val="nil"/>
              <w:left w:val="nil"/>
              <w:bottom w:val="nil"/>
              <w:right w:val="nil"/>
            </w:tcBorders>
            <w:shd w:val="clear" w:color="auto" w:fill="auto"/>
            <w:noWrap/>
            <w:vAlign w:val="center"/>
            <w:hideMark/>
          </w:tcPr>
          <w:p w14:paraId="70B091EE"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0.334*</w:t>
            </w:r>
          </w:p>
        </w:tc>
        <w:tc>
          <w:tcPr>
            <w:tcW w:w="911" w:type="dxa"/>
            <w:tcBorders>
              <w:top w:val="nil"/>
              <w:left w:val="nil"/>
              <w:bottom w:val="nil"/>
              <w:right w:val="nil"/>
            </w:tcBorders>
            <w:shd w:val="clear" w:color="auto" w:fill="auto"/>
            <w:noWrap/>
            <w:vAlign w:val="center"/>
            <w:hideMark/>
          </w:tcPr>
          <w:p w14:paraId="40DB550B"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-0.07*</w:t>
            </w:r>
          </w:p>
        </w:tc>
        <w:tc>
          <w:tcPr>
            <w:tcW w:w="880" w:type="dxa"/>
            <w:tcBorders>
              <w:top w:val="nil"/>
              <w:left w:val="nil"/>
              <w:bottom w:val="nil"/>
              <w:right w:val="nil"/>
            </w:tcBorders>
            <w:shd w:val="clear" w:color="auto" w:fill="auto"/>
            <w:noWrap/>
            <w:vAlign w:val="center"/>
            <w:hideMark/>
          </w:tcPr>
          <w:p w14:paraId="395A4AF5"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0.059</w:t>
            </w:r>
          </w:p>
        </w:tc>
        <w:tc>
          <w:tcPr>
            <w:tcW w:w="820" w:type="dxa"/>
            <w:tcBorders>
              <w:top w:val="nil"/>
              <w:left w:val="nil"/>
              <w:bottom w:val="nil"/>
              <w:right w:val="nil"/>
            </w:tcBorders>
            <w:shd w:val="clear" w:color="auto" w:fill="auto"/>
            <w:noWrap/>
            <w:vAlign w:val="center"/>
            <w:hideMark/>
          </w:tcPr>
          <w:p w14:paraId="57FA692D"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0.270*</w:t>
            </w:r>
          </w:p>
        </w:tc>
        <w:tc>
          <w:tcPr>
            <w:tcW w:w="772" w:type="dxa"/>
            <w:tcBorders>
              <w:top w:val="nil"/>
              <w:left w:val="nil"/>
              <w:bottom w:val="nil"/>
              <w:right w:val="nil"/>
            </w:tcBorders>
            <w:shd w:val="clear" w:color="auto" w:fill="auto"/>
            <w:noWrap/>
            <w:vAlign w:val="center"/>
            <w:hideMark/>
          </w:tcPr>
          <w:p w14:paraId="3CA1CAD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0.196*</w:t>
            </w:r>
          </w:p>
        </w:tc>
        <w:tc>
          <w:tcPr>
            <w:tcW w:w="820" w:type="dxa"/>
            <w:tcBorders>
              <w:top w:val="nil"/>
              <w:left w:val="nil"/>
              <w:bottom w:val="nil"/>
              <w:right w:val="nil"/>
            </w:tcBorders>
            <w:shd w:val="clear" w:color="auto" w:fill="auto"/>
            <w:noWrap/>
            <w:vAlign w:val="center"/>
            <w:hideMark/>
          </w:tcPr>
          <w:p w14:paraId="25EED49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r w:rsidRPr="00055865">
              <w:rPr>
                <w:rFonts w:ascii="Garamond" w:eastAsia="Times New Roman" w:hAnsi="Garamond" w:cs="Calibri"/>
                <w:sz w:val="20"/>
                <w:szCs w:val="20"/>
                <w:lang w:eastAsia="en-GB"/>
              </w:rPr>
              <w:t>1</w:t>
            </w:r>
          </w:p>
        </w:tc>
      </w:tr>
      <w:tr w:rsidR="0060274A" w:rsidRPr="00055865" w14:paraId="22F6D162" w14:textId="77777777" w:rsidTr="005B6FD7">
        <w:trPr>
          <w:trHeight w:val="300"/>
        </w:trPr>
        <w:tc>
          <w:tcPr>
            <w:tcW w:w="1120" w:type="dxa"/>
            <w:tcBorders>
              <w:top w:val="nil"/>
              <w:left w:val="nil"/>
              <w:bottom w:val="single" w:sz="4" w:space="0" w:color="auto"/>
              <w:right w:val="nil"/>
            </w:tcBorders>
            <w:shd w:val="clear" w:color="auto" w:fill="auto"/>
            <w:noWrap/>
            <w:vAlign w:val="center"/>
            <w:hideMark/>
          </w:tcPr>
          <w:p w14:paraId="67F4727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772" w:type="dxa"/>
            <w:tcBorders>
              <w:top w:val="nil"/>
              <w:left w:val="nil"/>
              <w:bottom w:val="single" w:sz="4" w:space="0" w:color="auto"/>
              <w:right w:val="nil"/>
            </w:tcBorders>
            <w:shd w:val="clear" w:color="auto" w:fill="auto"/>
            <w:noWrap/>
            <w:vAlign w:val="center"/>
            <w:hideMark/>
          </w:tcPr>
          <w:p w14:paraId="27D7300B"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780" w:type="dxa"/>
            <w:tcBorders>
              <w:top w:val="nil"/>
              <w:left w:val="nil"/>
              <w:bottom w:val="single" w:sz="4" w:space="0" w:color="auto"/>
              <w:right w:val="nil"/>
            </w:tcBorders>
            <w:shd w:val="clear" w:color="auto" w:fill="auto"/>
            <w:noWrap/>
            <w:vAlign w:val="center"/>
            <w:hideMark/>
          </w:tcPr>
          <w:p w14:paraId="055AEB6B"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40" w:type="dxa"/>
            <w:tcBorders>
              <w:top w:val="nil"/>
              <w:left w:val="nil"/>
              <w:bottom w:val="single" w:sz="4" w:space="0" w:color="auto"/>
              <w:right w:val="nil"/>
            </w:tcBorders>
            <w:shd w:val="clear" w:color="auto" w:fill="auto"/>
            <w:noWrap/>
            <w:vAlign w:val="center"/>
            <w:hideMark/>
          </w:tcPr>
          <w:p w14:paraId="0C061E0C"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00" w:type="dxa"/>
            <w:tcBorders>
              <w:top w:val="nil"/>
              <w:left w:val="nil"/>
              <w:bottom w:val="single" w:sz="4" w:space="0" w:color="auto"/>
              <w:right w:val="nil"/>
            </w:tcBorders>
            <w:shd w:val="clear" w:color="auto" w:fill="auto"/>
            <w:noWrap/>
            <w:vAlign w:val="center"/>
            <w:hideMark/>
          </w:tcPr>
          <w:p w14:paraId="61BB7259"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772" w:type="dxa"/>
            <w:tcBorders>
              <w:top w:val="nil"/>
              <w:left w:val="nil"/>
              <w:bottom w:val="single" w:sz="4" w:space="0" w:color="auto"/>
              <w:right w:val="nil"/>
            </w:tcBorders>
            <w:shd w:val="clear" w:color="auto" w:fill="auto"/>
            <w:noWrap/>
            <w:vAlign w:val="center"/>
            <w:hideMark/>
          </w:tcPr>
          <w:p w14:paraId="6F1E9ED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780" w:type="dxa"/>
            <w:tcBorders>
              <w:top w:val="nil"/>
              <w:left w:val="nil"/>
              <w:bottom w:val="single" w:sz="4" w:space="0" w:color="auto"/>
              <w:right w:val="nil"/>
            </w:tcBorders>
            <w:shd w:val="clear" w:color="auto" w:fill="auto"/>
            <w:noWrap/>
            <w:vAlign w:val="center"/>
            <w:hideMark/>
          </w:tcPr>
          <w:p w14:paraId="04BF93A4"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772" w:type="dxa"/>
            <w:tcBorders>
              <w:top w:val="nil"/>
              <w:left w:val="nil"/>
              <w:bottom w:val="single" w:sz="4" w:space="0" w:color="auto"/>
              <w:right w:val="nil"/>
            </w:tcBorders>
            <w:shd w:val="clear" w:color="auto" w:fill="auto"/>
            <w:noWrap/>
            <w:vAlign w:val="center"/>
            <w:hideMark/>
          </w:tcPr>
          <w:p w14:paraId="448FBAA4"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772" w:type="dxa"/>
            <w:tcBorders>
              <w:top w:val="nil"/>
              <w:left w:val="nil"/>
              <w:bottom w:val="single" w:sz="4" w:space="0" w:color="auto"/>
              <w:right w:val="nil"/>
            </w:tcBorders>
            <w:shd w:val="clear" w:color="auto" w:fill="auto"/>
            <w:noWrap/>
            <w:vAlign w:val="center"/>
            <w:hideMark/>
          </w:tcPr>
          <w:p w14:paraId="58F80B08"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20" w:type="dxa"/>
            <w:tcBorders>
              <w:top w:val="nil"/>
              <w:left w:val="nil"/>
              <w:bottom w:val="single" w:sz="4" w:space="0" w:color="auto"/>
              <w:right w:val="nil"/>
            </w:tcBorders>
            <w:shd w:val="clear" w:color="auto" w:fill="auto"/>
            <w:noWrap/>
            <w:vAlign w:val="center"/>
            <w:hideMark/>
          </w:tcPr>
          <w:p w14:paraId="3ECC097F"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00" w:type="dxa"/>
            <w:tcBorders>
              <w:top w:val="nil"/>
              <w:left w:val="nil"/>
              <w:bottom w:val="single" w:sz="4" w:space="0" w:color="auto"/>
              <w:right w:val="nil"/>
            </w:tcBorders>
            <w:shd w:val="clear" w:color="auto" w:fill="auto"/>
            <w:noWrap/>
            <w:vAlign w:val="center"/>
            <w:hideMark/>
          </w:tcPr>
          <w:p w14:paraId="349533F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911" w:type="dxa"/>
            <w:tcBorders>
              <w:top w:val="nil"/>
              <w:left w:val="nil"/>
              <w:bottom w:val="single" w:sz="4" w:space="0" w:color="auto"/>
              <w:right w:val="nil"/>
            </w:tcBorders>
            <w:shd w:val="clear" w:color="auto" w:fill="auto"/>
            <w:noWrap/>
            <w:vAlign w:val="center"/>
            <w:hideMark/>
          </w:tcPr>
          <w:p w14:paraId="5AF6601E"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80" w:type="dxa"/>
            <w:tcBorders>
              <w:top w:val="nil"/>
              <w:left w:val="nil"/>
              <w:bottom w:val="single" w:sz="4" w:space="0" w:color="auto"/>
              <w:right w:val="nil"/>
            </w:tcBorders>
            <w:shd w:val="clear" w:color="auto" w:fill="auto"/>
            <w:noWrap/>
            <w:vAlign w:val="center"/>
            <w:hideMark/>
          </w:tcPr>
          <w:p w14:paraId="38D24840"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20" w:type="dxa"/>
            <w:tcBorders>
              <w:top w:val="nil"/>
              <w:left w:val="nil"/>
              <w:bottom w:val="single" w:sz="4" w:space="0" w:color="auto"/>
              <w:right w:val="nil"/>
            </w:tcBorders>
            <w:shd w:val="clear" w:color="auto" w:fill="auto"/>
            <w:noWrap/>
            <w:vAlign w:val="center"/>
            <w:hideMark/>
          </w:tcPr>
          <w:p w14:paraId="762A818F"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772" w:type="dxa"/>
            <w:tcBorders>
              <w:top w:val="nil"/>
              <w:left w:val="nil"/>
              <w:bottom w:val="single" w:sz="4" w:space="0" w:color="auto"/>
              <w:right w:val="nil"/>
            </w:tcBorders>
            <w:shd w:val="clear" w:color="auto" w:fill="auto"/>
            <w:noWrap/>
            <w:vAlign w:val="center"/>
            <w:hideMark/>
          </w:tcPr>
          <w:p w14:paraId="57B941A2"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c>
          <w:tcPr>
            <w:tcW w:w="820" w:type="dxa"/>
            <w:tcBorders>
              <w:top w:val="nil"/>
              <w:left w:val="nil"/>
              <w:bottom w:val="single" w:sz="4" w:space="0" w:color="auto"/>
              <w:right w:val="nil"/>
            </w:tcBorders>
            <w:shd w:val="clear" w:color="auto" w:fill="auto"/>
            <w:noWrap/>
            <w:vAlign w:val="center"/>
            <w:hideMark/>
          </w:tcPr>
          <w:p w14:paraId="7917D943" w14:textId="77777777" w:rsidR="0060274A" w:rsidRPr="00055865" w:rsidRDefault="0060274A" w:rsidP="005B6FD7">
            <w:pPr>
              <w:spacing w:after="0" w:line="480" w:lineRule="auto"/>
              <w:contextualSpacing/>
              <w:rPr>
                <w:rFonts w:ascii="Garamond" w:eastAsia="Times New Roman" w:hAnsi="Garamond" w:cs="Calibri"/>
                <w:sz w:val="20"/>
                <w:szCs w:val="20"/>
                <w:lang w:eastAsia="en-GB"/>
              </w:rPr>
            </w:pPr>
          </w:p>
        </w:tc>
      </w:tr>
    </w:tbl>
    <w:p w14:paraId="71CB61C2" w14:textId="31FCD7F5" w:rsidR="0060274A" w:rsidRPr="00055865" w:rsidRDefault="0060274A" w:rsidP="0060274A">
      <w:pPr>
        <w:spacing w:after="0" w:line="480" w:lineRule="auto"/>
        <w:contextualSpacing/>
        <w:rPr>
          <w:rFonts w:ascii="Garamond" w:hAnsi="Garamond"/>
          <w:b/>
          <w:sz w:val="24"/>
          <w:szCs w:val="24"/>
        </w:rPr>
        <w:sectPr w:rsidR="0060274A" w:rsidRPr="00055865" w:rsidSect="0060274A">
          <w:pgSz w:w="16838" w:h="11906" w:orient="landscape" w:code="9"/>
          <w:pgMar w:top="1440" w:right="1440" w:bottom="1440" w:left="1440" w:header="720" w:footer="720" w:gutter="0"/>
          <w:cols w:space="720"/>
          <w:noEndnote/>
        </w:sectPr>
      </w:pPr>
      <w:r w:rsidRPr="00055865">
        <w:rPr>
          <w:rFonts w:ascii="Garamond" w:hAnsi="Garamond"/>
          <w:sz w:val="20"/>
          <w:szCs w:val="20"/>
          <w:lang w:eastAsia="en-GB"/>
        </w:rPr>
        <w:t>Significance levels (*) are designated between 1% and 10</w:t>
      </w:r>
    </w:p>
    <w:p w14:paraId="22B3FECF" w14:textId="3608885E" w:rsidR="00C0056F" w:rsidRDefault="00660AB8" w:rsidP="005D6CE4">
      <w:pPr>
        <w:spacing w:after="0" w:line="480" w:lineRule="auto"/>
        <w:contextualSpacing/>
        <w:jc w:val="both"/>
        <w:rPr>
          <w:rFonts w:ascii="Garamond" w:hAnsi="Garamond" w:cs="Times New Roman"/>
          <w:sz w:val="24"/>
          <w:szCs w:val="24"/>
        </w:rPr>
      </w:pPr>
      <w:r>
        <w:rPr>
          <w:rFonts w:ascii="Garamond" w:hAnsi="Garamond"/>
          <w:b/>
          <w:sz w:val="24"/>
          <w:szCs w:val="24"/>
        </w:rPr>
        <w:lastRenderedPageBreak/>
        <w:t>4</w:t>
      </w:r>
      <w:r w:rsidR="00C3429E" w:rsidRPr="00055865">
        <w:rPr>
          <w:rFonts w:ascii="Garamond" w:hAnsi="Garamond"/>
          <w:b/>
          <w:sz w:val="24"/>
          <w:szCs w:val="24"/>
        </w:rPr>
        <w:t>.3 Baseline regression</w:t>
      </w:r>
    </w:p>
    <w:p w14:paraId="023E0783" w14:textId="766C78EA" w:rsidR="00660541" w:rsidRPr="00055865" w:rsidRDefault="00876D64" w:rsidP="005B6FD7">
      <w:pPr>
        <w:spacing w:after="0" w:line="480" w:lineRule="auto"/>
        <w:contextualSpacing/>
        <w:jc w:val="both"/>
        <w:rPr>
          <w:rFonts w:ascii="Garamond" w:hAnsi="Garamond"/>
          <w:sz w:val="24"/>
          <w:szCs w:val="24"/>
        </w:rPr>
      </w:pPr>
      <w:r>
        <w:rPr>
          <w:rFonts w:ascii="Garamond" w:hAnsi="Garamond" w:cs="Times New Roman"/>
          <w:sz w:val="24"/>
          <w:szCs w:val="24"/>
        </w:rPr>
        <w:t xml:space="preserve">         </w:t>
      </w:r>
      <w:r w:rsidR="00240093" w:rsidRPr="00055865">
        <w:rPr>
          <w:rFonts w:ascii="Garamond" w:hAnsi="Garamond" w:cs="Times New Roman"/>
          <w:sz w:val="24"/>
          <w:szCs w:val="24"/>
        </w:rPr>
        <w:t>The study adopt</w:t>
      </w:r>
      <w:r w:rsidR="00B25BCE" w:rsidRPr="00055865">
        <w:rPr>
          <w:rFonts w:ascii="Garamond" w:hAnsi="Garamond" w:cs="Times New Roman"/>
          <w:sz w:val="24"/>
          <w:szCs w:val="24"/>
        </w:rPr>
        <w:t>s</w:t>
      </w:r>
      <w:r w:rsidR="00240093" w:rsidRPr="00055865">
        <w:rPr>
          <w:rFonts w:ascii="Garamond" w:hAnsi="Garamond" w:cs="Times New Roman"/>
          <w:sz w:val="24"/>
          <w:szCs w:val="24"/>
        </w:rPr>
        <w:t xml:space="preserve"> the fixed effect model to investigate the relationship between sustainable environmental practices and financial performance. </w:t>
      </w:r>
      <w:r w:rsidR="00B25BCE" w:rsidRPr="00055865">
        <w:rPr>
          <w:rFonts w:ascii="Garamond" w:hAnsi="Garamond" w:cs="Times New Roman"/>
          <w:sz w:val="24"/>
          <w:szCs w:val="24"/>
        </w:rPr>
        <w:t xml:space="preserve"> The advantage of using the fixed</w:t>
      </w:r>
      <w:r w:rsidR="005B6FD7">
        <w:rPr>
          <w:rFonts w:ascii="Garamond" w:hAnsi="Garamond" w:cs="Times New Roman"/>
          <w:sz w:val="24"/>
          <w:szCs w:val="24"/>
        </w:rPr>
        <w:t>-</w:t>
      </w:r>
      <w:r w:rsidR="00B25BCE" w:rsidRPr="00055865">
        <w:rPr>
          <w:rFonts w:ascii="Garamond" w:hAnsi="Garamond" w:cs="Times New Roman"/>
          <w:sz w:val="24"/>
          <w:szCs w:val="24"/>
        </w:rPr>
        <w:t>effect model is</w:t>
      </w:r>
      <w:r w:rsidR="0016739E" w:rsidRPr="00055865">
        <w:rPr>
          <w:rFonts w:ascii="Garamond" w:hAnsi="Garamond" w:cs="Times New Roman"/>
          <w:sz w:val="24"/>
          <w:szCs w:val="24"/>
        </w:rPr>
        <w:t xml:space="preserve"> that </w:t>
      </w:r>
      <w:r w:rsidR="00660541" w:rsidRPr="00055865">
        <w:rPr>
          <w:rFonts w:ascii="Garamond" w:hAnsi="Garamond" w:cs="Times New Roman"/>
          <w:sz w:val="24"/>
          <w:szCs w:val="24"/>
        </w:rPr>
        <w:t>whatever effects omitted variable</w:t>
      </w:r>
      <w:r w:rsidR="00297769" w:rsidRPr="00055865">
        <w:rPr>
          <w:rFonts w:ascii="Garamond" w:hAnsi="Garamond" w:cs="Times New Roman"/>
          <w:sz w:val="24"/>
          <w:szCs w:val="24"/>
        </w:rPr>
        <w:t>s</w:t>
      </w:r>
      <w:r w:rsidR="00660541" w:rsidRPr="00055865">
        <w:rPr>
          <w:rFonts w:ascii="Garamond" w:hAnsi="Garamond" w:cs="Times New Roman"/>
          <w:sz w:val="24"/>
          <w:szCs w:val="24"/>
        </w:rPr>
        <w:t xml:space="preserve"> have on the subject at one time, they will also have the same </w:t>
      </w:r>
      <w:r w:rsidR="00DB6768" w:rsidRPr="00055865">
        <w:rPr>
          <w:rFonts w:ascii="Garamond" w:hAnsi="Garamond" w:cs="Times New Roman"/>
          <w:sz w:val="24"/>
          <w:szCs w:val="24"/>
        </w:rPr>
        <w:t>impa</w:t>
      </w:r>
      <w:r w:rsidR="00660541" w:rsidRPr="00055865">
        <w:rPr>
          <w:rFonts w:ascii="Garamond" w:hAnsi="Garamond" w:cs="Times New Roman"/>
          <w:sz w:val="24"/>
          <w:szCs w:val="24"/>
        </w:rPr>
        <w:t>ct at the later time</w:t>
      </w:r>
      <w:r w:rsidR="00DB6768" w:rsidRPr="00055865">
        <w:rPr>
          <w:rFonts w:ascii="Garamond" w:hAnsi="Garamond" w:cs="Times New Roman"/>
          <w:sz w:val="24"/>
          <w:szCs w:val="24"/>
        </w:rPr>
        <w:t>. T</w:t>
      </w:r>
      <w:r w:rsidR="00660541" w:rsidRPr="00055865">
        <w:rPr>
          <w:rFonts w:ascii="Garamond" w:hAnsi="Garamond" w:cs="Times New Roman"/>
          <w:sz w:val="24"/>
          <w:szCs w:val="24"/>
        </w:rPr>
        <w:t>herefore</w:t>
      </w:r>
      <w:r w:rsidR="004914EB" w:rsidRPr="00055865">
        <w:rPr>
          <w:rFonts w:ascii="Garamond" w:hAnsi="Garamond" w:cs="Times New Roman"/>
          <w:sz w:val="24"/>
          <w:szCs w:val="24"/>
        </w:rPr>
        <w:t>,</w:t>
      </w:r>
      <w:r w:rsidR="00660541" w:rsidRPr="00055865">
        <w:rPr>
          <w:rFonts w:ascii="Garamond" w:hAnsi="Garamond" w:cs="Times New Roman"/>
          <w:sz w:val="24"/>
          <w:szCs w:val="24"/>
        </w:rPr>
        <w:t xml:space="preserve"> the effects will be constant or fixed throughout</w:t>
      </w:r>
      <w:r w:rsidR="0016739E" w:rsidRPr="00055865">
        <w:rPr>
          <w:rFonts w:ascii="Garamond" w:hAnsi="Garamond" w:cs="Times New Roman"/>
          <w:sz w:val="24"/>
          <w:szCs w:val="24"/>
        </w:rPr>
        <w:t>.</w:t>
      </w:r>
    </w:p>
    <w:p w14:paraId="58C72A91" w14:textId="54CE58C1" w:rsidR="00C3429E" w:rsidRPr="00055865" w:rsidRDefault="00876D64" w:rsidP="005B6FD7">
      <w:pPr>
        <w:autoSpaceDE w:val="0"/>
        <w:autoSpaceDN w:val="0"/>
        <w:adjustRightInd w:val="0"/>
        <w:spacing w:after="0" w:line="480" w:lineRule="auto"/>
        <w:jc w:val="both"/>
        <w:rPr>
          <w:rFonts w:ascii="Garamond" w:hAnsi="Garamond" w:cs="Times New Roman"/>
          <w:sz w:val="24"/>
          <w:szCs w:val="24"/>
        </w:rPr>
      </w:pPr>
      <w:r>
        <w:rPr>
          <w:rFonts w:ascii="Garamond" w:hAnsi="Garamond"/>
          <w:sz w:val="24"/>
          <w:szCs w:val="24"/>
        </w:rPr>
        <w:t xml:space="preserve">           </w:t>
      </w:r>
      <w:r w:rsidR="0016739E" w:rsidRPr="00055865">
        <w:rPr>
          <w:rFonts w:ascii="Garamond" w:hAnsi="Garamond"/>
          <w:sz w:val="24"/>
          <w:szCs w:val="24"/>
        </w:rPr>
        <w:t>The</w:t>
      </w:r>
      <w:r w:rsidR="00C3429E" w:rsidRPr="00055865">
        <w:rPr>
          <w:rFonts w:ascii="Garamond" w:hAnsi="Garamond"/>
          <w:sz w:val="24"/>
          <w:szCs w:val="24"/>
        </w:rPr>
        <w:t xml:space="preserve"> regression model presented in </w:t>
      </w:r>
      <w:r w:rsidR="00DB6768" w:rsidRPr="00055865">
        <w:rPr>
          <w:rFonts w:ascii="Garamond" w:hAnsi="Garamond"/>
          <w:sz w:val="24"/>
          <w:szCs w:val="24"/>
        </w:rPr>
        <w:t>T</w:t>
      </w:r>
      <w:r w:rsidR="00C3429E" w:rsidRPr="00055865">
        <w:rPr>
          <w:rFonts w:ascii="Garamond" w:hAnsi="Garamond"/>
          <w:sz w:val="24"/>
          <w:szCs w:val="24"/>
        </w:rPr>
        <w:t>able 3 revealed a significant positive relationship or significant non-linear relationship between all the sustainable environmental policies (Energy, GHG, Waste, Materials and Resource Efficiency</w:t>
      </w:r>
      <w:r w:rsidR="00C637E6">
        <w:rPr>
          <w:rFonts w:ascii="Garamond" w:hAnsi="Garamond"/>
          <w:sz w:val="24"/>
          <w:szCs w:val="24"/>
        </w:rPr>
        <w:t>,</w:t>
      </w:r>
      <w:r w:rsidR="00C3429E" w:rsidRPr="00055865">
        <w:rPr>
          <w:rFonts w:ascii="Garamond" w:hAnsi="Garamond"/>
          <w:sz w:val="24"/>
          <w:szCs w:val="24"/>
        </w:rPr>
        <w:t xml:space="preserve"> and Stakeholder engagement) and ROA</w:t>
      </w:r>
      <w:r w:rsidR="00C637E6">
        <w:rPr>
          <w:rFonts w:ascii="Garamond" w:hAnsi="Garamond"/>
          <w:sz w:val="24"/>
          <w:szCs w:val="24"/>
        </w:rPr>
        <w:t>,</w:t>
      </w:r>
      <w:r w:rsidR="00C3429E" w:rsidRPr="00055865">
        <w:rPr>
          <w:rFonts w:ascii="Garamond" w:hAnsi="Garamond"/>
          <w:sz w:val="24"/>
          <w:szCs w:val="24"/>
        </w:rPr>
        <w:t xml:space="preserve"> except compliance</w:t>
      </w:r>
      <w:r w:rsidR="00DB6768" w:rsidRPr="00055865">
        <w:rPr>
          <w:rFonts w:ascii="Garamond" w:hAnsi="Garamond"/>
          <w:sz w:val="24"/>
          <w:szCs w:val="24"/>
        </w:rPr>
        <w:t>.</w:t>
      </w:r>
      <w:r w:rsidR="00C3429E" w:rsidRPr="00055865">
        <w:rPr>
          <w:rFonts w:ascii="Garamond" w:hAnsi="Garamond"/>
          <w:sz w:val="24"/>
          <w:szCs w:val="24"/>
        </w:rPr>
        <w:t xml:space="preserve"> </w:t>
      </w:r>
      <w:r w:rsidR="00DB6768" w:rsidRPr="00055865">
        <w:rPr>
          <w:rFonts w:ascii="Garamond" w:hAnsi="Garamond"/>
          <w:sz w:val="24"/>
          <w:szCs w:val="24"/>
        </w:rPr>
        <w:t xml:space="preserve">In the case of compliance, </w:t>
      </w:r>
      <w:r w:rsidR="00C3429E" w:rsidRPr="00055865">
        <w:rPr>
          <w:rFonts w:ascii="Garamond" w:hAnsi="Garamond"/>
          <w:sz w:val="24"/>
          <w:szCs w:val="24"/>
        </w:rPr>
        <w:t>the relationship with ROA is negative</w:t>
      </w:r>
      <w:r w:rsidR="00CA5C46">
        <w:rPr>
          <w:rFonts w:ascii="Garamond" w:hAnsi="Garamond"/>
          <w:sz w:val="24"/>
          <w:szCs w:val="24"/>
        </w:rPr>
        <w:t>,</w:t>
      </w:r>
      <w:r w:rsidR="00C3429E" w:rsidRPr="00055865">
        <w:rPr>
          <w:rFonts w:ascii="Garamond" w:hAnsi="Garamond"/>
          <w:sz w:val="24"/>
          <w:szCs w:val="24"/>
        </w:rPr>
        <w:t xml:space="preserve"> but not significant. Specifically, energy efficiency practices, GHG</w:t>
      </w:r>
      <w:r w:rsidR="00C637E6">
        <w:rPr>
          <w:rFonts w:ascii="Garamond" w:hAnsi="Garamond"/>
          <w:sz w:val="24"/>
          <w:szCs w:val="24"/>
        </w:rPr>
        <w:t>,</w:t>
      </w:r>
      <w:r w:rsidR="00C3429E" w:rsidRPr="00055865">
        <w:rPr>
          <w:rFonts w:ascii="Garamond" w:hAnsi="Garamond"/>
          <w:sz w:val="24"/>
          <w:szCs w:val="24"/>
        </w:rPr>
        <w:t xml:space="preserve"> and material </w:t>
      </w:r>
      <w:r w:rsidR="00C637E6">
        <w:rPr>
          <w:rFonts w:ascii="Garamond" w:hAnsi="Garamond"/>
          <w:sz w:val="24"/>
          <w:szCs w:val="24"/>
        </w:rPr>
        <w:t>and resource efficiency reveal</w:t>
      </w:r>
      <w:r w:rsidR="00C3429E" w:rsidRPr="00055865">
        <w:rPr>
          <w:rFonts w:ascii="Garamond" w:hAnsi="Garamond"/>
          <w:sz w:val="24"/>
          <w:szCs w:val="24"/>
        </w:rPr>
        <w:t xml:space="preserve"> </w:t>
      </w:r>
      <w:r w:rsidR="00DB6768" w:rsidRPr="00055865">
        <w:rPr>
          <w:rFonts w:ascii="Garamond" w:hAnsi="Garamond"/>
          <w:sz w:val="24"/>
          <w:szCs w:val="24"/>
        </w:rPr>
        <w:t xml:space="preserve">a </w:t>
      </w:r>
      <w:r w:rsidR="00C3429E" w:rsidRPr="00055865">
        <w:rPr>
          <w:rFonts w:ascii="Garamond" w:hAnsi="Garamond"/>
          <w:sz w:val="24"/>
          <w:szCs w:val="24"/>
        </w:rPr>
        <w:t>significant and inverted u-shaped relationship with ROA. Whil</w:t>
      </w:r>
      <w:r w:rsidR="00DB6768" w:rsidRPr="00055865">
        <w:rPr>
          <w:rFonts w:ascii="Garamond" w:hAnsi="Garamond"/>
          <w:sz w:val="24"/>
          <w:szCs w:val="24"/>
        </w:rPr>
        <w:t>e</w:t>
      </w:r>
      <w:r w:rsidR="00C3429E" w:rsidRPr="00055865">
        <w:rPr>
          <w:rFonts w:ascii="Garamond" w:hAnsi="Garamond"/>
          <w:sz w:val="24"/>
          <w:szCs w:val="24"/>
        </w:rPr>
        <w:t xml:space="preserve"> confirming the study</w:t>
      </w:r>
      <w:r w:rsidR="00297769" w:rsidRPr="00055865">
        <w:rPr>
          <w:rFonts w:ascii="Garamond" w:hAnsi="Garamond"/>
          <w:sz w:val="24"/>
          <w:szCs w:val="24"/>
        </w:rPr>
        <w:t>’s</w:t>
      </w:r>
      <w:r w:rsidR="00C3429E" w:rsidRPr="00055865">
        <w:rPr>
          <w:rFonts w:ascii="Garamond" w:hAnsi="Garamond"/>
          <w:sz w:val="24"/>
          <w:szCs w:val="24"/>
        </w:rPr>
        <w:t xml:space="preserve"> hypothesis</w:t>
      </w:r>
      <w:r>
        <w:rPr>
          <w:rFonts w:ascii="Garamond" w:hAnsi="Garamond"/>
          <w:sz w:val="24"/>
          <w:szCs w:val="24"/>
        </w:rPr>
        <w:t xml:space="preserve"> 1</w:t>
      </w:r>
      <w:r w:rsidR="00C3429E" w:rsidRPr="00055865">
        <w:rPr>
          <w:rFonts w:ascii="Garamond" w:hAnsi="Garamond"/>
          <w:sz w:val="24"/>
          <w:szCs w:val="24"/>
        </w:rPr>
        <w:t xml:space="preserve">, it is also in line with evidence from </w:t>
      </w:r>
      <w:r w:rsidR="00265917" w:rsidRPr="00055865">
        <w:rPr>
          <w:rFonts w:ascii="Garamond" w:hAnsi="Garamond"/>
          <w:sz w:val="24"/>
          <w:szCs w:val="24"/>
        </w:rPr>
        <w:fldChar w:fldCharType="begin" w:fldLock="1"/>
      </w:r>
      <w:r w:rsidR="00265917" w:rsidRPr="00055865">
        <w:rPr>
          <w:rFonts w:ascii="Garamond" w:hAnsi="Garamond"/>
          <w:sz w:val="24"/>
          <w:szCs w:val="24"/>
        </w:rPr>
        <w:instrText>ADDIN CSL_CITATION {"citationItems":[{"id":"ITEM-1","itemData":{"DOI":"10.1007/s40953-016-0034-7","ISSN":"02175908","abstract":"The objective of this study is to calculate total factor productivity and determine factors related to energy intensity for the pre-existing manufacturing plants in India, using data from the annual survey of industries from 2002 to 2008. We use Levinsohn and Petrin (Rev Econ Stud 70:317–342, 2003) technique to estimate total factor productivity. The results indicate that most of the industries achieved positive TFP growth except a few, and thus, within plant efficiency exists in the Indian manufacturing sector. In case of determinants of energy intensity, we found plants with higher TFP and higher output are energy efficient. Also, there exists a nonlinear relationship between energy intensity and output, which validates the productivity dilemma hypothesis for the Indian manufacturing sector.","author":[{"dropping-particle":"","family":"Sahu","given":"Santosh Kumar","non-dropping-particle":"","parse-names":false,"suffix":""},{"dropping-particle":"","family":"Sharma","given":"Himani","non-dropping-particle":"","parse-names":false,"suffix":""}],"container-title":"Journal of Quantitative Economics","id":"ITEM-1","issue":"August","issued":{"date-parts":[["2016"]]},"title":"Determinants of Energy and Co2 Emission Intensities: a Study of Manufacturing Firms in India","type":"article-journal"},"uris":["http://www.mendeley.com/documents/?uuid=a43c3588-35e4-480f-abeb-0b27a2d3c471"]}],"mendeley":{"formattedCitation":"(Sahu &amp; Sharma, 2016)","manualFormatting":"Sahu &amp; Sharma (2016)","plainTextFormattedCitation":"(Sahu &amp; Sharma, 2016)","previouslyFormattedCitation":"(Sahu &amp; Sharma, 2016)"},"properties":{"noteIndex":0},"schema":"https://github.com/citation-style-language/schema/raw/master/csl-citation.json"}</w:instrText>
      </w:r>
      <w:r w:rsidR="00265917" w:rsidRPr="00055865">
        <w:rPr>
          <w:rFonts w:ascii="Garamond" w:hAnsi="Garamond"/>
          <w:sz w:val="24"/>
          <w:szCs w:val="24"/>
        </w:rPr>
        <w:fldChar w:fldCharType="separate"/>
      </w:r>
      <w:r w:rsidR="00265917" w:rsidRPr="00055865">
        <w:rPr>
          <w:rFonts w:ascii="Garamond" w:hAnsi="Garamond"/>
          <w:noProof/>
          <w:sz w:val="24"/>
          <w:szCs w:val="24"/>
        </w:rPr>
        <w:t>Sahu &amp; Sharma (2016)</w:t>
      </w:r>
      <w:r w:rsidR="00265917" w:rsidRPr="00055865">
        <w:rPr>
          <w:rFonts w:ascii="Garamond" w:hAnsi="Garamond"/>
          <w:sz w:val="24"/>
          <w:szCs w:val="24"/>
        </w:rPr>
        <w:fldChar w:fldCharType="end"/>
      </w:r>
      <w:r w:rsidR="00C637E6">
        <w:rPr>
          <w:rFonts w:ascii="Garamond" w:hAnsi="Garamond"/>
          <w:sz w:val="24"/>
          <w:szCs w:val="24"/>
        </w:rPr>
        <w:t>,</w:t>
      </w:r>
      <w:r w:rsidR="00265917" w:rsidRPr="00055865">
        <w:rPr>
          <w:rFonts w:ascii="Garamond" w:hAnsi="Garamond"/>
          <w:sz w:val="24"/>
          <w:szCs w:val="24"/>
        </w:rPr>
        <w:t xml:space="preserve"> </w:t>
      </w:r>
      <w:r w:rsidR="00C3429E" w:rsidRPr="00055865">
        <w:rPr>
          <w:rFonts w:ascii="Garamond" w:hAnsi="Garamond"/>
          <w:sz w:val="24"/>
          <w:szCs w:val="24"/>
        </w:rPr>
        <w:t xml:space="preserve">who also found that efficient energy intensity practices are positively correlated with </w:t>
      </w:r>
      <w:r w:rsidR="005445B5" w:rsidRPr="00055865">
        <w:rPr>
          <w:rFonts w:ascii="Garamond" w:hAnsi="Garamond"/>
          <w:sz w:val="24"/>
          <w:szCs w:val="24"/>
        </w:rPr>
        <w:t>the</w:t>
      </w:r>
      <w:r w:rsidR="00C3429E" w:rsidRPr="00055865">
        <w:rPr>
          <w:rFonts w:ascii="Garamond" w:hAnsi="Garamond"/>
          <w:sz w:val="24"/>
          <w:szCs w:val="24"/>
        </w:rPr>
        <w:t xml:space="preserve"> financial performance </w:t>
      </w:r>
      <w:r w:rsidR="005445B5" w:rsidRPr="00055865">
        <w:rPr>
          <w:rFonts w:ascii="Garamond" w:hAnsi="Garamond"/>
          <w:sz w:val="24"/>
          <w:szCs w:val="24"/>
        </w:rPr>
        <w:t>of</w:t>
      </w:r>
      <w:r w:rsidR="00C3429E" w:rsidRPr="00055865">
        <w:rPr>
          <w:rFonts w:ascii="Garamond" w:hAnsi="Garamond"/>
          <w:sz w:val="24"/>
          <w:szCs w:val="24"/>
        </w:rPr>
        <w:t xml:space="preserve"> a sample of Indian firms. </w:t>
      </w:r>
      <w:r w:rsidR="00265917" w:rsidRPr="00055865">
        <w:rPr>
          <w:rFonts w:ascii="Garamond" w:hAnsi="Garamond"/>
          <w:sz w:val="24"/>
          <w:szCs w:val="24"/>
        </w:rPr>
        <w:fldChar w:fldCharType="begin" w:fldLock="1"/>
      </w:r>
      <w:r w:rsidR="00265917" w:rsidRPr="00055865">
        <w:rPr>
          <w:rFonts w:ascii="Garamond" w:hAnsi="Garamond"/>
          <w:sz w:val="24"/>
          <w:szCs w:val="24"/>
        </w:rPr>
        <w:instrText>ADDIN CSL_CITATION {"citationItems":[{"id":"ITEM-1","itemData":{"abstract":"We conducted a longitudinal, quasi-experimental study in which we explored the effects of corporate sustainability on firm financial performance. We compared financial performance in 494 facilities of a large financial firm by comparing those that received third-party certification for their environmental practices (i.e., LEED certification) to those that have not. Analyses revealed three key finings: (a) environmental practices are positively related to an increase of household consumer business, (b) environmental practices had a stronger impact on consumer accounts than business accounts, and (c) utility costs were lower for green facilities. These findings are also discussed in light of their implications.","author":[{"dropping-particle":"","family":"Conlon","given":"Edward","non-dropping-particle":"","parse-names":false,"suffix":""},{"dropping-particle":"","family":"Glavas","given":"Ante","non-dropping-particle":"","parse-names":false,"suffix":""}],"container-title":"AOM","id":"ITEM-1","issued":{"date-parts":[["2012"]]},"page":"1-28","title":"The Relationship Between CSR and Firm Financial Performance","type":"article-journal"},"uris":["http://www.mendeley.com/documents/?uuid=e0286cbf-fb0d-4e7a-b4f2-b7beb51a656f"]}],"mendeley":{"formattedCitation":"(Conlon &amp; Glavas, 2012)","manualFormatting":"Conlon &amp; Glavas (2012)","plainTextFormattedCitation":"(Conlon &amp; Glavas, 2012)","previouslyFormattedCitation":"(Conlon &amp; Glavas, 2012)"},"properties":{"noteIndex":0},"schema":"https://github.com/citation-style-language/schema/raw/master/csl-citation.json"}</w:instrText>
      </w:r>
      <w:r w:rsidR="00265917" w:rsidRPr="00055865">
        <w:rPr>
          <w:rFonts w:ascii="Garamond" w:hAnsi="Garamond"/>
          <w:sz w:val="24"/>
          <w:szCs w:val="24"/>
        </w:rPr>
        <w:fldChar w:fldCharType="separate"/>
      </w:r>
      <w:r w:rsidR="00265917" w:rsidRPr="00055865">
        <w:rPr>
          <w:rFonts w:ascii="Garamond" w:hAnsi="Garamond"/>
          <w:noProof/>
          <w:sz w:val="24"/>
          <w:szCs w:val="24"/>
        </w:rPr>
        <w:t>Conlon &amp; Glavas (2012)</w:t>
      </w:r>
      <w:r w:rsidR="00265917" w:rsidRPr="00055865">
        <w:rPr>
          <w:rFonts w:ascii="Garamond" w:hAnsi="Garamond"/>
          <w:sz w:val="24"/>
          <w:szCs w:val="24"/>
        </w:rPr>
        <w:fldChar w:fldCharType="end"/>
      </w:r>
      <w:r w:rsidR="00827422" w:rsidRPr="00055865">
        <w:rPr>
          <w:rFonts w:ascii="Garamond" w:eastAsia="TimesNewRomanPSMT" w:hAnsi="Garamond" w:cs="Times New Roman"/>
          <w:sz w:val="24"/>
          <w:szCs w:val="24"/>
        </w:rPr>
        <w:t xml:space="preserve">  </w:t>
      </w:r>
      <w:r w:rsidR="00265917" w:rsidRPr="00055865">
        <w:rPr>
          <w:rFonts w:ascii="Garamond" w:eastAsia="TimesNewRomanPSMT" w:hAnsi="Garamond" w:cs="Times New Roman"/>
          <w:sz w:val="24"/>
          <w:szCs w:val="24"/>
        </w:rPr>
        <w:t>also discovered</w:t>
      </w:r>
      <w:r w:rsidR="00827422" w:rsidRPr="00055865">
        <w:rPr>
          <w:rFonts w:ascii="Garamond" w:eastAsia="TimesNewRomanPSMT" w:hAnsi="Garamond" w:cs="Times New Roman"/>
          <w:sz w:val="24"/>
          <w:szCs w:val="24"/>
        </w:rPr>
        <w:t xml:space="preserve"> that </w:t>
      </w:r>
      <w:r w:rsidR="00265917" w:rsidRPr="00055865">
        <w:rPr>
          <w:rFonts w:ascii="Garamond" w:eastAsia="TimesNewRomanPSMT" w:hAnsi="Garamond" w:cs="Times New Roman"/>
          <w:sz w:val="24"/>
          <w:szCs w:val="24"/>
        </w:rPr>
        <w:t>energy</w:t>
      </w:r>
      <w:r w:rsidR="00DB6768" w:rsidRPr="00055865">
        <w:rPr>
          <w:rFonts w:ascii="Garamond" w:eastAsia="TimesNewRomanPSMT" w:hAnsi="Garamond" w:cs="Times New Roman"/>
          <w:sz w:val="24"/>
          <w:szCs w:val="24"/>
        </w:rPr>
        <w:t>-</w:t>
      </w:r>
      <w:r w:rsidR="00265917" w:rsidRPr="00055865">
        <w:rPr>
          <w:rFonts w:ascii="Garamond" w:eastAsia="TimesNewRomanPSMT" w:hAnsi="Garamond" w:cs="Times New Roman"/>
          <w:sz w:val="24"/>
          <w:szCs w:val="24"/>
        </w:rPr>
        <w:t>efficient</w:t>
      </w:r>
      <w:r w:rsidR="00827422" w:rsidRPr="00055865">
        <w:rPr>
          <w:rFonts w:ascii="Garamond" w:eastAsia="TimesNewRomanPSMT" w:hAnsi="Garamond" w:cs="Times New Roman"/>
          <w:sz w:val="24"/>
          <w:szCs w:val="24"/>
        </w:rPr>
        <w:t xml:space="preserve"> building is associated with lower costs and that </w:t>
      </w:r>
      <w:r w:rsidR="00DB6768" w:rsidRPr="00055865">
        <w:rPr>
          <w:rFonts w:ascii="Garamond" w:eastAsia="TimesNewRomanPSMT" w:hAnsi="Garamond" w:cs="Times New Roman"/>
          <w:sz w:val="24"/>
          <w:szCs w:val="24"/>
        </w:rPr>
        <w:t xml:space="preserve">the </w:t>
      </w:r>
      <w:r w:rsidR="00827422" w:rsidRPr="00055865">
        <w:rPr>
          <w:rFonts w:ascii="Garamond" w:eastAsia="TimesNewRomanPSMT" w:hAnsi="Garamond" w:cs="Times New Roman"/>
          <w:sz w:val="24"/>
          <w:szCs w:val="24"/>
        </w:rPr>
        <w:t>cost of utilities of building with</w:t>
      </w:r>
      <w:r w:rsidR="00265917" w:rsidRPr="00055865">
        <w:rPr>
          <w:rFonts w:ascii="Garamond" w:eastAsia="TimesNewRomanPSMT" w:hAnsi="Garamond" w:cs="Times New Roman"/>
          <w:sz w:val="24"/>
          <w:szCs w:val="24"/>
        </w:rPr>
        <w:t xml:space="preserve"> energy</w:t>
      </w:r>
      <w:r w:rsidR="00DB6768" w:rsidRPr="00055865">
        <w:rPr>
          <w:rFonts w:ascii="Garamond" w:eastAsia="TimesNewRomanPSMT" w:hAnsi="Garamond" w:cs="Times New Roman"/>
          <w:sz w:val="24"/>
          <w:szCs w:val="24"/>
        </w:rPr>
        <w:t>-</w:t>
      </w:r>
      <w:r w:rsidR="00265917" w:rsidRPr="00055865">
        <w:rPr>
          <w:rFonts w:ascii="Garamond" w:eastAsia="TimesNewRomanPSMT" w:hAnsi="Garamond" w:cs="Times New Roman"/>
          <w:sz w:val="24"/>
          <w:szCs w:val="24"/>
        </w:rPr>
        <w:t>saving</w:t>
      </w:r>
      <w:r w:rsidR="00827422" w:rsidRPr="00055865">
        <w:rPr>
          <w:rFonts w:ascii="Garamond" w:eastAsia="TimesNewRomanPSMT" w:hAnsi="Garamond" w:cs="Times New Roman"/>
          <w:sz w:val="24"/>
          <w:szCs w:val="24"/>
        </w:rPr>
        <w:t xml:space="preserve"> facilities was $675.26 lower per annum than </w:t>
      </w:r>
      <w:r w:rsidR="00265917" w:rsidRPr="00055865">
        <w:rPr>
          <w:rFonts w:ascii="Garamond" w:eastAsia="TimesNewRomanPSMT" w:hAnsi="Garamond" w:cs="Times New Roman"/>
          <w:sz w:val="24"/>
          <w:szCs w:val="24"/>
        </w:rPr>
        <w:t>those with non-energy</w:t>
      </w:r>
      <w:r w:rsidR="00827422" w:rsidRPr="00055865">
        <w:rPr>
          <w:rFonts w:ascii="Garamond" w:eastAsia="TimesNewRomanPSMT" w:hAnsi="Garamond" w:cs="Times New Roman"/>
          <w:sz w:val="24"/>
          <w:szCs w:val="24"/>
        </w:rPr>
        <w:t xml:space="preserve"> </w:t>
      </w:r>
      <w:r w:rsidR="00265917" w:rsidRPr="00055865">
        <w:rPr>
          <w:rFonts w:ascii="Garamond" w:eastAsia="TimesNewRomanPSMT" w:hAnsi="Garamond" w:cs="Times New Roman"/>
          <w:sz w:val="24"/>
          <w:szCs w:val="24"/>
        </w:rPr>
        <w:t xml:space="preserve">savings </w:t>
      </w:r>
      <w:r w:rsidR="00827422" w:rsidRPr="00055865">
        <w:rPr>
          <w:rFonts w:ascii="Garamond" w:eastAsia="TimesNewRomanPSMT" w:hAnsi="Garamond" w:cs="Times New Roman"/>
          <w:sz w:val="24"/>
          <w:szCs w:val="24"/>
        </w:rPr>
        <w:t xml:space="preserve">facilities. </w:t>
      </w:r>
      <w:r w:rsidR="00265917" w:rsidRPr="00055865">
        <w:rPr>
          <w:rFonts w:ascii="Garamond" w:eastAsia="TimesNewRomanPSMT" w:hAnsi="Garamond" w:cs="Times New Roman"/>
          <w:sz w:val="24"/>
          <w:szCs w:val="24"/>
        </w:rPr>
        <w:fldChar w:fldCharType="begin" w:fldLock="1"/>
      </w:r>
      <w:r w:rsidR="00CC7C2C" w:rsidRPr="00055865">
        <w:rPr>
          <w:rFonts w:ascii="Garamond" w:eastAsia="TimesNewRomanPSMT" w:hAnsi="Garamond" w:cs="Times New Roman"/>
          <w:sz w:val="24"/>
          <w:szCs w:val="24"/>
        </w:rPr>
        <w:instrText>ADDIN CSL_CITATION {"citationItems":[{"id":"ITEM-1","itemData":{"DOI":"10.1016/j.egypro.2014.11.1071","ISSN":"18766102","abstract":"Despite the well-known need for increased industrial energy efficiency, several studies indicate that energy efficiency measures are little implemented, especially in Small and Medium-sized Enterprises (SMEs). Therefore, to sustain the development of the effective policies, a better understanding of the barriers to be tackled and the drivers to be promoted is crucial. To do so, we have performed an investigation within 64 primary metal manufacturing SMEs located in a Northern Italy province. The adoption of energy management practices among the sample is scarce: indeed, consumption monitoring, energy data analysis, programs of staff training and motivation are barely implemented. The analysis highlights the relevance of economic and information barriers, suggesting that, beside the issue of capital availability, information about technology, regulations and opportunities for financing are perceived as complicated, fragmented or not trustworthy, especially those coming from government and financial institutions. Moreover, barriers affect mostly the first steps of the decision-making process, i.e. those related to the awareness and identification of the punctual measure to be adopted. With exception of smaller firms, start-up and training are not perceived as critical. All external drivers are perceived as more relevant than internal ones. Nonetheless, beside the primary role of economic drivers, the study shows that SMEs look also for increased information on energy efficiency solutions, with greater role played by their energy suppliers, manufacturers and technology suppliers. Finally, particular relevance is given to training, suggesting that greater attention should be paid in the increased competences that manufacturers, technology suppliers and installers should hand over to their final industrial users.","author":[{"dropping-particle":"","family":"Trianni","given":"Andrea","non-dropping-particle":"","parse-names":false,"suffix":""},{"dropping-particle":"","family":"Cagno","given":"Enrico","non-dropping-particle":"","parse-names":false,"suffix":""},{"dropping-particle":"","family":"Farnè","given":"Stefano","non-dropping-particle":"","parse-names":false,"suffix":""}],"container-title":"Energy Procedia","id":"ITEM-1","issued":{"date-parts":[["2014"]]},"page":"1252-1255","publisher":"Elsevier B.V.","title":"An empirical investigation of barriers, drivers and practices for energy efficiency in primary metals manufacturing SMEs","type":"article-journal","volume":"61"},"uris":["http://www.mendeley.com/documents/?uuid=1c87e335-f811-4f96-b7f7-16cad66b8781"]}],"mendeley":{"formattedCitation":"(Trianni, Cagno, &amp; Farnè, 2014)","manualFormatting":"Trianni, Cagno, &amp; Farnè, (2014)","plainTextFormattedCitation":"(Trianni, Cagno, &amp; Farnè, 2014)","previouslyFormattedCitation":"(Trianni, Cagno, &amp; Farnè, 2014)"},"properties":{"noteIndex":0},"schema":"https://github.com/citation-style-language/schema/raw/master/csl-citation.json"}</w:instrText>
      </w:r>
      <w:r w:rsidR="00265917" w:rsidRPr="00055865">
        <w:rPr>
          <w:rFonts w:ascii="Garamond" w:eastAsia="TimesNewRomanPSMT" w:hAnsi="Garamond" w:cs="Times New Roman"/>
          <w:sz w:val="24"/>
          <w:szCs w:val="24"/>
        </w:rPr>
        <w:fldChar w:fldCharType="separate"/>
      </w:r>
      <w:r w:rsidR="00265917" w:rsidRPr="00055865">
        <w:rPr>
          <w:rFonts w:ascii="Garamond" w:eastAsia="TimesNewRomanPSMT" w:hAnsi="Garamond" w:cs="Times New Roman"/>
          <w:noProof/>
          <w:sz w:val="24"/>
          <w:szCs w:val="24"/>
        </w:rPr>
        <w:t>Trianni, Cagno, &amp; Farnè, (2014)</w:t>
      </w:r>
      <w:r w:rsidR="00265917" w:rsidRPr="00055865">
        <w:rPr>
          <w:rFonts w:ascii="Garamond" w:eastAsia="TimesNewRomanPSMT" w:hAnsi="Garamond" w:cs="Times New Roman"/>
          <w:sz w:val="24"/>
          <w:szCs w:val="24"/>
        </w:rPr>
        <w:fldChar w:fldCharType="end"/>
      </w:r>
      <w:r w:rsidR="00265917" w:rsidRPr="00055865">
        <w:rPr>
          <w:rFonts w:ascii="Garamond" w:hAnsi="Garamond" w:cs="Times New Roman"/>
          <w:sz w:val="24"/>
          <w:szCs w:val="24"/>
        </w:rPr>
        <w:t xml:space="preserve"> based on a</w:t>
      </w:r>
      <w:r w:rsidR="00827422" w:rsidRPr="00055865">
        <w:rPr>
          <w:rFonts w:ascii="Garamond" w:hAnsi="Garamond" w:cs="Times New Roman"/>
          <w:sz w:val="24"/>
          <w:szCs w:val="24"/>
        </w:rPr>
        <w:t xml:space="preserve"> study on 71 Italian manufacturing SMEs also found </w:t>
      </w:r>
      <w:r w:rsidR="00CC7C2C" w:rsidRPr="00055865">
        <w:rPr>
          <w:rFonts w:ascii="Garamond" w:hAnsi="Garamond" w:cs="Times New Roman"/>
          <w:sz w:val="24"/>
          <w:szCs w:val="24"/>
        </w:rPr>
        <w:t>increased</w:t>
      </w:r>
      <w:r w:rsidR="00827422" w:rsidRPr="00055865">
        <w:rPr>
          <w:rFonts w:ascii="Garamond" w:hAnsi="Garamond" w:cs="Times New Roman"/>
          <w:sz w:val="24"/>
          <w:szCs w:val="24"/>
        </w:rPr>
        <w:t xml:space="preserve"> financial benefits and competitiv</w:t>
      </w:r>
      <w:r w:rsidR="00CC7C2C" w:rsidRPr="00055865">
        <w:rPr>
          <w:rFonts w:ascii="Garamond" w:hAnsi="Garamond" w:cs="Times New Roman"/>
          <w:sz w:val="24"/>
          <w:szCs w:val="24"/>
        </w:rPr>
        <w:t>e advantage</w:t>
      </w:r>
      <w:r w:rsidR="00827422" w:rsidRPr="00055865">
        <w:rPr>
          <w:rFonts w:ascii="Garamond" w:hAnsi="Garamond" w:cs="Times New Roman"/>
          <w:sz w:val="24"/>
          <w:szCs w:val="24"/>
        </w:rPr>
        <w:t xml:space="preserve"> as important drivers for SMEs to invest in </w:t>
      </w:r>
      <w:r w:rsidR="00CC7C2C" w:rsidRPr="00055865">
        <w:rPr>
          <w:rFonts w:ascii="Garamond" w:hAnsi="Garamond" w:cs="Times New Roman"/>
          <w:sz w:val="24"/>
          <w:szCs w:val="24"/>
        </w:rPr>
        <w:t>sustainable</w:t>
      </w:r>
      <w:r w:rsidR="00827422" w:rsidRPr="00055865">
        <w:rPr>
          <w:rFonts w:ascii="Garamond" w:hAnsi="Garamond" w:cs="Times New Roman"/>
          <w:sz w:val="24"/>
          <w:szCs w:val="24"/>
        </w:rPr>
        <w:t xml:space="preserve"> energy</w:t>
      </w:r>
      <w:r w:rsidR="00DB6768" w:rsidRPr="00055865">
        <w:rPr>
          <w:rFonts w:ascii="Garamond" w:hAnsi="Garamond" w:cs="Times New Roman"/>
          <w:sz w:val="24"/>
          <w:szCs w:val="24"/>
        </w:rPr>
        <w:t>-</w:t>
      </w:r>
      <w:r w:rsidR="00827422" w:rsidRPr="00055865">
        <w:rPr>
          <w:rFonts w:ascii="Garamond" w:hAnsi="Garamond" w:cs="Times New Roman"/>
          <w:sz w:val="24"/>
          <w:szCs w:val="24"/>
        </w:rPr>
        <w:t>efficient practices.</w:t>
      </w:r>
      <w:r w:rsidR="00CC7C2C" w:rsidRPr="00055865">
        <w:rPr>
          <w:rFonts w:ascii="Garamond" w:hAnsi="Garamond" w:cs="Times New Roman"/>
          <w:sz w:val="24"/>
          <w:szCs w:val="24"/>
        </w:rPr>
        <w:t xml:space="preserve"> </w:t>
      </w:r>
      <w:r w:rsidR="00CC7C2C" w:rsidRPr="00055865">
        <w:rPr>
          <w:rFonts w:ascii="Garamond" w:hAnsi="Garamond" w:cs="Times New Roman"/>
          <w:sz w:val="24"/>
          <w:szCs w:val="24"/>
        </w:rPr>
        <w:fldChar w:fldCharType="begin" w:fldLock="1"/>
      </w:r>
      <w:r w:rsidR="00CC7C2C" w:rsidRPr="00055865">
        <w:rPr>
          <w:rFonts w:ascii="Garamond" w:hAnsi="Garamond" w:cs="Times New Roman"/>
          <w:sz w:val="24"/>
          <w:szCs w:val="24"/>
        </w:rPr>
        <w:instrText>ADDIN CSL_CITATION {"citationItems":[{"id":"ITEM-1","itemData":{"DOI":"10.1007/s40953-016-0034-7","ISSN":"02175908","abstract":"The objective of this study is to calculate total factor productivity and determine factors related to energy intensity for the pre-existing manufacturing plants in India, using data from the annual survey of industries from 2002 to 2008. We use Levinsohn and Petrin (Rev Econ Stud 70:317–342, 2003) technique to estimate total factor productivity. The results indicate that most of the industries achieved positive TFP growth except a few, and thus, within plant efficiency exists in the Indian manufacturing sector. In case of determinants of energy intensity, we found plants with higher TFP and higher output are energy efficient. Also, there exists a nonlinear relationship between energy intensity and output, which validates the productivity dilemma hypothesis for the Indian manufacturing sector.","author":[{"dropping-particle":"","family":"Sahu","given":"Santosh Kumar","non-dropping-particle":"","parse-names":false,"suffix":""},{"dropping-particle":"","family":"Sharma","given":"Himani","non-dropping-particle":"","parse-names":false,"suffix":""}],"container-title":"Journal of Quantitative Economics","id":"ITEM-1","issue":"August","issued":{"date-parts":[["2016"]]},"title":"Determinants of Energy and Co2 Emission Intensities: a Study of Manufacturing Firms in India","type":"article-journal"},"uris":["http://www.mendeley.com/documents/?uuid=a43c3588-35e4-480f-abeb-0b27a2d3c471"]}],"mendeley":{"formattedCitation":"(Sahu &amp; Sharma, 2016)","manualFormatting":"Sahu &amp; Sharma (2016)","plainTextFormattedCitation":"(Sahu &amp; Sharma, 2016)","previouslyFormattedCitation":"(Sahu &amp; Sharma, 2016)"},"properties":{"noteIndex":0},"schema":"https://github.com/citation-style-language/schema/raw/master/csl-citation.json"}</w:instrText>
      </w:r>
      <w:r w:rsidR="00CC7C2C" w:rsidRPr="00055865">
        <w:rPr>
          <w:rFonts w:ascii="Garamond" w:hAnsi="Garamond" w:cs="Times New Roman"/>
          <w:sz w:val="24"/>
          <w:szCs w:val="24"/>
        </w:rPr>
        <w:fldChar w:fldCharType="separate"/>
      </w:r>
      <w:r w:rsidR="00CC7C2C" w:rsidRPr="00055865">
        <w:rPr>
          <w:rFonts w:ascii="Garamond" w:hAnsi="Garamond" w:cs="Times New Roman"/>
          <w:noProof/>
          <w:sz w:val="24"/>
          <w:szCs w:val="24"/>
        </w:rPr>
        <w:t>Sahu &amp; Sharma (2016)</w:t>
      </w:r>
      <w:r w:rsidR="00CC7C2C" w:rsidRPr="00055865">
        <w:rPr>
          <w:rFonts w:ascii="Garamond" w:hAnsi="Garamond" w:cs="Times New Roman"/>
          <w:sz w:val="24"/>
          <w:szCs w:val="24"/>
        </w:rPr>
        <w:fldChar w:fldCharType="end"/>
      </w:r>
      <w:r w:rsidR="00827422" w:rsidRPr="00055865">
        <w:rPr>
          <w:rFonts w:ascii="Garamond" w:hAnsi="Garamond" w:cs="Times New Roman"/>
          <w:sz w:val="24"/>
          <w:szCs w:val="24"/>
        </w:rPr>
        <w:t xml:space="preserve"> found that companies that use natural gas </w:t>
      </w:r>
      <w:r w:rsidR="00CC7C2C" w:rsidRPr="00055865">
        <w:rPr>
          <w:rFonts w:ascii="Garamond" w:hAnsi="Garamond" w:cs="Times New Roman"/>
          <w:sz w:val="24"/>
          <w:szCs w:val="24"/>
        </w:rPr>
        <w:t>obtain more financial benefits</w:t>
      </w:r>
      <w:r w:rsidR="00827422" w:rsidRPr="00055865">
        <w:rPr>
          <w:rFonts w:ascii="Garamond" w:hAnsi="Garamond" w:cs="Times New Roman"/>
          <w:sz w:val="24"/>
          <w:szCs w:val="24"/>
        </w:rPr>
        <w:t xml:space="preserve"> than those </w:t>
      </w:r>
      <w:r w:rsidR="005445B5" w:rsidRPr="00055865">
        <w:rPr>
          <w:rFonts w:ascii="Garamond" w:hAnsi="Garamond" w:cs="Times New Roman"/>
          <w:sz w:val="24"/>
          <w:szCs w:val="24"/>
        </w:rPr>
        <w:t xml:space="preserve">that </w:t>
      </w:r>
      <w:r w:rsidR="00827422" w:rsidRPr="00055865">
        <w:rPr>
          <w:rFonts w:ascii="Garamond" w:hAnsi="Garamond" w:cs="Times New Roman"/>
          <w:sz w:val="24"/>
          <w:szCs w:val="24"/>
        </w:rPr>
        <w:t>us</w:t>
      </w:r>
      <w:r w:rsidR="00C637E6">
        <w:rPr>
          <w:rFonts w:ascii="Garamond" w:hAnsi="Garamond" w:cs="Times New Roman"/>
          <w:sz w:val="24"/>
          <w:szCs w:val="24"/>
        </w:rPr>
        <w:t>e</w:t>
      </w:r>
      <w:r w:rsidR="00827422" w:rsidRPr="00055865">
        <w:rPr>
          <w:rFonts w:ascii="Garamond" w:hAnsi="Garamond" w:cs="Times New Roman"/>
          <w:sz w:val="24"/>
          <w:szCs w:val="24"/>
        </w:rPr>
        <w:t xml:space="preserve"> coal and petrol. </w:t>
      </w:r>
      <w:r w:rsidR="00CC7C2C" w:rsidRPr="00055865">
        <w:rPr>
          <w:rFonts w:ascii="Garamond" w:hAnsi="Garamond" w:cs="Times New Roman"/>
          <w:sz w:val="24"/>
          <w:szCs w:val="24"/>
        </w:rPr>
        <w:fldChar w:fldCharType="begin" w:fldLock="1"/>
      </w:r>
      <w:r w:rsidR="005C7EB0" w:rsidRPr="00055865">
        <w:rPr>
          <w:rFonts w:ascii="Garamond" w:hAnsi="Garamond" w:cs="Times New Roman"/>
          <w:sz w:val="24"/>
          <w:szCs w:val="24"/>
        </w:rPr>
        <w:instrText>ADDIN CSL_CITATION {"citationItems":[{"id":"ITEM-1","itemData":{"DOI":"10.1007/s40953-016-0034-7","ISSN":"02175908","abstract":"The objective of this study is to calculate total factor productivity and determine factors related to energy intensity for the pre-existing manufacturing plants in India, using data from the annual survey of industries from 2002 to 2008. We use Levinsohn and Petrin (Rev Econ Stud 70:317–342, 2003) technique to estimate total factor productivity. The results indicate that most of the industries achieved positive TFP growth except a few, and thus, within plant efficiency exists in the Indian manufacturing sector. In case of determinants of energy intensity, we found plants with higher TFP and higher output are energy efficient. Also, there exists a nonlinear relationship between energy intensity and output, which validates the productivity dilemma hypothesis for the Indian manufacturing sector.","author":[{"dropping-particle":"","family":"Sahu","given":"Santosh Kumar","non-dropping-particle":"","parse-names":false,"suffix":""},{"dropping-particle":"","family":"Sharma","given":"Himani","non-dropping-particle":"","parse-names":false,"suffix":""}],"container-title":"Journal of Quantitative Economics","id":"ITEM-1","issue":"August","issued":{"date-parts":[["2016"]]},"title":"Determinants of Energy and Co2 Emission Intensities: a Study of Manufacturing Firms in India","type":"article-journal"},"uris":["http://www.mendeley.com/documents/?uuid=a43c3588-35e4-480f-abeb-0b27a2d3c471"]}],"mendeley":{"formattedCitation":"(Sahu &amp; Sharma, 2016)","manualFormatting":"Sahu &amp; Sharma (2016)","plainTextFormattedCitation":"(Sahu &amp; Sharma, 2016)","previouslyFormattedCitation":"(Sahu &amp; Sharma, 2016)"},"properties":{"noteIndex":0},"schema":"https://github.com/citation-style-language/schema/raw/master/csl-citation.json"}</w:instrText>
      </w:r>
      <w:r w:rsidR="00CC7C2C" w:rsidRPr="00055865">
        <w:rPr>
          <w:rFonts w:ascii="Garamond" w:hAnsi="Garamond" w:cs="Times New Roman"/>
          <w:sz w:val="24"/>
          <w:szCs w:val="24"/>
        </w:rPr>
        <w:fldChar w:fldCharType="separate"/>
      </w:r>
      <w:r w:rsidR="00CC7C2C" w:rsidRPr="00055865">
        <w:rPr>
          <w:rFonts w:ascii="Garamond" w:hAnsi="Garamond" w:cs="Times New Roman"/>
          <w:noProof/>
          <w:sz w:val="24"/>
          <w:szCs w:val="24"/>
        </w:rPr>
        <w:t>Sahu &amp; Sharma (2016)</w:t>
      </w:r>
      <w:r w:rsidR="00CC7C2C" w:rsidRPr="00055865">
        <w:rPr>
          <w:rFonts w:ascii="Garamond" w:hAnsi="Garamond" w:cs="Times New Roman"/>
          <w:sz w:val="24"/>
          <w:szCs w:val="24"/>
        </w:rPr>
        <w:fldChar w:fldCharType="end"/>
      </w:r>
      <w:r w:rsidR="00CC7C2C" w:rsidRPr="00055865">
        <w:rPr>
          <w:rFonts w:ascii="Garamond" w:hAnsi="Garamond" w:cs="Times New Roman"/>
          <w:sz w:val="24"/>
          <w:szCs w:val="24"/>
        </w:rPr>
        <w:t xml:space="preserve"> findings</w:t>
      </w:r>
      <w:r w:rsidR="00827422" w:rsidRPr="00055865">
        <w:rPr>
          <w:rFonts w:ascii="Garamond" w:hAnsi="Garamond" w:cs="Times New Roman"/>
          <w:sz w:val="24"/>
          <w:szCs w:val="24"/>
        </w:rPr>
        <w:t xml:space="preserve"> </w:t>
      </w:r>
      <w:r w:rsidR="00CC7C2C" w:rsidRPr="00055865">
        <w:rPr>
          <w:rFonts w:ascii="Garamond" w:hAnsi="Garamond" w:cs="Times New Roman"/>
          <w:sz w:val="24"/>
          <w:szCs w:val="24"/>
        </w:rPr>
        <w:t>also</w:t>
      </w:r>
      <w:r w:rsidR="00827422" w:rsidRPr="00055865">
        <w:rPr>
          <w:rFonts w:ascii="Garamond" w:hAnsi="Garamond" w:cs="Times New Roman"/>
          <w:sz w:val="24"/>
          <w:szCs w:val="24"/>
        </w:rPr>
        <w:t xml:space="preserve"> attest to Porter’s “win-win”</w:t>
      </w:r>
      <w:r w:rsidR="00CC7C2C" w:rsidRPr="00055865">
        <w:rPr>
          <w:rFonts w:ascii="Garamond" w:hAnsi="Garamond" w:cs="Times New Roman"/>
          <w:sz w:val="24"/>
          <w:szCs w:val="24"/>
        </w:rPr>
        <w:t xml:space="preserve"> hypothesis as</w:t>
      </w:r>
      <w:r w:rsidR="00827422" w:rsidRPr="00055865">
        <w:rPr>
          <w:rFonts w:ascii="Garamond" w:hAnsi="Garamond" w:cs="Times New Roman"/>
          <w:sz w:val="24"/>
          <w:szCs w:val="24"/>
        </w:rPr>
        <w:t xml:space="preserve"> </w:t>
      </w:r>
      <w:r w:rsidR="00CC7C2C" w:rsidRPr="00055865">
        <w:rPr>
          <w:rFonts w:ascii="Garamond" w:hAnsi="Garamond" w:cs="Times New Roman"/>
          <w:sz w:val="24"/>
          <w:szCs w:val="24"/>
        </w:rPr>
        <w:t>using</w:t>
      </w:r>
      <w:r w:rsidR="00827422" w:rsidRPr="00055865">
        <w:rPr>
          <w:rFonts w:ascii="Garamond" w:hAnsi="Garamond" w:cs="Times New Roman"/>
          <w:sz w:val="24"/>
          <w:szCs w:val="24"/>
        </w:rPr>
        <w:t xml:space="preserve"> natural gas</w:t>
      </w:r>
      <w:r w:rsidR="00DB6768" w:rsidRPr="00055865">
        <w:rPr>
          <w:rFonts w:ascii="Garamond" w:hAnsi="Garamond" w:cs="Times New Roman"/>
          <w:sz w:val="24"/>
          <w:szCs w:val="24"/>
        </w:rPr>
        <w:t>;</w:t>
      </w:r>
      <w:r w:rsidR="00CC7C2C" w:rsidRPr="00055865">
        <w:rPr>
          <w:rFonts w:ascii="Garamond" w:hAnsi="Garamond" w:cs="Times New Roman"/>
          <w:sz w:val="24"/>
          <w:szCs w:val="24"/>
        </w:rPr>
        <w:t xml:space="preserve"> </w:t>
      </w:r>
      <w:r w:rsidR="00827422" w:rsidRPr="00055865">
        <w:rPr>
          <w:rFonts w:ascii="Garamond" w:hAnsi="Garamond" w:cs="Times New Roman"/>
          <w:sz w:val="24"/>
          <w:szCs w:val="24"/>
        </w:rPr>
        <w:t xml:space="preserve">there is the possibility of reducing Co2 emissions </w:t>
      </w:r>
      <w:r w:rsidR="00CC7C2C" w:rsidRPr="00055865">
        <w:rPr>
          <w:rFonts w:ascii="Garamond" w:hAnsi="Garamond" w:cs="Times New Roman"/>
          <w:sz w:val="24"/>
          <w:szCs w:val="24"/>
        </w:rPr>
        <w:t>and</w:t>
      </w:r>
      <w:r w:rsidR="00827422" w:rsidRPr="00055865">
        <w:rPr>
          <w:rFonts w:ascii="Garamond" w:hAnsi="Garamond" w:cs="Times New Roman"/>
          <w:sz w:val="24"/>
          <w:szCs w:val="24"/>
        </w:rPr>
        <w:t xml:space="preserve"> at the same time improving profitability. </w:t>
      </w:r>
      <w:r w:rsidR="00C3429E" w:rsidRPr="00055865">
        <w:rPr>
          <w:rFonts w:ascii="Garamond" w:hAnsi="Garamond"/>
          <w:sz w:val="24"/>
          <w:szCs w:val="24"/>
        </w:rPr>
        <w:t xml:space="preserve">The inverted U-shaped relationship also suggests that energy efficient practices initially impact on ROA </w:t>
      </w:r>
      <w:r w:rsidR="00C637E6">
        <w:rPr>
          <w:rFonts w:ascii="Garamond" w:hAnsi="Garamond"/>
          <w:sz w:val="24"/>
          <w:szCs w:val="24"/>
        </w:rPr>
        <w:t xml:space="preserve">positively </w:t>
      </w:r>
      <w:r w:rsidR="00C3429E" w:rsidRPr="00055865">
        <w:rPr>
          <w:rFonts w:ascii="Garamond" w:hAnsi="Garamond"/>
          <w:sz w:val="24"/>
          <w:szCs w:val="24"/>
        </w:rPr>
        <w:t xml:space="preserve">until it reaches the maximum point where any further addition would decrease profitability. </w:t>
      </w:r>
    </w:p>
    <w:p w14:paraId="16CDD4D3" w14:textId="4C64487E" w:rsidR="00204FF4" w:rsidRPr="006039C9" w:rsidRDefault="00204FF4" w:rsidP="005B6FD7">
      <w:pPr>
        <w:spacing w:after="0" w:line="480" w:lineRule="auto"/>
        <w:jc w:val="both"/>
        <w:rPr>
          <w:rFonts w:ascii="Garamond" w:hAnsi="Garamond" w:cs="Times New Roman"/>
          <w:sz w:val="24"/>
          <w:szCs w:val="24"/>
        </w:rPr>
      </w:pPr>
      <w:r w:rsidRPr="00055865">
        <w:rPr>
          <w:rFonts w:ascii="Garamond" w:hAnsi="Garamond"/>
          <w:sz w:val="24"/>
          <w:szCs w:val="24"/>
        </w:rPr>
        <w:t xml:space="preserve">                In the case of GHG and material resources efficiency, </w:t>
      </w:r>
      <w:r w:rsidR="001D2D28">
        <w:rPr>
          <w:rFonts w:ascii="Garamond" w:hAnsi="Garamond"/>
          <w:sz w:val="24"/>
          <w:szCs w:val="24"/>
        </w:rPr>
        <w:t xml:space="preserve">a </w:t>
      </w:r>
      <w:r w:rsidRPr="00055865">
        <w:rPr>
          <w:rFonts w:ascii="Garamond" w:hAnsi="Garamond"/>
          <w:sz w:val="24"/>
          <w:szCs w:val="24"/>
        </w:rPr>
        <w:t xml:space="preserve">significant association with ROA was discovered in line with the study’s hypotheses 4 and 5. Specifically, an inverted U-shaped </w:t>
      </w:r>
      <w:r w:rsidRPr="00055865">
        <w:rPr>
          <w:rFonts w:ascii="Garamond" w:hAnsi="Garamond"/>
          <w:sz w:val="24"/>
          <w:szCs w:val="24"/>
        </w:rPr>
        <w:lastRenderedPageBreak/>
        <w:t xml:space="preserve">relationship was identified. The finding is </w:t>
      </w:r>
      <w:r w:rsidR="00AD149C">
        <w:rPr>
          <w:rFonts w:ascii="Garamond" w:hAnsi="Garamond"/>
          <w:sz w:val="24"/>
          <w:szCs w:val="24"/>
        </w:rPr>
        <w:t xml:space="preserve">in </w:t>
      </w:r>
      <w:r w:rsidRPr="00055865">
        <w:rPr>
          <w:rFonts w:ascii="Garamond" w:hAnsi="Garamond"/>
          <w:sz w:val="24"/>
          <w:szCs w:val="24"/>
        </w:rPr>
        <w:t xml:space="preserve">line with suggestions offered by </w:t>
      </w:r>
      <w:r w:rsidRPr="00055865">
        <w:rPr>
          <w:rFonts w:ascii="Garamond" w:hAnsi="Garamond"/>
          <w:sz w:val="24"/>
          <w:szCs w:val="24"/>
        </w:rPr>
        <w:fldChar w:fldCharType="begin" w:fldLock="1"/>
      </w:r>
      <w:r w:rsidRPr="00055865">
        <w:rPr>
          <w:rFonts w:ascii="Garamond" w:hAnsi="Garamond"/>
          <w:sz w:val="24"/>
          <w:szCs w:val="24"/>
        </w:rPr>
        <w:instrText>ADDIN CSL_CITATION {"citationItems":[{"id":"ITEM-1","itemData":{"abstract":"This paper focuses on the relationship between environmental sustainability and the financial performance of SMEs in terms of profit development and revenue development. The analysis uses a unique dataset of 337 Dutch and Chinese firms. The results suggest a significant positive association between environmental sustainability and firm performance. It appears, however, that different indicators of environmental sustainability display a distinct relationship with the two performance measures. When firms have a policy on the re-usage of materials they perform significantly better in terms of profit development and when firms have a policy on the reduction of pollution they perform significantly better in terms of revenue development. Furthermore, we also find that firms that communicate to their employees about their sustainability efforts perform better in terms of profit development. Finally, weak support is found for a moderating effect of communication to employees on the positive relationship between sustainability and profit development.","author":[{"dropping-particle":"","family":"Vijfvinkel","given":"Sjoerd","non-dropping-particle":"","parse-names":false,"suffix":""},{"dropping-particle":"","family":"Bouman","given":"Nasser","non-dropping-particle":"","parse-names":false,"suffix":""},{"dropping-particle":"","family":"Hessels","given":"Jolanda","non-dropping-particle":"","parse-names":false,"suffix":""}],"container-title":"Analysis","id":"ITEM-1","issue":"January","issued":{"date-parts":[["2011"]]},"title":"Environmental sustainability and financial performance of SMEs","type":"article-journal"},"uris":["http://www.mendeley.com/documents/?uuid=11444708-0529-4d95-8954-e54804c9b887"]}],"mendeley":{"formattedCitation":"(Vijfvinkel et al., 2011)","manualFormatting":"Vijfvinkel, Bouman, &amp; Hessels (2011)","plainTextFormattedCitation":"(Vijfvinkel et al., 2011)","previouslyFormattedCitation":"(Vijfvinkel et al., 2011)"},"properties":{"noteIndex":0},"schema":"https://github.com/citation-style-language/schema/raw/master/csl-citation.json"}</w:instrText>
      </w:r>
      <w:r w:rsidRPr="00055865">
        <w:rPr>
          <w:rFonts w:ascii="Garamond" w:hAnsi="Garamond"/>
          <w:sz w:val="24"/>
          <w:szCs w:val="24"/>
        </w:rPr>
        <w:fldChar w:fldCharType="separate"/>
      </w:r>
      <w:r w:rsidRPr="00055865">
        <w:rPr>
          <w:rFonts w:ascii="Garamond" w:hAnsi="Garamond"/>
          <w:noProof/>
          <w:sz w:val="24"/>
          <w:szCs w:val="24"/>
        </w:rPr>
        <w:t>Vijfvinkel, Bouman, &amp; Hessels (2011)</w:t>
      </w:r>
      <w:r w:rsidRPr="00055865">
        <w:rPr>
          <w:rFonts w:ascii="Garamond" w:hAnsi="Garamond"/>
          <w:sz w:val="24"/>
          <w:szCs w:val="24"/>
        </w:rPr>
        <w:fldChar w:fldCharType="end"/>
      </w:r>
      <w:r w:rsidRPr="00055865">
        <w:rPr>
          <w:rFonts w:ascii="Garamond" w:hAnsi="Garamond"/>
          <w:sz w:val="24"/>
          <w:szCs w:val="24"/>
        </w:rPr>
        <w:t xml:space="preserve"> that excessive environmental sustainability practices involve huge costs. Therefore, different degree</w:t>
      </w:r>
      <w:r w:rsidR="00AD149C">
        <w:rPr>
          <w:rFonts w:ascii="Garamond" w:hAnsi="Garamond"/>
          <w:sz w:val="24"/>
          <w:szCs w:val="24"/>
        </w:rPr>
        <w:t>s</w:t>
      </w:r>
      <w:r w:rsidRPr="00055865">
        <w:rPr>
          <w:rFonts w:ascii="Garamond" w:hAnsi="Garamond"/>
          <w:sz w:val="24"/>
          <w:szCs w:val="24"/>
        </w:rPr>
        <w:t xml:space="preserve"> of sustainability might be preferred for SMEs to a fully sustainable firm. The result is also in line with our initial argument that as firms move toward more pollution prevention strategies, it is expected that less raw materials would be used, and less waste would be generated for recycle. Hence</w:t>
      </w:r>
      <w:r w:rsidR="00AD149C">
        <w:rPr>
          <w:rFonts w:ascii="Garamond" w:hAnsi="Garamond"/>
          <w:sz w:val="24"/>
          <w:szCs w:val="24"/>
        </w:rPr>
        <w:t>,</w:t>
      </w:r>
      <w:r w:rsidRPr="00055865">
        <w:rPr>
          <w:rFonts w:ascii="Garamond" w:hAnsi="Garamond"/>
          <w:sz w:val="24"/>
          <w:szCs w:val="24"/>
        </w:rPr>
        <w:t xml:space="preserve"> the moderate level of material and resource efficiency practices is expected to have a positive impact on financial performance. </w:t>
      </w:r>
      <w:r w:rsidRPr="00055865">
        <w:rPr>
          <w:rFonts w:ascii="Garamond" w:hAnsi="Garamond" w:cs="Times New Roman"/>
          <w:sz w:val="24"/>
          <w:szCs w:val="24"/>
        </w:rPr>
        <w:t xml:space="preserve"> Hart (1995)</w:t>
      </w:r>
      <w:r w:rsidR="00AD149C">
        <w:rPr>
          <w:rFonts w:ascii="Garamond" w:hAnsi="Garamond" w:cs="Times New Roman"/>
          <w:sz w:val="24"/>
          <w:szCs w:val="24"/>
        </w:rPr>
        <w:t>,</w:t>
      </w:r>
      <w:r w:rsidRPr="00055865">
        <w:rPr>
          <w:rFonts w:ascii="Garamond" w:hAnsi="Garamond" w:cs="Times New Roman"/>
          <w:sz w:val="24"/>
          <w:szCs w:val="24"/>
        </w:rPr>
        <w:t xml:space="preserve"> under the natural resource-based view (NRBV)</w:t>
      </w:r>
      <w:r w:rsidR="00AD149C">
        <w:rPr>
          <w:rFonts w:ascii="Garamond" w:hAnsi="Garamond" w:cs="Times New Roman"/>
          <w:sz w:val="24"/>
          <w:szCs w:val="24"/>
        </w:rPr>
        <w:t>,</w:t>
      </w:r>
      <w:r w:rsidRPr="00055865">
        <w:rPr>
          <w:rFonts w:ascii="Garamond" w:hAnsi="Garamond" w:cs="Times New Roman"/>
          <w:sz w:val="24"/>
          <w:szCs w:val="24"/>
        </w:rPr>
        <w:t xml:space="preserve"> explained many instances in which pollution prevention may improve a firm’s competitive advantage in order to achieve superior performance. He argued that aside pollution prevention saving costs that may be incurred in installing and operating end-of-pipes technologies, it may also improve production processes and efficiency. Hart (1995) reiterated</w:t>
      </w:r>
      <w:r w:rsidR="00CE539A">
        <w:rPr>
          <w:rFonts w:ascii="Garamond" w:hAnsi="Garamond" w:cs="Times New Roman"/>
          <w:sz w:val="24"/>
          <w:szCs w:val="24"/>
        </w:rPr>
        <w:t xml:space="preserve"> the idea</w:t>
      </w:r>
      <w:r w:rsidRPr="00055865">
        <w:rPr>
          <w:rFonts w:ascii="Garamond" w:hAnsi="Garamond" w:cs="Times New Roman"/>
          <w:sz w:val="24"/>
          <w:szCs w:val="24"/>
        </w:rPr>
        <w:t xml:space="preserve"> that pollution prevention reduces cycle times as unnecessary steps in the production process are eliminated.</w:t>
      </w:r>
      <w:r w:rsidR="005B6FD7">
        <w:rPr>
          <w:rFonts w:ascii="Garamond" w:hAnsi="Garamond" w:cs="Times New Roman"/>
          <w:sz w:val="24"/>
          <w:szCs w:val="24"/>
        </w:rPr>
        <w:t xml:space="preserve"> P</w:t>
      </w:r>
      <w:r w:rsidRPr="00055865">
        <w:rPr>
          <w:rFonts w:ascii="Garamond" w:hAnsi="Garamond" w:cs="Times New Roman"/>
          <w:sz w:val="24"/>
          <w:szCs w:val="24"/>
        </w:rPr>
        <w:t>ollution prevention measures a</w:t>
      </w:r>
      <w:r w:rsidR="00CE539A">
        <w:rPr>
          <w:rFonts w:ascii="Garamond" w:hAnsi="Garamond" w:cs="Times New Roman"/>
          <w:sz w:val="24"/>
          <w:szCs w:val="24"/>
        </w:rPr>
        <w:t>re essential in helping firms</w:t>
      </w:r>
      <w:r w:rsidRPr="00055865">
        <w:rPr>
          <w:rFonts w:ascii="Garamond" w:hAnsi="Garamond" w:cs="Times New Roman"/>
          <w:sz w:val="24"/>
          <w:szCs w:val="24"/>
        </w:rPr>
        <w:t xml:space="preserve"> reduce emission below legal requirements</w:t>
      </w:r>
      <w:r w:rsidR="00CE539A">
        <w:rPr>
          <w:rFonts w:ascii="Garamond" w:hAnsi="Garamond" w:cs="Times New Roman"/>
          <w:sz w:val="24"/>
          <w:szCs w:val="24"/>
        </w:rPr>
        <w:t>,</w:t>
      </w:r>
      <w:r w:rsidRPr="00055865">
        <w:rPr>
          <w:rFonts w:ascii="Garamond" w:hAnsi="Garamond" w:cs="Times New Roman"/>
          <w:sz w:val="24"/>
          <w:szCs w:val="24"/>
        </w:rPr>
        <w:t xml:space="preserve"> and as a result, minimise a firm’s compliance and liabili</w:t>
      </w:r>
      <w:r w:rsidR="00CE539A">
        <w:rPr>
          <w:rFonts w:ascii="Garamond" w:hAnsi="Garamond" w:cs="Times New Roman"/>
          <w:sz w:val="24"/>
          <w:szCs w:val="24"/>
        </w:rPr>
        <w:t>ty costs. Therefore, the present study takes the position</w:t>
      </w:r>
      <w:r w:rsidRPr="00055865">
        <w:rPr>
          <w:rFonts w:ascii="Garamond" w:hAnsi="Garamond" w:cs="Times New Roman"/>
          <w:sz w:val="24"/>
          <w:szCs w:val="24"/>
        </w:rPr>
        <w:t xml:space="preserve"> that whereas pollution prevention may lead to sustain competitive advantage and help the firm to achieve increasing returns, simply end-of-pipe environmental technologies may be quickly competed away and reach their maximum benefit thereby resulting in decreasing returns. Similarly,  </w:t>
      </w:r>
      <w:r w:rsidRPr="00055865">
        <w:rPr>
          <w:rFonts w:ascii="Garamond" w:hAnsi="Garamond" w:cs="Times New Roman"/>
          <w:sz w:val="24"/>
          <w:szCs w:val="24"/>
        </w:rPr>
        <w:fldChar w:fldCharType="begin" w:fldLock="1"/>
      </w:r>
      <w:r w:rsidRPr="00055865">
        <w:rPr>
          <w:rFonts w:ascii="Garamond" w:hAnsi="Garamond" w:cs="Times New Roman"/>
          <w:sz w:val="24"/>
          <w:szCs w:val="24"/>
        </w:rPr>
        <w:instrText>ADDIN CSL_CITATION {"citationItems":[{"id":"ITEM-1","itemData":{"DOI":"10.1287/mnsc.48.2.289.258","ISBN":"00251909","ISSN":"0025-1909","PMID":"6375643","abstract":"In this paper, we explore the locus of profitable pollution reduction. We propose that managers underestimate the full value of some means of pollution reduction and so under exploit these means. Based on evidence from previous studies, we argue that waste prevention often provides unexpected innovation offsets, and that onsite waste treatment often provides unexpected cost. We use statistical methods to test the direction and significance of the relationship between the various means of pollution reduction and profitability. We find strong evidence that waste prevention leads to financial gain, but we find no evidence that firms profit from reducing pollution by other means. Indeed, we find evidence that the benefits of waste prevention alone are responsible for the observed association between lower emissions and profitability. [ABSTRACT FROM AUTHOR] Copyright of Management Science is the property of INFORMS: Institute for Operations Research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King","given":"Andrew","non-dropping-particle":"","parse-names":false,"suffix":""},{"dropping-particle":"","family":"Lenox","given":"Michael","non-dropping-particle":"","parse-names":false,"suffix":""}],"container-title":"Management Science","id":"ITEM-1","issue":"2","issued":{"date-parts":[["2002"]]},"page":"289-299","title":"Exploring the Locus of Profitable Pollution Reduction","type":"article-journal","volume":"48"},"uris":["http://www.mendeley.com/documents/?uuid=2529adb3-b5e7-43ca-be39-ec8267b88b3c"]}],"mendeley":{"formattedCitation":"(King &amp; Lenox, 2002)","manualFormatting":"King &amp; Lenox (2002)","plainTextFormattedCitation":"(King &amp; Lenox, 2002)","previouslyFormattedCitation":"(King &amp; Lenox, 2002)"},"properties":{"noteIndex":0},"schema":"https://github.com/citation-style-language/schema/raw/master/csl-citation.json"}</w:instrText>
      </w:r>
      <w:r w:rsidRPr="00055865">
        <w:rPr>
          <w:rFonts w:ascii="Garamond" w:hAnsi="Garamond" w:cs="Times New Roman"/>
          <w:sz w:val="24"/>
          <w:szCs w:val="24"/>
        </w:rPr>
        <w:fldChar w:fldCharType="separate"/>
      </w:r>
      <w:r w:rsidRPr="00055865">
        <w:rPr>
          <w:rFonts w:ascii="Garamond" w:hAnsi="Garamond" w:cs="Times New Roman"/>
          <w:noProof/>
          <w:sz w:val="24"/>
          <w:szCs w:val="24"/>
        </w:rPr>
        <w:t>King &amp; Lenox (2002)</w:t>
      </w:r>
      <w:r w:rsidRPr="00055865">
        <w:rPr>
          <w:rFonts w:ascii="Garamond" w:hAnsi="Garamond" w:cs="Times New Roman"/>
          <w:sz w:val="24"/>
          <w:szCs w:val="24"/>
        </w:rPr>
        <w:fldChar w:fldCharType="end"/>
      </w:r>
      <w:r w:rsidRPr="00055865">
        <w:rPr>
          <w:rFonts w:ascii="Garamond" w:hAnsi="Garamond" w:cs="Times New Roman"/>
          <w:sz w:val="24"/>
          <w:szCs w:val="24"/>
        </w:rPr>
        <w:t xml:space="preserve">  found that a proactive approach to environmental issues is more likely to result in superior financial performance tha</w:t>
      </w:r>
      <w:r w:rsidR="00CE539A">
        <w:rPr>
          <w:rFonts w:ascii="Garamond" w:hAnsi="Garamond" w:cs="Times New Roman"/>
          <w:sz w:val="24"/>
          <w:szCs w:val="24"/>
        </w:rPr>
        <w:t>n end-of-pipe technologies. Furthermore</w:t>
      </w:r>
      <w:r w:rsidRPr="00055865">
        <w:rPr>
          <w:rFonts w:ascii="Garamond" w:hAnsi="Garamond" w:cs="Times New Roman"/>
          <w:sz w:val="24"/>
          <w:szCs w:val="24"/>
        </w:rPr>
        <w:t>, excessive investment in environmental practices is expected to reduce efficiency</w:t>
      </w:r>
      <w:r w:rsidR="00CE539A">
        <w:rPr>
          <w:rFonts w:ascii="Garamond" w:hAnsi="Garamond" w:cs="Times New Roman"/>
          <w:sz w:val="24"/>
          <w:szCs w:val="24"/>
        </w:rPr>
        <w:t>,</w:t>
      </w:r>
      <w:r w:rsidRPr="00055865">
        <w:rPr>
          <w:rFonts w:ascii="Garamond" w:hAnsi="Garamond" w:cs="Times New Roman"/>
          <w:sz w:val="24"/>
          <w:szCs w:val="24"/>
        </w:rPr>
        <w:t xml:space="preserve"> and negatively impact on performance and the</w:t>
      </w:r>
      <w:r w:rsidR="006039C9">
        <w:rPr>
          <w:rFonts w:ascii="Garamond" w:hAnsi="Garamond" w:cs="Times New Roman"/>
          <w:sz w:val="24"/>
          <w:szCs w:val="24"/>
        </w:rPr>
        <w:t>reby causing decreasing returns</w:t>
      </w:r>
      <w:r w:rsidR="00CE539A">
        <w:rPr>
          <w:rFonts w:ascii="Garamond" w:hAnsi="Garamond" w:cs="Times New Roman"/>
          <w:sz w:val="24"/>
          <w:szCs w:val="24"/>
        </w:rPr>
        <w:t>.</w:t>
      </w:r>
    </w:p>
    <w:p w14:paraId="1A2F947F" w14:textId="136C06D3" w:rsidR="00581A3D" w:rsidRPr="00055865" w:rsidRDefault="00C3429E" w:rsidP="005B6FD7">
      <w:pPr>
        <w:spacing w:after="0" w:line="480" w:lineRule="auto"/>
        <w:contextualSpacing/>
        <w:jc w:val="both"/>
        <w:rPr>
          <w:rFonts w:ascii="Garamond" w:hAnsi="Garamond"/>
          <w:sz w:val="24"/>
          <w:szCs w:val="24"/>
        </w:rPr>
      </w:pPr>
      <w:r w:rsidRPr="00055865">
        <w:rPr>
          <w:rFonts w:ascii="Garamond" w:hAnsi="Garamond"/>
          <w:sz w:val="24"/>
          <w:szCs w:val="24"/>
        </w:rPr>
        <w:t xml:space="preserve">     </w:t>
      </w:r>
      <w:r w:rsidR="00164C8B" w:rsidRPr="00055865">
        <w:rPr>
          <w:rFonts w:ascii="Garamond" w:hAnsi="Garamond"/>
          <w:sz w:val="24"/>
          <w:szCs w:val="24"/>
        </w:rPr>
        <w:t xml:space="preserve">     </w:t>
      </w:r>
      <w:r w:rsidRPr="00055865">
        <w:rPr>
          <w:rFonts w:ascii="Garamond" w:hAnsi="Garamond"/>
          <w:sz w:val="24"/>
          <w:szCs w:val="24"/>
        </w:rPr>
        <w:t xml:space="preserve"> Regarding environmental compliance and financial performance, no significant relationship was identified, and therefore hypothesis 2 is rejected.</w:t>
      </w:r>
      <w:r w:rsidR="00581A3D" w:rsidRPr="00055865">
        <w:rPr>
          <w:rFonts w:ascii="Garamond" w:hAnsi="Garamond"/>
          <w:sz w:val="24"/>
          <w:szCs w:val="24"/>
        </w:rPr>
        <w:t xml:space="preserve"> </w:t>
      </w:r>
      <w:r w:rsidR="00581A3D" w:rsidRPr="00055865">
        <w:rPr>
          <w:rFonts w:ascii="Garamond" w:hAnsi="Garamond" w:cs="Times New Roman"/>
          <w:sz w:val="24"/>
          <w:szCs w:val="24"/>
        </w:rPr>
        <w:t xml:space="preserve">A recent empirical study by </w:t>
      </w:r>
      <w:r w:rsidR="00581A3D" w:rsidRPr="00055865">
        <w:rPr>
          <w:rFonts w:ascii="Garamond" w:hAnsi="Garamond" w:cs="Times New Roman"/>
          <w:sz w:val="24"/>
          <w:szCs w:val="24"/>
        </w:rPr>
        <w:fldChar w:fldCharType="begin" w:fldLock="1"/>
      </w:r>
      <w:r w:rsidR="00840480" w:rsidRPr="00055865">
        <w:rPr>
          <w:rFonts w:ascii="Garamond" w:hAnsi="Garamond" w:cs="Times New Roman"/>
          <w:sz w:val="24"/>
          <w:szCs w:val="24"/>
        </w:rPr>
        <w:instrText>ADDIN CSL_CITATION {"citationItems":[{"id":"ITEM-1","itemData":{"DOI":"10.1016/j.omega.2017.02.006","ISSN":"03050483","abstract":"Operational research models have been employed to understand development issues associated with environmental sustainability. This article describes a novel application of data envelopment analysis (DEA) to help extend a specific debate in the literature on Porter's hypothesis in environmental policy. The debate deals with the impact of flexibility of regulations on the relationship between innovation capabilities on financial performance in organisations. Using the resource based view of a firm, we hypothesise that relationship between innovation capabilities and financial performance in firms depends on how flexible or inflexible environmental regulations are. We apply DEA to capture the flexibility of environmental regulations. Our results indicate that innovation capabilities significantly influence financial performance of firms if firms feel that the environmental regulations they face are flexible and offer more freedom in meeting the requirements of regulations. On the other hand, corporations that feel that they face more inflexible regulations are not so effective in improving their financial performance with their innovation capabilities.","author":[{"dropping-particle":"","family":"Ramanathan","given":"Ramakrishnan","non-dropping-particle":"","parse-names":false,"suffix":""},{"dropping-particle":"","family":"Ramanathan","given":"Usha","non-dropping-particle":"","parse-names":false,"suffix":""},{"dropping-particle":"","family":"Bentley","given":"Yongmei","non-dropping-particle":"","parse-names":false,"suffix":""}],"container-title":"Omega (United Kingdom)","id":"ITEM-1","issued":{"date-parts":[["2018"]]},"page":"131-138","title":"The debate on flexibility of environmental regulations, innovation capabilities and financial performance – A novel use of DEA","type":"article-journal","volume":"75"},"uris":["http://www.mendeley.com/documents/?uuid=c5ca4e89-2061-4426-bb96-5751fb6ae810"]}],"mendeley":{"formattedCitation":"(Ramanathan et al., 2018)","plainTextFormattedCitation":"(Ramanathan et al., 2018)","previouslyFormattedCitation":"(Ramanathan et al., 2018)"},"properties":{"noteIndex":0},"schema":"https://github.com/citation-style-language/schema/raw/master/csl-citation.json"}</w:instrText>
      </w:r>
      <w:r w:rsidR="00581A3D" w:rsidRPr="00055865">
        <w:rPr>
          <w:rFonts w:ascii="Garamond" w:hAnsi="Garamond" w:cs="Times New Roman"/>
          <w:sz w:val="24"/>
          <w:szCs w:val="24"/>
        </w:rPr>
        <w:fldChar w:fldCharType="separate"/>
      </w:r>
      <w:r w:rsidR="00581A3D" w:rsidRPr="00055865">
        <w:rPr>
          <w:rFonts w:ascii="Garamond" w:hAnsi="Garamond" w:cs="Times New Roman"/>
          <w:noProof/>
          <w:sz w:val="24"/>
          <w:szCs w:val="24"/>
        </w:rPr>
        <w:t>(Ramanathan et al., 2018)</w:t>
      </w:r>
      <w:r w:rsidR="00581A3D" w:rsidRPr="00055865">
        <w:rPr>
          <w:rFonts w:ascii="Garamond" w:hAnsi="Garamond" w:cs="Times New Roman"/>
          <w:sz w:val="24"/>
          <w:szCs w:val="24"/>
        </w:rPr>
        <w:fldChar w:fldCharType="end"/>
      </w:r>
      <w:r w:rsidR="00581A3D" w:rsidRPr="00055865">
        <w:rPr>
          <w:rFonts w:ascii="Garamond" w:hAnsi="Garamond" w:cs="Times New Roman"/>
          <w:sz w:val="24"/>
          <w:szCs w:val="24"/>
        </w:rPr>
        <w:t xml:space="preserve"> found that flexible environmental regulations can improve financial performance, inflexible or less flexible environmental regulations may not be effective in exploiting innovative </w:t>
      </w:r>
      <w:r w:rsidR="00581A3D" w:rsidRPr="00055865">
        <w:rPr>
          <w:rFonts w:ascii="Garamond" w:hAnsi="Garamond" w:cs="Times New Roman"/>
          <w:sz w:val="24"/>
          <w:szCs w:val="24"/>
        </w:rPr>
        <w:lastRenderedPageBreak/>
        <w:t>capabilities associated with environmental regulations. For instance, REACH (EC1907/2006)</w:t>
      </w:r>
      <w:r w:rsidR="00840480" w:rsidRPr="00055865">
        <w:rPr>
          <w:rFonts w:ascii="Garamond" w:hAnsi="Garamond" w:cs="Times New Roman"/>
          <w:sz w:val="24"/>
          <w:szCs w:val="24"/>
        </w:rPr>
        <w:t xml:space="preserve"> is unfavourable </w:t>
      </w:r>
      <w:r w:rsidR="00581A3D" w:rsidRPr="00055865">
        <w:rPr>
          <w:rFonts w:ascii="Garamond" w:hAnsi="Garamond" w:cs="Times New Roman"/>
          <w:sz w:val="24"/>
          <w:szCs w:val="24"/>
        </w:rPr>
        <w:t>for</w:t>
      </w:r>
      <w:r w:rsidR="00840480" w:rsidRPr="00055865">
        <w:rPr>
          <w:rFonts w:ascii="Garamond" w:hAnsi="Garamond" w:cs="Times New Roman"/>
          <w:sz w:val="24"/>
          <w:szCs w:val="24"/>
        </w:rPr>
        <w:t xml:space="preserve"> SMEs as it is considered </w:t>
      </w:r>
      <w:r w:rsidR="00581A3D" w:rsidRPr="00055865">
        <w:rPr>
          <w:rFonts w:ascii="Garamond" w:hAnsi="Garamond" w:cs="Times New Roman"/>
          <w:sz w:val="24"/>
          <w:szCs w:val="24"/>
        </w:rPr>
        <w:t>too demanding and less flexible for SMEs to innovate</w:t>
      </w:r>
      <w:r w:rsidR="008349B1" w:rsidRPr="00055865">
        <w:rPr>
          <w:rFonts w:ascii="Garamond" w:hAnsi="Garamond" w:cs="Times New Roman"/>
          <w:sz w:val="24"/>
          <w:szCs w:val="24"/>
        </w:rPr>
        <w:t xml:space="preserve"> </w:t>
      </w:r>
      <w:r w:rsidR="008349B1" w:rsidRPr="00055865">
        <w:rPr>
          <w:rFonts w:ascii="Garamond" w:hAnsi="Garamond" w:cs="Times New Roman"/>
          <w:sz w:val="24"/>
          <w:szCs w:val="24"/>
        </w:rPr>
        <w:fldChar w:fldCharType="begin" w:fldLock="1"/>
      </w:r>
      <w:r w:rsidR="00281223" w:rsidRPr="00055865">
        <w:rPr>
          <w:rFonts w:ascii="Garamond" w:hAnsi="Garamond" w:cs="Times New Roman"/>
          <w:sz w:val="24"/>
          <w:szCs w:val="24"/>
        </w:rPr>
        <w:instrText>ADDIN CSL_CITATION {"citationItems":[{"id":"ITEM-1","itemData":{"DOI":"10.1080/00036846.2017.1368989","ISBN":"0048-7333","ISSN":"14664283","author":[{"dropping-particle":"","family":"Arfaoui","given":"N.","non-dropping-particle":"","parse-names":false,"suffix":""}],"container-title":"Applied Economics","id":"ITEM-1","issued":{"date-parts":[["2017"]]},"page":"1-19","title":"Eco-innovation and regulatory push/pull effect in the case of REACH regulation: empirical evidence based on survey data","type":"article-newspaper"},"uris":["http://www.mendeley.com/documents/?uuid=01f7524d-77b1-482f-9fc2-e71c3458ae34"]}],"mendeley":{"formattedCitation":"(Arfaoui, 2017)","plainTextFormattedCitation":"(Arfaoui, 2017)","previouslyFormattedCitation":"(Arfaoui, 2017)"},"properties":{"noteIndex":0},"schema":"https://github.com/citation-style-language/schema/raw/master/csl-citation.json"}</w:instrText>
      </w:r>
      <w:r w:rsidR="008349B1" w:rsidRPr="00055865">
        <w:rPr>
          <w:rFonts w:ascii="Garamond" w:hAnsi="Garamond" w:cs="Times New Roman"/>
          <w:sz w:val="24"/>
          <w:szCs w:val="24"/>
        </w:rPr>
        <w:fldChar w:fldCharType="separate"/>
      </w:r>
      <w:r w:rsidR="008349B1" w:rsidRPr="00055865">
        <w:rPr>
          <w:rFonts w:ascii="Garamond" w:hAnsi="Garamond" w:cs="Times New Roman"/>
          <w:noProof/>
          <w:sz w:val="24"/>
          <w:szCs w:val="24"/>
        </w:rPr>
        <w:t>(Arfaoui, 2017)</w:t>
      </w:r>
      <w:r w:rsidR="008349B1" w:rsidRPr="00055865">
        <w:rPr>
          <w:rFonts w:ascii="Garamond" w:hAnsi="Garamond" w:cs="Times New Roman"/>
          <w:sz w:val="24"/>
          <w:szCs w:val="24"/>
        </w:rPr>
        <w:fldChar w:fldCharType="end"/>
      </w:r>
      <w:r w:rsidR="00581A3D" w:rsidRPr="00055865">
        <w:rPr>
          <w:rFonts w:ascii="Garamond" w:hAnsi="Garamond" w:cs="Times New Roman"/>
          <w:sz w:val="24"/>
          <w:szCs w:val="24"/>
        </w:rPr>
        <w:t xml:space="preserve">. Such regulation that is </w:t>
      </w:r>
      <w:r w:rsidR="00DB6768" w:rsidRPr="00055865">
        <w:rPr>
          <w:rFonts w:ascii="Garamond" w:hAnsi="Garamond" w:cs="Times New Roman"/>
          <w:sz w:val="24"/>
          <w:szCs w:val="24"/>
        </w:rPr>
        <w:t>deemed to be</w:t>
      </w:r>
      <w:r w:rsidR="00581A3D" w:rsidRPr="00055865">
        <w:rPr>
          <w:rFonts w:ascii="Garamond" w:hAnsi="Garamond" w:cs="Times New Roman"/>
          <w:sz w:val="24"/>
          <w:szCs w:val="24"/>
        </w:rPr>
        <w:t xml:space="preserve"> burdensome is likely to </w:t>
      </w:r>
      <w:r w:rsidR="00DB6768" w:rsidRPr="00055865">
        <w:rPr>
          <w:rFonts w:ascii="Garamond" w:hAnsi="Garamond" w:cs="Times New Roman"/>
          <w:sz w:val="24"/>
          <w:szCs w:val="24"/>
        </w:rPr>
        <w:t>impact on financial performance negatively</w:t>
      </w:r>
      <w:r w:rsidR="00581A3D" w:rsidRPr="00055865">
        <w:rPr>
          <w:rFonts w:ascii="Garamond" w:hAnsi="Garamond" w:cs="Times New Roman"/>
          <w:sz w:val="24"/>
          <w:szCs w:val="24"/>
        </w:rPr>
        <w:t xml:space="preserve">. </w:t>
      </w:r>
    </w:p>
    <w:p w14:paraId="79C97001" w14:textId="070B2895" w:rsidR="00840480" w:rsidRPr="00055865" w:rsidRDefault="008349B1" w:rsidP="005B6FD7">
      <w:pPr>
        <w:autoSpaceDE w:val="0"/>
        <w:autoSpaceDN w:val="0"/>
        <w:adjustRightInd w:val="0"/>
        <w:spacing w:after="0" w:line="480" w:lineRule="auto"/>
        <w:jc w:val="both"/>
        <w:rPr>
          <w:rFonts w:ascii="Garamond" w:hAnsi="Garamond" w:cs="Times New Roman"/>
          <w:sz w:val="24"/>
          <w:szCs w:val="24"/>
        </w:rPr>
      </w:pPr>
      <w:r w:rsidRPr="00055865">
        <w:rPr>
          <w:rFonts w:ascii="Garamond" w:hAnsi="Garamond"/>
          <w:sz w:val="24"/>
          <w:szCs w:val="24"/>
        </w:rPr>
        <w:t xml:space="preserve">            </w:t>
      </w:r>
      <w:r w:rsidR="00C3429E" w:rsidRPr="00055865">
        <w:rPr>
          <w:rFonts w:ascii="Garamond" w:hAnsi="Garamond"/>
          <w:sz w:val="24"/>
          <w:szCs w:val="24"/>
        </w:rPr>
        <w:t xml:space="preserve"> In the case of waste, wh</w:t>
      </w:r>
      <w:r w:rsidR="00472955" w:rsidRPr="00055865">
        <w:rPr>
          <w:rFonts w:ascii="Garamond" w:hAnsi="Garamond"/>
          <w:sz w:val="24"/>
          <w:szCs w:val="24"/>
        </w:rPr>
        <w:t>ereas</w:t>
      </w:r>
      <w:r w:rsidR="00C3429E" w:rsidRPr="00055865">
        <w:rPr>
          <w:rFonts w:ascii="Garamond" w:hAnsi="Garamond"/>
          <w:sz w:val="24"/>
          <w:szCs w:val="24"/>
        </w:rPr>
        <w:t xml:space="preserve"> we discovered a significantly positive relationship with </w:t>
      </w:r>
      <w:r w:rsidR="00204FF4" w:rsidRPr="00055865">
        <w:rPr>
          <w:rFonts w:ascii="Garamond" w:hAnsi="Garamond"/>
          <w:sz w:val="24"/>
          <w:szCs w:val="24"/>
        </w:rPr>
        <w:t>ROA, the</w:t>
      </w:r>
      <w:r w:rsidR="00C3429E" w:rsidRPr="00055865">
        <w:rPr>
          <w:rFonts w:ascii="Garamond" w:hAnsi="Garamond"/>
          <w:sz w:val="24"/>
          <w:szCs w:val="24"/>
        </w:rPr>
        <w:t xml:space="preserve"> square term of waste management practices was not significant and therefore reject</w:t>
      </w:r>
      <w:r w:rsidR="00DB6768" w:rsidRPr="00055865">
        <w:rPr>
          <w:rFonts w:ascii="Garamond" w:hAnsi="Garamond"/>
          <w:sz w:val="24"/>
          <w:szCs w:val="24"/>
        </w:rPr>
        <w:t>ed</w:t>
      </w:r>
      <w:r w:rsidR="00C3429E" w:rsidRPr="00055865">
        <w:rPr>
          <w:rFonts w:ascii="Garamond" w:hAnsi="Garamond"/>
          <w:sz w:val="24"/>
          <w:szCs w:val="24"/>
        </w:rPr>
        <w:t xml:space="preserve"> the non-linear relationship argument. The significantly positive relationship between waste management practices and financial performance is in line with </w:t>
      </w:r>
      <w:r w:rsidR="00C3429E" w:rsidRPr="00055865">
        <w:rPr>
          <w:rFonts w:ascii="Garamond" w:hAnsi="Garamond"/>
          <w:sz w:val="24"/>
          <w:szCs w:val="24"/>
        </w:rPr>
        <w:fldChar w:fldCharType="begin" w:fldLock="1"/>
      </w:r>
      <w:r w:rsidR="007122D5" w:rsidRPr="00055865">
        <w:rPr>
          <w:rFonts w:ascii="Garamond" w:hAnsi="Garamond"/>
          <w:sz w:val="24"/>
          <w:szCs w:val="24"/>
        </w:rPr>
        <w:instrText>ADDIN CSL_CITATION {"citationItems":[{"id":"ITEM-1","itemData":{"abstract":"This study focuses on the effect of waste reduction strategy on the performance of publishing firms in Kenya. Kenya is a regional publishing powerhouse (newspaper publications selling) in East and Central Africa. The industry contributes about 10% of the GDP and one of the fastest growing in the manufacturing sector. Unfortunately, Kenya does not produce most of the raw materials for publishing. In addition, the publishing industry in Kenya is faced with high rate of waste and returns. The study focused on the effect of adopting waste reduction strategy as a possible solution to the dwindling raw materials, increasing costs and high rate of returns. It used descriptive research design. The study population consisted of 357 firms from which a sample of 189 firms was taken using stratified random sampling and 138 responses were obtained. The data collection instrument was pre-tested before launching the final test. Empirical findings confirmed that indeed returns and wastes were high in publishing industry in addition to establishing that indeed adopting waste reduction would enhance performance of publishing forms. The study recommends that the firms view waste reduction as an investment with returns and not a cost.","author":[{"dropping-particle":"","family":"Ochiri","given":"George","non-dropping-particle":"","parse-names":false,"suffix":""},{"dropping-particle":"","family":"Wario","given":"Guyo","non-dropping-particle":"","parse-names":false,"suffix":""},{"dropping-particle":"","family":"Odhiambo","given":"Romanus","non-dropping-particle":"","parse-names":false,"suffix":""},{"dropping-particle":"","family":"Arasa","given":"Robert","non-dropping-particle":"","parse-names":false,"suffix":""}],"container-title":"International Journal of Economics, Commerce and Management United Kingdom","id":"ITEM-1","issue":"5","issued":{"date-parts":[["2015"]]},"page":"1228-1241","title":"Effects of Waste Reduction Strategy on Firm Performance: a Survey of Publishing Firms in Kenya","type":"article-journal","volume":"III"},"uris":["http://www.mendeley.com/documents/?uuid=d3f41b20-d959-4d33-8a87-8d7473eb7e4c"]}],"mendeley":{"formattedCitation":"(Ochiri et al., 2015)","manualFormatting":" Ochiri et al. (2015)","plainTextFormattedCitation":"(Ochiri et al., 2015)","previouslyFormattedCitation":"(Ochiri et al., 2015)"},"properties":{"noteIndex":0},"schema":"https://github.com/citation-style-language/schema/raw/master/csl-citation.json"}</w:instrText>
      </w:r>
      <w:r w:rsidR="00C3429E" w:rsidRPr="00055865">
        <w:rPr>
          <w:rFonts w:ascii="Garamond" w:hAnsi="Garamond"/>
          <w:sz w:val="24"/>
          <w:szCs w:val="24"/>
        </w:rPr>
        <w:fldChar w:fldCharType="separate"/>
      </w:r>
      <w:r w:rsidR="00C3429E" w:rsidRPr="00055865">
        <w:rPr>
          <w:rFonts w:ascii="Garamond" w:hAnsi="Garamond"/>
          <w:noProof/>
          <w:sz w:val="24"/>
          <w:szCs w:val="24"/>
        </w:rPr>
        <w:t xml:space="preserve"> Ochiri </w:t>
      </w:r>
      <w:r w:rsidR="00C3429E" w:rsidRPr="00055865">
        <w:rPr>
          <w:rFonts w:ascii="Garamond" w:hAnsi="Garamond"/>
          <w:i/>
          <w:noProof/>
          <w:sz w:val="24"/>
          <w:szCs w:val="24"/>
        </w:rPr>
        <w:t>et al.</w:t>
      </w:r>
      <w:r w:rsidR="00C3429E" w:rsidRPr="00055865">
        <w:rPr>
          <w:rFonts w:ascii="Garamond" w:hAnsi="Garamond"/>
          <w:noProof/>
          <w:sz w:val="24"/>
          <w:szCs w:val="24"/>
        </w:rPr>
        <w:t xml:space="preserve"> (2015)</w:t>
      </w:r>
      <w:r w:rsidR="00C3429E" w:rsidRPr="00055865">
        <w:rPr>
          <w:rFonts w:ascii="Garamond" w:hAnsi="Garamond"/>
          <w:sz w:val="24"/>
          <w:szCs w:val="24"/>
        </w:rPr>
        <w:fldChar w:fldCharType="end"/>
      </w:r>
      <w:r w:rsidR="00C3429E" w:rsidRPr="00055865">
        <w:rPr>
          <w:rFonts w:ascii="Garamond" w:hAnsi="Garamond"/>
          <w:sz w:val="24"/>
          <w:szCs w:val="24"/>
        </w:rPr>
        <w:t xml:space="preserve"> who argued that waste reduction ensures that resources and energy used in the production process are minimised and significantly impact on costs and performance.</w:t>
      </w:r>
      <w:r w:rsidR="005C7EB0" w:rsidRPr="00055865">
        <w:rPr>
          <w:rFonts w:ascii="Garamond" w:hAnsi="Garamond"/>
          <w:sz w:val="24"/>
          <w:szCs w:val="24"/>
        </w:rPr>
        <w:t xml:space="preserve"> </w:t>
      </w:r>
      <w:r w:rsidR="00DB6768" w:rsidRPr="00055865">
        <w:rPr>
          <w:rFonts w:ascii="Garamond" w:hAnsi="Garamond" w:cs="Times New Roman"/>
          <w:sz w:val="24"/>
          <w:szCs w:val="24"/>
        </w:rPr>
        <w:t>In line with</w:t>
      </w:r>
      <w:r w:rsidR="005C7EB0" w:rsidRPr="00055865">
        <w:rPr>
          <w:rFonts w:ascii="Garamond" w:hAnsi="Garamond" w:cs="Times New Roman"/>
          <w:sz w:val="24"/>
          <w:szCs w:val="24"/>
        </w:rPr>
        <w:t xml:space="preserve"> the fi</w:t>
      </w:r>
      <w:r w:rsidR="00CE539A">
        <w:rPr>
          <w:rFonts w:ascii="Garamond" w:hAnsi="Garamond" w:cs="Times New Roman"/>
          <w:sz w:val="24"/>
          <w:szCs w:val="24"/>
        </w:rPr>
        <w:t>ndings of the study, it is</w:t>
      </w:r>
      <w:r w:rsidR="005C7EB0" w:rsidRPr="00055865">
        <w:rPr>
          <w:rFonts w:ascii="Garamond" w:hAnsi="Garamond" w:cs="Times New Roman"/>
          <w:sz w:val="24"/>
          <w:szCs w:val="24"/>
        </w:rPr>
        <w:t xml:space="preserve"> suggested that waste reduction practices play an essential role in reducing pollution and at the same time</w:t>
      </w:r>
      <w:r w:rsidR="00CE539A">
        <w:rPr>
          <w:rFonts w:ascii="Garamond" w:hAnsi="Garamond" w:cs="Times New Roman"/>
          <w:sz w:val="24"/>
          <w:szCs w:val="24"/>
        </w:rPr>
        <w:t xml:space="preserve">, </w:t>
      </w:r>
      <w:r w:rsidR="005C7EB0" w:rsidRPr="00055865">
        <w:rPr>
          <w:rFonts w:ascii="Garamond" w:hAnsi="Garamond" w:cs="Times New Roman"/>
          <w:sz w:val="24"/>
          <w:szCs w:val="24"/>
        </w:rPr>
        <w:t>saving costs. Therefore, industrial waste prevention practices</w:t>
      </w:r>
      <w:r w:rsidR="00DB6768" w:rsidRPr="00055865">
        <w:rPr>
          <w:rFonts w:ascii="Garamond" w:hAnsi="Garamond" w:cs="Times New Roman"/>
          <w:sz w:val="24"/>
          <w:szCs w:val="24"/>
        </w:rPr>
        <w:t>,</w:t>
      </w:r>
      <w:r w:rsidR="005C7EB0" w:rsidRPr="00055865">
        <w:rPr>
          <w:rFonts w:ascii="Garamond" w:hAnsi="Garamond" w:cs="Times New Roman"/>
          <w:sz w:val="24"/>
          <w:szCs w:val="24"/>
        </w:rPr>
        <w:t xml:space="preserve"> including reuse and recycle that allow</w:t>
      </w:r>
      <w:r w:rsidR="005B6FD7">
        <w:rPr>
          <w:rFonts w:ascii="Garamond" w:hAnsi="Garamond" w:cs="Times New Roman"/>
          <w:sz w:val="24"/>
          <w:szCs w:val="24"/>
        </w:rPr>
        <w:t>s</w:t>
      </w:r>
      <w:r w:rsidR="005C7EB0" w:rsidRPr="00055865">
        <w:rPr>
          <w:rFonts w:ascii="Garamond" w:hAnsi="Garamond" w:cs="Times New Roman"/>
          <w:sz w:val="24"/>
          <w:szCs w:val="24"/>
        </w:rPr>
        <w:t xml:space="preserve"> new product</w:t>
      </w:r>
      <w:r w:rsidR="00CE539A">
        <w:rPr>
          <w:rFonts w:ascii="Garamond" w:hAnsi="Garamond" w:cs="Times New Roman"/>
          <w:sz w:val="24"/>
          <w:szCs w:val="24"/>
        </w:rPr>
        <w:t>s</w:t>
      </w:r>
      <w:r w:rsidR="005C7EB0" w:rsidRPr="00055865">
        <w:rPr>
          <w:rFonts w:ascii="Garamond" w:hAnsi="Garamond" w:cs="Times New Roman"/>
          <w:sz w:val="24"/>
          <w:szCs w:val="24"/>
        </w:rPr>
        <w:t xml:space="preserve"> to be made out of used papers and plastics</w:t>
      </w:r>
      <w:r w:rsidR="00DB6768" w:rsidRPr="00055865">
        <w:rPr>
          <w:rFonts w:ascii="Garamond" w:hAnsi="Garamond" w:cs="Times New Roman"/>
          <w:sz w:val="24"/>
          <w:szCs w:val="24"/>
        </w:rPr>
        <w:t>,</w:t>
      </w:r>
      <w:r w:rsidR="005C7EB0" w:rsidRPr="00055865">
        <w:rPr>
          <w:rFonts w:ascii="Garamond" w:hAnsi="Garamond" w:cs="Times New Roman"/>
          <w:sz w:val="24"/>
          <w:szCs w:val="24"/>
        </w:rPr>
        <w:t xml:space="preserve"> significantly impact on costs</w:t>
      </w:r>
      <w:r w:rsidR="00204FF4" w:rsidRPr="00055865">
        <w:rPr>
          <w:rFonts w:ascii="Garamond" w:hAnsi="Garamond" w:cs="Times New Roman"/>
          <w:sz w:val="24"/>
          <w:szCs w:val="24"/>
        </w:rPr>
        <w:t xml:space="preserve"> and</w:t>
      </w:r>
      <w:r w:rsidR="005C7EB0" w:rsidRPr="00055865">
        <w:rPr>
          <w:rFonts w:ascii="Garamond" w:hAnsi="Garamond" w:cs="Times New Roman"/>
          <w:sz w:val="24"/>
          <w:szCs w:val="24"/>
        </w:rPr>
        <w:t xml:space="preserve"> </w:t>
      </w:r>
      <w:r w:rsidR="00204FF4" w:rsidRPr="00055865">
        <w:rPr>
          <w:rFonts w:ascii="Garamond" w:hAnsi="Garamond" w:cs="Times New Roman"/>
          <w:sz w:val="24"/>
          <w:szCs w:val="24"/>
        </w:rPr>
        <w:t>boosts sales</w:t>
      </w:r>
      <w:r w:rsidR="00CE539A">
        <w:rPr>
          <w:rFonts w:ascii="Garamond" w:hAnsi="Garamond" w:cs="Times New Roman"/>
          <w:sz w:val="24"/>
          <w:szCs w:val="24"/>
        </w:rPr>
        <w:t>, since such products attract</w:t>
      </w:r>
      <w:r w:rsidR="00204FF4" w:rsidRPr="00055865">
        <w:rPr>
          <w:rFonts w:ascii="Garamond" w:hAnsi="Garamond" w:cs="Times New Roman"/>
          <w:sz w:val="24"/>
          <w:szCs w:val="24"/>
        </w:rPr>
        <w:t xml:space="preserve"> environmentally sensitive customers</w:t>
      </w:r>
      <w:r w:rsidR="005C7EB0" w:rsidRPr="00055865">
        <w:rPr>
          <w:rFonts w:ascii="Garamond" w:hAnsi="Garamond" w:cs="Times New Roman"/>
          <w:sz w:val="24"/>
          <w:szCs w:val="24"/>
        </w:rPr>
        <w:t xml:space="preserve"> </w:t>
      </w:r>
      <w:r w:rsidR="005C7EB0" w:rsidRPr="00055865">
        <w:rPr>
          <w:rFonts w:ascii="Garamond" w:hAnsi="Garamond" w:cs="Times New Roman"/>
          <w:sz w:val="24"/>
          <w:szCs w:val="24"/>
        </w:rPr>
        <w:fldChar w:fldCharType="begin" w:fldLock="1"/>
      </w:r>
      <w:r w:rsidR="006D03D1" w:rsidRPr="00055865">
        <w:rPr>
          <w:rFonts w:ascii="Garamond" w:hAnsi="Garamond" w:cs="Times New Roman"/>
          <w:sz w:val="24"/>
          <w:szCs w:val="24"/>
        </w:rPr>
        <w:instrText>ADDIN CSL_CITATION {"citationItems":[{"id":"ITEM-1","itemData":{"DOI":"10.1016/j.rser.2014.02.015","ISBN":"1364-0321","ISSN":"13640321","abstract":"In 1995, Porter and van der Linde defined pollution as a manifestation of economic waste. Currently, incorrect information and conflicting theories among scientists hinder the diffusion of sustainable practices in waste management [1]. New industrial market research reports highlight that the value of the global waste incineration market has increased in recent years (+$1.3 billion dollars from 2008 to 2012), and this sector will continue to grow (+$6.8 billion dollars from 2012 to 2022) [2]. The paper focuses on the Italian situation on which urgent actions are required because more than 50% of waste is landfilled [3]. The correct environmental management increases the financial performance because waste investments offer both environmental and economic benefits. The problem to solve is related to both waste management and high levels of recycling, where an unsorted fraction of waste will remain. Based on a thorough review of the topic, a national waste management plan (NWMP) for energy recovery is herein proposed for evaluating all the aspects of sustainability of waste-to-energy (WTE) plants: the reduction of greenhouse gases (GHGs) with respect to landfill, the estimation of financial net present value (FNPV) and the economic net present value (ENPV) and, finally, the estimation of new employment opportunity. © 2014 Elsevier Ltd.","author":[{"dropping-particle":"","family":"Cucchiella","given":"Federica","non-dropping-particle":"","parse-names":false,"suffix":""},{"dropping-particle":"","family":"D'Adamo","given":"Idiano","non-dropping-particle":"","parse-names":false,"suffix":""},{"dropping-particle":"","family":"Gastaldi","given":"Massimo","non-dropping-particle":"","parse-names":false,"suffix":""}],"container-title":"Renewable and Sustainable Energy Reviews","id":"ITEM-1","issued":{"date-parts":[["2014"]]},"page":"719-728","title":"Sustainable management of waste-to-energy facilities","type":"article-journal","volume":"33"},"uris":["http://www.mendeley.com/documents/?uuid=e75b4f7b-6bc3-4908-94eb-302546478aab"]}],"mendeley":{"formattedCitation":"(Cucchiella, D’Adamo, &amp; Gastaldi, 2014)","plainTextFormattedCitation":"(Cucchiella, D’Adamo, &amp; Gastaldi, 2014)","previouslyFormattedCitation":"(Cucchiella, D’Adamo, &amp; Gastaldi, 2014)"},"properties":{"noteIndex":0},"schema":"https://github.com/citation-style-language/schema/raw/master/csl-citation.json"}</w:instrText>
      </w:r>
      <w:r w:rsidR="005C7EB0" w:rsidRPr="00055865">
        <w:rPr>
          <w:rFonts w:ascii="Garamond" w:hAnsi="Garamond" w:cs="Times New Roman"/>
          <w:sz w:val="24"/>
          <w:szCs w:val="24"/>
        </w:rPr>
        <w:fldChar w:fldCharType="separate"/>
      </w:r>
      <w:r w:rsidR="005C7EB0" w:rsidRPr="00055865">
        <w:rPr>
          <w:rFonts w:ascii="Garamond" w:hAnsi="Garamond" w:cs="Times New Roman"/>
          <w:noProof/>
          <w:sz w:val="24"/>
          <w:szCs w:val="24"/>
        </w:rPr>
        <w:t>(Cucchiella, D’Adamo, &amp; Gastaldi, 2014)</w:t>
      </w:r>
      <w:r w:rsidR="005C7EB0" w:rsidRPr="00055865">
        <w:rPr>
          <w:rFonts w:ascii="Garamond" w:hAnsi="Garamond" w:cs="Times New Roman"/>
          <w:sz w:val="24"/>
          <w:szCs w:val="24"/>
        </w:rPr>
        <w:fldChar w:fldCharType="end"/>
      </w:r>
      <w:r w:rsidR="005C7EB0" w:rsidRPr="00055865">
        <w:rPr>
          <w:rFonts w:ascii="Garamond" w:hAnsi="Garamond" w:cs="Times New Roman"/>
          <w:sz w:val="24"/>
          <w:szCs w:val="24"/>
        </w:rPr>
        <w:t xml:space="preserve">. Creation of waste depletes natural resources, utilises water and energy, exert pressure on land, pollutes the environment and generates </w:t>
      </w:r>
      <w:r w:rsidR="005B6FD7">
        <w:rPr>
          <w:rFonts w:ascii="Garamond" w:hAnsi="Garamond" w:cs="Times New Roman"/>
          <w:sz w:val="24"/>
          <w:szCs w:val="24"/>
        </w:rPr>
        <w:t xml:space="preserve">the </w:t>
      </w:r>
      <w:r w:rsidR="005C7EB0" w:rsidRPr="00055865">
        <w:rPr>
          <w:rFonts w:ascii="Garamond" w:hAnsi="Garamond" w:cs="Times New Roman"/>
          <w:sz w:val="24"/>
          <w:szCs w:val="24"/>
        </w:rPr>
        <w:t xml:space="preserve">additional cost of managing waste </w:t>
      </w:r>
      <w:r w:rsidR="006D03D1" w:rsidRPr="00055865">
        <w:rPr>
          <w:rFonts w:ascii="Garamond" w:hAnsi="Garamond" w:cs="Times New Roman"/>
          <w:sz w:val="24"/>
          <w:szCs w:val="24"/>
        </w:rPr>
        <w:fldChar w:fldCharType="begin" w:fldLock="1"/>
      </w:r>
      <w:r w:rsidR="0066008E" w:rsidRPr="00055865">
        <w:rPr>
          <w:rFonts w:ascii="Garamond" w:hAnsi="Garamond" w:cs="Times New Roman"/>
          <w:sz w:val="24"/>
          <w:szCs w:val="24"/>
        </w:rPr>
        <w:instrText>ADDIN CSL_CITATION {"citationItems":[{"id":"ITEM-1","itemData":{"DOI":"10.1016/j.jclepro.2012.11.041","ISBN":"09596526","ISSN":"09596526","PMID":"23752099","abstract":"Waste is the symbol of inefficiency of any modern society and a representation of misallocated resources. Significant progress has been achieved in reducing waste but it varies from city to city. Currently, cities use their waste diversion rate as a tool to measure the performance of their waste management systems. However, diversion of waste from landfill does not give a holistic picture of zero waste performance. This paper conceptualises the concept of the 'zero waste city' and proposes a new tool to measure the performance of waste management systems called the 'zero waste index'. The zero waste index forecasts the amount of virgin materials, energy, water and greenhouse gas emissions substituted by the resources that are recovered from waste streams. Three high consuming cities (Adelaide, San Francisco and Stockholm) were analysed using the zero waste index. The zero waste indexes in Adelaide, San Francisco and Stockholm were found to be 0.23, 0.51 and 0.17 respectively (i.e. around 23%, 51% and 17% of resources were recovered and potentially substituted for virgin materials). In addition, the zero waste index estimated the potential energy, greenhouse gas (GHG) and water savings due to resource recovery from municipal solid waste in each of the three cities. It is evident that the zero waste index is an innovative tool to assess waste management performance and materials substitution by waste management systems in different cities. © 2013 Elsevier Ltd. All rights reserved.","author":[{"dropping-particle":"","family":"Zaman","given":"Atiq Uz","non-dropping-particle":"","parse-names":false,"suffix":""},{"dropping-particle":"","family":"Lehmann","given":"Steffen","non-dropping-particle":"","parse-names":false,"suffix":""}],"container-title":"Journal of Cleaner Production","id":"ITEM-1","issued":{"date-parts":[["2013"]]},"page":"123-132","title":"The zero waste index: A performance measurement tool for waste management systems in a 'zero waste city'","type":"article-journal","volume":"50"},"uris":["http://www.mendeley.com/documents/?uuid=76198e73-bfd7-4ba2-ba91-026c5b3d0673"]}],"mendeley":{"formattedCitation":"(Zaman &amp; Lehmann, 2013)","plainTextFormattedCitation":"(Zaman &amp; Lehmann, 2013)","previouslyFormattedCitation":"(Zaman &amp; Lehmann, 2013)"},"properties":{"noteIndex":0},"schema":"https://github.com/citation-style-language/schema/raw/master/csl-citation.json"}</w:instrText>
      </w:r>
      <w:r w:rsidR="006D03D1" w:rsidRPr="00055865">
        <w:rPr>
          <w:rFonts w:ascii="Garamond" w:hAnsi="Garamond" w:cs="Times New Roman"/>
          <w:sz w:val="24"/>
          <w:szCs w:val="24"/>
        </w:rPr>
        <w:fldChar w:fldCharType="separate"/>
      </w:r>
      <w:r w:rsidR="006D03D1" w:rsidRPr="00055865">
        <w:rPr>
          <w:rFonts w:ascii="Garamond" w:hAnsi="Garamond" w:cs="Times New Roman"/>
          <w:noProof/>
          <w:sz w:val="24"/>
          <w:szCs w:val="24"/>
        </w:rPr>
        <w:t>(Zaman &amp; Lehmann, 2013)</w:t>
      </w:r>
      <w:r w:rsidR="006D03D1" w:rsidRPr="00055865">
        <w:rPr>
          <w:rFonts w:ascii="Garamond" w:hAnsi="Garamond" w:cs="Times New Roman"/>
          <w:sz w:val="24"/>
          <w:szCs w:val="24"/>
        </w:rPr>
        <w:fldChar w:fldCharType="end"/>
      </w:r>
      <w:r w:rsidR="006D03D1" w:rsidRPr="00055865">
        <w:rPr>
          <w:rFonts w:ascii="Garamond" w:hAnsi="Garamond" w:cs="Times New Roman"/>
          <w:sz w:val="24"/>
          <w:szCs w:val="24"/>
        </w:rPr>
        <w:t xml:space="preserve">. </w:t>
      </w:r>
      <w:r w:rsidR="005C7EB0" w:rsidRPr="00055865">
        <w:rPr>
          <w:rFonts w:ascii="Garamond" w:hAnsi="Garamond" w:cs="Times New Roman"/>
          <w:sz w:val="24"/>
          <w:szCs w:val="24"/>
        </w:rPr>
        <w:t>Therefore</w:t>
      </w:r>
      <w:r w:rsidR="006D03D1" w:rsidRPr="00055865">
        <w:rPr>
          <w:rFonts w:ascii="Garamond" w:hAnsi="Garamond" w:cs="Times New Roman"/>
          <w:sz w:val="24"/>
          <w:szCs w:val="24"/>
        </w:rPr>
        <w:t>, when</w:t>
      </w:r>
      <w:r w:rsidR="005C7EB0" w:rsidRPr="00055865">
        <w:rPr>
          <w:rFonts w:ascii="Garamond" w:hAnsi="Garamond" w:cs="Times New Roman"/>
          <w:sz w:val="24"/>
          <w:szCs w:val="24"/>
        </w:rPr>
        <w:t xml:space="preserve"> corporations effectively manage </w:t>
      </w:r>
      <w:r w:rsidR="006D03D1" w:rsidRPr="00055865">
        <w:rPr>
          <w:rFonts w:ascii="Garamond" w:hAnsi="Garamond" w:cs="Times New Roman"/>
          <w:sz w:val="24"/>
          <w:szCs w:val="24"/>
        </w:rPr>
        <w:t>waste,</w:t>
      </w:r>
      <w:r w:rsidR="005C7EB0" w:rsidRPr="00055865">
        <w:rPr>
          <w:rFonts w:ascii="Garamond" w:hAnsi="Garamond" w:cs="Times New Roman"/>
          <w:sz w:val="24"/>
          <w:szCs w:val="24"/>
        </w:rPr>
        <w:t xml:space="preserve"> </w:t>
      </w:r>
      <w:r w:rsidR="006D03D1" w:rsidRPr="00055865">
        <w:rPr>
          <w:rFonts w:ascii="Garamond" w:hAnsi="Garamond" w:cs="Times New Roman"/>
          <w:sz w:val="24"/>
          <w:szCs w:val="24"/>
        </w:rPr>
        <w:t xml:space="preserve">they </w:t>
      </w:r>
      <w:r w:rsidR="005C7EB0" w:rsidRPr="00055865">
        <w:rPr>
          <w:rFonts w:ascii="Garamond" w:hAnsi="Garamond" w:cs="Times New Roman"/>
          <w:sz w:val="24"/>
          <w:szCs w:val="24"/>
        </w:rPr>
        <w:t xml:space="preserve">are not only protecting the </w:t>
      </w:r>
      <w:r w:rsidR="005C7EB0" w:rsidRPr="00055865">
        <w:rPr>
          <w:rFonts w:ascii="Garamond" w:hAnsi="Garamond" w:cs="Times New Roman"/>
          <w:noProof/>
          <w:sz w:val="24"/>
          <w:szCs w:val="24"/>
        </w:rPr>
        <w:t>environment</w:t>
      </w:r>
      <w:r w:rsidR="006D03D1" w:rsidRPr="00055865">
        <w:rPr>
          <w:rFonts w:ascii="Garamond" w:hAnsi="Garamond" w:cs="Times New Roman"/>
          <w:noProof/>
          <w:sz w:val="24"/>
          <w:szCs w:val="24"/>
        </w:rPr>
        <w:t xml:space="preserve"> from ozone layer depletion</w:t>
      </w:r>
      <w:r w:rsidR="005C7EB0" w:rsidRPr="00055865">
        <w:rPr>
          <w:rFonts w:ascii="Garamond" w:hAnsi="Garamond" w:cs="Times New Roman"/>
          <w:sz w:val="24"/>
          <w:szCs w:val="24"/>
        </w:rPr>
        <w:t xml:space="preserve"> but also avoiding economic costs and improving the bottom-line. </w:t>
      </w:r>
    </w:p>
    <w:p w14:paraId="51D64424" w14:textId="44719328" w:rsidR="00C3429E" w:rsidRPr="00055865" w:rsidRDefault="00204FF4" w:rsidP="005B6FD7">
      <w:pPr>
        <w:autoSpaceDE w:val="0"/>
        <w:autoSpaceDN w:val="0"/>
        <w:adjustRightInd w:val="0"/>
        <w:spacing w:after="0" w:line="480" w:lineRule="auto"/>
        <w:jc w:val="both"/>
        <w:rPr>
          <w:rFonts w:ascii="Garamond" w:eastAsia="TimesNewRomanPSMT" w:hAnsi="Garamond" w:cs="Times New Roman"/>
          <w:sz w:val="24"/>
          <w:szCs w:val="24"/>
        </w:rPr>
      </w:pPr>
      <w:r w:rsidRPr="00055865">
        <w:rPr>
          <w:rFonts w:ascii="Garamond" w:hAnsi="Garamond"/>
          <w:sz w:val="24"/>
          <w:szCs w:val="24"/>
        </w:rPr>
        <w:t xml:space="preserve">            </w:t>
      </w:r>
      <w:r w:rsidR="00CE539A">
        <w:rPr>
          <w:rFonts w:ascii="Garamond" w:hAnsi="Garamond"/>
          <w:sz w:val="24"/>
          <w:szCs w:val="24"/>
        </w:rPr>
        <w:t>Data from s</w:t>
      </w:r>
      <w:r w:rsidR="00C3429E" w:rsidRPr="00055865">
        <w:rPr>
          <w:rFonts w:ascii="Garamond" w:hAnsi="Garamond"/>
          <w:sz w:val="24"/>
          <w:szCs w:val="24"/>
        </w:rPr>
        <w:t>tak</w:t>
      </w:r>
      <w:r w:rsidR="00CE539A">
        <w:rPr>
          <w:rFonts w:ascii="Garamond" w:hAnsi="Garamond"/>
          <w:sz w:val="24"/>
          <w:szCs w:val="24"/>
        </w:rPr>
        <w:t>eholder engagement also reveal</w:t>
      </w:r>
      <w:r w:rsidR="00C3429E" w:rsidRPr="00055865">
        <w:rPr>
          <w:rFonts w:ascii="Garamond" w:hAnsi="Garamond"/>
          <w:sz w:val="24"/>
          <w:szCs w:val="24"/>
        </w:rPr>
        <w:t xml:space="preserve"> results similar to the waste management practices where a significant p</w:t>
      </w:r>
      <w:r w:rsidR="00CE539A">
        <w:rPr>
          <w:rFonts w:ascii="Garamond" w:hAnsi="Garamond"/>
          <w:sz w:val="24"/>
          <w:szCs w:val="24"/>
        </w:rPr>
        <w:t>ositive relationship with ROA i</w:t>
      </w:r>
      <w:r w:rsidR="00B1278D">
        <w:rPr>
          <w:rFonts w:ascii="Garamond" w:hAnsi="Garamond"/>
          <w:sz w:val="24"/>
          <w:szCs w:val="24"/>
        </w:rPr>
        <w:t>s established. However,</w:t>
      </w:r>
      <w:r w:rsidR="00C3429E" w:rsidRPr="00055865">
        <w:rPr>
          <w:rFonts w:ascii="Garamond" w:hAnsi="Garamond"/>
          <w:sz w:val="24"/>
          <w:szCs w:val="24"/>
        </w:rPr>
        <w:t xml:space="preserve"> a non-linear relationship could not be found.</w:t>
      </w:r>
      <w:r w:rsidR="006D03D1" w:rsidRPr="00055865">
        <w:rPr>
          <w:rFonts w:ascii="Garamond" w:hAnsi="Garamond"/>
          <w:sz w:val="24"/>
          <w:szCs w:val="24"/>
        </w:rPr>
        <w:t xml:space="preserve"> T</w:t>
      </w:r>
      <w:r w:rsidR="00C3429E" w:rsidRPr="00055865">
        <w:rPr>
          <w:rFonts w:ascii="Garamond" w:hAnsi="Garamond"/>
          <w:sz w:val="24"/>
          <w:szCs w:val="24"/>
        </w:rPr>
        <w:t>he</w:t>
      </w:r>
      <w:r w:rsidR="00CE539A">
        <w:rPr>
          <w:rFonts w:ascii="Garamond" w:hAnsi="Garamond"/>
          <w:sz w:val="24"/>
          <w:szCs w:val="24"/>
        </w:rPr>
        <w:t xml:space="preserve"> findings support the assertion</w:t>
      </w:r>
      <w:r w:rsidR="00C3429E" w:rsidRPr="00055865">
        <w:rPr>
          <w:rFonts w:ascii="Garamond" w:hAnsi="Garamond"/>
          <w:sz w:val="24"/>
          <w:szCs w:val="24"/>
        </w:rPr>
        <w:t xml:space="preserve"> of  </w:t>
      </w:r>
      <w:r w:rsidR="00C3429E" w:rsidRPr="00055865">
        <w:rPr>
          <w:rFonts w:ascii="Garamond" w:hAnsi="Garamond"/>
          <w:sz w:val="24"/>
          <w:szCs w:val="24"/>
        </w:rPr>
        <w:fldChar w:fldCharType="begin" w:fldLock="1"/>
      </w:r>
      <w:r w:rsidR="007122D5" w:rsidRPr="00055865">
        <w:rPr>
          <w:rFonts w:ascii="Garamond" w:hAnsi="Garamond"/>
          <w:sz w:val="24"/>
          <w:szCs w:val="24"/>
        </w:rPr>
        <w:instrText>ADDIN CSL_CITATION {"citationItems":[{"id":"ITEM-1","itemData":{"abstract":"Hart, S. L. (1995), A natural – resource – based view of the firm, Academy Management Review, 20(4), pp. 966-1014.","author":[{"dropping-particle":"","family":"Hart","given":"S. L.","non-dropping-particle":"","parse-names":false,"suffix":""}],"container-title":"Academy Management Review","id":"ITEM-1","issue":"4","issued":{"date-parts":[["1995"]]},"page":"966-1014","title":"A natural – resource – based view of the firm","type":"article-journal","volume":"20"},"uris":["http://www.mendeley.com/documents/?uuid=249e5a9c-e0d6-4e3b-b7fe-42bd71f3b4ab"]}],"mendeley":{"formattedCitation":"(S. L. Hart, 1995)","manualFormatting":"Hart (1995)","plainTextFormattedCitation":"(S. L. Hart, 1995)","previouslyFormattedCitation":"(S. L. Hart, 1995)"},"properties":{"noteIndex":0},"schema":"https://github.com/citation-style-language/schema/raw/master/csl-citation.json"}</w:instrText>
      </w:r>
      <w:r w:rsidR="00C3429E" w:rsidRPr="00055865">
        <w:rPr>
          <w:rFonts w:ascii="Garamond" w:hAnsi="Garamond"/>
          <w:sz w:val="24"/>
          <w:szCs w:val="24"/>
        </w:rPr>
        <w:fldChar w:fldCharType="separate"/>
      </w:r>
      <w:r w:rsidR="00C3429E" w:rsidRPr="00055865">
        <w:rPr>
          <w:rFonts w:ascii="Garamond" w:hAnsi="Garamond"/>
          <w:noProof/>
          <w:sz w:val="24"/>
          <w:szCs w:val="24"/>
        </w:rPr>
        <w:t>Hart (1995)</w:t>
      </w:r>
      <w:r w:rsidR="00C3429E" w:rsidRPr="00055865">
        <w:rPr>
          <w:rFonts w:ascii="Garamond" w:hAnsi="Garamond"/>
          <w:sz w:val="24"/>
          <w:szCs w:val="24"/>
        </w:rPr>
        <w:fldChar w:fldCharType="end"/>
      </w:r>
      <w:r w:rsidR="00C3429E" w:rsidRPr="00055865">
        <w:rPr>
          <w:rFonts w:ascii="Garamond" w:hAnsi="Garamond"/>
          <w:sz w:val="24"/>
          <w:szCs w:val="24"/>
        </w:rPr>
        <w:t xml:space="preserve"> that sustainable environmental p</w:t>
      </w:r>
      <w:r w:rsidR="0003318B" w:rsidRPr="00055865">
        <w:rPr>
          <w:rFonts w:ascii="Garamond" w:hAnsi="Garamond"/>
          <w:sz w:val="24"/>
          <w:szCs w:val="24"/>
        </w:rPr>
        <w:t>ractices</w:t>
      </w:r>
      <w:r w:rsidR="00C3429E" w:rsidRPr="00055865">
        <w:rPr>
          <w:rFonts w:ascii="Garamond" w:hAnsi="Garamond"/>
          <w:sz w:val="24"/>
          <w:szCs w:val="24"/>
        </w:rPr>
        <w:t xml:space="preserve"> in terms of</w:t>
      </w:r>
      <w:r w:rsidR="00CE539A">
        <w:rPr>
          <w:rFonts w:ascii="Garamond" w:hAnsi="Garamond"/>
          <w:sz w:val="24"/>
          <w:szCs w:val="24"/>
        </w:rPr>
        <w:t xml:space="preserve"> stakeholder management improve</w:t>
      </w:r>
      <w:r w:rsidR="00C3429E" w:rsidRPr="00055865">
        <w:rPr>
          <w:rFonts w:ascii="Garamond" w:hAnsi="Garamond"/>
          <w:sz w:val="24"/>
          <w:szCs w:val="24"/>
        </w:rPr>
        <w:t xml:space="preserve"> the perception of stakeholders such as employees, customers and investors </w:t>
      </w:r>
      <w:bookmarkStart w:id="8" w:name="_Hlk513722503"/>
      <w:r w:rsidR="00C3429E" w:rsidRPr="00055865">
        <w:rPr>
          <w:rFonts w:ascii="Garamond" w:hAnsi="Garamond"/>
          <w:sz w:val="24"/>
          <w:szCs w:val="24"/>
        </w:rPr>
        <w:fldChar w:fldCharType="begin" w:fldLock="1"/>
      </w:r>
      <w:r w:rsidR="007122D5" w:rsidRPr="00055865">
        <w:rPr>
          <w:rFonts w:ascii="Garamond" w:hAnsi="Garamond"/>
          <w:sz w:val="24"/>
          <w:szCs w:val="24"/>
        </w:rPr>
        <w:instrText>ADDIN CSL_CITATION {"citationItems":[{"id":"ITEM-1","itemData":{"abstract":"Hart, S. L. (1995), A natural – resource – based view of the firm, Academy Management Review, 20(4), pp. 966-1014.","author":[{"dropping-particle":"","family":"Hart","given":"S. L.","non-dropping-particle":"","parse-names":false,"suffix":""}],"container-title":"Academy Management Review","id":"ITEM-1","issue":"4","issued":{"date-parts":[["1995"]]},"page":"966-1014","title":"A natural – resource – based view of the firm","type":"article-journal","volume":"20"},"uris":["http://www.mendeley.com/documents/?uuid=249e5a9c-e0d6-4e3b-b7fe-42bd71f3b4ab"]}],"mendeley":{"formattedCitation":"(S. L. Hart, 1995)","manualFormatting":"(Hart, 1995)","plainTextFormattedCitation":"(S. L. Hart, 1995)","previouslyFormattedCitation":"(S. L. Hart, 1995)"},"properties":{"noteIndex":0},"schema":"https://github.com/citation-style-language/schema/raw/master/csl-citation.json"}</w:instrText>
      </w:r>
      <w:r w:rsidR="00C3429E" w:rsidRPr="00055865">
        <w:rPr>
          <w:rFonts w:ascii="Garamond" w:hAnsi="Garamond"/>
          <w:sz w:val="24"/>
          <w:szCs w:val="24"/>
        </w:rPr>
        <w:fldChar w:fldCharType="separate"/>
      </w:r>
      <w:r w:rsidR="00C3429E" w:rsidRPr="00055865">
        <w:rPr>
          <w:rFonts w:ascii="Garamond" w:hAnsi="Garamond"/>
          <w:noProof/>
          <w:sz w:val="24"/>
          <w:szCs w:val="24"/>
        </w:rPr>
        <w:t>(Hart, 1995)</w:t>
      </w:r>
      <w:r w:rsidR="00C3429E" w:rsidRPr="00055865">
        <w:rPr>
          <w:rFonts w:ascii="Garamond" w:hAnsi="Garamond"/>
          <w:sz w:val="24"/>
          <w:szCs w:val="24"/>
        </w:rPr>
        <w:fldChar w:fldCharType="end"/>
      </w:r>
      <w:bookmarkEnd w:id="8"/>
      <w:r w:rsidR="00C3429E" w:rsidRPr="00055865">
        <w:rPr>
          <w:rFonts w:ascii="Garamond" w:hAnsi="Garamond"/>
          <w:sz w:val="24"/>
          <w:szCs w:val="24"/>
        </w:rPr>
        <w:t>. This</w:t>
      </w:r>
      <w:r w:rsidR="00DB6768" w:rsidRPr="00055865">
        <w:rPr>
          <w:rFonts w:ascii="Garamond" w:hAnsi="Garamond"/>
          <w:sz w:val="24"/>
          <w:szCs w:val="24"/>
        </w:rPr>
        <w:t xml:space="preserve"> line of thinking</w:t>
      </w:r>
      <w:r w:rsidR="00C3429E" w:rsidRPr="00055865">
        <w:rPr>
          <w:rFonts w:ascii="Garamond" w:hAnsi="Garamond"/>
          <w:sz w:val="24"/>
          <w:szCs w:val="24"/>
        </w:rPr>
        <w:t xml:space="preserve"> has also been emphasised by </w:t>
      </w:r>
      <w:r w:rsidR="00C3429E" w:rsidRPr="00055865">
        <w:rPr>
          <w:rFonts w:ascii="Garamond" w:hAnsi="Garamond"/>
          <w:sz w:val="24"/>
          <w:szCs w:val="24"/>
        </w:rPr>
        <w:fldChar w:fldCharType="begin" w:fldLock="1"/>
      </w:r>
      <w:r w:rsidR="00C3429E" w:rsidRPr="00055865">
        <w:rPr>
          <w:rFonts w:ascii="Garamond" w:hAnsi="Garamond"/>
          <w:sz w:val="24"/>
          <w:szCs w:val="24"/>
        </w:rPr>
        <w:instrText>ADDIN CSL_CITATION {"citationItems":[{"id":"ITEM-1","itemData":{"DOI":"10.1007/s10551-016-3088-8","ISSN":"15730697","abstract":"The nature of the relationship between environmental performance (EP) and firm performance (FP) of corporations is a long standing and contentious issue in the literature. This study is intended to advance this debate by arguing for the existence of curvilinear relationship and empirically testing the same using survey data on UK manufacturing firms. FP is captured in terms of growth in sales and market share. Our results show evidence for a quadratic relationship---as firms improve their EP, they seem to achieve much higher levels of FP. These results are consistent with the resource-based view of a firm; as firms engage in EP activities, they are able to gain inimitable knowledge that helps in further learning to further improve performance. Based on our results, we suggest that new studies focus on strategies to extend the period of increasing returns and maximizing the benefits of the positive association between EP and FP.","author":[{"dropping-particle":"","family":"Ramanathan","given":"Ramakrishnan","non-dropping-particle":"","parse-names":false,"suffix":""}],"container-title":"Journal of Business Ethics","id":"ITEM-1","issue":"2008","issued":{"date-parts":[["2016"]]},"page":"1-11","publisher":"Springer Netherlands","title":"Understanding Complexity: the Curvilinear Relationship Between Environmental Performance and Firm Performance","type":"article-journal"},"uris":["http://www.mendeley.com/documents/?uuid=021fac6e-0468-46e7-93b7-897425764cea"]}],"mendeley":{"formattedCitation":"(Ramanathan, 2016)","manualFormatting":"Ramanathan (2016)","plainTextFormattedCitation":"(Ramanathan, 2016)","previouslyFormattedCitation":"(Ramanathan, 2016)"},"properties":{"noteIndex":0},"schema":"https://github.com/citation-style-language/schema/raw/master/csl-citation.json"}</w:instrText>
      </w:r>
      <w:r w:rsidR="00C3429E" w:rsidRPr="00055865">
        <w:rPr>
          <w:rFonts w:ascii="Garamond" w:hAnsi="Garamond"/>
          <w:sz w:val="24"/>
          <w:szCs w:val="24"/>
        </w:rPr>
        <w:fldChar w:fldCharType="separate"/>
      </w:r>
      <w:r w:rsidR="00C3429E" w:rsidRPr="00055865">
        <w:rPr>
          <w:rFonts w:ascii="Garamond" w:hAnsi="Garamond"/>
          <w:noProof/>
          <w:sz w:val="24"/>
          <w:szCs w:val="24"/>
        </w:rPr>
        <w:t>Ramanathan (2016)</w:t>
      </w:r>
      <w:r w:rsidR="00C3429E" w:rsidRPr="00055865">
        <w:rPr>
          <w:rFonts w:ascii="Garamond" w:hAnsi="Garamond"/>
          <w:sz w:val="24"/>
          <w:szCs w:val="24"/>
        </w:rPr>
        <w:fldChar w:fldCharType="end"/>
      </w:r>
      <w:r w:rsidR="00C3429E" w:rsidRPr="00055865">
        <w:rPr>
          <w:rFonts w:ascii="Garamond" w:hAnsi="Garamond"/>
          <w:sz w:val="24"/>
          <w:szCs w:val="24"/>
        </w:rPr>
        <w:t xml:space="preserve"> that such action will help impro</w:t>
      </w:r>
      <w:r w:rsidR="00B1278D">
        <w:rPr>
          <w:rFonts w:ascii="Garamond" w:hAnsi="Garamond"/>
          <w:sz w:val="24"/>
          <w:szCs w:val="24"/>
        </w:rPr>
        <w:t>ve employee motivation, improve</w:t>
      </w:r>
      <w:r w:rsidR="00C3429E" w:rsidRPr="00055865">
        <w:rPr>
          <w:rFonts w:ascii="Garamond" w:hAnsi="Garamond"/>
          <w:sz w:val="24"/>
          <w:szCs w:val="24"/>
        </w:rPr>
        <w:t xml:space="preserve"> patronage by customers and investors, thereby leading to an improvement in </w:t>
      </w:r>
      <w:r w:rsidR="00C3429E" w:rsidRPr="00055865">
        <w:rPr>
          <w:rFonts w:ascii="Garamond" w:hAnsi="Garamond"/>
          <w:sz w:val="24"/>
          <w:szCs w:val="24"/>
        </w:rPr>
        <w:lastRenderedPageBreak/>
        <w:t>financial performance as discovered in the study.</w:t>
      </w:r>
      <w:r w:rsidR="0066008E" w:rsidRPr="00055865">
        <w:rPr>
          <w:rFonts w:ascii="Garamond" w:hAnsi="Garamond"/>
          <w:sz w:val="24"/>
          <w:szCs w:val="24"/>
        </w:rPr>
        <w:t xml:space="preserve"> </w:t>
      </w:r>
      <w:r w:rsidR="0066008E" w:rsidRPr="00055865">
        <w:rPr>
          <w:rFonts w:ascii="Garamond" w:eastAsia="TimesNewRomanPSMT" w:hAnsi="Garamond" w:cs="Times New Roman"/>
          <w:sz w:val="24"/>
          <w:szCs w:val="24"/>
        </w:rPr>
        <w:t xml:space="preserve">In line with stakeholder theory, </w:t>
      </w:r>
      <w:r w:rsidR="0066008E" w:rsidRPr="00055865">
        <w:rPr>
          <w:rFonts w:ascii="Garamond" w:eastAsia="TimesNewRomanPSMT" w:hAnsi="Garamond" w:cs="Times New Roman"/>
          <w:sz w:val="24"/>
          <w:szCs w:val="24"/>
        </w:rPr>
        <w:fldChar w:fldCharType="begin" w:fldLock="1"/>
      </w:r>
      <w:r w:rsidR="0066008E" w:rsidRPr="00055865">
        <w:rPr>
          <w:rFonts w:ascii="Garamond" w:eastAsia="TimesNewRomanPSMT" w:hAnsi="Garamond" w:cs="Times New Roman"/>
          <w:sz w:val="24"/>
          <w:szCs w:val="24"/>
        </w:rPr>
        <w:instrText>ADDIN CSL_CITATION {"citationItems":[{"id":"ITEM-1","itemData":{"DOI":"10.1287/mnsc.42.8.1199","ISBN":"0309066468","ISSN":"0025-1909","PMID":"289","abstract":"Environmental management has the potential to play a pivotal role in the financial performance of the firm. Many individuals suggest that profitability is hurt by the higher production costs of environmental management initiatives, while others cite anecdotal evidence of increased profitability. A theoretical model is proposed that links strong environmental management to improved perceived future financial performance, as measured by stock market performance. The linkage to firm performance is tested empirically using financial event methodology and archival data of firm-level environmental and financial performance. Significant positive returns were measured for strong environmental management as indicated by environmental performance awards, and significant negative returns were measured for weak environmental management as indicated by environmental crises. The implicit financial market valuation of these events also was estimated. Cross-sectional analysis of the environmental award events revealed differences for first-time awards and between industries. First-time award announcements were associated with greater increases in market valuation, although smaller increases were observed for firms in environmentally dirty industries, possibly indicative of market skepticism. This linkage between environmental management and financial performance can be used by both researchers and practitioners as one measure of the benefits experienced by industry leaders, and as one criterion against which to measure investment alternatives.","author":[{"dropping-particle":"","family":"Klassen","given":"Robert D.","non-dropping-particle":"","parse-names":false,"suffix":""},{"dropping-particle":"","family":"McLaughlin","given":"Curtis P.","non-dropping-particle":"","parse-names":false,"suffix":""}],"container-title":"Management Science","id":"ITEM-1","issue":"8","issued":{"date-parts":[["1996"]]},"page":"1199-1214","title":"The Impact of Environmental Management on Firm Performance","type":"article-journal","volume":"42"},"uris":["http://www.mendeley.com/documents/?uuid=26e0828b-2243-494a-87e9-266fc4c00e44"]}],"mendeley":{"formattedCitation":"(Klassen &amp; McLaughlin, 1996)","manualFormatting":"Klassen &amp; McLaughlin (1996)","plainTextFormattedCitation":"(Klassen &amp; McLaughlin, 1996)","previouslyFormattedCitation":"(Klassen &amp; McLaughlin, 1996)"},"properties":{"noteIndex":0},"schema":"https://github.com/citation-style-language/schema/raw/master/csl-citation.json"}</w:instrText>
      </w:r>
      <w:r w:rsidR="0066008E" w:rsidRPr="00055865">
        <w:rPr>
          <w:rFonts w:ascii="Garamond" w:eastAsia="TimesNewRomanPSMT" w:hAnsi="Garamond" w:cs="Times New Roman"/>
          <w:sz w:val="24"/>
          <w:szCs w:val="24"/>
        </w:rPr>
        <w:fldChar w:fldCharType="separate"/>
      </w:r>
      <w:r w:rsidR="0066008E" w:rsidRPr="00055865">
        <w:rPr>
          <w:rFonts w:ascii="Garamond" w:eastAsia="TimesNewRomanPSMT" w:hAnsi="Garamond" w:cs="Times New Roman"/>
          <w:noProof/>
          <w:sz w:val="24"/>
          <w:szCs w:val="24"/>
        </w:rPr>
        <w:t>Klassen &amp; McLaughlin (1996)</w:t>
      </w:r>
      <w:r w:rsidR="0066008E" w:rsidRPr="00055865">
        <w:rPr>
          <w:rFonts w:ascii="Garamond" w:eastAsia="TimesNewRomanPSMT" w:hAnsi="Garamond" w:cs="Times New Roman"/>
          <w:sz w:val="24"/>
          <w:szCs w:val="24"/>
        </w:rPr>
        <w:fldChar w:fldCharType="end"/>
      </w:r>
      <w:r w:rsidR="0066008E" w:rsidRPr="00055865">
        <w:rPr>
          <w:rFonts w:ascii="Garamond" w:eastAsia="TimesNewRomanPSMT" w:hAnsi="Garamond" w:cs="Times New Roman"/>
          <w:sz w:val="24"/>
          <w:szCs w:val="24"/>
        </w:rPr>
        <w:t xml:space="preserve"> also asserted that pollution prevention measures and end-of-pipe treatment provide avenues for corporations to enhance their sales through marketing environmentally friendly products. </w:t>
      </w:r>
      <w:r w:rsidR="0066008E" w:rsidRPr="00055865">
        <w:rPr>
          <w:rFonts w:ascii="Garamond" w:eastAsia="TimesNewRomanPSMT" w:hAnsi="Garamond" w:cs="Times New Roman"/>
          <w:sz w:val="24"/>
          <w:szCs w:val="24"/>
        </w:rPr>
        <w:fldChar w:fldCharType="begin" w:fldLock="1"/>
      </w:r>
      <w:r w:rsidR="00217D30" w:rsidRPr="00055865">
        <w:rPr>
          <w:rFonts w:ascii="Garamond" w:eastAsia="TimesNewRomanPSMT" w:hAnsi="Garamond" w:cs="Times New Roman"/>
          <w:sz w:val="24"/>
          <w:szCs w:val="24"/>
        </w:rPr>
        <w:instrText>ADDIN CSL_CITATION {"citationItems":[{"id":"ITEM-1","itemData":{"DOI":"10.2307/256342","ISBN":"00014273","ISSN":"00014273","PMID":"4406058","abstract":"Using Fortune magazine's ratings of corporate reputations, we analyzed the relationships between perceptions of firms' corporate social responsibility and measures of their financial performance. Results show that a firm's prior performance, assessed by both stock-market returns and accounting-based measures, is more closely related to corporate social responsibility than is subsequent performance. Results also show that measures of risk are more closely associated with social responsibility than previous studies have suggested.","author":[{"dropping-particle":"","family":"Mcguire","given":"Jean B","non-dropping-particle":"","parse-names":false,"suffix":""},{"dropping-particle":"","family":"Sundgren","given":"Alison","non-dropping-particle":"","parse-names":false,"suffix":""},{"dropping-particle":"","family":"Schneeweis","given":"Thomas","non-dropping-particle":"","parse-names":false,"suffix":""}],"container-title":"Academy of Management Journal","id":"ITEM-1","issue":"4","issued":{"date-parts":[["1988"]]},"page":"854-872","title":"Corporate Social Responsibility and Firm Financial Performance","type":"article-journal","volume":"31"},"uris":["http://www.mendeley.com/documents/?uuid=4e4159ff-dc89-4429-8d05-582697d7f60c"]}],"mendeley":{"formattedCitation":"(Mcguire et al., 1988)","manualFormatting":"Mcguire, Sundgren, &amp; Schneeweis (1988)","plainTextFormattedCitation":"(Mcguire et al., 1988)","previouslyFormattedCitation":"(Mcguire et al., 1988)"},"properties":{"noteIndex":0},"schema":"https://github.com/citation-style-language/schema/raw/master/csl-citation.json"}</w:instrText>
      </w:r>
      <w:r w:rsidR="0066008E" w:rsidRPr="00055865">
        <w:rPr>
          <w:rFonts w:ascii="Garamond" w:eastAsia="TimesNewRomanPSMT" w:hAnsi="Garamond" w:cs="Times New Roman"/>
          <w:sz w:val="24"/>
          <w:szCs w:val="24"/>
        </w:rPr>
        <w:fldChar w:fldCharType="separate"/>
      </w:r>
      <w:r w:rsidR="0066008E" w:rsidRPr="00055865">
        <w:rPr>
          <w:rFonts w:ascii="Garamond" w:eastAsia="TimesNewRomanPSMT" w:hAnsi="Garamond" w:cs="Times New Roman"/>
          <w:noProof/>
          <w:sz w:val="24"/>
          <w:szCs w:val="24"/>
        </w:rPr>
        <w:t>Mcguire</w:t>
      </w:r>
      <w:r w:rsidR="00B25BCE" w:rsidRPr="00055865">
        <w:rPr>
          <w:rFonts w:ascii="Garamond" w:eastAsia="TimesNewRomanPSMT" w:hAnsi="Garamond" w:cs="Times New Roman"/>
          <w:noProof/>
          <w:sz w:val="24"/>
          <w:szCs w:val="24"/>
        </w:rPr>
        <w:t xml:space="preserve"> et al.</w:t>
      </w:r>
      <w:r w:rsidR="005B6FD7">
        <w:rPr>
          <w:rFonts w:ascii="Garamond" w:eastAsia="TimesNewRomanPSMT" w:hAnsi="Garamond" w:cs="Times New Roman"/>
          <w:noProof/>
          <w:sz w:val="24"/>
          <w:szCs w:val="24"/>
        </w:rPr>
        <w:t xml:space="preserve"> </w:t>
      </w:r>
      <w:r w:rsidR="009C6878" w:rsidRPr="00055865">
        <w:rPr>
          <w:rFonts w:ascii="Garamond" w:eastAsia="TimesNewRomanPSMT" w:hAnsi="Garamond" w:cs="Times New Roman"/>
          <w:noProof/>
          <w:sz w:val="24"/>
          <w:szCs w:val="24"/>
        </w:rPr>
        <w:t>(</w:t>
      </w:r>
      <w:r w:rsidR="0066008E" w:rsidRPr="00055865">
        <w:rPr>
          <w:rFonts w:ascii="Garamond" w:eastAsia="TimesNewRomanPSMT" w:hAnsi="Garamond" w:cs="Times New Roman"/>
          <w:noProof/>
          <w:sz w:val="24"/>
          <w:szCs w:val="24"/>
        </w:rPr>
        <w:t>1988)</w:t>
      </w:r>
      <w:r w:rsidR="0066008E" w:rsidRPr="00055865">
        <w:rPr>
          <w:rFonts w:ascii="Garamond" w:eastAsia="TimesNewRomanPSMT" w:hAnsi="Garamond" w:cs="Times New Roman"/>
          <w:sz w:val="24"/>
          <w:szCs w:val="24"/>
        </w:rPr>
        <w:fldChar w:fldCharType="end"/>
      </w:r>
      <w:r w:rsidR="0066008E" w:rsidRPr="00055865">
        <w:rPr>
          <w:rFonts w:ascii="Garamond" w:eastAsia="TimesNewRomanPSMT" w:hAnsi="Garamond" w:cs="Times New Roman"/>
          <w:sz w:val="24"/>
          <w:szCs w:val="24"/>
        </w:rPr>
        <w:t xml:space="preserve"> </w:t>
      </w:r>
      <w:r w:rsidR="009C6878" w:rsidRPr="00055865">
        <w:rPr>
          <w:rFonts w:ascii="Garamond" w:eastAsia="TimesNewRomanPSMT" w:hAnsi="Garamond" w:cs="Times New Roman"/>
          <w:sz w:val="24"/>
          <w:szCs w:val="24"/>
        </w:rPr>
        <w:t>linked</w:t>
      </w:r>
      <w:r w:rsidR="0066008E" w:rsidRPr="00055865">
        <w:rPr>
          <w:rFonts w:ascii="Garamond" w:eastAsia="TimesNewRomanPSMT" w:hAnsi="Garamond" w:cs="Times New Roman"/>
          <w:sz w:val="24"/>
          <w:szCs w:val="24"/>
        </w:rPr>
        <w:t xml:space="preserve"> pollution with </w:t>
      </w:r>
      <w:r w:rsidR="009C6878" w:rsidRPr="00055865">
        <w:rPr>
          <w:rFonts w:ascii="Garamond" w:eastAsia="TimesNewRomanPSMT" w:hAnsi="Garamond" w:cs="Times New Roman"/>
          <w:sz w:val="24"/>
          <w:szCs w:val="24"/>
        </w:rPr>
        <w:t>lending costs</w:t>
      </w:r>
      <w:r w:rsidR="0066008E" w:rsidRPr="00055865">
        <w:rPr>
          <w:rFonts w:ascii="Garamond" w:eastAsia="TimesNewRomanPSMT" w:hAnsi="Garamond" w:cs="Times New Roman"/>
          <w:sz w:val="24"/>
          <w:szCs w:val="24"/>
        </w:rPr>
        <w:t xml:space="preserve">. They </w:t>
      </w:r>
      <w:r w:rsidR="00B1278D" w:rsidRPr="00055865">
        <w:rPr>
          <w:rFonts w:ascii="Garamond" w:eastAsia="TimesNewRomanPSMT" w:hAnsi="Garamond" w:cs="Times New Roman"/>
          <w:sz w:val="24"/>
          <w:szCs w:val="24"/>
        </w:rPr>
        <w:t>maintain</w:t>
      </w:r>
      <w:r w:rsidR="0066008E" w:rsidRPr="00055865">
        <w:rPr>
          <w:rFonts w:ascii="Garamond" w:eastAsia="TimesNewRomanPSMT" w:hAnsi="Garamond" w:cs="Times New Roman"/>
          <w:sz w:val="24"/>
          <w:szCs w:val="24"/>
        </w:rPr>
        <w:t xml:space="preserve"> that </w:t>
      </w:r>
      <w:r w:rsidR="009C6878" w:rsidRPr="00055865">
        <w:rPr>
          <w:rFonts w:ascii="Garamond" w:eastAsia="TimesNewRomanPSMT" w:hAnsi="Garamond" w:cs="Times New Roman"/>
          <w:sz w:val="24"/>
          <w:szCs w:val="24"/>
        </w:rPr>
        <w:t>sustainable environmental practices</w:t>
      </w:r>
      <w:r w:rsidR="0066008E" w:rsidRPr="00055865">
        <w:rPr>
          <w:rFonts w:ascii="Garamond" w:eastAsia="TimesNewRomanPSMT" w:hAnsi="Garamond" w:cs="Times New Roman"/>
          <w:sz w:val="24"/>
          <w:szCs w:val="24"/>
        </w:rPr>
        <w:t xml:space="preserve"> </w:t>
      </w:r>
      <w:r w:rsidR="009C6878" w:rsidRPr="00055865">
        <w:rPr>
          <w:rFonts w:ascii="Garamond" w:eastAsia="TimesNewRomanPSMT" w:hAnsi="Garamond" w:cs="Times New Roman"/>
          <w:sz w:val="24"/>
          <w:szCs w:val="24"/>
        </w:rPr>
        <w:t>may</w:t>
      </w:r>
      <w:r w:rsidR="0066008E" w:rsidRPr="00055865">
        <w:rPr>
          <w:rFonts w:ascii="Garamond" w:eastAsia="TimesNewRomanPSMT" w:hAnsi="Garamond" w:cs="Times New Roman"/>
          <w:sz w:val="24"/>
          <w:szCs w:val="24"/>
        </w:rPr>
        <w:t xml:space="preserve"> reduce financing costs because investors and lenders </w:t>
      </w:r>
      <w:r w:rsidR="00DB6768" w:rsidRPr="00055865">
        <w:rPr>
          <w:rFonts w:ascii="Garamond" w:eastAsia="TimesNewRomanPSMT" w:hAnsi="Garamond" w:cs="Times New Roman"/>
          <w:sz w:val="24"/>
          <w:szCs w:val="24"/>
        </w:rPr>
        <w:t>connect</w:t>
      </w:r>
      <w:r w:rsidR="0066008E" w:rsidRPr="00055865">
        <w:rPr>
          <w:rFonts w:ascii="Garamond" w:eastAsia="TimesNewRomanPSMT" w:hAnsi="Garamond" w:cs="Times New Roman"/>
          <w:sz w:val="24"/>
          <w:szCs w:val="24"/>
        </w:rPr>
        <w:t xml:space="preserve"> lower financial risk with better environmental management practices</w:t>
      </w:r>
      <w:r w:rsidR="009C6878" w:rsidRPr="00055865">
        <w:rPr>
          <w:rFonts w:ascii="Garamond" w:eastAsia="TimesNewRomanPSMT" w:hAnsi="Garamond" w:cs="Times New Roman"/>
          <w:sz w:val="24"/>
          <w:szCs w:val="24"/>
        </w:rPr>
        <w:t>. R</w:t>
      </w:r>
      <w:r w:rsidR="0066008E" w:rsidRPr="00055865">
        <w:rPr>
          <w:rFonts w:ascii="Garamond" w:eastAsia="TimesNewRomanPSMT" w:hAnsi="Garamond" w:cs="Times New Roman"/>
          <w:sz w:val="24"/>
          <w:szCs w:val="24"/>
        </w:rPr>
        <w:t>educ</w:t>
      </w:r>
      <w:r w:rsidR="009C6878" w:rsidRPr="00055865">
        <w:rPr>
          <w:rFonts w:ascii="Garamond" w:eastAsia="TimesNewRomanPSMT" w:hAnsi="Garamond" w:cs="Times New Roman"/>
          <w:sz w:val="24"/>
          <w:szCs w:val="24"/>
        </w:rPr>
        <w:t>tion in</w:t>
      </w:r>
      <w:r w:rsidR="0066008E" w:rsidRPr="00055865">
        <w:rPr>
          <w:rFonts w:ascii="Garamond" w:eastAsia="TimesNewRomanPSMT" w:hAnsi="Garamond" w:cs="Times New Roman"/>
          <w:sz w:val="24"/>
          <w:szCs w:val="24"/>
        </w:rPr>
        <w:t xml:space="preserve"> financial cost</w:t>
      </w:r>
      <w:r w:rsidR="00E76D5D" w:rsidRPr="00055865">
        <w:rPr>
          <w:rFonts w:ascii="Garamond" w:eastAsia="TimesNewRomanPSMT" w:hAnsi="Garamond" w:cs="Times New Roman"/>
          <w:sz w:val="24"/>
          <w:szCs w:val="24"/>
        </w:rPr>
        <w:t xml:space="preserve"> is </w:t>
      </w:r>
      <w:r w:rsidR="00B1278D">
        <w:rPr>
          <w:rFonts w:ascii="Garamond" w:eastAsia="TimesNewRomanPSMT" w:hAnsi="Garamond" w:cs="Times New Roman"/>
          <w:sz w:val="24"/>
          <w:szCs w:val="24"/>
        </w:rPr>
        <w:t xml:space="preserve">also </w:t>
      </w:r>
      <w:r w:rsidR="00E76D5D" w:rsidRPr="00055865">
        <w:rPr>
          <w:rFonts w:ascii="Garamond" w:eastAsia="TimesNewRomanPSMT" w:hAnsi="Garamond" w:cs="Times New Roman"/>
          <w:sz w:val="24"/>
          <w:szCs w:val="24"/>
        </w:rPr>
        <w:t>expected to</w:t>
      </w:r>
      <w:r w:rsidR="0066008E" w:rsidRPr="00055865">
        <w:rPr>
          <w:rFonts w:ascii="Garamond" w:eastAsia="TimesNewRomanPSMT" w:hAnsi="Garamond" w:cs="Times New Roman"/>
          <w:sz w:val="24"/>
          <w:szCs w:val="24"/>
        </w:rPr>
        <w:t xml:space="preserve"> </w:t>
      </w:r>
      <w:r w:rsidR="00DB6768" w:rsidRPr="00055865">
        <w:rPr>
          <w:rFonts w:ascii="Garamond" w:eastAsia="TimesNewRomanPSMT" w:hAnsi="Garamond" w:cs="Times New Roman"/>
          <w:sz w:val="24"/>
          <w:szCs w:val="24"/>
        </w:rPr>
        <w:t>influence financial performance positively</w:t>
      </w:r>
      <w:r w:rsidR="0066008E" w:rsidRPr="00055865">
        <w:rPr>
          <w:rFonts w:ascii="Garamond" w:eastAsia="TimesNewRomanPSMT" w:hAnsi="Garamond" w:cs="Times New Roman"/>
          <w:sz w:val="24"/>
          <w:szCs w:val="24"/>
        </w:rPr>
        <w:t xml:space="preserve">. </w:t>
      </w:r>
      <w:bookmarkStart w:id="9" w:name="_Hlk25703431"/>
    </w:p>
    <w:p w14:paraId="0BFA5E81" w14:textId="2998F759" w:rsidR="0060274A" w:rsidRPr="005B6FD7" w:rsidRDefault="00A51BDE" w:rsidP="005B6FD7">
      <w:pPr>
        <w:spacing w:after="0" w:line="480" w:lineRule="auto"/>
        <w:contextualSpacing/>
        <w:jc w:val="both"/>
        <w:rPr>
          <w:rFonts w:ascii="Garamond" w:eastAsia="TimesNewRomanPSMT" w:hAnsi="Garamond" w:cs="Times New Roman"/>
          <w:sz w:val="24"/>
          <w:szCs w:val="24"/>
        </w:rPr>
      </w:pPr>
      <w:r w:rsidRPr="00055865">
        <w:rPr>
          <w:rFonts w:ascii="Garamond" w:eastAsia="TimesNewRomanPSMT" w:hAnsi="Garamond" w:cs="Times New Roman"/>
          <w:sz w:val="24"/>
          <w:szCs w:val="24"/>
        </w:rPr>
        <w:t xml:space="preserve">                                                        </w:t>
      </w:r>
    </w:p>
    <w:p w14:paraId="49D23C6A" w14:textId="77777777" w:rsidR="0060274A" w:rsidRPr="00055865" w:rsidRDefault="0060274A" w:rsidP="0060274A">
      <w:pPr>
        <w:spacing w:after="0" w:line="480" w:lineRule="auto"/>
        <w:contextualSpacing/>
        <w:rPr>
          <w:rFonts w:ascii="Garamond" w:hAnsi="Garamond"/>
          <w:b/>
          <w:sz w:val="20"/>
          <w:szCs w:val="20"/>
        </w:rPr>
      </w:pPr>
      <w:r w:rsidRPr="00055865">
        <w:rPr>
          <w:rFonts w:ascii="Garamond" w:hAnsi="Garamond"/>
          <w:b/>
          <w:sz w:val="20"/>
          <w:szCs w:val="20"/>
        </w:rPr>
        <w:t>Table 3: OLS Results of Sustainable Environmental Policies and Financial Performance (ROA)</w:t>
      </w:r>
    </w:p>
    <w:p w14:paraId="21647D1C" w14:textId="77777777" w:rsidR="0060274A" w:rsidRPr="00055865" w:rsidRDefault="0060274A" w:rsidP="0060274A">
      <w:pPr>
        <w:tabs>
          <w:tab w:val="left" w:pos="222"/>
        </w:tabs>
        <w:spacing w:after="0" w:line="480" w:lineRule="auto"/>
        <w:contextualSpacing/>
        <w:jc w:val="both"/>
        <w:rPr>
          <w:rFonts w:ascii="Garamond" w:hAnsi="Garamond"/>
          <w:b/>
          <w:sz w:val="20"/>
          <w:szCs w:val="20"/>
        </w:rPr>
      </w:pPr>
      <w:r w:rsidRPr="00055865">
        <w:rPr>
          <w:rFonts w:ascii="Garamond" w:hAnsi="Garamond"/>
          <w:sz w:val="20"/>
          <w:szCs w:val="20"/>
          <w:vertAlign w:val="subscript"/>
        </w:rPr>
        <w:t xml:space="preserve">This table presents the results of the following panel data regression on the relationship between Sustainable Environmental Policies (SEP) and financial performance (FP): </w:t>
      </w:r>
      <w:r w:rsidRPr="00055865">
        <w:rPr>
          <w:rFonts w:ascii="Garamond" w:eastAsia="Times New Roman" w:hAnsi="Garamond"/>
          <w:sz w:val="20"/>
          <w:szCs w:val="20"/>
          <w:vertAlign w:val="subscript"/>
        </w:rPr>
        <w:fldChar w:fldCharType="begin"/>
      </w:r>
      <w:r w:rsidRPr="0060274A">
        <w:rPr>
          <w:rFonts w:ascii="Garamond" w:eastAsia="Times New Roman" w:hAnsi="Garamond"/>
          <w:sz w:val="20"/>
          <w:szCs w:val="20"/>
          <w:vertAlign w:val="subscript"/>
        </w:rPr>
        <w:instrText xml:space="preserve"> QUOTE </w:instrText>
      </w:r>
      <w:r w:rsidR="00806386">
        <w:rPr>
          <w:rFonts w:ascii="Garamond" w:hAnsi="Garamond"/>
          <w:noProof/>
          <w:position w:val="-9"/>
        </w:rPr>
        <w:pict w14:anchorId="44B0F389">
          <v:shape id="_x0000_i1030" type="#_x0000_t75" alt="" style="width:273.6pt;height:14.4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MzU2sTQ3MDO2MLIwMDVS0lEKTi0uzszPAykwMqwFADwa6vwtAAAA&quot;/&gt;&lt;/w:docVars&gt;&lt;wsp:rsids&gt;&lt;wsp:rsidRoot wsp:val=&quot;006036E7&quot;/&gt;&lt;wsp:rsid wsp:val=&quot;00006990&quot;/&gt;&lt;wsp:rsid wsp:val=&quot;00013C17&quot;/&gt;&lt;wsp:rsid wsp:val=&quot;00017851&quot;/&gt;&lt;wsp:rsid wsp:val=&quot;00023262&quot;/&gt;&lt;wsp:rsid wsp:val=&quot;00024C92&quot;/&gt;&lt;wsp:rsid wsp:val=&quot;00030754&quot;/&gt;&lt;wsp:rsid wsp:val=&quot;0003694C&quot;/&gt;&lt;wsp:rsid wsp:val=&quot;00037DBB&quot;/&gt;&lt;wsp:rsid wsp:val=&quot;000444D2&quot;/&gt;&lt;wsp:rsid wsp:val=&quot;00044C1F&quot;/&gt;&lt;wsp:rsid wsp:val=&quot;00063723&quot;/&gt;&lt;wsp:rsid wsp:val=&quot;00063A9B&quot;/&gt;&lt;wsp:rsid wsp:val=&quot;00065594&quot;/&gt;&lt;wsp:rsid wsp:val=&quot;000675BF&quot;/&gt;&lt;wsp:rsid wsp:val=&quot;00075262&quot;/&gt;&lt;wsp:rsid wsp:val=&quot;0007589E&quot;/&gt;&lt;wsp:rsid wsp:val=&quot;00076741&quot;/&gt;&lt;wsp:rsid wsp:val=&quot;0008143B&quot;/&gt;&lt;wsp:rsid wsp:val=&quot;00081817&quot;/&gt;&lt;wsp:rsid wsp:val=&quot;00081A23&quot;/&gt;&lt;wsp:rsid wsp:val=&quot;00084561&quot;/&gt;&lt;wsp:rsid wsp:val=&quot;00085160&quot;/&gt;&lt;wsp:rsid wsp:val=&quot;00091380&quot;/&gt;&lt;wsp:rsid wsp:val=&quot;00095385&quot;/&gt;&lt;wsp:rsid wsp:val=&quot;000A07A0&quot;/&gt;&lt;wsp:rsid wsp:val=&quot;000A6CAB&quot;/&gt;&lt;wsp:rsid wsp:val=&quot;000A7612&quot;/&gt;&lt;wsp:rsid wsp:val=&quot;000B3D51&quot;/&gt;&lt;wsp:rsid wsp:val=&quot;000C3826&quot;/&gt;&lt;wsp:rsid wsp:val=&quot;000D1F37&quot;/&gt;&lt;wsp:rsid wsp:val=&quot;000D6337&quot;/&gt;&lt;wsp:rsid wsp:val=&quot;000E0107&quot;/&gt;&lt;wsp:rsid wsp:val=&quot;000E0DF4&quot;/&gt;&lt;wsp:rsid wsp:val=&quot;000E2B8A&quot;/&gt;&lt;wsp:rsid wsp:val=&quot;000E33FE&quot;/&gt;&lt;wsp:rsid wsp:val=&quot;000E701F&quot;/&gt;&lt;wsp:rsid wsp:val=&quot;000E7B98&quot;/&gt;&lt;wsp:rsid wsp:val=&quot;000F0A82&quot;/&gt;&lt;wsp:rsid wsp:val=&quot;0010708E&quot;/&gt;&lt;wsp:rsid wsp:val=&quot;00111DC4&quot;/&gt;&lt;wsp:rsid wsp:val=&quot;001121F1&quot;/&gt;&lt;wsp:rsid wsp:val=&quot;00114317&quot;/&gt;&lt;wsp:rsid wsp:val=&quot;0011545E&quot;/&gt;&lt;wsp:rsid wsp:val=&quot;001161CB&quot;/&gt;&lt;wsp:rsid wsp:val=&quot;0011798C&quot;/&gt;&lt;wsp:rsid wsp:val=&quot;0012578B&quot;/&gt;&lt;wsp:rsid wsp:val=&quot;0012795D&quot;/&gt;&lt;wsp:rsid wsp:val=&quot;00127DD3&quot;/&gt;&lt;wsp:rsid wsp:val=&quot;00130DC0&quot;/&gt;&lt;wsp:rsid wsp:val=&quot;00132EA0&quot;/&gt;&lt;wsp:rsid wsp:val=&quot;0013327A&quot;/&gt;&lt;wsp:rsid wsp:val=&quot;001372DD&quot;/&gt;&lt;wsp:rsid wsp:val=&quot;00145E9E&quot;/&gt;&lt;wsp:rsid wsp:val=&quot;00146606&quot;/&gt;&lt;wsp:rsid wsp:val=&quot;001471EC&quot;/&gt;&lt;wsp:rsid wsp:val=&quot;00147E9B&quot;/&gt;&lt;wsp:rsid wsp:val=&quot;001510EB&quot;/&gt;&lt;wsp:rsid wsp:val=&quot;00157FBB&quot;/&gt;&lt;wsp:rsid wsp:val=&quot;00171230&quot;/&gt;&lt;wsp:rsid wsp:val=&quot;00172991&quot;/&gt;&lt;wsp:rsid wsp:val=&quot;00175083&quot;/&gt;&lt;wsp:rsid wsp:val=&quot;001751CC&quot;/&gt;&lt;wsp:rsid wsp:val=&quot;001764C5&quot;/&gt;&lt;wsp:rsid wsp:val=&quot;00181FF7&quot;/&gt;&lt;wsp:rsid wsp:val=&quot;001841B9&quot;/&gt;&lt;wsp:rsid wsp:val=&quot;00186608&quot;/&gt;&lt;wsp:rsid wsp:val=&quot;00197319&quot;/&gt;&lt;wsp:rsid wsp:val=&quot;001A3CA6&quot;/&gt;&lt;wsp:rsid wsp:val=&quot;001C5886&quot;/&gt;&lt;wsp:rsid wsp:val=&quot;001D1F21&quot;/&gt;&lt;wsp:rsid wsp:val=&quot;001D7CDA&quot;/&gt;&lt;wsp:rsid wsp:val=&quot;001E0827&quot;/&gt;&lt;wsp:rsid wsp:val=&quot;001E63EC&quot;/&gt;&lt;wsp:rsid wsp:val=&quot;001F29AD&quot;/&gt;&lt;wsp:rsid wsp:val=&quot;00200C00&quot;/&gt;&lt;wsp:rsid wsp:val=&quot;00201C10&quot;/&gt;&lt;wsp:rsid wsp:val=&quot;0020459A&quot;/&gt;&lt;wsp:rsid wsp:val=&quot;00204961&quot;/&gt;&lt;wsp:rsid wsp:val=&quot;00204EC7&quot;/&gt;&lt;wsp:rsid wsp:val=&quot;00223956&quot;/&gt;&lt;wsp:rsid wsp:val=&quot;00236E5E&quot;/&gt;&lt;wsp:rsid wsp:val=&quot;00240574&quot;/&gt;&lt;wsp:rsid wsp:val=&quot;00244145&quot;/&gt;&lt;wsp:rsid wsp:val=&quot;00245147&quot;/&gt;&lt;wsp:rsid wsp:val=&quot;00247544&quot;/&gt;&lt;wsp:rsid wsp:val=&quot;00267DA0&quot;/&gt;&lt;wsp:rsid wsp:val=&quot;00280155&quot;/&gt;&lt;wsp:rsid wsp:val=&quot;00285FBA&quot;/&gt;&lt;wsp:rsid wsp:val=&quot;00286D7C&quot;/&gt;&lt;wsp:rsid wsp:val=&quot;00286FEC&quot;/&gt;&lt;wsp:rsid wsp:val=&quot;002A01F1&quot;/&gt;&lt;wsp:rsid wsp:val=&quot;002A1E01&quot;/&gt;&lt;wsp:rsid wsp:val=&quot;002B7C72&quot;/&gt;&lt;wsp:rsid wsp:val=&quot;002C28F5&quot;/&gt;&lt;wsp:rsid wsp:val=&quot;002C6F94&quot;/&gt;&lt;wsp:rsid wsp:val=&quot;002C702F&quot;/&gt;&lt;wsp:rsid wsp:val=&quot;002D2311&quot;/&gt;&lt;wsp:rsid wsp:val=&quot;002D2C35&quot;/&gt;&lt;wsp:rsid wsp:val=&quot;002D470F&quot;/&gt;&lt;wsp:rsid wsp:val=&quot;002E0DDE&quot;/&gt;&lt;wsp:rsid wsp:val=&quot;002E26FB&quot;/&gt;&lt;wsp:rsid wsp:val=&quot;003012D3&quot;/&gt;&lt;wsp:rsid wsp:val=&quot;00304AAB&quot;/&gt;&lt;wsp:rsid wsp:val=&quot;003069B2&quot;/&gt;&lt;wsp:rsid wsp:val=&quot;00312355&quot;/&gt;&lt;wsp:rsid wsp:val=&quot;00326C9B&quot;/&gt;&lt;wsp:rsid wsp:val=&quot;003375A1&quot;/&gt;&lt;wsp:rsid wsp:val=&quot;0034107D&quot;/&gt;&lt;wsp:rsid wsp:val=&quot;003432B8&quot;/&gt;&lt;wsp:rsid wsp:val=&quot;003455B5&quot;/&gt;&lt;wsp:rsid wsp:val=&quot;00355708&quot;/&gt;&lt;wsp:rsid wsp:val=&quot;00363419&quot;/&gt;&lt;wsp:rsid wsp:val=&quot;00363824&quot;/&gt;&lt;wsp:rsid wsp:val=&quot;003746A6&quot;/&gt;&lt;wsp:rsid wsp:val=&quot;00386296&quot;/&gt;&lt;wsp:rsid wsp:val=&quot;00390F79&quot;/&gt;&lt;wsp:rsid wsp:val=&quot;0039348B&quot;/&gt;&lt;wsp:rsid wsp:val=&quot;003B0842&quot;/&gt;&lt;wsp:rsid wsp:val=&quot;003B2D26&quot;/&gt;&lt;wsp:rsid wsp:val=&quot;003B3BE9&quot;/&gt;&lt;wsp:rsid wsp:val=&quot;003B6CFB&quot;/&gt;&lt;wsp:rsid wsp:val=&quot;003D2284&quot;/&gt;&lt;wsp:rsid wsp:val=&quot;003D3E6A&quot;/&gt;&lt;wsp:rsid wsp:val=&quot;003D7ECE&quot;/&gt;&lt;wsp:rsid wsp:val=&quot;003E2993&quot;/&gt;&lt;wsp:rsid wsp:val=&quot;003E4689&quot;/&gt;&lt;wsp:rsid wsp:val=&quot;003E74F0&quot;/&gt;&lt;wsp:rsid wsp:val=&quot;003F7E97&quot;/&gt;&lt;wsp:rsid wsp:val=&quot;0040109E&quot;/&gt;&lt;wsp:rsid wsp:val=&quot;004179F2&quot;/&gt;&lt;wsp:rsid wsp:val=&quot;00425317&quot;/&gt;&lt;wsp:rsid wsp:val=&quot;00431892&quot;/&gt;&lt;wsp:rsid wsp:val=&quot;00435FA0&quot;/&gt;&lt;wsp:rsid wsp:val=&quot;004432B8&quot;/&gt;&lt;wsp:rsid wsp:val=&quot;00444353&quot;/&gt;&lt;wsp:rsid wsp:val=&quot;0045476C&quot;/&gt;&lt;wsp:rsid wsp:val=&quot;00461247&quot;/&gt;&lt;wsp:rsid wsp:val=&quot;0047050D&quot;/&gt;&lt;wsp:rsid wsp:val=&quot;00480AAF&quot;/&gt;&lt;wsp:rsid wsp:val=&quot;00484DB2&quot;/&gt;&lt;wsp:rsid wsp:val=&quot;00491B7F&quot;/&gt;&lt;wsp:rsid wsp:val=&quot;004A5E00&quot;/&gt;&lt;wsp:rsid wsp:val=&quot;004B47B5&quot;/&gt;&lt;wsp:rsid wsp:val=&quot;004B62B0&quot;/&gt;&lt;wsp:rsid wsp:val=&quot;004D4808&quot;/&gt;&lt;wsp:rsid wsp:val=&quot;004E0EC3&quot;/&gt;&lt;wsp:rsid wsp:val=&quot;004E7D8D&quot;/&gt;&lt;wsp:rsid wsp:val=&quot;004F6EC4&quot;/&gt;&lt;wsp:rsid wsp:val=&quot;0050035A&quot;/&gt;&lt;wsp:rsid wsp:val=&quot;00502857&quot;/&gt;&lt;wsp:rsid wsp:val=&quot;00512E7E&quot;/&gt;&lt;wsp:rsid wsp:val=&quot;00514C22&quot;/&gt;&lt;wsp:rsid wsp:val=&quot;00515CEE&quot;/&gt;&lt;wsp:rsid wsp:val=&quot;00537569&quot;/&gt;&lt;wsp:rsid wsp:val=&quot;00542935&quot;/&gt;&lt;wsp:rsid wsp:val=&quot;00554C20&quot;/&gt;&lt;wsp:rsid wsp:val=&quot;0055706B&quot;/&gt;&lt;wsp:rsid wsp:val=&quot;00561598&quot;/&gt;&lt;wsp:rsid wsp:val=&quot;00564AB6&quot;/&gt;&lt;wsp:rsid wsp:val=&quot;00570837&quot;/&gt;&lt;wsp:rsid wsp:val=&quot;00577946&quot;/&gt;&lt;wsp:rsid wsp:val=&quot;0059264F&quot;/&gt;&lt;wsp:rsid wsp:val=&quot;005A1B24&quot;/&gt;&lt;wsp:rsid wsp:val=&quot;005A3AA7&quot;/&gt;&lt;wsp:rsid wsp:val=&quot;005A7EF3&quot;/&gt;&lt;wsp:rsid wsp:val=&quot;005B6C87&quot;/&gt;&lt;wsp:rsid wsp:val=&quot;005E4E83&quot;/&gt;&lt;wsp:rsid wsp:val=&quot;005F0782&quot;/&gt;&lt;wsp:rsid wsp:val=&quot;005F1A98&quot;/&gt;&lt;wsp:rsid wsp:val=&quot;005F5818&quot;/&gt;&lt;wsp:rsid wsp:val=&quot;005F5B68&quot;/&gt;&lt;wsp:rsid wsp:val=&quot;005F663B&quot;/&gt;&lt;wsp:rsid wsp:val=&quot;006036E7&quot;/&gt;&lt;wsp:rsid wsp:val=&quot;0060577A&quot;/&gt;&lt;wsp:rsid wsp:val=&quot;006177C3&quot;/&gt;&lt;wsp:rsid wsp:val=&quot;00620C3C&quot;/&gt;&lt;wsp:rsid wsp:val=&quot;0062134F&quot;/&gt;&lt;wsp:rsid wsp:val=&quot;00622289&quot;/&gt;&lt;wsp:rsid wsp:val=&quot;00633085&quot;/&gt;&lt;wsp:rsid wsp:val=&quot;0063416B&quot;/&gt;&lt;wsp:rsid wsp:val=&quot;00646027&quot;/&gt;&lt;wsp:rsid wsp:val=&quot;006503BD&quot;/&gt;&lt;wsp:rsid wsp:val=&quot;006539D1&quot;/&gt;&lt;wsp:rsid wsp:val=&quot;006604A7&quot;/&gt;&lt;wsp:rsid wsp:val=&quot;00663CEB&quot;/&gt;&lt;wsp:rsid wsp:val=&quot;00664AF4&quot;/&gt;&lt;wsp:rsid wsp:val=&quot;00664C06&quot;/&gt;&lt;wsp:rsid wsp:val=&quot;00671243&quot;/&gt;&lt;wsp:rsid wsp:val=&quot;00671D23&quot;/&gt;&lt;wsp:rsid wsp:val=&quot;00671F6E&quot;/&gt;&lt;wsp:rsid wsp:val=&quot;00674C56&quot;/&gt;&lt;wsp:rsid wsp:val=&quot;006801DC&quot;/&gt;&lt;wsp:rsid wsp:val=&quot;00680DC2&quot;/&gt;&lt;wsp:rsid wsp:val=&quot;00681D69&quot;/&gt;&lt;wsp:rsid wsp:val=&quot;00682770&quot;/&gt;&lt;wsp:rsid wsp:val=&quot;0068299C&quot;/&gt;&lt;wsp:rsid wsp:val=&quot;006859F6&quot;/&gt;&lt;wsp:rsid wsp:val=&quot;00694372&quot;/&gt;&lt;wsp:rsid wsp:val=&quot;006A637C&quot;/&gt;&lt;wsp:rsid wsp:val=&quot;006C0963&quot;/&gt;&lt;wsp:rsid wsp:val=&quot;006C2EDA&quot;/&gt;&lt;wsp:rsid wsp:val=&quot;006D1230&quot;/&gt;&lt;wsp:rsid wsp:val=&quot;006D4E2D&quot;/&gt;&lt;wsp:rsid wsp:val=&quot;006D6BF4&quot;/&gt;&lt;wsp:rsid wsp:val=&quot;007063E5&quot;/&gt;&lt;wsp:rsid wsp:val=&quot;00707CF1&quot;/&gt;&lt;wsp:rsid wsp:val=&quot;00713916&quot;/&gt;&lt;wsp:rsid wsp:val=&quot;00713EA8&quot;/&gt;&lt;wsp:rsid wsp:val=&quot;00717F21&quot;/&gt;&lt;wsp:rsid wsp:val=&quot;00721241&quot;/&gt;&lt;wsp:rsid wsp:val=&quot;007315FC&quot;/&gt;&lt;wsp:rsid wsp:val=&quot;00732AFA&quot;/&gt;&lt;wsp:rsid wsp:val=&quot;00732B17&quot;/&gt;&lt;wsp:rsid wsp:val=&quot;00746C7C&quot;/&gt;&lt;wsp:rsid wsp:val=&quot;00747FBB&quot;/&gt;&lt;wsp:rsid wsp:val=&quot;00750A57&quot;/&gt;&lt;wsp:rsid wsp:val=&quot;00770755&quot;/&gt;&lt;wsp:rsid wsp:val=&quot;007775DE&quot;/&gt;&lt;wsp:rsid wsp:val=&quot;00784E40&quot;/&gt;&lt;wsp:rsid wsp:val=&quot;00786A2D&quot;/&gt;&lt;wsp:rsid wsp:val=&quot;007A2EBF&quot;/&gt;&lt;wsp:rsid wsp:val=&quot;007A3A8E&quot;/&gt;&lt;wsp:rsid wsp:val=&quot;007A62C7&quot;/&gt;&lt;wsp:rsid wsp:val=&quot;007B1A74&quot;/&gt;&lt;wsp:rsid wsp:val=&quot;007B1BB0&quot;/&gt;&lt;wsp:rsid wsp:val=&quot;007B4D6B&quot;/&gt;&lt;wsp:rsid wsp:val=&quot;007B501B&quot;/&gt;&lt;wsp:rsid wsp:val=&quot;007B7372&quot;/&gt;&lt;wsp:rsid wsp:val=&quot;007C34CB&quot;/&gt;&lt;wsp:rsid wsp:val=&quot;007C4187&quot;/&gt;&lt;wsp:rsid wsp:val=&quot;007E748D&quot;/&gt;&lt;wsp:rsid wsp:val=&quot;007F0C3D&quot;/&gt;&lt;wsp:rsid wsp:val=&quot;007F7B1F&quot;/&gt;&lt;wsp:rsid wsp:val=&quot;008010E2&quot;/&gt;&lt;wsp:rsid wsp:val=&quot;0080339E&quot;/&gt;&lt;wsp:rsid wsp:val=&quot;00804F81&quot;/&gt;&lt;wsp:rsid wsp:val=&quot;00805B61&quot;/&gt;&lt;wsp:rsid wsp:val=&quot;00813AA8&quot;/&gt;&lt;wsp:rsid wsp:val=&quot;008140F0&quot;/&gt;&lt;wsp:rsid wsp:val=&quot;00823928&quot;/&gt;&lt;wsp:rsid wsp:val=&quot;0083293C&quot;/&gt;&lt;wsp:rsid wsp:val=&quot;0083510A&quot;/&gt;&lt;wsp:rsid wsp:val=&quot;0083540C&quot;/&gt;&lt;wsp:rsid wsp:val=&quot;00835DA0&quot;/&gt;&lt;wsp:rsid wsp:val=&quot;00837E76&quot;/&gt;&lt;wsp:rsid wsp:val=&quot;00842811&quot;/&gt;&lt;wsp:rsid wsp:val=&quot;00852765&quot;/&gt;&lt;wsp:rsid wsp:val=&quot;00862F41&quot;/&gt;&lt;wsp:rsid wsp:val=&quot;00873ECA&quot;/&gt;&lt;wsp:rsid wsp:val=&quot;0087631A&quot;/&gt;&lt;wsp:rsid wsp:val=&quot;008861D3&quot;/&gt;&lt;wsp:rsid wsp:val=&quot;00892D09&quot;/&gt;&lt;wsp:rsid wsp:val=&quot;008953EC&quot;/&gt;&lt;wsp:rsid wsp:val=&quot;008C02A2&quot;/&gt;&lt;wsp:rsid wsp:val=&quot;008C1771&quot;/&gt;&lt;wsp:rsid wsp:val=&quot;008D2395&quot;/&gt;&lt;wsp:rsid wsp:val=&quot;008E5BF6&quot;/&gt;&lt;wsp:rsid wsp:val=&quot;008E6498&quot;/&gt;&lt;wsp:rsid wsp:val=&quot;008F6567&quot;/&gt;&lt;wsp:rsid wsp:val=&quot;009025B7&quot;/&gt;&lt;wsp:rsid wsp:val=&quot;00904E55&quot;/&gt;&lt;wsp:rsid wsp:val=&quot;00911FF7&quot;/&gt;&lt;wsp:rsid wsp:val=&quot;00913E73&quot;/&gt;&lt;wsp:rsid wsp:val=&quot;009178A6&quot;/&gt;&lt;wsp:rsid wsp:val=&quot;00920156&quot;/&gt;&lt;wsp:rsid wsp:val=&quot;00923E75&quot;/&gt;&lt;wsp:rsid wsp:val=&quot;00931888&quot;/&gt;&lt;wsp:rsid wsp:val=&quot;00933E38&quot;/&gt;&lt;wsp:rsid wsp:val=&quot;00943D6A&quot;/&gt;&lt;wsp:rsid wsp:val=&quot;00944979&quot;/&gt;&lt;wsp:rsid wsp:val=&quot;009460E1&quot;/&gt;&lt;wsp:rsid wsp:val=&quot;00952187&quot;/&gt;&lt;wsp:rsid wsp:val=&quot;00964421&quot;/&gt;&lt;wsp:rsid wsp:val=&quot;00972D85&quot;/&gt;&lt;wsp:rsid wsp:val=&quot;0098178D&quot;/&gt;&lt;wsp:rsid wsp:val=&quot;00984586&quot;/&gt;&lt;wsp:rsid wsp:val=&quot;00987810&quot;/&gt;&lt;wsp:rsid wsp:val=&quot;009A197D&quot;/&gt;&lt;wsp:rsid wsp:val=&quot;009B3300&quot;/&gt;&lt;wsp:rsid wsp:val=&quot;009B3527&quot;/&gt;&lt;wsp:rsid wsp:val=&quot;009C5F30&quot;/&gt;&lt;wsp:rsid wsp:val=&quot;009D1492&quot;/&gt;&lt;wsp:rsid wsp:val=&quot;00A06322&quot;/&gt;&lt;wsp:rsid wsp:val=&quot;00A24B9F&quot;/&gt;&lt;wsp:rsid wsp:val=&quot;00A27E08&quot;/&gt;&lt;wsp:rsid wsp:val=&quot;00A3543E&quot;/&gt;&lt;wsp:rsid wsp:val=&quot;00A35674&quot;/&gt;&lt;wsp:rsid wsp:val=&quot;00A362CE&quot;/&gt;&lt;wsp:rsid wsp:val=&quot;00A372A7&quot;/&gt;&lt;wsp:rsid wsp:val=&quot;00A411D9&quot;/&gt;&lt;wsp:rsid wsp:val=&quot;00A4402C&quot;/&gt;&lt;wsp:rsid wsp:val=&quot;00A516DC&quot;/&gt;&lt;wsp:rsid wsp:val=&quot;00A52913&quot;/&gt;&lt;wsp:rsid wsp:val=&quot;00A53C05&quot;/&gt;&lt;wsp:rsid wsp:val=&quot;00A60134&quot;/&gt;&lt;wsp:rsid wsp:val=&quot;00A71D23&quot;/&gt;&lt;wsp:rsid wsp:val=&quot;00A742CE&quot;/&gt;&lt;wsp:rsid wsp:val=&quot;00A90E4B&quot;/&gt;&lt;wsp:rsid wsp:val=&quot;00A91737&quot;/&gt;&lt;wsp:rsid wsp:val=&quot;00AB6E48&quot;/&gt;&lt;wsp:rsid wsp:val=&quot;00AB7620&quot;/&gt;&lt;wsp:rsid wsp:val=&quot;00AB7E5B&quot;/&gt;&lt;wsp:rsid wsp:val=&quot;00AC702D&quot;/&gt;&lt;wsp:rsid wsp:val=&quot;00AD292A&quot;/&gt;&lt;wsp:rsid wsp:val=&quot;00AD392E&quot;/&gt;&lt;wsp:rsid wsp:val=&quot;00AD56DD&quot;/&gt;&lt;wsp:rsid wsp:val=&quot;00AD5CC3&quot;/&gt;&lt;wsp:rsid wsp:val=&quot;00AE0067&quot;/&gt;&lt;wsp:rsid wsp:val=&quot;00AE1B1F&quot;/&gt;&lt;wsp:rsid wsp:val=&quot;00AF0B96&quot;/&gt;&lt;wsp:rsid wsp:val=&quot;00AF586C&quot;/&gt;&lt;wsp:rsid wsp:val=&quot;00B01494&quot;/&gt;&lt;wsp:rsid wsp:val=&quot;00B01848&quot;/&gt;&lt;wsp:rsid wsp:val=&quot;00B14124&quot;/&gt;&lt;wsp:rsid wsp:val=&quot;00B15580&quot;/&gt;&lt;wsp:rsid wsp:val=&quot;00B24D45&quot;/&gt;&lt;wsp:rsid wsp:val=&quot;00B2767F&quot;/&gt;&lt;wsp:rsid wsp:val=&quot;00B27A51&quot;/&gt;&lt;wsp:rsid wsp:val=&quot;00B37776&quot;/&gt;&lt;wsp:rsid wsp:val=&quot;00B43603&quot;/&gt;&lt;wsp:rsid wsp:val=&quot;00B47EEA&quot;/&gt;&lt;wsp:rsid wsp:val=&quot;00B550C1&quot;/&gt;&lt;wsp:rsid wsp:val=&quot;00B55DEE&quot;/&gt;&lt;wsp:rsid wsp:val=&quot;00B568BA&quot;/&gt;&lt;wsp:rsid wsp:val=&quot;00B600D5&quot;/&gt;&lt;wsp:rsid wsp:val=&quot;00B64692&quot;/&gt;&lt;wsp:rsid wsp:val=&quot;00B8373C&quot;/&gt;&lt;wsp:rsid wsp:val=&quot;00B83926&quot;/&gt;&lt;wsp:rsid wsp:val=&quot;00B83D4F&quot;/&gt;&lt;wsp:rsid wsp:val=&quot;00B873F5&quot;/&gt;&lt;wsp:rsid wsp:val=&quot;00B969D6&quot;/&gt;&lt;wsp:rsid wsp:val=&quot;00BA5D34&quot;/&gt;&lt;wsp:rsid wsp:val=&quot;00BA66D3&quot;/&gt;&lt;wsp:rsid wsp:val=&quot;00BB12D1&quot;/&gt;&lt;wsp:rsid wsp:val=&quot;00BB6548&quot;/&gt;&lt;wsp:rsid wsp:val=&quot;00BC1988&quot;/&gt;&lt;wsp:rsid wsp:val=&quot;00BC305C&quot;/&gt;&lt;wsp:rsid wsp:val=&quot;00BD39A6&quot;/&gt;&lt;wsp:rsid wsp:val=&quot;00BD5625&quot;/&gt;&lt;wsp:rsid wsp:val=&quot;00BE6D92&quot;/&gt;&lt;wsp:rsid wsp:val=&quot;00BE710A&quot;/&gt;&lt;wsp:rsid wsp:val=&quot;00BE785A&quot;/&gt;&lt;wsp:rsid wsp:val=&quot;00BE7B58&quot;/&gt;&lt;wsp:rsid wsp:val=&quot;00BF0A94&quot;/&gt;&lt;wsp:rsid wsp:val=&quot;00BF0C5F&quot;/&gt;&lt;wsp:rsid wsp:val=&quot;00C00CED&quot;/&gt;&lt;wsp:rsid wsp:val=&quot;00C01D64&quot;/&gt;&lt;wsp:rsid wsp:val=&quot;00C01D8F&quot;/&gt;&lt;wsp:rsid wsp:val=&quot;00C05A48&quot;/&gt;&lt;wsp:rsid wsp:val=&quot;00C16404&quot;/&gt;&lt;wsp:rsid wsp:val=&quot;00C3173D&quot;/&gt;&lt;wsp:rsid wsp:val=&quot;00C32066&quot;/&gt;&lt;wsp:rsid wsp:val=&quot;00C3311A&quot;/&gt;&lt;wsp:rsid wsp:val=&quot;00C441D2&quot;/&gt;&lt;wsp:rsid wsp:val=&quot;00C46F61&quot;/&gt;&lt;wsp:rsid wsp:val=&quot;00C63222&quot;/&gt;&lt;wsp:rsid wsp:val=&quot;00C715F2&quot;/&gt;&lt;wsp:rsid wsp:val=&quot;00C72916&quot;/&gt;&lt;wsp:rsid wsp:val=&quot;00C739B6&quot;/&gt;&lt;wsp:rsid wsp:val=&quot;00C84536&quot;/&gt;&lt;wsp:rsid wsp:val=&quot;00C8484C&quot;/&gt;&lt;wsp:rsid wsp:val=&quot;00C8569A&quot;/&gt;&lt;wsp:rsid wsp:val=&quot;00C876C3&quot;/&gt;&lt;wsp:rsid wsp:val=&quot;00C90293&quot;/&gt;&lt;wsp:rsid wsp:val=&quot;00CA106B&quot;/&gt;&lt;wsp:rsid wsp:val=&quot;00CB01E2&quot;/&gt;&lt;wsp:rsid wsp:val=&quot;00CB35DE&quot;/&gt;&lt;wsp:rsid wsp:val=&quot;00CD09BF&quot;/&gt;&lt;wsp:rsid wsp:val=&quot;00CD5F69&quot;/&gt;&lt;wsp:rsid wsp:val=&quot;00CE41B1&quot;/&gt;&lt;wsp:rsid wsp:val=&quot;00CF63FF&quot;/&gt;&lt;wsp:rsid wsp:val=&quot;00D1416A&quot;/&gt;&lt;wsp:rsid wsp:val=&quot;00D3248A&quot;/&gt;&lt;wsp:rsid wsp:val=&quot;00D32F74&quot;/&gt;&lt;wsp:rsid wsp:val=&quot;00D33267&quot;/&gt;&lt;wsp:rsid wsp:val=&quot;00D408A3&quot;/&gt;&lt;wsp:rsid wsp:val=&quot;00D41BCE&quot;/&gt;&lt;wsp:rsid wsp:val=&quot;00D557DD&quot;/&gt;&lt;wsp:rsid wsp:val=&quot;00D63CC5&quot;/&gt;&lt;wsp:rsid wsp:val=&quot;00D641CB&quot;/&gt;&lt;wsp:rsid wsp:val=&quot;00D67554&quot;/&gt;&lt;wsp:rsid wsp:val=&quot;00D72102&quot;/&gt;&lt;wsp:rsid wsp:val=&quot;00D730CF&quot;/&gt;&lt;wsp:rsid wsp:val=&quot;00D74D08&quot;/&gt;&lt;wsp:rsid wsp:val=&quot;00D76ABE&quot;/&gt;&lt;wsp:rsid wsp:val=&quot;00D86B47&quot;/&gt;&lt;wsp:rsid wsp:val=&quot;00D90BC5&quot;/&gt;&lt;wsp:rsid wsp:val=&quot;00D91C61&quot;/&gt;&lt;wsp:rsid wsp:val=&quot;00D95787&quot;/&gt;&lt;wsp:rsid wsp:val=&quot;00D97692&quot;/&gt;&lt;wsp:rsid wsp:val=&quot;00D97E85&quot;/&gt;&lt;wsp:rsid wsp:val=&quot;00DC0CB0&quot;/&gt;&lt;wsp:rsid wsp:val=&quot;00DC3A3B&quot;/&gt;&lt;wsp:rsid wsp:val=&quot;00DC6380&quot;/&gt;&lt;wsp:rsid wsp:val=&quot;00DC6F9A&quot;/&gt;&lt;wsp:rsid wsp:val=&quot;00DD5E28&quot;/&gt;&lt;wsp:rsid wsp:val=&quot;00DD72FD&quot;/&gt;&lt;wsp:rsid wsp:val=&quot;00DE458B&quot;/&gt;&lt;wsp:rsid wsp:val=&quot;00DF0357&quot;/&gt;&lt;wsp:rsid wsp:val=&quot;00DF0F57&quot;/&gt;&lt;wsp:rsid wsp:val=&quot;00E1211A&quot;/&gt;&lt;wsp:rsid wsp:val=&quot;00E1211C&quot;/&gt;&lt;wsp:rsid wsp:val=&quot;00E15620&quot;/&gt;&lt;wsp:rsid wsp:val=&quot;00E2111D&quot;/&gt;&lt;wsp:rsid wsp:val=&quot;00E276CB&quot;/&gt;&lt;wsp:rsid wsp:val=&quot;00E42710&quot;/&gt;&lt;wsp:rsid wsp:val=&quot;00E462B6&quot;/&gt;&lt;wsp:rsid wsp:val=&quot;00E517D7&quot;/&gt;&lt;wsp:rsid wsp:val=&quot;00E51A93&quot;/&gt;&lt;wsp:rsid wsp:val=&quot;00E5474A&quot;/&gt;&lt;wsp:rsid wsp:val=&quot;00E65880&quot;/&gt;&lt;wsp:rsid wsp:val=&quot;00E671C9&quot;/&gt;&lt;wsp:rsid wsp:val=&quot;00E678CD&quot;/&gt;&lt;wsp:rsid wsp:val=&quot;00E8139B&quot;/&gt;&lt;wsp:rsid wsp:val=&quot;00E83268&quot;/&gt;&lt;wsp:rsid wsp:val=&quot;00E84BA2&quot;/&gt;&lt;wsp:rsid wsp:val=&quot;00E90A19&quot;/&gt;&lt;wsp:rsid wsp:val=&quot;00E95589&quot;/&gt;&lt;wsp:rsid wsp:val=&quot;00ED045E&quot;/&gt;&lt;wsp:rsid wsp:val=&quot;00EF18E7&quot;/&gt;&lt;wsp:rsid wsp:val=&quot;00F03E48&quot;/&gt;&lt;wsp:rsid wsp:val=&quot;00F05FC3&quot;/&gt;&lt;wsp:rsid wsp:val=&quot;00F065BE&quot;/&gt;&lt;wsp:rsid wsp:val=&quot;00F116D7&quot;/&gt;&lt;wsp:rsid wsp:val=&quot;00F27E0A&quot;/&gt;&lt;wsp:rsid wsp:val=&quot;00F3244C&quot;/&gt;&lt;wsp:rsid wsp:val=&quot;00F36E92&quot;/&gt;&lt;wsp:rsid wsp:val=&quot;00F54C30&quot;/&gt;&lt;wsp:rsid wsp:val=&quot;00F54DFE&quot;/&gt;&lt;wsp:rsid wsp:val=&quot;00F56E95&quot;/&gt;&lt;wsp:rsid wsp:val=&quot;00F60789&quot;/&gt;&lt;wsp:rsid wsp:val=&quot;00F62396&quot;/&gt;&lt;wsp:rsid wsp:val=&quot;00F63463&quot;/&gt;&lt;wsp:rsid wsp:val=&quot;00F87DDA&quot;/&gt;&lt;wsp:rsid wsp:val=&quot;00F9112C&quot;/&gt;&lt;wsp:rsid wsp:val=&quot;00F94541&quot;/&gt;&lt;wsp:rsid wsp:val=&quot;00FA47A3&quot;/&gt;&lt;wsp:rsid wsp:val=&quot;00FB6694&quot;/&gt;&lt;wsp:rsid wsp:val=&quot;00FC2A71&quot;/&gt;&lt;wsp:rsid wsp:val=&quot;00FC430F&quot;/&gt;&lt;wsp:rsid wsp:val=&quot;00FC6823&quot;/&gt;&lt;wsp:rsid wsp:val=&quot;00FD06AF&quot;/&gt;&lt;wsp:rsid wsp:val=&quot;00FE377B&quot;/&gt;&lt;wsp:rsid wsp:val=&quot;00FE5F09&quot;/&gt;&lt;wsp:rsid wsp:val=&quot;00FE682B&quot;/&gt;&lt;wsp:rsid wsp:val=&quot;00FF171F&quot;/&gt;&lt;wsp:rsid wsp:val=&quot;00FF4DC5&quot;/&gt;&lt;wsp:rsid wsp:val=&quot;00FF7744&quot;/&gt;&lt;/wsp:rsids&gt;&lt;/w:docPr&gt;&lt;w:body&gt;&lt;wx:sect&gt;&lt;w:p wsp:rsidR=&quot;00000000&quot; wsp:rsidRDefault=&quot;005F5818&quot; wsp:rsidP=&quot;005F5818&quot;&gt;&lt;m:oMathPara&gt;&lt;m:oMath&gt;&lt;m:sSub&gt;&lt;m:sSubPr&gt;&lt;m:ctrlPr&gt;&lt;w:rPr&gt;&lt;w:rFonts w:ascii=&quot;Cambria Math&quot; w:h-ansi=&quot;Cambria Math&quot;/&gt;&lt;wx:font wx:val=&quot;Cambria Math&quot;/&gt;&lt;w:sz w:val=&quot;20&quot;/&gt;&lt;w:sz-cs w:val=&quot;20&quot;/&gt;&lt;/w:rPr&gt;&lt;/m:ctrlPr&gt;&lt;/m:sSubPr&gt;&lt;m:e&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FP&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0&lt;/m:t&gt;&lt;/m:r&gt;&lt;/m:sub&gt;&lt;/m:sSub&gt;&lt;m:r&gt;&lt;m:rPr&gt;&lt;m:sty m:val=&quot;p&quot;/&gt;&lt;/m:rPr&gt;&lt;w:rPr&gt;&lt;w:rFonts w:ascii=&quot;Cambria Math&quot; w:h-ansi=&quot;Cambria Math&quot;/&gt;&lt;wx:font wx:val=&quot;Cambria Math&quot;/&gt;&lt;w:sz w:val=&quot;20&quot;/&gt;&lt;w:sz-cs w:val=&quot;20&quot;/&gt;&lt;/w:rPr&gt;&lt;m:t&gt;+ &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1&lt;/m:t&gt;&lt;/m:r&gt;&lt;/m:sub&gt;&lt;/m:sSub&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SEP&lt;/m:t&gt;&lt;/m:r&gt;&lt;/m:e&gt;&lt;m:sub&gt;&lt;m:r&gt;&lt;w:rPr&gt;&lt;w:rFonts w:ascii=&quot;Cambria Math&quot; w:h-ansi=&quot;Cambria Math&quot;/&gt;&lt;wx:font wx:val=&quot;Cambria Math&quot;/&gt;&lt;w:i/&gt;&lt;w:sz w:val=&quot;20&quot;/&gt;&lt;w:sz-cs w:val=&quot;20&quot;/&gt;&lt;/w:rPr&gt;&lt;m:t&gt;it&lt;/m:t&gt;&lt;/m:r&gt;&lt;/m:sub&gt;&lt;/m:sSub&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 &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2&lt;/m:t&gt;&lt;/m:r&gt;&lt;/m:sub&gt;&lt;/m:sSub&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SEP2&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  &lt;/m:t&gt;&lt;/m:r&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3&lt;/m:t&gt;&lt;/m:r&gt;&lt;/m:sub&gt;&lt;/m:sSub&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Controls&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º&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ª&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µ&lt;/m:t&gt;&lt;/m:r&gt;&lt;/m:e&gt;&lt;m:sub&gt;&lt;m:r&gt;&lt;w:rPr&gt;&lt;w:rFonts w:ascii=&quot;Cambria Math&quot; w:h-ansi=&quot;Cambria Math&quot;/&gt;&lt;wx:font wx:val=&quot;Cambria Math&quot;/&gt;&lt;w:i/&gt;&lt;w:sz w:val=&quot;20&quot;/&gt;&lt;w:sz-cs w:val=&quot;20&quot;/&gt;&lt;/w:rPr&gt;&lt;m:t&gt;it&lt;/m:t&gt;&lt;/m:r&gt;&lt;/m:sub&gt;&lt;/m:sSub&gt;&lt;/m:e&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0274A">
        <w:rPr>
          <w:rFonts w:ascii="Garamond" w:eastAsia="Times New Roman" w:hAnsi="Garamond"/>
          <w:sz w:val="20"/>
          <w:szCs w:val="20"/>
          <w:vertAlign w:val="subscript"/>
        </w:rPr>
        <w:instrText xml:space="preserve"> </w:instrText>
      </w:r>
      <w:r w:rsidRPr="00055865">
        <w:rPr>
          <w:rFonts w:ascii="Garamond" w:eastAsia="Times New Roman" w:hAnsi="Garamond"/>
          <w:sz w:val="20"/>
          <w:szCs w:val="20"/>
          <w:vertAlign w:val="subscript"/>
        </w:rPr>
        <w:fldChar w:fldCharType="separate"/>
      </w:r>
      <w:r w:rsidR="00806386">
        <w:rPr>
          <w:rFonts w:ascii="Garamond" w:hAnsi="Garamond"/>
          <w:noProof/>
          <w:position w:val="-9"/>
        </w:rPr>
        <w:pict w14:anchorId="537BA769">
          <v:shape id="_x0000_i1029" type="#_x0000_t75" alt="" style="width:273.6pt;height:14.4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MzU2sTQ3MDO2MLIwMDVS0lEKTi0uzszPAykwMqwFADwa6vwtAAAA&quot;/&gt;&lt;/w:docVars&gt;&lt;wsp:rsids&gt;&lt;wsp:rsidRoot wsp:val=&quot;006036E7&quot;/&gt;&lt;wsp:rsid wsp:val=&quot;00006990&quot;/&gt;&lt;wsp:rsid wsp:val=&quot;00013C17&quot;/&gt;&lt;wsp:rsid wsp:val=&quot;00017851&quot;/&gt;&lt;wsp:rsid wsp:val=&quot;00023262&quot;/&gt;&lt;wsp:rsid wsp:val=&quot;00024C92&quot;/&gt;&lt;wsp:rsid wsp:val=&quot;00030754&quot;/&gt;&lt;wsp:rsid wsp:val=&quot;0003694C&quot;/&gt;&lt;wsp:rsid wsp:val=&quot;00037DBB&quot;/&gt;&lt;wsp:rsid wsp:val=&quot;000444D2&quot;/&gt;&lt;wsp:rsid wsp:val=&quot;00044C1F&quot;/&gt;&lt;wsp:rsid wsp:val=&quot;00063723&quot;/&gt;&lt;wsp:rsid wsp:val=&quot;00063A9B&quot;/&gt;&lt;wsp:rsid wsp:val=&quot;00065594&quot;/&gt;&lt;wsp:rsid wsp:val=&quot;000675BF&quot;/&gt;&lt;wsp:rsid wsp:val=&quot;00075262&quot;/&gt;&lt;wsp:rsid wsp:val=&quot;0007589E&quot;/&gt;&lt;wsp:rsid wsp:val=&quot;00076741&quot;/&gt;&lt;wsp:rsid wsp:val=&quot;0008143B&quot;/&gt;&lt;wsp:rsid wsp:val=&quot;00081817&quot;/&gt;&lt;wsp:rsid wsp:val=&quot;00081A23&quot;/&gt;&lt;wsp:rsid wsp:val=&quot;00084561&quot;/&gt;&lt;wsp:rsid wsp:val=&quot;00085160&quot;/&gt;&lt;wsp:rsid wsp:val=&quot;00091380&quot;/&gt;&lt;wsp:rsid wsp:val=&quot;00095385&quot;/&gt;&lt;wsp:rsid wsp:val=&quot;000A07A0&quot;/&gt;&lt;wsp:rsid wsp:val=&quot;000A6CAB&quot;/&gt;&lt;wsp:rsid wsp:val=&quot;000A7612&quot;/&gt;&lt;wsp:rsid wsp:val=&quot;000B3D51&quot;/&gt;&lt;wsp:rsid wsp:val=&quot;000C3826&quot;/&gt;&lt;wsp:rsid wsp:val=&quot;000D1F37&quot;/&gt;&lt;wsp:rsid wsp:val=&quot;000D6337&quot;/&gt;&lt;wsp:rsid wsp:val=&quot;000E0107&quot;/&gt;&lt;wsp:rsid wsp:val=&quot;000E0DF4&quot;/&gt;&lt;wsp:rsid wsp:val=&quot;000E2B8A&quot;/&gt;&lt;wsp:rsid wsp:val=&quot;000E33FE&quot;/&gt;&lt;wsp:rsid wsp:val=&quot;000E701F&quot;/&gt;&lt;wsp:rsid wsp:val=&quot;000E7B98&quot;/&gt;&lt;wsp:rsid wsp:val=&quot;000F0A82&quot;/&gt;&lt;wsp:rsid wsp:val=&quot;0010708E&quot;/&gt;&lt;wsp:rsid wsp:val=&quot;00111DC4&quot;/&gt;&lt;wsp:rsid wsp:val=&quot;001121F1&quot;/&gt;&lt;wsp:rsid wsp:val=&quot;00114317&quot;/&gt;&lt;wsp:rsid wsp:val=&quot;0011545E&quot;/&gt;&lt;wsp:rsid wsp:val=&quot;001161CB&quot;/&gt;&lt;wsp:rsid wsp:val=&quot;0011798C&quot;/&gt;&lt;wsp:rsid wsp:val=&quot;0012578B&quot;/&gt;&lt;wsp:rsid wsp:val=&quot;0012795D&quot;/&gt;&lt;wsp:rsid wsp:val=&quot;00127DD3&quot;/&gt;&lt;wsp:rsid wsp:val=&quot;00130DC0&quot;/&gt;&lt;wsp:rsid wsp:val=&quot;00132EA0&quot;/&gt;&lt;wsp:rsid wsp:val=&quot;0013327A&quot;/&gt;&lt;wsp:rsid wsp:val=&quot;001372DD&quot;/&gt;&lt;wsp:rsid wsp:val=&quot;00145E9E&quot;/&gt;&lt;wsp:rsid wsp:val=&quot;00146606&quot;/&gt;&lt;wsp:rsid wsp:val=&quot;001471EC&quot;/&gt;&lt;wsp:rsid wsp:val=&quot;00147E9B&quot;/&gt;&lt;wsp:rsid wsp:val=&quot;001510EB&quot;/&gt;&lt;wsp:rsid wsp:val=&quot;00157FBB&quot;/&gt;&lt;wsp:rsid wsp:val=&quot;00171230&quot;/&gt;&lt;wsp:rsid wsp:val=&quot;00172991&quot;/&gt;&lt;wsp:rsid wsp:val=&quot;00175083&quot;/&gt;&lt;wsp:rsid wsp:val=&quot;001751CC&quot;/&gt;&lt;wsp:rsid wsp:val=&quot;001764C5&quot;/&gt;&lt;wsp:rsid wsp:val=&quot;00181FF7&quot;/&gt;&lt;wsp:rsid wsp:val=&quot;001841B9&quot;/&gt;&lt;wsp:rsid wsp:val=&quot;00186608&quot;/&gt;&lt;wsp:rsid wsp:val=&quot;00197319&quot;/&gt;&lt;wsp:rsid wsp:val=&quot;001A3CA6&quot;/&gt;&lt;wsp:rsid wsp:val=&quot;001C5886&quot;/&gt;&lt;wsp:rsid wsp:val=&quot;001D1F21&quot;/&gt;&lt;wsp:rsid wsp:val=&quot;001D7CDA&quot;/&gt;&lt;wsp:rsid wsp:val=&quot;001E0827&quot;/&gt;&lt;wsp:rsid wsp:val=&quot;001E63EC&quot;/&gt;&lt;wsp:rsid wsp:val=&quot;001F29AD&quot;/&gt;&lt;wsp:rsid wsp:val=&quot;00200C00&quot;/&gt;&lt;wsp:rsid wsp:val=&quot;00201C10&quot;/&gt;&lt;wsp:rsid wsp:val=&quot;0020459A&quot;/&gt;&lt;wsp:rsid wsp:val=&quot;00204961&quot;/&gt;&lt;wsp:rsid wsp:val=&quot;00204EC7&quot;/&gt;&lt;wsp:rsid wsp:val=&quot;00223956&quot;/&gt;&lt;wsp:rsid wsp:val=&quot;00236E5E&quot;/&gt;&lt;wsp:rsid wsp:val=&quot;00240574&quot;/&gt;&lt;wsp:rsid wsp:val=&quot;00244145&quot;/&gt;&lt;wsp:rsid wsp:val=&quot;00245147&quot;/&gt;&lt;wsp:rsid wsp:val=&quot;00247544&quot;/&gt;&lt;wsp:rsid wsp:val=&quot;00267DA0&quot;/&gt;&lt;wsp:rsid wsp:val=&quot;00280155&quot;/&gt;&lt;wsp:rsid wsp:val=&quot;00285FBA&quot;/&gt;&lt;wsp:rsid wsp:val=&quot;00286D7C&quot;/&gt;&lt;wsp:rsid wsp:val=&quot;00286FEC&quot;/&gt;&lt;wsp:rsid wsp:val=&quot;002A01F1&quot;/&gt;&lt;wsp:rsid wsp:val=&quot;002A1E01&quot;/&gt;&lt;wsp:rsid wsp:val=&quot;002B7C72&quot;/&gt;&lt;wsp:rsid wsp:val=&quot;002C28F5&quot;/&gt;&lt;wsp:rsid wsp:val=&quot;002C6F94&quot;/&gt;&lt;wsp:rsid wsp:val=&quot;002C702F&quot;/&gt;&lt;wsp:rsid wsp:val=&quot;002D2311&quot;/&gt;&lt;wsp:rsid wsp:val=&quot;002D2C35&quot;/&gt;&lt;wsp:rsid wsp:val=&quot;002D470F&quot;/&gt;&lt;wsp:rsid wsp:val=&quot;002E0DDE&quot;/&gt;&lt;wsp:rsid wsp:val=&quot;002E26FB&quot;/&gt;&lt;wsp:rsid wsp:val=&quot;003012D3&quot;/&gt;&lt;wsp:rsid wsp:val=&quot;00304AAB&quot;/&gt;&lt;wsp:rsid wsp:val=&quot;003069B2&quot;/&gt;&lt;wsp:rsid wsp:val=&quot;00312355&quot;/&gt;&lt;wsp:rsid wsp:val=&quot;00326C9B&quot;/&gt;&lt;wsp:rsid wsp:val=&quot;003375A1&quot;/&gt;&lt;wsp:rsid wsp:val=&quot;0034107D&quot;/&gt;&lt;wsp:rsid wsp:val=&quot;003432B8&quot;/&gt;&lt;wsp:rsid wsp:val=&quot;003455B5&quot;/&gt;&lt;wsp:rsid wsp:val=&quot;00355708&quot;/&gt;&lt;wsp:rsid wsp:val=&quot;00363419&quot;/&gt;&lt;wsp:rsid wsp:val=&quot;00363824&quot;/&gt;&lt;wsp:rsid wsp:val=&quot;003746A6&quot;/&gt;&lt;wsp:rsid wsp:val=&quot;00386296&quot;/&gt;&lt;wsp:rsid wsp:val=&quot;00390F79&quot;/&gt;&lt;wsp:rsid wsp:val=&quot;0039348B&quot;/&gt;&lt;wsp:rsid wsp:val=&quot;003B0842&quot;/&gt;&lt;wsp:rsid wsp:val=&quot;003B2D26&quot;/&gt;&lt;wsp:rsid wsp:val=&quot;003B3BE9&quot;/&gt;&lt;wsp:rsid wsp:val=&quot;003B6CFB&quot;/&gt;&lt;wsp:rsid wsp:val=&quot;003D2284&quot;/&gt;&lt;wsp:rsid wsp:val=&quot;003D3E6A&quot;/&gt;&lt;wsp:rsid wsp:val=&quot;003D7ECE&quot;/&gt;&lt;wsp:rsid wsp:val=&quot;003E2993&quot;/&gt;&lt;wsp:rsid wsp:val=&quot;003E4689&quot;/&gt;&lt;wsp:rsid wsp:val=&quot;003E74F0&quot;/&gt;&lt;wsp:rsid wsp:val=&quot;003F7E97&quot;/&gt;&lt;wsp:rsid wsp:val=&quot;0040109E&quot;/&gt;&lt;wsp:rsid wsp:val=&quot;004179F2&quot;/&gt;&lt;wsp:rsid wsp:val=&quot;00425317&quot;/&gt;&lt;wsp:rsid wsp:val=&quot;00431892&quot;/&gt;&lt;wsp:rsid wsp:val=&quot;00435FA0&quot;/&gt;&lt;wsp:rsid wsp:val=&quot;004432B8&quot;/&gt;&lt;wsp:rsid wsp:val=&quot;00444353&quot;/&gt;&lt;wsp:rsid wsp:val=&quot;0045476C&quot;/&gt;&lt;wsp:rsid wsp:val=&quot;00461247&quot;/&gt;&lt;wsp:rsid wsp:val=&quot;0047050D&quot;/&gt;&lt;wsp:rsid wsp:val=&quot;00480AAF&quot;/&gt;&lt;wsp:rsid wsp:val=&quot;00484DB2&quot;/&gt;&lt;wsp:rsid wsp:val=&quot;00491B7F&quot;/&gt;&lt;wsp:rsid wsp:val=&quot;004A5E00&quot;/&gt;&lt;wsp:rsid wsp:val=&quot;004B47B5&quot;/&gt;&lt;wsp:rsid wsp:val=&quot;004B62B0&quot;/&gt;&lt;wsp:rsid wsp:val=&quot;004D4808&quot;/&gt;&lt;wsp:rsid wsp:val=&quot;004E0EC3&quot;/&gt;&lt;wsp:rsid wsp:val=&quot;004E7D8D&quot;/&gt;&lt;wsp:rsid wsp:val=&quot;004F6EC4&quot;/&gt;&lt;wsp:rsid wsp:val=&quot;0050035A&quot;/&gt;&lt;wsp:rsid wsp:val=&quot;00502857&quot;/&gt;&lt;wsp:rsid wsp:val=&quot;00512E7E&quot;/&gt;&lt;wsp:rsid wsp:val=&quot;00514C22&quot;/&gt;&lt;wsp:rsid wsp:val=&quot;00515CEE&quot;/&gt;&lt;wsp:rsid wsp:val=&quot;00537569&quot;/&gt;&lt;wsp:rsid wsp:val=&quot;00542935&quot;/&gt;&lt;wsp:rsid wsp:val=&quot;00554C20&quot;/&gt;&lt;wsp:rsid wsp:val=&quot;0055706B&quot;/&gt;&lt;wsp:rsid wsp:val=&quot;00561598&quot;/&gt;&lt;wsp:rsid wsp:val=&quot;00564AB6&quot;/&gt;&lt;wsp:rsid wsp:val=&quot;00570837&quot;/&gt;&lt;wsp:rsid wsp:val=&quot;00577946&quot;/&gt;&lt;wsp:rsid wsp:val=&quot;0059264F&quot;/&gt;&lt;wsp:rsid wsp:val=&quot;005A1B24&quot;/&gt;&lt;wsp:rsid wsp:val=&quot;005A3AA7&quot;/&gt;&lt;wsp:rsid wsp:val=&quot;005A7EF3&quot;/&gt;&lt;wsp:rsid wsp:val=&quot;005B6C87&quot;/&gt;&lt;wsp:rsid wsp:val=&quot;005E4E83&quot;/&gt;&lt;wsp:rsid wsp:val=&quot;005F0782&quot;/&gt;&lt;wsp:rsid wsp:val=&quot;005F1A98&quot;/&gt;&lt;wsp:rsid wsp:val=&quot;005F5818&quot;/&gt;&lt;wsp:rsid wsp:val=&quot;005F5B68&quot;/&gt;&lt;wsp:rsid wsp:val=&quot;005F663B&quot;/&gt;&lt;wsp:rsid wsp:val=&quot;006036E7&quot;/&gt;&lt;wsp:rsid wsp:val=&quot;0060577A&quot;/&gt;&lt;wsp:rsid wsp:val=&quot;006177C3&quot;/&gt;&lt;wsp:rsid wsp:val=&quot;00620C3C&quot;/&gt;&lt;wsp:rsid wsp:val=&quot;0062134F&quot;/&gt;&lt;wsp:rsid wsp:val=&quot;00622289&quot;/&gt;&lt;wsp:rsid wsp:val=&quot;00633085&quot;/&gt;&lt;wsp:rsid wsp:val=&quot;0063416B&quot;/&gt;&lt;wsp:rsid wsp:val=&quot;00646027&quot;/&gt;&lt;wsp:rsid wsp:val=&quot;006503BD&quot;/&gt;&lt;wsp:rsid wsp:val=&quot;006539D1&quot;/&gt;&lt;wsp:rsid wsp:val=&quot;006604A7&quot;/&gt;&lt;wsp:rsid wsp:val=&quot;00663CEB&quot;/&gt;&lt;wsp:rsid wsp:val=&quot;00664AF4&quot;/&gt;&lt;wsp:rsid wsp:val=&quot;00664C06&quot;/&gt;&lt;wsp:rsid wsp:val=&quot;00671243&quot;/&gt;&lt;wsp:rsid wsp:val=&quot;00671D23&quot;/&gt;&lt;wsp:rsid wsp:val=&quot;00671F6E&quot;/&gt;&lt;wsp:rsid wsp:val=&quot;00674C56&quot;/&gt;&lt;wsp:rsid wsp:val=&quot;006801DC&quot;/&gt;&lt;wsp:rsid wsp:val=&quot;00680DC2&quot;/&gt;&lt;wsp:rsid wsp:val=&quot;00681D69&quot;/&gt;&lt;wsp:rsid wsp:val=&quot;00682770&quot;/&gt;&lt;wsp:rsid wsp:val=&quot;0068299C&quot;/&gt;&lt;wsp:rsid wsp:val=&quot;006859F6&quot;/&gt;&lt;wsp:rsid wsp:val=&quot;00694372&quot;/&gt;&lt;wsp:rsid wsp:val=&quot;006A637C&quot;/&gt;&lt;wsp:rsid wsp:val=&quot;006C0963&quot;/&gt;&lt;wsp:rsid wsp:val=&quot;006C2EDA&quot;/&gt;&lt;wsp:rsid wsp:val=&quot;006D1230&quot;/&gt;&lt;wsp:rsid wsp:val=&quot;006D4E2D&quot;/&gt;&lt;wsp:rsid wsp:val=&quot;006D6BF4&quot;/&gt;&lt;wsp:rsid wsp:val=&quot;007063E5&quot;/&gt;&lt;wsp:rsid wsp:val=&quot;00707CF1&quot;/&gt;&lt;wsp:rsid wsp:val=&quot;00713916&quot;/&gt;&lt;wsp:rsid wsp:val=&quot;00713EA8&quot;/&gt;&lt;wsp:rsid wsp:val=&quot;00717F21&quot;/&gt;&lt;wsp:rsid wsp:val=&quot;00721241&quot;/&gt;&lt;wsp:rsid wsp:val=&quot;007315FC&quot;/&gt;&lt;wsp:rsid wsp:val=&quot;00732AFA&quot;/&gt;&lt;wsp:rsid wsp:val=&quot;00732B17&quot;/&gt;&lt;wsp:rsid wsp:val=&quot;00746C7C&quot;/&gt;&lt;wsp:rsid wsp:val=&quot;00747FBB&quot;/&gt;&lt;wsp:rsid wsp:val=&quot;00750A57&quot;/&gt;&lt;wsp:rsid wsp:val=&quot;00770755&quot;/&gt;&lt;wsp:rsid wsp:val=&quot;007775DE&quot;/&gt;&lt;wsp:rsid wsp:val=&quot;00784E40&quot;/&gt;&lt;wsp:rsid wsp:val=&quot;00786A2D&quot;/&gt;&lt;wsp:rsid wsp:val=&quot;007A2EBF&quot;/&gt;&lt;wsp:rsid wsp:val=&quot;007A3A8E&quot;/&gt;&lt;wsp:rsid wsp:val=&quot;007A62C7&quot;/&gt;&lt;wsp:rsid wsp:val=&quot;007B1A74&quot;/&gt;&lt;wsp:rsid wsp:val=&quot;007B1BB0&quot;/&gt;&lt;wsp:rsid wsp:val=&quot;007B4D6B&quot;/&gt;&lt;wsp:rsid wsp:val=&quot;007B501B&quot;/&gt;&lt;wsp:rsid wsp:val=&quot;007B7372&quot;/&gt;&lt;wsp:rsid wsp:val=&quot;007C34CB&quot;/&gt;&lt;wsp:rsid wsp:val=&quot;007C4187&quot;/&gt;&lt;wsp:rsid wsp:val=&quot;007E748D&quot;/&gt;&lt;wsp:rsid wsp:val=&quot;007F0C3D&quot;/&gt;&lt;wsp:rsid wsp:val=&quot;007F7B1F&quot;/&gt;&lt;wsp:rsid wsp:val=&quot;008010E2&quot;/&gt;&lt;wsp:rsid wsp:val=&quot;0080339E&quot;/&gt;&lt;wsp:rsid wsp:val=&quot;00804F81&quot;/&gt;&lt;wsp:rsid wsp:val=&quot;00805B61&quot;/&gt;&lt;wsp:rsid wsp:val=&quot;00813AA8&quot;/&gt;&lt;wsp:rsid wsp:val=&quot;008140F0&quot;/&gt;&lt;wsp:rsid wsp:val=&quot;00823928&quot;/&gt;&lt;wsp:rsid wsp:val=&quot;0083293C&quot;/&gt;&lt;wsp:rsid wsp:val=&quot;0083510A&quot;/&gt;&lt;wsp:rsid wsp:val=&quot;0083540C&quot;/&gt;&lt;wsp:rsid wsp:val=&quot;00835DA0&quot;/&gt;&lt;wsp:rsid wsp:val=&quot;00837E76&quot;/&gt;&lt;wsp:rsid wsp:val=&quot;00842811&quot;/&gt;&lt;wsp:rsid wsp:val=&quot;00852765&quot;/&gt;&lt;wsp:rsid wsp:val=&quot;00862F41&quot;/&gt;&lt;wsp:rsid wsp:val=&quot;00873ECA&quot;/&gt;&lt;wsp:rsid wsp:val=&quot;0087631A&quot;/&gt;&lt;wsp:rsid wsp:val=&quot;008861D3&quot;/&gt;&lt;wsp:rsid wsp:val=&quot;00892D09&quot;/&gt;&lt;wsp:rsid wsp:val=&quot;008953EC&quot;/&gt;&lt;wsp:rsid wsp:val=&quot;008C02A2&quot;/&gt;&lt;wsp:rsid wsp:val=&quot;008C1771&quot;/&gt;&lt;wsp:rsid wsp:val=&quot;008D2395&quot;/&gt;&lt;wsp:rsid wsp:val=&quot;008E5BF6&quot;/&gt;&lt;wsp:rsid wsp:val=&quot;008E6498&quot;/&gt;&lt;wsp:rsid wsp:val=&quot;008F6567&quot;/&gt;&lt;wsp:rsid wsp:val=&quot;009025B7&quot;/&gt;&lt;wsp:rsid wsp:val=&quot;00904E55&quot;/&gt;&lt;wsp:rsid wsp:val=&quot;00911FF7&quot;/&gt;&lt;wsp:rsid wsp:val=&quot;00913E73&quot;/&gt;&lt;wsp:rsid wsp:val=&quot;009178A6&quot;/&gt;&lt;wsp:rsid wsp:val=&quot;00920156&quot;/&gt;&lt;wsp:rsid wsp:val=&quot;00923E75&quot;/&gt;&lt;wsp:rsid wsp:val=&quot;00931888&quot;/&gt;&lt;wsp:rsid wsp:val=&quot;00933E38&quot;/&gt;&lt;wsp:rsid wsp:val=&quot;00943D6A&quot;/&gt;&lt;wsp:rsid wsp:val=&quot;00944979&quot;/&gt;&lt;wsp:rsid wsp:val=&quot;009460E1&quot;/&gt;&lt;wsp:rsid wsp:val=&quot;00952187&quot;/&gt;&lt;wsp:rsid wsp:val=&quot;00964421&quot;/&gt;&lt;wsp:rsid wsp:val=&quot;00972D85&quot;/&gt;&lt;wsp:rsid wsp:val=&quot;0098178D&quot;/&gt;&lt;wsp:rsid wsp:val=&quot;00984586&quot;/&gt;&lt;wsp:rsid wsp:val=&quot;00987810&quot;/&gt;&lt;wsp:rsid wsp:val=&quot;009A197D&quot;/&gt;&lt;wsp:rsid wsp:val=&quot;009B3300&quot;/&gt;&lt;wsp:rsid wsp:val=&quot;009B3527&quot;/&gt;&lt;wsp:rsid wsp:val=&quot;009C5F30&quot;/&gt;&lt;wsp:rsid wsp:val=&quot;009D1492&quot;/&gt;&lt;wsp:rsid wsp:val=&quot;00A06322&quot;/&gt;&lt;wsp:rsid wsp:val=&quot;00A24B9F&quot;/&gt;&lt;wsp:rsid wsp:val=&quot;00A27E08&quot;/&gt;&lt;wsp:rsid wsp:val=&quot;00A3543E&quot;/&gt;&lt;wsp:rsid wsp:val=&quot;00A35674&quot;/&gt;&lt;wsp:rsid wsp:val=&quot;00A362CE&quot;/&gt;&lt;wsp:rsid wsp:val=&quot;00A372A7&quot;/&gt;&lt;wsp:rsid wsp:val=&quot;00A411D9&quot;/&gt;&lt;wsp:rsid wsp:val=&quot;00A4402C&quot;/&gt;&lt;wsp:rsid wsp:val=&quot;00A516DC&quot;/&gt;&lt;wsp:rsid wsp:val=&quot;00A52913&quot;/&gt;&lt;wsp:rsid wsp:val=&quot;00A53C05&quot;/&gt;&lt;wsp:rsid wsp:val=&quot;00A60134&quot;/&gt;&lt;wsp:rsid wsp:val=&quot;00A71D23&quot;/&gt;&lt;wsp:rsid wsp:val=&quot;00A742CE&quot;/&gt;&lt;wsp:rsid wsp:val=&quot;00A90E4B&quot;/&gt;&lt;wsp:rsid wsp:val=&quot;00A91737&quot;/&gt;&lt;wsp:rsid wsp:val=&quot;00AB6E48&quot;/&gt;&lt;wsp:rsid wsp:val=&quot;00AB7620&quot;/&gt;&lt;wsp:rsid wsp:val=&quot;00AB7E5B&quot;/&gt;&lt;wsp:rsid wsp:val=&quot;00AC702D&quot;/&gt;&lt;wsp:rsid wsp:val=&quot;00AD292A&quot;/&gt;&lt;wsp:rsid wsp:val=&quot;00AD392E&quot;/&gt;&lt;wsp:rsid wsp:val=&quot;00AD56DD&quot;/&gt;&lt;wsp:rsid wsp:val=&quot;00AD5CC3&quot;/&gt;&lt;wsp:rsid wsp:val=&quot;00AE0067&quot;/&gt;&lt;wsp:rsid wsp:val=&quot;00AE1B1F&quot;/&gt;&lt;wsp:rsid wsp:val=&quot;00AF0B96&quot;/&gt;&lt;wsp:rsid wsp:val=&quot;00AF586C&quot;/&gt;&lt;wsp:rsid wsp:val=&quot;00B01494&quot;/&gt;&lt;wsp:rsid wsp:val=&quot;00B01848&quot;/&gt;&lt;wsp:rsid wsp:val=&quot;00B14124&quot;/&gt;&lt;wsp:rsid wsp:val=&quot;00B15580&quot;/&gt;&lt;wsp:rsid wsp:val=&quot;00B24D45&quot;/&gt;&lt;wsp:rsid wsp:val=&quot;00B2767F&quot;/&gt;&lt;wsp:rsid wsp:val=&quot;00B27A51&quot;/&gt;&lt;wsp:rsid wsp:val=&quot;00B37776&quot;/&gt;&lt;wsp:rsid wsp:val=&quot;00B43603&quot;/&gt;&lt;wsp:rsid wsp:val=&quot;00B47EEA&quot;/&gt;&lt;wsp:rsid wsp:val=&quot;00B550C1&quot;/&gt;&lt;wsp:rsid wsp:val=&quot;00B55DEE&quot;/&gt;&lt;wsp:rsid wsp:val=&quot;00B568BA&quot;/&gt;&lt;wsp:rsid wsp:val=&quot;00B600D5&quot;/&gt;&lt;wsp:rsid wsp:val=&quot;00B64692&quot;/&gt;&lt;wsp:rsid wsp:val=&quot;00B8373C&quot;/&gt;&lt;wsp:rsid wsp:val=&quot;00B83926&quot;/&gt;&lt;wsp:rsid wsp:val=&quot;00B83D4F&quot;/&gt;&lt;wsp:rsid wsp:val=&quot;00B873F5&quot;/&gt;&lt;wsp:rsid wsp:val=&quot;00B969D6&quot;/&gt;&lt;wsp:rsid wsp:val=&quot;00BA5D34&quot;/&gt;&lt;wsp:rsid wsp:val=&quot;00BA66D3&quot;/&gt;&lt;wsp:rsid wsp:val=&quot;00BB12D1&quot;/&gt;&lt;wsp:rsid wsp:val=&quot;00BB6548&quot;/&gt;&lt;wsp:rsid wsp:val=&quot;00BC1988&quot;/&gt;&lt;wsp:rsid wsp:val=&quot;00BC305C&quot;/&gt;&lt;wsp:rsid wsp:val=&quot;00BD39A6&quot;/&gt;&lt;wsp:rsid wsp:val=&quot;00BD5625&quot;/&gt;&lt;wsp:rsid wsp:val=&quot;00BE6D92&quot;/&gt;&lt;wsp:rsid wsp:val=&quot;00BE710A&quot;/&gt;&lt;wsp:rsid wsp:val=&quot;00BE785A&quot;/&gt;&lt;wsp:rsid wsp:val=&quot;00BE7B58&quot;/&gt;&lt;wsp:rsid wsp:val=&quot;00BF0A94&quot;/&gt;&lt;wsp:rsid wsp:val=&quot;00BF0C5F&quot;/&gt;&lt;wsp:rsid wsp:val=&quot;00C00CED&quot;/&gt;&lt;wsp:rsid wsp:val=&quot;00C01D64&quot;/&gt;&lt;wsp:rsid wsp:val=&quot;00C01D8F&quot;/&gt;&lt;wsp:rsid wsp:val=&quot;00C05A48&quot;/&gt;&lt;wsp:rsid wsp:val=&quot;00C16404&quot;/&gt;&lt;wsp:rsid wsp:val=&quot;00C3173D&quot;/&gt;&lt;wsp:rsid wsp:val=&quot;00C32066&quot;/&gt;&lt;wsp:rsid wsp:val=&quot;00C3311A&quot;/&gt;&lt;wsp:rsid wsp:val=&quot;00C441D2&quot;/&gt;&lt;wsp:rsid wsp:val=&quot;00C46F61&quot;/&gt;&lt;wsp:rsid wsp:val=&quot;00C63222&quot;/&gt;&lt;wsp:rsid wsp:val=&quot;00C715F2&quot;/&gt;&lt;wsp:rsid wsp:val=&quot;00C72916&quot;/&gt;&lt;wsp:rsid wsp:val=&quot;00C739B6&quot;/&gt;&lt;wsp:rsid wsp:val=&quot;00C84536&quot;/&gt;&lt;wsp:rsid wsp:val=&quot;00C8484C&quot;/&gt;&lt;wsp:rsid wsp:val=&quot;00C8569A&quot;/&gt;&lt;wsp:rsid wsp:val=&quot;00C876C3&quot;/&gt;&lt;wsp:rsid wsp:val=&quot;00C90293&quot;/&gt;&lt;wsp:rsid wsp:val=&quot;00CA106B&quot;/&gt;&lt;wsp:rsid wsp:val=&quot;00CB01E2&quot;/&gt;&lt;wsp:rsid wsp:val=&quot;00CB35DE&quot;/&gt;&lt;wsp:rsid wsp:val=&quot;00CD09BF&quot;/&gt;&lt;wsp:rsid wsp:val=&quot;00CD5F69&quot;/&gt;&lt;wsp:rsid wsp:val=&quot;00CE41B1&quot;/&gt;&lt;wsp:rsid wsp:val=&quot;00CF63FF&quot;/&gt;&lt;wsp:rsid wsp:val=&quot;00D1416A&quot;/&gt;&lt;wsp:rsid wsp:val=&quot;00D3248A&quot;/&gt;&lt;wsp:rsid wsp:val=&quot;00D32F74&quot;/&gt;&lt;wsp:rsid wsp:val=&quot;00D33267&quot;/&gt;&lt;wsp:rsid wsp:val=&quot;00D408A3&quot;/&gt;&lt;wsp:rsid wsp:val=&quot;00D41BCE&quot;/&gt;&lt;wsp:rsid wsp:val=&quot;00D557DD&quot;/&gt;&lt;wsp:rsid wsp:val=&quot;00D63CC5&quot;/&gt;&lt;wsp:rsid wsp:val=&quot;00D641CB&quot;/&gt;&lt;wsp:rsid wsp:val=&quot;00D67554&quot;/&gt;&lt;wsp:rsid wsp:val=&quot;00D72102&quot;/&gt;&lt;wsp:rsid wsp:val=&quot;00D730CF&quot;/&gt;&lt;wsp:rsid wsp:val=&quot;00D74D08&quot;/&gt;&lt;wsp:rsid wsp:val=&quot;00D76ABE&quot;/&gt;&lt;wsp:rsid wsp:val=&quot;00D86B47&quot;/&gt;&lt;wsp:rsid wsp:val=&quot;00D90BC5&quot;/&gt;&lt;wsp:rsid wsp:val=&quot;00D91C61&quot;/&gt;&lt;wsp:rsid wsp:val=&quot;00D95787&quot;/&gt;&lt;wsp:rsid wsp:val=&quot;00D97692&quot;/&gt;&lt;wsp:rsid wsp:val=&quot;00D97E85&quot;/&gt;&lt;wsp:rsid wsp:val=&quot;00DC0CB0&quot;/&gt;&lt;wsp:rsid wsp:val=&quot;00DC3A3B&quot;/&gt;&lt;wsp:rsid wsp:val=&quot;00DC6380&quot;/&gt;&lt;wsp:rsid wsp:val=&quot;00DC6F9A&quot;/&gt;&lt;wsp:rsid wsp:val=&quot;00DD5E28&quot;/&gt;&lt;wsp:rsid wsp:val=&quot;00DD72FD&quot;/&gt;&lt;wsp:rsid wsp:val=&quot;00DE458B&quot;/&gt;&lt;wsp:rsid wsp:val=&quot;00DF0357&quot;/&gt;&lt;wsp:rsid wsp:val=&quot;00DF0F57&quot;/&gt;&lt;wsp:rsid wsp:val=&quot;00E1211A&quot;/&gt;&lt;wsp:rsid wsp:val=&quot;00E1211C&quot;/&gt;&lt;wsp:rsid wsp:val=&quot;00E15620&quot;/&gt;&lt;wsp:rsid wsp:val=&quot;00E2111D&quot;/&gt;&lt;wsp:rsid wsp:val=&quot;00E276CB&quot;/&gt;&lt;wsp:rsid wsp:val=&quot;00E42710&quot;/&gt;&lt;wsp:rsid wsp:val=&quot;00E462B6&quot;/&gt;&lt;wsp:rsid wsp:val=&quot;00E517D7&quot;/&gt;&lt;wsp:rsid wsp:val=&quot;00E51A93&quot;/&gt;&lt;wsp:rsid wsp:val=&quot;00E5474A&quot;/&gt;&lt;wsp:rsid wsp:val=&quot;00E65880&quot;/&gt;&lt;wsp:rsid wsp:val=&quot;00E671C9&quot;/&gt;&lt;wsp:rsid wsp:val=&quot;00E678CD&quot;/&gt;&lt;wsp:rsid wsp:val=&quot;00E8139B&quot;/&gt;&lt;wsp:rsid wsp:val=&quot;00E83268&quot;/&gt;&lt;wsp:rsid wsp:val=&quot;00E84BA2&quot;/&gt;&lt;wsp:rsid wsp:val=&quot;00E90A19&quot;/&gt;&lt;wsp:rsid wsp:val=&quot;00E95589&quot;/&gt;&lt;wsp:rsid wsp:val=&quot;00ED045E&quot;/&gt;&lt;wsp:rsid wsp:val=&quot;00EF18E7&quot;/&gt;&lt;wsp:rsid wsp:val=&quot;00F03E48&quot;/&gt;&lt;wsp:rsid wsp:val=&quot;00F05FC3&quot;/&gt;&lt;wsp:rsid wsp:val=&quot;00F065BE&quot;/&gt;&lt;wsp:rsid wsp:val=&quot;00F116D7&quot;/&gt;&lt;wsp:rsid wsp:val=&quot;00F27E0A&quot;/&gt;&lt;wsp:rsid wsp:val=&quot;00F3244C&quot;/&gt;&lt;wsp:rsid wsp:val=&quot;00F36E92&quot;/&gt;&lt;wsp:rsid wsp:val=&quot;00F54C30&quot;/&gt;&lt;wsp:rsid wsp:val=&quot;00F54DFE&quot;/&gt;&lt;wsp:rsid wsp:val=&quot;00F56E95&quot;/&gt;&lt;wsp:rsid wsp:val=&quot;00F60789&quot;/&gt;&lt;wsp:rsid wsp:val=&quot;00F62396&quot;/&gt;&lt;wsp:rsid wsp:val=&quot;00F63463&quot;/&gt;&lt;wsp:rsid wsp:val=&quot;00F87DDA&quot;/&gt;&lt;wsp:rsid wsp:val=&quot;00F9112C&quot;/&gt;&lt;wsp:rsid wsp:val=&quot;00F94541&quot;/&gt;&lt;wsp:rsid wsp:val=&quot;00FA47A3&quot;/&gt;&lt;wsp:rsid wsp:val=&quot;00FB6694&quot;/&gt;&lt;wsp:rsid wsp:val=&quot;00FC2A71&quot;/&gt;&lt;wsp:rsid wsp:val=&quot;00FC430F&quot;/&gt;&lt;wsp:rsid wsp:val=&quot;00FC6823&quot;/&gt;&lt;wsp:rsid wsp:val=&quot;00FD06AF&quot;/&gt;&lt;wsp:rsid wsp:val=&quot;00FE377B&quot;/&gt;&lt;wsp:rsid wsp:val=&quot;00FE5F09&quot;/&gt;&lt;wsp:rsid wsp:val=&quot;00FE682B&quot;/&gt;&lt;wsp:rsid wsp:val=&quot;00FF171F&quot;/&gt;&lt;wsp:rsid wsp:val=&quot;00FF4DC5&quot;/&gt;&lt;wsp:rsid wsp:val=&quot;00FF7744&quot;/&gt;&lt;/wsp:rsids&gt;&lt;/w:docPr&gt;&lt;w:body&gt;&lt;wx:sect&gt;&lt;w:p wsp:rsidR=&quot;00000000&quot; wsp:rsidRDefault=&quot;005F5818&quot; wsp:rsidP=&quot;005F5818&quot;&gt;&lt;m:oMathPara&gt;&lt;m:oMath&gt;&lt;m:sSub&gt;&lt;m:sSubPr&gt;&lt;m:ctrlPr&gt;&lt;w:rPr&gt;&lt;w:rFonts w:ascii=&quot;Cambria Math&quot; w:h-ansi=&quot;Cambria Math&quot;/&gt;&lt;wx:font wx:val=&quot;Cambria Math&quot;/&gt;&lt;w:sz w:val=&quot;20&quot;/&gt;&lt;w:sz-cs w:val=&quot;20&quot;/&gt;&lt;/w:rPr&gt;&lt;/m:ctrlPr&gt;&lt;/m:sSubPr&gt;&lt;m:e&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FP&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0&lt;/m:t&gt;&lt;/m:r&gt;&lt;/m:sub&gt;&lt;/m:sSub&gt;&lt;m:r&gt;&lt;m:rPr&gt;&lt;m:sty m:val=&quot;p&quot;/&gt;&lt;/m:rPr&gt;&lt;w:rPr&gt;&lt;w:rFonts w:ascii=&quot;Cambria Math&quot; w:h-ansi=&quot;Cambria Math&quot;/&gt;&lt;wx:font wx:val=&quot;Cambria Math&quot;/&gt;&lt;w:sz w:val=&quot;20&quot;/&gt;&lt;w:sz-cs w:val=&quot;20&quot;/&gt;&lt;/w:rPr&gt;&lt;m:t&gt;+ &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1&lt;/m:t&gt;&lt;/m:r&gt;&lt;/m:sub&gt;&lt;/m:sSub&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SEP&lt;/m:t&gt;&lt;/m:r&gt;&lt;/m:e&gt;&lt;m:sub&gt;&lt;m:r&gt;&lt;w:rPr&gt;&lt;w:rFonts w:ascii=&quot;Cambria Math&quot; w:h-ansi=&quot;Cambria Math&quot;/&gt;&lt;wx:font wx:val=&quot;Cambria Math&quot;/&gt;&lt;w:i/&gt;&lt;w:sz w:val=&quot;20&quot;/&gt;&lt;w:sz-cs w:val=&quot;20&quot;/&gt;&lt;/w:rPr&gt;&lt;m:t&gt;it&lt;/m:t&gt;&lt;/m:r&gt;&lt;/m:sub&gt;&lt;/m:sSub&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 &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2&lt;/m:t&gt;&lt;/m:r&gt;&lt;/m:sub&gt;&lt;/m:sSub&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SEP2&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  &lt;/m:t&gt;&lt;/m:r&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3&lt;/m:t&gt;&lt;/m:r&gt;&lt;/m:sub&gt;&lt;/m:sSub&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Controls&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º&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ª&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µ&lt;/m:t&gt;&lt;/m:r&gt;&lt;/m:e&gt;&lt;m:sub&gt;&lt;m:r&gt;&lt;w:rPr&gt;&lt;w:rFonts w:ascii=&quot;Cambria Math&quot; w:h-ansi=&quot;Cambria Math&quot;/&gt;&lt;wx:font wx:val=&quot;Cambria Math&quot;/&gt;&lt;w:i/&gt;&lt;w:sz w:val=&quot;20&quot;/&gt;&lt;w:sz-cs w:val=&quot;20&quot;/&gt;&lt;/w:rPr&gt;&lt;m:t&gt;it&lt;/m:t&gt;&lt;/m:r&gt;&lt;/m:sub&gt;&lt;/m:sSub&gt;&lt;/m:e&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055865">
        <w:rPr>
          <w:rFonts w:ascii="Garamond" w:eastAsia="Times New Roman" w:hAnsi="Garamond"/>
          <w:sz w:val="20"/>
          <w:szCs w:val="20"/>
          <w:vertAlign w:val="subscript"/>
        </w:rPr>
        <w:fldChar w:fldCharType="end"/>
      </w:r>
      <w:r w:rsidRPr="00055865">
        <w:rPr>
          <w:rFonts w:ascii="Garamond" w:eastAsia="Times New Roman" w:hAnsi="Garamond"/>
          <w:sz w:val="20"/>
          <w:szCs w:val="20"/>
          <w:vertAlign w:val="subscript"/>
        </w:rPr>
        <w:t xml:space="preserve">Where </w:t>
      </w:r>
      <w:proofErr w:type="spellStart"/>
      <w:r w:rsidRPr="00055865">
        <w:rPr>
          <w:rFonts w:ascii="Garamond" w:eastAsia="Times New Roman" w:hAnsi="Garamond"/>
          <w:sz w:val="20"/>
          <w:szCs w:val="20"/>
          <w:vertAlign w:val="subscript"/>
        </w:rPr>
        <w:t>FPit</w:t>
      </w:r>
      <w:proofErr w:type="spellEnd"/>
      <w:r w:rsidRPr="00055865">
        <w:rPr>
          <w:rFonts w:ascii="Garamond" w:eastAsia="Times New Roman" w:hAnsi="Garamond"/>
          <w:sz w:val="20"/>
          <w:szCs w:val="20"/>
          <w:vertAlign w:val="subscript"/>
        </w:rPr>
        <w:t xml:space="preserve"> is the dependent variable which is measured using returns on assets</w:t>
      </w:r>
      <w:r w:rsidRPr="00055865">
        <w:rPr>
          <w:rFonts w:ascii="Garamond" w:hAnsi="Garamond"/>
          <w:sz w:val="20"/>
          <w:szCs w:val="20"/>
          <w:vertAlign w:val="subscript"/>
        </w:rPr>
        <w:t xml:space="preserve">. The independent variables are Energy, GHG, Waste, Compliance, Materials and Resource Efficiency and Stakeholder.  SEP2 represents the square term of the independent variables Control variables indicated by Controls are firm size (Size), Liquidity, Gearing, Board Size, Number on non-executive directors (NEDs), CEO Remuneration (CEO Rem), Industry Effect and Year Effect. </w:t>
      </w:r>
      <w:r w:rsidRPr="00055865">
        <w:rPr>
          <w:rFonts w:ascii="Garamond" w:hAnsi="Garamond"/>
          <w:sz w:val="20"/>
          <w:szCs w:val="20"/>
        </w:rPr>
        <w:t>β</w:t>
      </w:r>
      <w:r w:rsidRPr="00055865">
        <w:rPr>
          <w:rFonts w:ascii="Garamond" w:hAnsi="Garamond"/>
          <w:sz w:val="20"/>
          <w:szCs w:val="20"/>
          <w:vertAlign w:val="subscript"/>
        </w:rPr>
        <w:t>1 and</w:t>
      </w:r>
      <w:r w:rsidRPr="00055865">
        <w:rPr>
          <w:rFonts w:ascii="Garamond" w:hAnsi="Garamond"/>
          <w:sz w:val="20"/>
          <w:szCs w:val="20"/>
        </w:rPr>
        <w:t xml:space="preserve"> β</w:t>
      </w:r>
      <w:r w:rsidRPr="00055865">
        <w:rPr>
          <w:rFonts w:ascii="Garamond" w:hAnsi="Garamond"/>
          <w:sz w:val="20"/>
          <w:szCs w:val="20"/>
          <w:vertAlign w:val="subscript"/>
        </w:rPr>
        <w:t xml:space="preserve">2 are the regression coefficients. The subscript </w:t>
      </w:r>
      <w:r w:rsidRPr="00055865">
        <w:rPr>
          <w:rFonts w:ascii="Garamond" w:hAnsi="Garamond"/>
          <w:noProof/>
          <w:sz w:val="20"/>
          <w:szCs w:val="20"/>
          <w:vertAlign w:val="subscript"/>
        </w:rPr>
        <w:t>i</w:t>
      </w:r>
      <w:r w:rsidRPr="00055865">
        <w:rPr>
          <w:rFonts w:ascii="Garamond" w:hAnsi="Garamond"/>
          <w:sz w:val="20"/>
          <w:szCs w:val="20"/>
          <w:vertAlign w:val="subscript"/>
        </w:rPr>
        <w:t xml:space="preserve"> denotes the nth company (</w:t>
      </w:r>
      <w:proofErr w:type="spellStart"/>
      <w:r w:rsidRPr="00055865">
        <w:rPr>
          <w:rFonts w:ascii="Garamond" w:hAnsi="Garamond"/>
          <w:sz w:val="20"/>
          <w:szCs w:val="20"/>
          <w:vertAlign w:val="subscript"/>
        </w:rPr>
        <w:t>i</w:t>
      </w:r>
      <w:proofErr w:type="spellEnd"/>
      <w:r w:rsidRPr="00055865">
        <w:rPr>
          <w:rFonts w:ascii="Garamond" w:hAnsi="Garamond"/>
          <w:sz w:val="20"/>
          <w:szCs w:val="20"/>
          <w:vertAlign w:val="subscript"/>
        </w:rPr>
        <w:t xml:space="preserve"> = 1... 201), and the subscript t denotes the year (t=</w:t>
      </w:r>
      <w:proofErr w:type="gramStart"/>
      <w:r w:rsidRPr="00055865">
        <w:rPr>
          <w:rFonts w:ascii="Garamond" w:hAnsi="Garamond"/>
          <w:sz w:val="20"/>
          <w:szCs w:val="20"/>
          <w:vertAlign w:val="subscript"/>
        </w:rPr>
        <w:t>1,..</w:t>
      </w:r>
      <w:proofErr w:type="gramEnd"/>
      <w:r w:rsidRPr="00055865">
        <w:rPr>
          <w:rFonts w:ascii="Garamond" w:hAnsi="Garamond"/>
          <w:sz w:val="20"/>
          <w:szCs w:val="20"/>
          <w:vertAlign w:val="subscript"/>
        </w:rPr>
        <w:t xml:space="preserve">6). </w:t>
      </w:r>
      <w:proofErr w:type="spellStart"/>
      <w:r w:rsidRPr="00055865">
        <w:rPr>
          <w:rFonts w:ascii="Garamond" w:hAnsi="Garamond"/>
          <w:sz w:val="20"/>
          <w:szCs w:val="20"/>
          <w:vertAlign w:val="subscript"/>
        </w:rPr>
        <w:t>μi</w:t>
      </w:r>
      <w:proofErr w:type="spellEnd"/>
      <w:r w:rsidRPr="00055865">
        <w:rPr>
          <w:rFonts w:ascii="Garamond" w:hAnsi="Garamond"/>
          <w:sz w:val="20"/>
          <w:szCs w:val="20"/>
          <w:vertAlign w:val="subscript"/>
        </w:rPr>
        <w:t xml:space="preserve"> is the unobservable heterogeneity (individual effects) which is specific for each firm, </w:t>
      </w:r>
      <w:proofErr w:type="spellStart"/>
      <w:r w:rsidRPr="00055865">
        <w:rPr>
          <w:rFonts w:ascii="Garamond" w:hAnsi="Garamond"/>
          <w:sz w:val="20"/>
          <w:szCs w:val="20"/>
          <w:vertAlign w:val="subscript"/>
        </w:rPr>
        <w:t>λt</w:t>
      </w:r>
      <w:proofErr w:type="spellEnd"/>
      <w:r w:rsidRPr="00055865">
        <w:rPr>
          <w:rFonts w:ascii="Garamond" w:hAnsi="Garamond"/>
          <w:sz w:val="20"/>
          <w:szCs w:val="20"/>
          <w:vertAlign w:val="subscript"/>
        </w:rPr>
        <w:t xml:space="preserve"> is the parameters of time dummy variables, and </w:t>
      </w:r>
      <w:proofErr w:type="spellStart"/>
      <w:r w:rsidRPr="00055865">
        <w:rPr>
          <w:rFonts w:ascii="Garamond" w:hAnsi="Garamond"/>
          <w:sz w:val="20"/>
          <w:szCs w:val="20"/>
          <w:vertAlign w:val="subscript"/>
        </w:rPr>
        <w:t>εit</w:t>
      </w:r>
      <w:proofErr w:type="spellEnd"/>
      <w:r w:rsidRPr="00055865">
        <w:rPr>
          <w:rFonts w:ascii="Garamond" w:hAnsi="Garamond"/>
          <w:sz w:val="20"/>
          <w:szCs w:val="20"/>
          <w:vertAlign w:val="subscript"/>
        </w:rPr>
        <w:t xml:space="preserve"> is the error term</w:t>
      </w:r>
      <w:r w:rsidRPr="00055865">
        <w:rPr>
          <w:rFonts w:ascii="Garamond" w:eastAsia="Times New Roman" w:hAnsi="Garamond"/>
          <w:sz w:val="20"/>
          <w:szCs w:val="20"/>
          <w:vertAlign w:val="subscript"/>
        </w:rPr>
        <w:t xml:space="preserve">. Regressions </w:t>
      </w:r>
      <w:r w:rsidRPr="00055865">
        <w:rPr>
          <w:rFonts w:ascii="Garamond" w:hAnsi="Garamond"/>
          <w:sz w:val="20"/>
          <w:szCs w:val="20"/>
          <w:vertAlign w:val="subscript"/>
        </w:rPr>
        <w:t>are estimated with robust fixed effects</w:t>
      </w:r>
    </w:p>
    <w:tbl>
      <w:tblPr>
        <w:tblW w:w="11595" w:type="dxa"/>
        <w:jc w:val="center"/>
        <w:tblLayout w:type="fixed"/>
        <w:tblCellMar>
          <w:left w:w="75" w:type="dxa"/>
          <w:right w:w="75" w:type="dxa"/>
        </w:tblCellMar>
        <w:tblLook w:val="0000" w:firstRow="0" w:lastRow="0" w:firstColumn="0" w:lastColumn="0" w:noHBand="0" w:noVBand="0"/>
      </w:tblPr>
      <w:tblGrid>
        <w:gridCol w:w="1947"/>
        <w:gridCol w:w="1728"/>
        <w:gridCol w:w="1584"/>
        <w:gridCol w:w="1584"/>
        <w:gridCol w:w="1584"/>
        <w:gridCol w:w="1584"/>
        <w:gridCol w:w="1584"/>
      </w:tblGrid>
      <w:tr w:rsidR="0060274A" w:rsidRPr="00055865" w14:paraId="28D4D698" w14:textId="77777777" w:rsidTr="005B6FD7">
        <w:trPr>
          <w:jc w:val="center"/>
        </w:trPr>
        <w:tc>
          <w:tcPr>
            <w:tcW w:w="1947" w:type="dxa"/>
            <w:tcBorders>
              <w:top w:val="single" w:sz="6" w:space="0" w:color="auto"/>
              <w:left w:val="nil"/>
              <w:bottom w:val="nil"/>
              <w:right w:val="nil"/>
            </w:tcBorders>
          </w:tcPr>
          <w:p w14:paraId="27206368"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6"/>
                <w:szCs w:val="16"/>
                <w:lang w:eastAsia="en-GB"/>
              </w:rPr>
            </w:pPr>
          </w:p>
        </w:tc>
        <w:tc>
          <w:tcPr>
            <w:tcW w:w="1728" w:type="dxa"/>
            <w:tcBorders>
              <w:top w:val="single" w:sz="6" w:space="0" w:color="auto"/>
              <w:left w:val="nil"/>
              <w:bottom w:val="nil"/>
              <w:right w:val="nil"/>
            </w:tcBorders>
          </w:tcPr>
          <w:p w14:paraId="2092442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6"/>
                <w:szCs w:val="16"/>
                <w:lang w:eastAsia="en-GB"/>
              </w:rPr>
            </w:pPr>
            <w:r w:rsidRPr="00055865">
              <w:rPr>
                <w:rFonts w:ascii="Garamond" w:eastAsia="Times New Roman" w:hAnsi="Garamond"/>
                <w:sz w:val="16"/>
                <w:szCs w:val="16"/>
                <w:lang w:eastAsia="en-GB"/>
              </w:rPr>
              <w:t>(1)</w:t>
            </w:r>
          </w:p>
        </w:tc>
        <w:tc>
          <w:tcPr>
            <w:tcW w:w="1584" w:type="dxa"/>
            <w:tcBorders>
              <w:top w:val="single" w:sz="6" w:space="0" w:color="auto"/>
              <w:left w:val="nil"/>
              <w:bottom w:val="nil"/>
              <w:right w:val="nil"/>
            </w:tcBorders>
          </w:tcPr>
          <w:p w14:paraId="264D6EE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6"/>
                <w:szCs w:val="16"/>
                <w:lang w:eastAsia="en-GB"/>
              </w:rPr>
            </w:pPr>
            <w:r w:rsidRPr="00055865">
              <w:rPr>
                <w:rFonts w:ascii="Garamond" w:eastAsia="Times New Roman" w:hAnsi="Garamond"/>
                <w:sz w:val="16"/>
                <w:szCs w:val="16"/>
                <w:lang w:eastAsia="en-GB"/>
              </w:rPr>
              <w:t>(2)</w:t>
            </w:r>
          </w:p>
        </w:tc>
        <w:tc>
          <w:tcPr>
            <w:tcW w:w="1584" w:type="dxa"/>
            <w:tcBorders>
              <w:top w:val="single" w:sz="6" w:space="0" w:color="auto"/>
              <w:left w:val="nil"/>
              <w:bottom w:val="nil"/>
              <w:right w:val="nil"/>
            </w:tcBorders>
          </w:tcPr>
          <w:p w14:paraId="03A53D0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6"/>
                <w:szCs w:val="16"/>
                <w:lang w:eastAsia="en-GB"/>
              </w:rPr>
            </w:pPr>
            <w:r w:rsidRPr="00055865">
              <w:rPr>
                <w:rFonts w:ascii="Garamond" w:eastAsia="Times New Roman" w:hAnsi="Garamond"/>
                <w:sz w:val="16"/>
                <w:szCs w:val="16"/>
                <w:lang w:eastAsia="en-GB"/>
              </w:rPr>
              <w:t>(3)</w:t>
            </w:r>
          </w:p>
        </w:tc>
        <w:tc>
          <w:tcPr>
            <w:tcW w:w="1584" w:type="dxa"/>
            <w:tcBorders>
              <w:top w:val="single" w:sz="6" w:space="0" w:color="auto"/>
              <w:left w:val="nil"/>
              <w:bottom w:val="nil"/>
              <w:right w:val="nil"/>
            </w:tcBorders>
          </w:tcPr>
          <w:p w14:paraId="7522576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6"/>
                <w:szCs w:val="16"/>
                <w:lang w:eastAsia="en-GB"/>
              </w:rPr>
            </w:pPr>
            <w:r w:rsidRPr="00055865">
              <w:rPr>
                <w:rFonts w:ascii="Garamond" w:eastAsia="Times New Roman" w:hAnsi="Garamond"/>
                <w:sz w:val="16"/>
                <w:szCs w:val="16"/>
                <w:lang w:eastAsia="en-GB"/>
              </w:rPr>
              <w:t>(4)</w:t>
            </w:r>
          </w:p>
        </w:tc>
        <w:tc>
          <w:tcPr>
            <w:tcW w:w="1584" w:type="dxa"/>
            <w:tcBorders>
              <w:top w:val="single" w:sz="6" w:space="0" w:color="auto"/>
              <w:left w:val="nil"/>
              <w:bottom w:val="nil"/>
              <w:right w:val="nil"/>
            </w:tcBorders>
          </w:tcPr>
          <w:p w14:paraId="418111C5"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6"/>
                <w:szCs w:val="16"/>
                <w:lang w:eastAsia="en-GB"/>
              </w:rPr>
            </w:pPr>
            <w:r w:rsidRPr="00055865">
              <w:rPr>
                <w:rFonts w:ascii="Garamond" w:eastAsia="Times New Roman" w:hAnsi="Garamond"/>
                <w:sz w:val="16"/>
                <w:szCs w:val="16"/>
                <w:lang w:eastAsia="en-GB"/>
              </w:rPr>
              <w:t>(5)</w:t>
            </w:r>
          </w:p>
        </w:tc>
        <w:tc>
          <w:tcPr>
            <w:tcW w:w="1584" w:type="dxa"/>
            <w:tcBorders>
              <w:top w:val="single" w:sz="6" w:space="0" w:color="auto"/>
              <w:left w:val="nil"/>
              <w:bottom w:val="nil"/>
              <w:right w:val="nil"/>
            </w:tcBorders>
          </w:tcPr>
          <w:p w14:paraId="0F93815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6"/>
                <w:szCs w:val="16"/>
                <w:lang w:eastAsia="en-GB"/>
              </w:rPr>
            </w:pPr>
            <w:r w:rsidRPr="00055865">
              <w:rPr>
                <w:rFonts w:ascii="Garamond" w:eastAsia="Times New Roman" w:hAnsi="Garamond"/>
                <w:sz w:val="16"/>
                <w:szCs w:val="16"/>
                <w:lang w:eastAsia="en-GB"/>
              </w:rPr>
              <w:t>(6)</w:t>
            </w:r>
          </w:p>
        </w:tc>
      </w:tr>
      <w:tr w:rsidR="0060274A" w:rsidRPr="00055865" w14:paraId="27ED6D19" w14:textId="77777777" w:rsidTr="005B6FD7">
        <w:trPr>
          <w:jc w:val="center"/>
        </w:trPr>
        <w:tc>
          <w:tcPr>
            <w:tcW w:w="1947" w:type="dxa"/>
            <w:tcBorders>
              <w:top w:val="nil"/>
              <w:left w:val="nil"/>
              <w:bottom w:val="single" w:sz="6" w:space="0" w:color="auto"/>
              <w:right w:val="nil"/>
            </w:tcBorders>
          </w:tcPr>
          <w:p w14:paraId="08395AB7"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VARIABLES</w:t>
            </w:r>
          </w:p>
        </w:tc>
        <w:tc>
          <w:tcPr>
            <w:tcW w:w="1728" w:type="dxa"/>
            <w:tcBorders>
              <w:top w:val="nil"/>
              <w:left w:val="nil"/>
              <w:bottom w:val="single" w:sz="6" w:space="0" w:color="auto"/>
              <w:right w:val="nil"/>
            </w:tcBorders>
          </w:tcPr>
          <w:p w14:paraId="1B59DBA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ROA</w:t>
            </w:r>
          </w:p>
        </w:tc>
        <w:tc>
          <w:tcPr>
            <w:tcW w:w="1584" w:type="dxa"/>
            <w:tcBorders>
              <w:top w:val="nil"/>
              <w:left w:val="nil"/>
              <w:bottom w:val="single" w:sz="6" w:space="0" w:color="auto"/>
              <w:right w:val="nil"/>
            </w:tcBorders>
          </w:tcPr>
          <w:p w14:paraId="614B44F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ROA</w:t>
            </w:r>
          </w:p>
        </w:tc>
        <w:tc>
          <w:tcPr>
            <w:tcW w:w="1584" w:type="dxa"/>
            <w:tcBorders>
              <w:top w:val="nil"/>
              <w:left w:val="nil"/>
              <w:bottom w:val="single" w:sz="6" w:space="0" w:color="auto"/>
              <w:right w:val="nil"/>
            </w:tcBorders>
          </w:tcPr>
          <w:p w14:paraId="1FA2A32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ROA</w:t>
            </w:r>
          </w:p>
        </w:tc>
        <w:tc>
          <w:tcPr>
            <w:tcW w:w="1584" w:type="dxa"/>
            <w:tcBorders>
              <w:top w:val="nil"/>
              <w:left w:val="nil"/>
              <w:bottom w:val="single" w:sz="6" w:space="0" w:color="auto"/>
              <w:right w:val="nil"/>
            </w:tcBorders>
          </w:tcPr>
          <w:p w14:paraId="3D59278B"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ROA</w:t>
            </w:r>
          </w:p>
        </w:tc>
        <w:tc>
          <w:tcPr>
            <w:tcW w:w="1584" w:type="dxa"/>
            <w:tcBorders>
              <w:top w:val="nil"/>
              <w:left w:val="nil"/>
              <w:bottom w:val="single" w:sz="6" w:space="0" w:color="auto"/>
              <w:right w:val="nil"/>
            </w:tcBorders>
          </w:tcPr>
          <w:p w14:paraId="204ED15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ROA</w:t>
            </w:r>
          </w:p>
        </w:tc>
        <w:tc>
          <w:tcPr>
            <w:tcW w:w="1584" w:type="dxa"/>
            <w:tcBorders>
              <w:top w:val="nil"/>
              <w:left w:val="nil"/>
              <w:bottom w:val="single" w:sz="6" w:space="0" w:color="auto"/>
              <w:right w:val="nil"/>
            </w:tcBorders>
          </w:tcPr>
          <w:p w14:paraId="0AC0F7C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ROA</w:t>
            </w:r>
          </w:p>
        </w:tc>
      </w:tr>
      <w:tr w:rsidR="0060274A" w:rsidRPr="00055865" w14:paraId="1E797DDC" w14:textId="77777777" w:rsidTr="005B6FD7">
        <w:trPr>
          <w:jc w:val="center"/>
        </w:trPr>
        <w:tc>
          <w:tcPr>
            <w:tcW w:w="1947" w:type="dxa"/>
            <w:tcBorders>
              <w:top w:val="nil"/>
              <w:left w:val="nil"/>
              <w:bottom w:val="nil"/>
              <w:right w:val="nil"/>
            </w:tcBorders>
          </w:tcPr>
          <w:p w14:paraId="5A7F2495"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5AAB536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79AC5AA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41DD11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6EC44D6"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119B6E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2289E095"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15795A7A" w14:textId="77777777" w:rsidTr="005B6FD7">
        <w:trPr>
          <w:jc w:val="center"/>
        </w:trPr>
        <w:tc>
          <w:tcPr>
            <w:tcW w:w="1947" w:type="dxa"/>
            <w:tcBorders>
              <w:top w:val="nil"/>
              <w:left w:val="nil"/>
              <w:bottom w:val="nil"/>
              <w:right w:val="nil"/>
            </w:tcBorders>
          </w:tcPr>
          <w:p w14:paraId="35DE3092"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Energy</w:t>
            </w:r>
          </w:p>
        </w:tc>
        <w:tc>
          <w:tcPr>
            <w:tcW w:w="1728" w:type="dxa"/>
            <w:tcBorders>
              <w:top w:val="nil"/>
              <w:left w:val="nil"/>
              <w:bottom w:val="nil"/>
              <w:right w:val="nil"/>
            </w:tcBorders>
          </w:tcPr>
          <w:p w14:paraId="27FA2E1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0.0660***</w:t>
            </w:r>
          </w:p>
        </w:tc>
        <w:tc>
          <w:tcPr>
            <w:tcW w:w="1584" w:type="dxa"/>
            <w:tcBorders>
              <w:top w:val="nil"/>
              <w:left w:val="nil"/>
              <w:bottom w:val="nil"/>
              <w:right w:val="nil"/>
            </w:tcBorders>
          </w:tcPr>
          <w:p w14:paraId="43C765D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539B1DD5"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00D452B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C76044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068E204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1A983E0E" w14:textId="77777777" w:rsidTr="005B6FD7">
        <w:trPr>
          <w:jc w:val="center"/>
        </w:trPr>
        <w:tc>
          <w:tcPr>
            <w:tcW w:w="1947" w:type="dxa"/>
            <w:tcBorders>
              <w:top w:val="nil"/>
              <w:left w:val="nil"/>
              <w:bottom w:val="nil"/>
              <w:right w:val="nil"/>
            </w:tcBorders>
          </w:tcPr>
          <w:p w14:paraId="6B90B882"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2A034A4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(5.85)</w:t>
            </w:r>
          </w:p>
        </w:tc>
        <w:tc>
          <w:tcPr>
            <w:tcW w:w="1584" w:type="dxa"/>
            <w:tcBorders>
              <w:top w:val="nil"/>
              <w:left w:val="nil"/>
              <w:bottom w:val="nil"/>
              <w:right w:val="nil"/>
            </w:tcBorders>
          </w:tcPr>
          <w:p w14:paraId="5B45C47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E8FAD7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08FDFDE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3025AB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5C5DEE9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2465F6E9" w14:textId="77777777" w:rsidTr="005B6FD7">
        <w:trPr>
          <w:jc w:val="center"/>
        </w:trPr>
        <w:tc>
          <w:tcPr>
            <w:tcW w:w="1947" w:type="dxa"/>
            <w:tcBorders>
              <w:top w:val="nil"/>
              <w:left w:val="nil"/>
              <w:bottom w:val="nil"/>
              <w:right w:val="nil"/>
            </w:tcBorders>
          </w:tcPr>
          <w:p w14:paraId="5D914EF7"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Energy</w:t>
            </w:r>
            <w:r w:rsidRPr="00055865">
              <w:rPr>
                <w:rFonts w:ascii="Garamond" w:eastAsia="Times New Roman" w:hAnsi="Garamond"/>
                <w:sz w:val="17"/>
                <w:szCs w:val="17"/>
                <w:vertAlign w:val="superscript"/>
                <w:lang w:eastAsia="en-GB"/>
              </w:rPr>
              <w:t>2</w:t>
            </w:r>
          </w:p>
        </w:tc>
        <w:tc>
          <w:tcPr>
            <w:tcW w:w="1728" w:type="dxa"/>
            <w:tcBorders>
              <w:top w:val="nil"/>
              <w:left w:val="nil"/>
              <w:bottom w:val="nil"/>
              <w:right w:val="nil"/>
            </w:tcBorders>
          </w:tcPr>
          <w:p w14:paraId="2A8F363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-0.0080***</w:t>
            </w:r>
          </w:p>
        </w:tc>
        <w:tc>
          <w:tcPr>
            <w:tcW w:w="1584" w:type="dxa"/>
            <w:tcBorders>
              <w:top w:val="nil"/>
              <w:left w:val="nil"/>
              <w:bottom w:val="nil"/>
              <w:right w:val="nil"/>
            </w:tcBorders>
          </w:tcPr>
          <w:p w14:paraId="531ED52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0E54EA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5808448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503A98C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730510E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62A57CA6" w14:textId="77777777" w:rsidTr="005B6FD7">
        <w:trPr>
          <w:jc w:val="center"/>
        </w:trPr>
        <w:tc>
          <w:tcPr>
            <w:tcW w:w="1947" w:type="dxa"/>
            <w:tcBorders>
              <w:top w:val="nil"/>
              <w:left w:val="nil"/>
              <w:bottom w:val="nil"/>
              <w:right w:val="nil"/>
            </w:tcBorders>
          </w:tcPr>
          <w:p w14:paraId="76BE1AB0"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7612CE2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(-3.18)</w:t>
            </w:r>
          </w:p>
          <w:p w14:paraId="4A7C27C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80DF2C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A268F35"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450CDD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0AF5153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773C62C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41603D5B" w14:textId="77777777" w:rsidTr="005B6FD7">
        <w:trPr>
          <w:jc w:val="center"/>
        </w:trPr>
        <w:tc>
          <w:tcPr>
            <w:tcW w:w="1947" w:type="dxa"/>
            <w:tcBorders>
              <w:top w:val="nil"/>
              <w:left w:val="nil"/>
              <w:bottom w:val="nil"/>
              <w:right w:val="nil"/>
            </w:tcBorders>
          </w:tcPr>
          <w:p w14:paraId="01ABD3EF"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Compliance</w:t>
            </w:r>
          </w:p>
        </w:tc>
        <w:tc>
          <w:tcPr>
            <w:tcW w:w="1728" w:type="dxa"/>
            <w:tcBorders>
              <w:top w:val="nil"/>
              <w:left w:val="nil"/>
              <w:bottom w:val="nil"/>
              <w:right w:val="nil"/>
            </w:tcBorders>
          </w:tcPr>
          <w:p w14:paraId="37EE335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48338CC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-0.0063</w:t>
            </w:r>
          </w:p>
        </w:tc>
        <w:tc>
          <w:tcPr>
            <w:tcW w:w="1584" w:type="dxa"/>
            <w:tcBorders>
              <w:top w:val="nil"/>
              <w:left w:val="nil"/>
              <w:bottom w:val="nil"/>
              <w:right w:val="nil"/>
            </w:tcBorders>
          </w:tcPr>
          <w:p w14:paraId="7CADBEA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0773A1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8FCA4A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F447C45"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19168553" w14:textId="77777777" w:rsidTr="005B6FD7">
        <w:trPr>
          <w:jc w:val="center"/>
        </w:trPr>
        <w:tc>
          <w:tcPr>
            <w:tcW w:w="1947" w:type="dxa"/>
            <w:tcBorders>
              <w:top w:val="nil"/>
              <w:left w:val="nil"/>
              <w:bottom w:val="nil"/>
              <w:right w:val="nil"/>
            </w:tcBorders>
          </w:tcPr>
          <w:p w14:paraId="241EA12E"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461A226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73A58D5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(-0.49)</w:t>
            </w:r>
          </w:p>
        </w:tc>
        <w:tc>
          <w:tcPr>
            <w:tcW w:w="1584" w:type="dxa"/>
            <w:tcBorders>
              <w:top w:val="nil"/>
              <w:left w:val="nil"/>
              <w:bottom w:val="nil"/>
              <w:right w:val="nil"/>
            </w:tcBorders>
          </w:tcPr>
          <w:p w14:paraId="312C6C5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044494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26BCDBB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6453BD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531D8F53" w14:textId="77777777" w:rsidTr="005B6FD7">
        <w:trPr>
          <w:jc w:val="center"/>
        </w:trPr>
        <w:tc>
          <w:tcPr>
            <w:tcW w:w="1947" w:type="dxa"/>
            <w:tcBorders>
              <w:top w:val="nil"/>
              <w:left w:val="nil"/>
              <w:bottom w:val="nil"/>
              <w:right w:val="nil"/>
            </w:tcBorders>
          </w:tcPr>
          <w:p w14:paraId="1005742F"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Compliance</w:t>
            </w:r>
            <w:r w:rsidRPr="00055865">
              <w:rPr>
                <w:rFonts w:ascii="Garamond" w:eastAsia="Times New Roman" w:hAnsi="Garamond"/>
                <w:sz w:val="17"/>
                <w:szCs w:val="17"/>
                <w:vertAlign w:val="superscript"/>
                <w:lang w:eastAsia="en-GB"/>
              </w:rPr>
              <w:t>2</w:t>
            </w:r>
          </w:p>
        </w:tc>
        <w:tc>
          <w:tcPr>
            <w:tcW w:w="1728" w:type="dxa"/>
            <w:tcBorders>
              <w:top w:val="nil"/>
              <w:left w:val="nil"/>
              <w:bottom w:val="nil"/>
              <w:right w:val="nil"/>
            </w:tcBorders>
          </w:tcPr>
          <w:p w14:paraId="3C46D6F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04B080F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0.0053**</w:t>
            </w:r>
          </w:p>
          <w:p w14:paraId="024F698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(2.45)</w:t>
            </w:r>
          </w:p>
        </w:tc>
        <w:tc>
          <w:tcPr>
            <w:tcW w:w="1584" w:type="dxa"/>
            <w:tcBorders>
              <w:top w:val="nil"/>
              <w:left w:val="nil"/>
              <w:bottom w:val="nil"/>
              <w:right w:val="nil"/>
            </w:tcBorders>
          </w:tcPr>
          <w:p w14:paraId="3B9040E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2817989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2C46D20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3F4D85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4A5FBDC4" w14:textId="77777777" w:rsidTr="005B6FD7">
        <w:trPr>
          <w:jc w:val="center"/>
        </w:trPr>
        <w:tc>
          <w:tcPr>
            <w:tcW w:w="1947" w:type="dxa"/>
            <w:tcBorders>
              <w:top w:val="nil"/>
              <w:left w:val="nil"/>
              <w:bottom w:val="nil"/>
              <w:right w:val="nil"/>
            </w:tcBorders>
          </w:tcPr>
          <w:p w14:paraId="301042B0"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Waste</w:t>
            </w:r>
          </w:p>
        </w:tc>
        <w:tc>
          <w:tcPr>
            <w:tcW w:w="1728" w:type="dxa"/>
            <w:tcBorders>
              <w:top w:val="nil"/>
              <w:left w:val="nil"/>
              <w:bottom w:val="nil"/>
              <w:right w:val="nil"/>
            </w:tcBorders>
          </w:tcPr>
          <w:p w14:paraId="7ADB241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440565F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E26AC0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 xml:space="preserve"> 0.0495***</w:t>
            </w:r>
          </w:p>
        </w:tc>
        <w:tc>
          <w:tcPr>
            <w:tcW w:w="1584" w:type="dxa"/>
            <w:tcBorders>
              <w:top w:val="nil"/>
              <w:left w:val="nil"/>
              <w:bottom w:val="nil"/>
              <w:right w:val="nil"/>
            </w:tcBorders>
          </w:tcPr>
          <w:p w14:paraId="4CA31BFB"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28753AE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462B8F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7A182042" w14:textId="77777777" w:rsidTr="005B6FD7">
        <w:trPr>
          <w:jc w:val="center"/>
        </w:trPr>
        <w:tc>
          <w:tcPr>
            <w:tcW w:w="1947" w:type="dxa"/>
            <w:tcBorders>
              <w:top w:val="nil"/>
              <w:left w:val="nil"/>
              <w:bottom w:val="nil"/>
              <w:right w:val="nil"/>
            </w:tcBorders>
          </w:tcPr>
          <w:p w14:paraId="55FFEBB5"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560260F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44F826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94AA7F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(4.56)</w:t>
            </w:r>
          </w:p>
        </w:tc>
        <w:tc>
          <w:tcPr>
            <w:tcW w:w="1584" w:type="dxa"/>
            <w:tcBorders>
              <w:top w:val="nil"/>
              <w:left w:val="nil"/>
              <w:bottom w:val="nil"/>
              <w:right w:val="nil"/>
            </w:tcBorders>
          </w:tcPr>
          <w:p w14:paraId="701ACD4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4F42041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2A4DF5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45952ECC" w14:textId="77777777" w:rsidTr="005B6FD7">
        <w:trPr>
          <w:jc w:val="center"/>
        </w:trPr>
        <w:tc>
          <w:tcPr>
            <w:tcW w:w="1947" w:type="dxa"/>
            <w:tcBorders>
              <w:top w:val="nil"/>
              <w:left w:val="nil"/>
              <w:bottom w:val="nil"/>
              <w:right w:val="nil"/>
            </w:tcBorders>
          </w:tcPr>
          <w:p w14:paraId="0A9A6B28"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Waste</w:t>
            </w:r>
            <w:r w:rsidRPr="00055865">
              <w:rPr>
                <w:rFonts w:ascii="Garamond" w:eastAsia="Times New Roman" w:hAnsi="Garamond"/>
                <w:sz w:val="17"/>
                <w:szCs w:val="17"/>
                <w:vertAlign w:val="superscript"/>
                <w:lang w:eastAsia="en-GB"/>
              </w:rPr>
              <w:t>2</w:t>
            </w:r>
          </w:p>
        </w:tc>
        <w:tc>
          <w:tcPr>
            <w:tcW w:w="1728" w:type="dxa"/>
            <w:tcBorders>
              <w:top w:val="nil"/>
              <w:left w:val="nil"/>
              <w:bottom w:val="nil"/>
              <w:right w:val="nil"/>
            </w:tcBorders>
          </w:tcPr>
          <w:p w14:paraId="610D95A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133036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7D1586A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-0.0032</w:t>
            </w:r>
          </w:p>
        </w:tc>
        <w:tc>
          <w:tcPr>
            <w:tcW w:w="1584" w:type="dxa"/>
            <w:tcBorders>
              <w:top w:val="nil"/>
              <w:left w:val="nil"/>
              <w:bottom w:val="nil"/>
              <w:right w:val="nil"/>
            </w:tcBorders>
          </w:tcPr>
          <w:p w14:paraId="3DDC0D36"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DF3A85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478E9FC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0AD252D7" w14:textId="77777777" w:rsidTr="005B6FD7">
        <w:trPr>
          <w:jc w:val="center"/>
        </w:trPr>
        <w:tc>
          <w:tcPr>
            <w:tcW w:w="1947" w:type="dxa"/>
            <w:tcBorders>
              <w:top w:val="nil"/>
              <w:left w:val="nil"/>
              <w:bottom w:val="nil"/>
              <w:right w:val="nil"/>
            </w:tcBorders>
          </w:tcPr>
          <w:p w14:paraId="07313236"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p w14:paraId="055FFCE4"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GHG</w:t>
            </w:r>
          </w:p>
        </w:tc>
        <w:tc>
          <w:tcPr>
            <w:tcW w:w="1728" w:type="dxa"/>
            <w:tcBorders>
              <w:top w:val="nil"/>
              <w:left w:val="nil"/>
              <w:bottom w:val="nil"/>
              <w:right w:val="nil"/>
            </w:tcBorders>
          </w:tcPr>
          <w:p w14:paraId="4E755DF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07A1B95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2505A2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(-1.18)</w:t>
            </w:r>
          </w:p>
        </w:tc>
        <w:tc>
          <w:tcPr>
            <w:tcW w:w="1584" w:type="dxa"/>
            <w:tcBorders>
              <w:top w:val="nil"/>
              <w:left w:val="nil"/>
              <w:bottom w:val="nil"/>
              <w:right w:val="nil"/>
            </w:tcBorders>
          </w:tcPr>
          <w:p w14:paraId="3F9F8DAB"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p w14:paraId="670AAA7E"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 xml:space="preserve">     0.1000***</w:t>
            </w:r>
          </w:p>
          <w:p w14:paraId="1F3B87A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(10.34)</w:t>
            </w:r>
          </w:p>
        </w:tc>
        <w:tc>
          <w:tcPr>
            <w:tcW w:w="1584" w:type="dxa"/>
            <w:tcBorders>
              <w:top w:val="nil"/>
              <w:left w:val="nil"/>
              <w:bottom w:val="nil"/>
              <w:right w:val="nil"/>
            </w:tcBorders>
          </w:tcPr>
          <w:p w14:paraId="49CFF06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4945837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3A235ADB" w14:textId="77777777" w:rsidTr="005B6FD7">
        <w:trPr>
          <w:jc w:val="center"/>
        </w:trPr>
        <w:tc>
          <w:tcPr>
            <w:tcW w:w="1947" w:type="dxa"/>
            <w:tcBorders>
              <w:top w:val="nil"/>
              <w:left w:val="nil"/>
              <w:bottom w:val="nil"/>
              <w:right w:val="nil"/>
            </w:tcBorders>
          </w:tcPr>
          <w:p w14:paraId="41C0C252"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GHG</w:t>
            </w:r>
            <w:r w:rsidRPr="00055865">
              <w:rPr>
                <w:rFonts w:ascii="Garamond" w:eastAsia="Times New Roman" w:hAnsi="Garamond"/>
                <w:sz w:val="17"/>
                <w:szCs w:val="17"/>
                <w:vertAlign w:val="superscript"/>
                <w:lang w:eastAsia="en-GB"/>
              </w:rPr>
              <w:t>2</w:t>
            </w:r>
          </w:p>
        </w:tc>
        <w:tc>
          <w:tcPr>
            <w:tcW w:w="1728" w:type="dxa"/>
            <w:tcBorders>
              <w:top w:val="nil"/>
              <w:left w:val="nil"/>
              <w:bottom w:val="nil"/>
              <w:right w:val="nil"/>
            </w:tcBorders>
          </w:tcPr>
          <w:p w14:paraId="1AEB90D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5A1F7146"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034971F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3A6851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-0.0149***</w:t>
            </w:r>
          </w:p>
        </w:tc>
        <w:tc>
          <w:tcPr>
            <w:tcW w:w="1584" w:type="dxa"/>
            <w:tcBorders>
              <w:top w:val="nil"/>
              <w:left w:val="nil"/>
              <w:bottom w:val="nil"/>
              <w:right w:val="nil"/>
            </w:tcBorders>
          </w:tcPr>
          <w:p w14:paraId="164BEA0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795E850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02800958" w14:textId="77777777" w:rsidTr="005B6FD7">
        <w:trPr>
          <w:jc w:val="center"/>
        </w:trPr>
        <w:tc>
          <w:tcPr>
            <w:tcW w:w="1947" w:type="dxa"/>
            <w:tcBorders>
              <w:top w:val="nil"/>
              <w:left w:val="nil"/>
              <w:bottom w:val="nil"/>
              <w:right w:val="nil"/>
            </w:tcBorders>
          </w:tcPr>
          <w:p w14:paraId="79614544"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23AB4D5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7DC3FF2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320DD4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7ED6B44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(-6.95)</w:t>
            </w:r>
          </w:p>
        </w:tc>
        <w:tc>
          <w:tcPr>
            <w:tcW w:w="1584" w:type="dxa"/>
            <w:tcBorders>
              <w:top w:val="nil"/>
              <w:left w:val="nil"/>
              <w:bottom w:val="nil"/>
              <w:right w:val="nil"/>
            </w:tcBorders>
          </w:tcPr>
          <w:p w14:paraId="0DCFEC4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p w14:paraId="7CA92966"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00A62FA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724E646C" w14:textId="77777777" w:rsidTr="005B6FD7">
        <w:trPr>
          <w:jc w:val="center"/>
        </w:trPr>
        <w:tc>
          <w:tcPr>
            <w:tcW w:w="1947" w:type="dxa"/>
            <w:tcBorders>
              <w:top w:val="nil"/>
              <w:left w:val="nil"/>
              <w:bottom w:val="nil"/>
              <w:right w:val="nil"/>
            </w:tcBorders>
          </w:tcPr>
          <w:p w14:paraId="04F3345D"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Materials</w:t>
            </w:r>
          </w:p>
        </w:tc>
        <w:tc>
          <w:tcPr>
            <w:tcW w:w="1728" w:type="dxa"/>
            <w:tcBorders>
              <w:top w:val="nil"/>
              <w:left w:val="nil"/>
              <w:bottom w:val="nil"/>
              <w:right w:val="nil"/>
            </w:tcBorders>
          </w:tcPr>
          <w:p w14:paraId="012C860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241E622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CA847F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EDDE8D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423B0BC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0.0531***</w:t>
            </w:r>
          </w:p>
        </w:tc>
        <w:tc>
          <w:tcPr>
            <w:tcW w:w="1584" w:type="dxa"/>
            <w:tcBorders>
              <w:top w:val="nil"/>
              <w:left w:val="nil"/>
              <w:bottom w:val="nil"/>
              <w:right w:val="nil"/>
            </w:tcBorders>
          </w:tcPr>
          <w:p w14:paraId="6E3E97B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3FCF0AAB" w14:textId="77777777" w:rsidTr="005B6FD7">
        <w:trPr>
          <w:jc w:val="center"/>
        </w:trPr>
        <w:tc>
          <w:tcPr>
            <w:tcW w:w="1947" w:type="dxa"/>
            <w:tcBorders>
              <w:top w:val="nil"/>
              <w:left w:val="nil"/>
              <w:bottom w:val="nil"/>
              <w:right w:val="nil"/>
            </w:tcBorders>
          </w:tcPr>
          <w:p w14:paraId="446F7EA4"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045A39B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464D6A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7B8CA9B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5E5725B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504F010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(5.23)</w:t>
            </w:r>
          </w:p>
        </w:tc>
        <w:tc>
          <w:tcPr>
            <w:tcW w:w="1584" w:type="dxa"/>
            <w:tcBorders>
              <w:top w:val="nil"/>
              <w:left w:val="nil"/>
              <w:bottom w:val="nil"/>
              <w:right w:val="nil"/>
            </w:tcBorders>
          </w:tcPr>
          <w:p w14:paraId="01E81735"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42E59EAC" w14:textId="77777777" w:rsidTr="005B6FD7">
        <w:trPr>
          <w:jc w:val="center"/>
        </w:trPr>
        <w:tc>
          <w:tcPr>
            <w:tcW w:w="1947" w:type="dxa"/>
            <w:tcBorders>
              <w:top w:val="nil"/>
              <w:left w:val="nil"/>
              <w:bottom w:val="nil"/>
              <w:right w:val="nil"/>
            </w:tcBorders>
          </w:tcPr>
          <w:p w14:paraId="04D927BB"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Materials</w:t>
            </w:r>
            <w:r w:rsidRPr="00055865">
              <w:rPr>
                <w:rFonts w:ascii="Garamond" w:eastAsia="Times New Roman" w:hAnsi="Garamond"/>
                <w:sz w:val="17"/>
                <w:szCs w:val="17"/>
                <w:vertAlign w:val="superscript"/>
                <w:lang w:eastAsia="en-GB"/>
              </w:rPr>
              <w:t>2</w:t>
            </w:r>
          </w:p>
        </w:tc>
        <w:tc>
          <w:tcPr>
            <w:tcW w:w="1728" w:type="dxa"/>
            <w:tcBorders>
              <w:top w:val="nil"/>
              <w:left w:val="nil"/>
              <w:bottom w:val="nil"/>
              <w:right w:val="nil"/>
            </w:tcBorders>
          </w:tcPr>
          <w:p w14:paraId="19D5E0B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D1B882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44323A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7EBC5FB6"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BB0CE5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-0.0054**</w:t>
            </w:r>
          </w:p>
        </w:tc>
        <w:tc>
          <w:tcPr>
            <w:tcW w:w="1584" w:type="dxa"/>
            <w:tcBorders>
              <w:top w:val="nil"/>
              <w:left w:val="nil"/>
              <w:bottom w:val="nil"/>
              <w:right w:val="nil"/>
            </w:tcBorders>
          </w:tcPr>
          <w:p w14:paraId="68E8B7F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3EAF383D" w14:textId="77777777" w:rsidTr="005B6FD7">
        <w:trPr>
          <w:jc w:val="center"/>
        </w:trPr>
        <w:tc>
          <w:tcPr>
            <w:tcW w:w="1947" w:type="dxa"/>
            <w:tcBorders>
              <w:top w:val="nil"/>
              <w:left w:val="nil"/>
              <w:bottom w:val="nil"/>
              <w:right w:val="nil"/>
            </w:tcBorders>
          </w:tcPr>
          <w:p w14:paraId="7E050B91"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2299A6C6"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7B9FBF6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A7E216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3D4C17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40DCF0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(-2.33)</w:t>
            </w:r>
          </w:p>
        </w:tc>
        <w:tc>
          <w:tcPr>
            <w:tcW w:w="1584" w:type="dxa"/>
            <w:tcBorders>
              <w:top w:val="nil"/>
              <w:left w:val="nil"/>
              <w:bottom w:val="nil"/>
              <w:right w:val="nil"/>
            </w:tcBorders>
          </w:tcPr>
          <w:p w14:paraId="00CC74F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r w:rsidR="0060274A" w:rsidRPr="00055865" w14:paraId="6E27CE1C" w14:textId="77777777" w:rsidTr="005B6FD7">
        <w:trPr>
          <w:jc w:val="center"/>
        </w:trPr>
        <w:tc>
          <w:tcPr>
            <w:tcW w:w="1947" w:type="dxa"/>
            <w:tcBorders>
              <w:top w:val="nil"/>
              <w:left w:val="nil"/>
              <w:bottom w:val="nil"/>
              <w:right w:val="nil"/>
            </w:tcBorders>
          </w:tcPr>
          <w:p w14:paraId="630D4B35"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Stake</w:t>
            </w:r>
          </w:p>
        </w:tc>
        <w:tc>
          <w:tcPr>
            <w:tcW w:w="1728" w:type="dxa"/>
            <w:tcBorders>
              <w:top w:val="nil"/>
              <w:left w:val="nil"/>
              <w:bottom w:val="nil"/>
              <w:right w:val="nil"/>
            </w:tcBorders>
          </w:tcPr>
          <w:p w14:paraId="100B2DC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7E74ED6"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FC815A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59F44E96"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0C77A7F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657254B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0.0591***</w:t>
            </w:r>
          </w:p>
        </w:tc>
      </w:tr>
      <w:tr w:rsidR="0060274A" w:rsidRPr="00055865" w14:paraId="0F73B682" w14:textId="77777777" w:rsidTr="005B6FD7">
        <w:trPr>
          <w:jc w:val="center"/>
        </w:trPr>
        <w:tc>
          <w:tcPr>
            <w:tcW w:w="1947" w:type="dxa"/>
            <w:tcBorders>
              <w:top w:val="nil"/>
              <w:left w:val="nil"/>
              <w:bottom w:val="nil"/>
              <w:right w:val="nil"/>
            </w:tcBorders>
          </w:tcPr>
          <w:p w14:paraId="081AF0C7"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0C93A54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738B4B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7578B59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2DBC3D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3F4E25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549C68F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(4.96)</w:t>
            </w:r>
          </w:p>
        </w:tc>
      </w:tr>
      <w:tr w:rsidR="0060274A" w:rsidRPr="00055865" w14:paraId="793DF38D" w14:textId="77777777" w:rsidTr="005B6FD7">
        <w:trPr>
          <w:jc w:val="center"/>
        </w:trPr>
        <w:tc>
          <w:tcPr>
            <w:tcW w:w="1947" w:type="dxa"/>
            <w:tcBorders>
              <w:top w:val="nil"/>
              <w:left w:val="nil"/>
              <w:bottom w:val="nil"/>
              <w:right w:val="nil"/>
            </w:tcBorders>
          </w:tcPr>
          <w:p w14:paraId="652D467B"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Stake</w:t>
            </w:r>
            <w:r w:rsidRPr="00055865">
              <w:rPr>
                <w:rFonts w:ascii="Garamond" w:eastAsia="Times New Roman" w:hAnsi="Garamond"/>
                <w:sz w:val="17"/>
                <w:szCs w:val="17"/>
                <w:vertAlign w:val="superscript"/>
                <w:lang w:eastAsia="en-GB"/>
              </w:rPr>
              <w:t>2</w:t>
            </w:r>
          </w:p>
        </w:tc>
        <w:tc>
          <w:tcPr>
            <w:tcW w:w="1728" w:type="dxa"/>
            <w:tcBorders>
              <w:top w:val="nil"/>
              <w:left w:val="nil"/>
              <w:bottom w:val="nil"/>
              <w:right w:val="nil"/>
            </w:tcBorders>
          </w:tcPr>
          <w:p w14:paraId="14F5D1C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57E554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4A9A5A4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1E86860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29D0766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c>
          <w:tcPr>
            <w:tcW w:w="1584" w:type="dxa"/>
            <w:tcBorders>
              <w:top w:val="nil"/>
              <w:left w:val="nil"/>
              <w:bottom w:val="nil"/>
              <w:right w:val="nil"/>
            </w:tcBorders>
          </w:tcPr>
          <w:p w14:paraId="3D5B790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-0.0051</w:t>
            </w:r>
          </w:p>
        </w:tc>
      </w:tr>
      <w:tr w:rsidR="0060274A" w:rsidRPr="00055865" w14:paraId="6BA0BC97" w14:textId="77777777" w:rsidTr="005B6FD7">
        <w:trPr>
          <w:jc w:val="center"/>
        </w:trPr>
        <w:tc>
          <w:tcPr>
            <w:tcW w:w="1947" w:type="dxa"/>
            <w:tcBorders>
              <w:top w:val="nil"/>
              <w:left w:val="nil"/>
              <w:bottom w:val="nil"/>
              <w:right w:val="nil"/>
            </w:tcBorders>
          </w:tcPr>
          <w:p w14:paraId="58B56068"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p w14:paraId="41405D1C"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Size</w:t>
            </w:r>
          </w:p>
        </w:tc>
        <w:tc>
          <w:tcPr>
            <w:tcW w:w="1728" w:type="dxa"/>
            <w:tcBorders>
              <w:top w:val="nil"/>
              <w:left w:val="nil"/>
              <w:bottom w:val="nil"/>
              <w:right w:val="nil"/>
            </w:tcBorders>
          </w:tcPr>
          <w:p w14:paraId="5D40C12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p w14:paraId="183EE80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 xml:space="preserve">0.0161***           </w:t>
            </w:r>
          </w:p>
          <w:p w14:paraId="40586634"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 xml:space="preserve">            (3.87)</w:t>
            </w:r>
          </w:p>
        </w:tc>
        <w:tc>
          <w:tcPr>
            <w:tcW w:w="1584" w:type="dxa"/>
            <w:tcBorders>
              <w:top w:val="nil"/>
              <w:left w:val="nil"/>
              <w:bottom w:val="nil"/>
              <w:right w:val="nil"/>
            </w:tcBorders>
          </w:tcPr>
          <w:p w14:paraId="1A55B6E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p w14:paraId="65577A5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0.0110**</w:t>
            </w:r>
          </w:p>
          <w:p w14:paraId="67FE1A9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(2.54)</w:t>
            </w:r>
          </w:p>
        </w:tc>
        <w:tc>
          <w:tcPr>
            <w:tcW w:w="1584" w:type="dxa"/>
            <w:tcBorders>
              <w:top w:val="nil"/>
              <w:left w:val="nil"/>
              <w:bottom w:val="nil"/>
              <w:right w:val="nil"/>
            </w:tcBorders>
          </w:tcPr>
          <w:p w14:paraId="1A4E5C9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p w14:paraId="4B43930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0.0137***</w:t>
            </w:r>
          </w:p>
          <w:p w14:paraId="7A6C62E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(3.26)</w:t>
            </w:r>
          </w:p>
        </w:tc>
        <w:tc>
          <w:tcPr>
            <w:tcW w:w="1584" w:type="dxa"/>
            <w:tcBorders>
              <w:top w:val="nil"/>
              <w:left w:val="nil"/>
              <w:bottom w:val="nil"/>
              <w:right w:val="nil"/>
            </w:tcBorders>
          </w:tcPr>
          <w:p w14:paraId="2B1A752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p w14:paraId="310D5F8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0.0091**</w:t>
            </w:r>
          </w:p>
          <w:p w14:paraId="6916189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(2.25)</w:t>
            </w:r>
          </w:p>
        </w:tc>
        <w:tc>
          <w:tcPr>
            <w:tcW w:w="1584" w:type="dxa"/>
            <w:tcBorders>
              <w:top w:val="nil"/>
              <w:left w:val="nil"/>
              <w:bottom w:val="nil"/>
              <w:right w:val="nil"/>
            </w:tcBorders>
          </w:tcPr>
          <w:p w14:paraId="0FB9C68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p w14:paraId="6500E315"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0.0130***</w:t>
            </w:r>
          </w:p>
          <w:p w14:paraId="6E147A8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(3.12)</w:t>
            </w:r>
          </w:p>
        </w:tc>
        <w:tc>
          <w:tcPr>
            <w:tcW w:w="1584" w:type="dxa"/>
            <w:tcBorders>
              <w:top w:val="nil"/>
              <w:left w:val="nil"/>
              <w:bottom w:val="nil"/>
              <w:right w:val="nil"/>
            </w:tcBorders>
          </w:tcPr>
          <w:p w14:paraId="22ACE44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(-1.41)</w:t>
            </w:r>
          </w:p>
          <w:p w14:paraId="5DBE7F3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0.0147***</w:t>
            </w:r>
          </w:p>
          <w:p w14:paraId="702236E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(3.48)</w:t>
            </w:r>
          </w:p>
        </w:tc>
      </w:tr>
      <w:tr w:rsidR="0060274A" w:rsidRPr="00055865" w14:paraId="1D775D19" w14:textId="77777777" w:rsidTr="005B6FD7">
        <w:trPr>
          <w:jc w:val="center"/>
        </w:trPr>
        <w:tc>
          <w:tcPr>
            <w:tcW w:w="1947" w:type="dxa"/>
            <w:tcBorders>
              <w:top w:val="nil"/>
              <w:left w:val="nil"/>
              <w:bottom w:val="nil"/>
              <w:right w:val="nil"/>
            </w:tcBorders>
          </w:tcPr>
          <w:p w14:paraId="106FDF20"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Liquidity</w:t>
            </w:r>
          </w:p>
        </w:tc>
        <w:tc>
          <w:tcPr>
            <w:tcW w:w="1728" w:type="dxa"/>
            <w:tcBorders>
              <w:top w:val="nil"/>
              <w:left w:val="nil"/>
              <w:bottom w:val="nil"/>
              <w:right w:val="nil"/>
            </w:tcBorders>
          </w:tcPr>
          <w:p w14:paraId="2ECF824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-0.0005</w:t>
            </w:r>
          </w:p>
        </w:tc>
        <w:tc>
          <w:tcPr>
            <w:tcW w:w="1584" w:type="dxa"/>
            <w:tcBorders>
              <w:top w:val="nil"/>
              <w:left w:val="nil"/>
              <w:bottom w:val="nil"/>
              <w:right w:val="nil"/>
            </w:tcBorders>
          </w:tcPr>
          <w:p w14:paraId="69C4B0DB"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-0.0011</w:t>
            </w:r>
          </w:p>
        </w:tc>
        <w:tc>
          <w:tcPr>
            <w:tcW w:w="1584" w:type="dxa"/>
            <w:tcBorders>
              <w:top w:val="nil"/>
              <w:left w:val="nil"/>
              <w:bottom w:val="nil"/>
              <w:right w:val="nil"/>
            </w:tcBorders>
          </w:tcPr>
          <w:p w14:paraId="39C1B91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-0.0008</w:t>
            </w:r>
          </w:p>
        </w:tc>
        <w:tc>
          <w:tcPr>
            <w:tcW w:w="1584" w:type="dxa"/>
            <w:tcBorders>
              <w:top w:val="nil"/>
              <w:left w:val="nil"/>
              <w:bottom w:val="nil"/>
              <w:right w:val="nil"/>
            </w:tcBorders>
          </w:tcPr>
          <w:p w14:paraId="57E5B68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-0.0010</w:t>
            </w:r>
          </w:p>
        </w:tc>
        <w:tc>
          <w:tcPr>
            <w:tcW w:w="1584" w:type="dxa"/>
            <w:tcBorders>
              <w:top w:val="nil"/>
              <w:left w:val="nil"/>
              <w:bottom w:val="nil"/>
              <w:right w:val="nil"/>
            </w:tcBorders>
          </w:tcPr>
          <w:p w14:paraId="2297AAA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-0.0010</w:t>
            </w:r>
          </w:p>
        </w:tc>
        <w:tc>
          <w:tcPr>
            <w:tcW w:w="1584" w:type="dxa"/>
            <w:tcBorders>
              <w:top w:val="nil"/>
              <w:left w:val="nil"/>
              <w:bottom w:val="nil"/>
              <w:right w:val="nil"/>
            </w:tcBorders>
          </w:tcPr>
          <w:p w14:paraId="2F7B04E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-0.0014</w:t>
            </w:r>
          </w:p>
        </w:tc>
      </w:tr>
      <w:tr w:rsidR="0060274A" w:rsidRPr="00055865" w14:paraId="6A32EA91" w14:textId="77777777" w:rsidTr="005B6FD7">
        <w:trPr>
          <w:jc w:val="center"/>
        </w:trPr>
        <w:tc>
          <w:tcPr>
            <w:tcW w:w="1947" w:type="dxa"/>
            <w:tcBorders>
              <w:top w:val="nil"/>
              <w:left w:val="nil"/>
              <w:bottom w:val="nil"/>
              <w:right w:val="nil"/>
            </w:tcBorders>
          </w:tcPr>
          <w:p w14:paraId="073B3963"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0615526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(-0.55)</w:t>
            </w:r>
          </w:p>
        </w:tc>
        <w:tc>
          <w:tcPr>
            <w:tcW w:w="1584" w:type="dxa"/>
            <w:tcBorders>
              <w:top w:val="nil"/>
              <w:left w:val="nil"/>
              <w:bottom w:val="nil"/>
              <w:right w:val="nil"/>
            </w:tcBorders>
          </w:tcPr>
          <w:p w14:paraId="7B05E45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(-1.30)</w:t>
            </w:r>
          </w:p>
        </w:tc>
        <w:tc>
          <w:tcPr>
            <w:tcW w:w="1584" w:type="dxa"/>
            <w:tcBorders>
              <w:top w:val="nil"/>
              <w:left w:val="nil"/>
              <w:bottom w:val="nil"/>
              <w:right w:val="nil"/>
            </w:tcBorders>
          </w:tcPr>
          <w:p w14:paraId="2C15078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(-0.92)</w:t>
            </w:r>
          </w:p>
        </w:tc>
        <w:tc>
          <w:tcPr>
            <w:tcW w:w="1584" w:type="dxa"/>
            <w:tcBorders>
              <w:top w:val="nil"/>
              <w:left w:val="nil"/>
              <w:bottom w:val="nil"/>
              <w:right w:val="nil"/>
            </w:tcBorders>
          </w:tcPr>
          <w:p w14:paraId="3DCE11D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(-1.26)</w:t>
            </w:r>
          </w:p>
        </w:tc>
        <w:tc>
          <w:tcPr>
            <w:tcW w:w="1584" w:type="dxa"/>
            <w:tcBorders>
              <w:top w:val="nil"/>
              <w:left w:val="nil"/>
              <w:bottom w:val="nil"/>
              <w:right w:val="nil"/>
            </w:tcBorders>
          </w:tcPr>
          <w:p w14:paraId="258E67F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(-1.08)</w:t>
            </w:r>
          </w:p>
        </w:tc>
        <w:tc>
          <w:tcPr>
            <w:tcW w:w="1584" w:type="dxa"/>
            <w:tcBorders>
              <w:top w:val="nil"/>
              <w:left w:val="nil"/>
              <w:bottom w:val="nil"/>
              <w:right w:val="nil"/>
            </w:tcBorders>
          </w:tcPr>
          <w:p w14:paraId="6337AE9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(-1.59)</w:t>
            </w:r>
          </w:p>
        </w:tc>
      </w:tr>
      <w:tr w:rsidR="0060274A" w:rsidRPr="00055865" w14:paraId="485F5379" w14:textId="77777777" w:rsidTr="005B6FD7">
        <w:trPr>
          <w:jc w:val="center"/>
        </w:trPr>
        <w:tc>
          <w:tcPr>
            <w:tcW w:w="1947" w:type="dxa"/>
            <w:tcBorders>
              <w:top w:val="nil"/>
              <w:left w:val="nil"/>
              <w:bottom w:val="nil"/>
              <w:right w:val="nil"/>
            </w:tcBorders>
          </w:tcPr>
          <w:p w14:paraId="3E5DB097"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Gearing1</w:t>
            </w:r>
          </w:p>
        </w:tc>
        <w:tc>
          <w:tcPr>
            <w:tcW w:w="1728" w:type="dxa"/>
            <w:tcBorders>
              <w:top w:val="nil"/>
              <w:left w:val="nil"/>
              <w:bottom w:val="nil"/>
              <w:right w:val="nil"/>
            </w:tcBorders>
          </w:tcPr>
          <w:p w14:paraId="2B4C6A9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-0.0148***</w:t>
            </w:r>
          </w:p>
        </w:tc>
        <w:tc>
          <w:tcPr>
            <w:tcW w:w="1584" w:type="dxa"/>
            <w:tcBorders>
              <w:top w:val="nil"/>
              <w:left w:val="nil"/>
              <w:bottom w:val="nil"/>
              <w:right w:val="nil"/>
            </w:tcBorders>
          </w:tcPr>
          <w:p w14:paraId="2DA3207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-0.0154***</w:t>
            </w:r>
          </w:p>
        </w:tc>
        <w:tc>
          <w:tcPr>
            <w:tcW w:w="1584" w:type="dxa"/>
            <w:tcBorders>
              <w:top w:val="nil"/>
              <w:left w:val="nil"/>
              <w:bottom w:val="nil"/>
              <w:right w:val="nil"/>
            </w:tcBorders>
          </w:tcPr>
          <w:p w14:paraId="662152B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-0.0135***</w:t>
            </w:r>
          </w:p>
        </w:tc>
        <w:tc>
          <w:tcPr>
            <w:tcW w:w="1584" w:type="dxa"/>
            <w:tcBorders>
              <w:top w:val="nil"/>
              <w:left w:val="nil"/>
              <w:bottom w:val="nil"/>
              <w:right w:val="nil"/>
            </w:tcBorders>
          </w:tcPr>
          <w:p w14:paraId="277010E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-0.01400***</w:t>
            </w:r>
          </w:p>
        </w:tc>
        <w:tc>
          <w:tcPr>
            <w:tcW w:w="1584" w:type="dxa"/>
            <w:tcBorders>
              <w:top w:val="nil"/>
              <w:left w:val="nil"/>
              <w:bottom w:val="nil"/>
              <w:right w:val="nil"/>
            </w:tcBorders>
          </w:tcPr>
          <w:p w14:paraId="114430A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-0.0147***</w:t>
            </w:r>
          </w:p>
        </w:tc>
        <w:tc>
          <w:tcPr>
            <w:tcW w:w="1584" w:type="dxa"/>
            <w:tcBorders>
              <w:top w:val="nil"/>
              <w:left w:val="nil"/>
              <w:bottom w:val="nil"/>
              <w:right w:val="nil"/>
            </w:tcBorders>
          </w:tcPr>
          <w:p w14:paraId="000B30E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-0.0121***</w:t>
            </w:r>
          </w:p>
        </w:tc>
      </w:tr>
      <w:tr w:rsidR="0060274A" w:rsidRPr="00055865" w14:paraId="073BC989" w14:textId="77777777" w:rsidTr="005B6FD7">
        <w:trPr>
          <w:jc w:val="center"/>
        </w:trPr>
        <w:tc>
          <w:tcPr>
            <w:tcW w:w="1947" w:type="dxa"/>
            <w:tcBorders>
              <w:top w:val="nil"/>
              <w:left w:val="nil"/>
              <w:bottom w:val="nil"/>
              <w:right w:val="nil"/>
            </w:tcBorders>
          </w:tcPr>
          <w:p w14:paraId="0C122F17"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30A53636"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(-4.21)</w:t>
            </w:r>
          </w:p>
        </w:tc>
        <w:tc>
          <w:tcPr>
            <w:tcW w:w="1584" w:type="dxa"/>
            <w:tcBorders>
              <w:top w:val="nil"/>
              <w:left w:val="nil"/>
              <w:bottom w:val="nil"/>
              <w:right w:val="nil"/>
            </w:tcBorders>
          </w:tcPr>
          <w:p w14:paraId="4D1D799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(-4.25)</w:t>
            </w:r>
          </w:p>
        </w:tc>
        <w:tc>
          <w:tcPr>
            <w:tcW w:w="1584" w:type="dxa"/>
            <w:tcBorders>
              <w:top w:val="nil"/>
              <w:left w:val="nil"/>
              <w:bottom w:val="nil"/>
              <w:right w:val="nil"/>
            </w:tcBorders>
          </w:tcPr>
          <w:p w14:paraId="7ECDF2E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(-3.81)</w:t>
            </w:r>
          </w:p>
        </w:tc>
        <w:tc>
          <w:tcPr>
            <w:tcW w:w="1584" w:type="dxa"/>
            <w:tcBorders>
              <w:top w:val="nil"/>
              <w:left w:val="nil"/>
              <w:bottom w:val="nil"/>
              <w:right w:val="nil"/>
            </w:tcBorders>
          </w:tcPr>
          <w:p w14:paraId="3DEDC8A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(-4.14)</w:t>
            </w:r>
          </w:p>
        </w:tc>
        <w:tc>
          <w:tcPr>
            <w:tcW w:w="1584" w:type="dxa"/>
            <w:tcBorders>
              <w:top w:val="nil"/>
              <w:left w:val="nil"/>
              <w:bottom w:val="nil"/>
              <w:right w:val="nil"/>
            </w:tcBorders>
          </w:tcPr>
          <w:p w14:paraId="6637F5C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(-4.16)</w:t>
            </w:r>
          </w:p>
        </w:tc>
        <w:tc>
          <w:tcPr>
            <w:tcW w:w="1584" w:type="dxa"/>
            <w:tcBorders>
              <w:top w:val="nil"/>
              <w:left w:val="nil"/>
              <w:bottom w:val="nil"/>
              <w:right w:val="nil"/>
            </w:tcBorders>
          </w:tcPr>
          <w:p w14:paraId="0BDBB85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(-3.36)</w:t>
            </w:r>
          </w:p>
        </w:tc>
      </w:tr>
      <w:tr w:rsidR="0060274A" w:rsidRPr="00055865" w14:paraId="3DA178FC" w14:textId="77777777" w:rsidTr="005B6FD7">
        <w:trPr>
          <w:jc w:val="center"/>
        </w:trPr>
        <w:tc>
          <w:tcPr>
            <w:tcW w:w="1947" w:type="dxa"/>
            <w:tcBorders>
              <w:top w:val="nil"/>
              <w:left w:val="nil"/>
              <w:bottom w:val="nil"/>
              <w:right w:val="nil"/>
            </w:tcBorders>
          </w:tcPr>
          <w:p w14:paraId="1BAF3DC6"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Board Size</w:t>
            </w:r>
          </w:p>
        </w:tc>
        <w:tc>
          <w:tcPr>
            <w:tcW w:w="1728" w:type="dxa"/>
            <w:tcBorders>
              <w:top w:val="nil"/>
              <w:left w:val="nil"/>
              <w:bottom w:val="nil"/>
              <w:right w:val="nil"/>
            </w:tcBorders>
          </w:tcPr>
          <w:p w14:paraId="2CE1A6D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0.0062*</w:t>
            </w:r>
          </w:p>
        </w:tc>
        <w:tc>
          <w:tcPr>
            <w:tcW w:w="1584" w:type="dxa"/>
            <w:tcBorders>
              <w:top w:val="nil"/>
              <w:left w:val="nil"/>
              <w:bottom w:val="nil"/>
              <w:right w:val="nil"/>
            </w:tcBorders>
          </w:tcPr>
          <w:p w14:paraId="67C9DAF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0.0093**</w:t>
            </w:r>
          </w:p>
        </w:tc>
        <w:tc>
          <w:tcPr>
            <w:tcW w:w="1584" w:type="dxa"/>
            <w:tcBorders>
              <w:top w:val="nil"/>
              <w:left w:val="nil"/>
              <w:bottom w:val="nil"/>
              <w:right w:val="nil"/>
            </w:tcBorders>
          </w:tcPr>
          <w:p w14:paraId="45E15E2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0.0108***</w:t>
            </w:r>
          </w:p>
        </w:tc>
        <w:tc>
          <w:tcPr>
            <w:tcW w:w="1584" w:type="dxa"/>
            <w:tcBorders>
              <w:top w:val="nil"/>
              <w:left w:val="nil"/>
              <w:bottom w:val="nil"/>
              <w:right w:val="nil"/>
            </w:tcBorders>
          </w:tcPr>
          <w:p w14:paraId="71E557F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0.0088**</w:t>
            </w:r>
          </w:p>
        </w:tc>
        <w:tc>
          <w:tcPr>
            <w:tcW w:w="1584" w:type="dxa"/>
            <w:tcBorders>
              <w:top w:val="nil"/>
              <w:left w:val="nil"/>
              <w:bottom w:val="nil"/>
              <w:right w:val="nil"/>
            </w:tcBorders>
          </w:tcPr>
          <w:p w14:paraId="066C136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0.0113***</w:t>
            </w:r>
          </w:p>
        </w:tc>
        <w:tc>
          <w:tcPr>
            <w:tcW w:w="1584" w:type="dxa"/>
            <w:tcBorders>
              <w:top w:val="nil"/>
              <w:left w:val="nil"/>
              <w:bottom w:val="nil"/>
              <w:right w:val="nil"/>
            </w:tcBorders>
          </w:tcPr>
          <w:p w14:paraId="7B31B95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0.0054</w:t>
            </w:r>
          </w:p>
        </w:tc>
      </w:tr>
      <w:tr w:rsidR="0060274A" w:rsidRPr="00055865" w14:paraId="662448CA" w14:textId="77777777" w:rsidTr="005B6FD7">
        <w:trPr>
          <w:jc w:val="center"/>
        </w:trPr>
        <w:tc>
          <w:tcPr>
            <w:tcW w:w="1947" w:type="dxa"/>
            <w:tcBorders>
              <w:top w:val="nil"/>
              <w:left w:val="nil"/>
              <w:bottom w:val="nil"/>
              <w:right w:val="nil"/>
            </w:tcBorders>
          </w:tcPr>
          <w:p w14:paraId="76AB1E9B"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1DC20FF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(1.68)</w:t>
            </w:r>
          </w:p>
        </w:tc>
        <w:tc>
          <w:tcPr>
            <w:tcW w:w="1584" w:type="dxa"/>
            <w:tcBorders>
              <w:top w:val="nil"/>
              <w:left w:val="nil"/>
              <w:bottom w:val="nil"/>
              <w:right w:val="nil"/>
            </w:tcBorders>
          </w:tcPr>
          <w:p w14:paraId="38EACFF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(2.47)</w:t>
            </w:r>
          </w:p>
        </w:tc>
        <w:tc>
          <w:tcPr>
            <w:tcW w:w="1584" w:type="dxa"/>
            <w:tcBorders>
              <w:top w:val="nil"/>
              <w:left w:val="nil"/>
              <w:bottom w:val="nil"/>
              <w:right w:val="nil"/>
            </w:tcBorders>
          </w:tcPr>
          <w:p w14:paraId="233A20A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(2.91)</w:t>
            </w:r>
          </w:p>
        </w:tc>
        <w:tc>
          <w:tcPr>
            <w:tcW w:w="1584" w:type="dxa"/>
            <w:tcBorders>
              <w:top w:val="nil"/>
              <w:left w:val="nil"/>
              <w:bottom w:val="nil"/>
              <w:right w:val="nil"/>
            </w:tcBorders>
          </w:tcPr>
          <w:p w14:paraId="0802CD2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(2.46)</w:t>
            </w:r>
          </w:p>
        </w:tc>
        <w:tc>
          <w:tcPr>
            <w:tcW w:w="1584" w:type="dxa"/>
            <w:tcBorders>
              <w:top w:val="nil"/>
              <w:left w:val="nil"/>
              <w:bottom w:val="nil"/>
              <w:right w:val="nil"/>
            </w:tcBorders>
          </w:tcPr>
          <w:p w14:paraId="6E84428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(3.05)</w:t>
            </w:r>
          </w:p>
        </w:tc>
        <w:tc>
          <w:tcPr>
            <w:tcW w:w="1584" w:type="dxa"/>
            <w:tcBorders>
              <w:top w:val="nil"/>
              <w:left w:val="nil"/>
              <w:bottom w:val="nil"/>
              <w:right w:val="nil"/>
            </w:tcBorders>
          </w:tcPr>
          <w:p w14:paraId="62F82EB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(1.42)</w:t>
            </w:r>
          </w:p>
        </w:tc>
      </w:tr>
      <w:tr w:rsidR="0060274A" w:rsidRPr="00055865" w14:paraId="013DE067" w14:textId="77777777" w:rsidTr="005B6FD7">
        <w:trPr>
          <w:jc w:val="center"/>
        </w:trPr>
        <w:tc>
          <w:tcPr>
            <w:tcW w:w="1947" w:type="dxa"/>
            <w:tcBorders>
              <w:top w:val="nil"/>
              <w:left w:val="nil"/>
              <w:bottom w:val="nil"/>
              <w:right w:val="nil"/>
            </w:tcBorders>
          </w:tcPr>
          <w:p w14:paraId="19095D54"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NEDS</w:t>
            </w:r>
          </w:p>
        </w:tc>
        <w:tc>
          <w:tcPr>
            <w:tcW w:w="1728" w:type="dxa"/>
            <w:tcBorders>
              <w:top w:val="nil"/>
              <w:left w:val="nil"/>
              <w:bottom w:val="nil"/>
              <w:right w:val="nil"/>
            </w:tcBorders>
          </w:tcPr>
          <w:p w14:paraId="174E213B"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-0.0057</w:t>
            </w:r>
          </w:p>
        </w:tc>
        <w:tc>
          <w:tcPr>
            <w:tcW w:w="1584" w:type="dxa"/>
            <w:tcBorders>
              <w:top w:val="nil"/>
              <w:left w:val="nil"/>
              <w:bottom w:val="nil"/>
              <w:right w:val="nil"/>
            </w:tcBorders>
          </w:tcPr>
          <w:p w14:paraId="2B5D936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-0.0107**</w:t>
            </w:r>
          </w:p>
        </w:tc>
        <w:tc>
          <w:tcPr>
            <w:tcW w:w="1584" w:type="dxa"/>
            <w:tcBorders>
              <w:top w:val="nil"/>
              <w:left w:val="nil"/>
              <w:bottom w:val="nil"/>
              <w:right w:val="nil"/>
            </w:tcBorders>
          </w:tcPr>
          <w:p w14:paraId="3FEB938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-0.00945**</w:t>
            </w:r>
          </w:p>
        </w:tc>
        <w:tc>
          <w:tcPr>
            <w:tcW w:w="1584" w:type="dxa"/>
            <w:tcBorders>
              <w:top w:val="nil"/>
              <w:left w:val="nil"/>
              <w:bottom w:val="nil"/>
              <w:right w:val="nil"/>
            </w:tcBorders>
          </w:tcPr>
          <w:p w14:paraId="4B879116"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-0.0068</w:t>
            </w:r>
          </w:p>
        </w:tc>
        <w:tc>
          <w:tcPr>
            <w:tcW w:w="1584" w:type="dxa"/>
            <w:tcBorders>
              <w:top w:val="nil"/>
              <w:left w:val="nil"/>
              <w:bottom w:val="nil"/>
              <w:right w:val="nil"/>
            </w:tcBorders>
          </w:tcPr>
          <w:p w14:paraId="2AD5DA2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-0.0085*</w:t>
            </w:r>
          </w:p>
        </w:tc>
        <w:tc>
          <w:tcPr>
            <w:tcW w:w="1584" w:type="dxa"/>
            <w:tcBorders>
              <w:top w:val="nil"/>
              <w:left w:val="nil"/>
              <w:bottom w:val="nil"/>
              <w:right w:val="nil"/>
            </w:tcBorders>
          </w:tcPr>
          <w:p w14:paraId="691FBA6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-0.0041</w:t>
            </w:r>
          </w:p>
        </w:tc>
      </w:tr>
      <w:tr w:rsidR="0060274A" w:rsidRPr="00055865" w14:paraId="0BFB6C62" w14:textId="77777777" w:rsidTr="005B6FD7">
        <w:trPr>
          <w:jc w:val="center"/>
        </w:trPr>
        <w:tc>
          <w:tcPr>
            <w:tcW w:w="1947" w:type="dxa"/>
            <w:tcBorders>
              <w:top w:val="nil"/>
              <w:left w:val="nil"/>
              <w:bottom w:val="nil"/>
              <w:right w:val="nil"/>
            </w:tcBorders>
          </w:tcPr>
          <w:p w14:paraId="3DD675A2"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676B93C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(-1.23)</w:t>
            </w:r>
          </w:p>
        </w:tc>
        <w:tc>
          <w:tcPr>
            <w:tcW w:w="1584" w:type="dxa"/>
            <w:tcBorders>
              <w:top w:val="nil"/>
              <w:left w:val="nil"/>
              <w:bottom w:val="nil"/>
              <w:right w:val="nil"/>
            </w:tcBorders>
          </w:tcPr>
          <w:p w14:paraId="2510387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(-2.20)</w:t>
            </w:r>
          </w:p>
        </w:tc>
        <w:tc>
          <w:tcPr>
            <w:tcW w:w="1584" w:type="dxa"/>
            <w:tcBorders>
              <w:top w:val="nil"/>
              <w:left w:val="nil"/>
              <w:bottom w:val="nil"/>
              <w:right w:val="nil"/>
            </w:tcBorders>
          </w:tcPr>
          <w:p w14:paraId="7A540A65"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(-2.02)</w:t>
            </w:r>
          </w:p>
        </w:tc>
        <w:tc>
          <w:tcPr>
            <w:tcW w:w="1584" w:type="dxa"/>
            <w:tcBorders>
              <w:top w:val="nil"/>
              <w:left w:val="nil"/>
              <w:bottom w:val="nil"/>
              <w:right w:val="nil"/>
            </w:tcBorders>
          </w:tcPr>
          <w:p w14:paraId="051FAF9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(-1.50)</w:t>
            </w:r>
          </w:p>
        </w:tc>
        <w:tc>
          <w:tcPr>
            <w:tcW w:w="1584" w:type="dxa"/>
            <w:tcBorders>
              <w:top w:val="nil"/>
              <w:left w:val="nil"/>
              <w:bottom w:val="nil"/>
              <w:right w:val="nil"/>
            </w:tcBorders>
          </w:tcPr>
          <w:p w14:paraId="2BA0FBAB"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(-1.82)</w:t>
            </w:r>
          </w:p>
        </w:tc>
        <w:tc>
          <w:tcPr>
            <w:tcW w:w="1584" w:type="dxa"/>
            <w:tcBorders>
              <w:top w:val="nil"/>
              <w:left w:val="nil"/>
              <w:bottom w:val="nil"/>
              <w:right w:val="nil"/>
            </w:tcBorders>
          </w:tcPr>
          <w:p w14:paraId="59E39C9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(-0.36)</w:t>
            </w:r>
          </w:p>
        </w:tc>
      </w:tr>
      <w:tr w:rsidR="0060274A" w:rsidRPr="00055865" w14:paraId="17D08583" w14:textId="77777777" w:rsidTr="005B6FD7">
        <w:trPr>
          <w:jc w:val="center"/>
        </w:trPr>
        <w:tc>
          <w:tcPr>
            <w:tcW w:w="1947" w:type="dxa"/>
            <w:tcBorders>
              <w:top w:val="nil"/>
              <w:left w:val="nil"/>
              <w:bottom w:val="nil"/>
              <w:right w:val="nil"/>
            </w:tcBorders>
          </w:tcPr>
          <w:p w14:paraId="47799410"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CEORem1</w:t>
            </w:r>
          </w:p>
        </w:tc>
        <w:tc>
          <w:tcPr>
            <w:tcW w:w="1728" w:type="dxa"/>
            <w:tcBorders>
              <w:top w:val="nil"/>
              <w:left w:val="nil"/>
              <w:bottom w:val="nil"/>
              <w:right w:val="nil"/>
            </w:tcBorders>
          </w:tcPr>
          <w:p w14:paraId="1E3206F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0.0248***</w:t>
            </w:r>
          </w:p>
        </w:tc>
        <w:tc>
          <w:tcPr>
            <w:tcW w:w="1584" w:type="dxa"/>
            <w:tcBorders>
              <w:top w:val="nil"/>
              <w:left w:val="nil"/>
              <w:bottom w:val="nil"/>
              <w:right w:val="nil"/>
            </w:tcBorders>
          </w:tcPr>
          <w:p w14:paraId="004169A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0.0351***</w:t>
            </w:r>
          </w:p>
        </w:tc>
        <w:tc>
          <w:tcPr>
            <w:tcW w:w="1584" w:type="dxa"/>
            <w:tcBorders>
              <w:top w:val="nil"/>
              <w:left w:val="nil"/>
              <w:bottom w:val="nil"/>
              <w:right w:val="nil"/>
            </w:tcBorders>
          </w:tcPr>
          <w:p w14:paraId="687EE92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0.0264***</w:t>
            </w:r>
          </w:p>
        </w:tc>
        <w:tc>
          <w:tcPr>
            <w:tcW w:w="1584" w:type="dxa"/>
            <w:tcBorders>
              <w:top w:val="nil"/>
              <w:left w:val="nil"/>
              <w:bottom w:val="nil"/>
              <w:right w:val="nil"/>
            </w:tcBorders>
          </w:tcPr>
          <w:p w14:paraId="67C48EC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0.02460***</w:t>
            </w:r>
          </w:p>
        </w:tc>
        <w:tc>
          <w:tcPr>
            <w:tcW w:w="1584" w:type="dxa"/>
            <w:tcBorders>
              <w:top w:val="nil"/>
              <w:left w:val="nil"/>
              <w:bottom w:val="nil"/>
              <w:right w:val="nil"/>
            </w:tcBorders>
          </w:tcPr>
          <w:p w14:paraId="7AA68DA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0.0210**</w:t>
            </w:r>
          </w:p>
        </w:tc>
        <w:tc>
          <w:tcPr>
            <w:tcW w:w="1584" w:type="dxa"/>
            <w:tcBorders>
              <w:top w:val="nil"/>
              <w:left w:val="nil"/>
              <w:bottom w:val="nil"/>
              <w:right w:val="nil"/>
            </w:tcBorders>
          </w:tcPr>
          <w:p w14:paraId="629561A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0.0262***</w:t>
            </w:r>
          </w:p>
        </w:tc>
      </w:tr>
      <w:tr w:rsidR="0060274A" w:rsidRPr="00055865" w14:paraId="18B2F292" w14:textId="77777777" w:rsidTr="005B6FD7">
        <w:trPr>
          <w:jc w:val="center"/>
        </w:trPr>
        <w:tc>
          <w:tcPr>
            <w:tcW w:w="1947" w:type="dxa"/>
            <w:tcBorders>
              <w:top w:val="nil"/>
              <w:left w:val="nil"/>
              <w:bottom w:val="nil"/>
              <w:right w:val="nil"/>
            </w:tcBorders>
          </w:tcPr>
          <w:p w14:paraId="359EA265"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p>
        </w:tc>
        <w:tc>
          <w:tcPr>
            <w:tcW w:w="1728" w:type="dxa"/>
            <w:tcBorders>
              <w:top w:val="nil"/>
              <w:left w:val="nil"/>
              <w:bottom w:val="nil"/>
              <w:right w:val="nil"/>
            </w:tcBorders>
          </w:tcPr>
          <w:p w14:paraId="21C8D23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(2.97)</w:t>
            </w:r>
          </w:p>
        </w:tc>
        <w:tc>
          <w:tcPr>
            <w:tcW w:w="1584" w:type="dxa"/>
            <w:tcBorders>
              <w:top w:val="nil"/>
              <w:left w:val="nil"/>
              <w:bottom w:val="nil"/>
              <w:right w:val="nil"/>
            </w:tcBorders>
          </w:tcPr>
          <w:p w14:paraId="30343895"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(4.09)</w:t>
            </w:r>
          </w:p>
        </w:tc>
        <w:tc>
          <w:tcPr>
            <w:tcW w:w="1584" w:type="dxa"/>
            <w:tcBorders>
              <w:top w:val="nil"/>
              <w:left w:val="nil"/>
              <w:bottom w:val="nil"/>
              <w:right w:val="nil"/>
            </w:tcBorders>
          </w:tcPr>
          <w:p w14:paraId="5E6B67F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(3.13)</w:t>
            </w:r>
          </w:p>
        </w:tc>
        <w:tc>
          <w:tcPr>
            <w:tcW w:w="1584" w:type="dxa"/>
            <w:tcBorders>
              <w:top w:val="nil"/>
              <w:left w:val="nil"/>
              <w:bottom w:val="nil"/>
              <w:right w:val="nil"/>
            </w:tcBorders>
          </w:tcPr>
          <w:p w14:paraId="5981807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(3.03)</w:t>
            </w:r>
          </w:p>
        </w:tc>
        <w:tc>
          <w:tcPr>
            <w:tcW w:w="1584" w:type="dxa"/>
            <w:tcBorders>
              <w:top w:val="nil"/>
              <w:left w:val="nil"/>
              <w:bottom w:val="nil"/>
              <w:right w:val="nil"/>
            </w:tcBorders>
          </w:tcPr>
          <w:p w14:paraId="582B605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(2.49)</w:t>
            </w:r>
          </w:p>
        </w:tc>
        <w:tc>
          <w:tcPr>
            <w:tcW w:w="1584" w:type="dxa"/>
            <w:tcBorders>
              <w:top w:val="nil"/>
              <w:left w:val="nil"/>
              <w:bottom w:val="nil"/>
              <w:right w:val="nil"/>
            </w:tcBorders>
          </w:tcPr>
          <w:p w14:paraId="131B485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(3.17)</w:t>
            </w:r>
          </w:p>
        </w:tc>
      </w:tr>
      <w:tr w:rsidR="0060274A" w:rsidRPr="00055865" w14:paraId="32E9617C" w14:textId="77777777" w:rsidTr="005B6FD7">
        <w:trPr>
          <w:jc w:val="center"/>
        </w:trPr>
        <w:tc>
          <w:tcPr>
            <w:tcW w:w="1947" w:type="dxa"/>
            <w:tcBorders>
              <w:top w:val="nil"/>
              <w:left w:val="nil"/>
              <w:bottom w:val="nil"/>
              <w:right w:val="nil"/>
            </w:tcBorders>
          </w:tcPr>
          <w:p w14:paraId="24109106"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Industry Effect</w:t>
            </w:r>
          </w:p>
          <w:p w14:paraId="2A985FAF"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 xml:space="preserve">Year Effect                </w:t>
            </w:r>
          </w:p>
          <w:p w14:paraId="329B8182"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Observation</w:t>
            </w:r>
          </w:p>
          <w:p w14:paraId="12C43644"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Adjusted R Squared</w:t>
            </w:r>
          </w:p>
        </w:tc>
        <w:tc>
          <w:tcPr>
            <w:tcW w:w="1728" w:type="dxa"/>
            <w:tcBorders>
              <w:top w:val="nil"/>
              <w:left w:val="nil"/>
              <w:bottom w:val="nil"/>
              <w:right w:val="nil"/>
            </w:tcBorders>
          </w:tcPr>
          <w:p w14:paraId="0C62809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Yes</w:t>
            </w:r>
          </w:p>
          <w:p w14:paraId="39EC931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Yes</w:t>
            </w:r>
          </w:p>
          <w:p w14:paraId="43D4094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822</w:t>
            </w:r>
          </w:p>
          <w:p w14:paraId="3875223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0.2171</w:t>
            </w:r>
          </w:p>
        </w:tc>
        <w:tc>
          <w:tcPr>
            <w:tcW w:w="1584" w:type="dxa"/>
            <w:tcBorders>
              <w:top w:val="nil"/>
              <w:left w:val="nil"/>
              <w:bottom w:val="nil"/>
              <w:right w:val="nil"/>
            </w:tcBorders>
          </w:tcPr>
          <w:p w14:paraId="00AF6D8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Yes</w:t>
            </w:r>
          </w:p>
          <w:p w14:paraId="6508C48E"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Yes</w:t>
            </w:r>
          </w:p>
          <w:p w14:paraId="1C695B7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822</w:t>
            </w:r>
          </w:p>
          <w:p w14:paraId="10E7E94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0.1725</w:t>
            </w:r>
          </w:p>
        </w:tc>
        <w:tc>
          <w:tcPr>
            <w:tcW w:w="1584" w:type="dxa"/>
            <w:tcBorders>
              <w:top w:val="nil"/>
              <w:left w:val="nil"/>
              <w:bottom w:val="nil"/>
              <w:right w:val="nil"/>
            </w:tcBorders>
          </w:tcPr>
          <w:p w14:paraId="2BEC65D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Yes</w:t>
            </w:r>
          </w:p>
          <w:p w14:paraId="270AB86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Yes</w:t>
            </w:r>
          </w:p>
          <w:p w14:paraId="6151FB9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821</w:t>
            </w:r>
          </w:p>
          <w:p w14:paraId="212DF9C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0.2042</w:t>
            </w:r>
          </w:p>
        </w:tc>
        <w:tc>
          <w:tcPr>
            <w:tcW w:w="1584" w:type="dxa"/>
            <w:tcBorders>
              <w:top w:val="nil"/>
              <w:left w:val="nil"/>
              <w:bottom w:val="nil"/>
              <w:right w:val="nil"/>
            </w:tcBorders>
          </w:tcPr>
          <w:p w14:paraId="7BD4B915"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Yes</w:t>
            </w:r>
          </w:p>
          <w:p w14:paraId="2ACD60C1"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Yes</w:t>
            </w:r>
          </w:p>
          <w:p w14:paraId="240584F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821</w:t>
            </w:r>
          </w:p>
          <w:p w14:paraId="02CB8C3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0.2758</w:t>
            </w:r>
          </w:p>
        </w:tc>
        <w:tc>
          <w:tcPr>
            <w:tcW w:w="1584" w:type="dxa"/>
            <w:tcBorders>
              <w:top w:val="nil"/>
              <w:left w:val="nil"/>
              <w:bottom w:val="nil"/>
              <w:right w:val="nil"/>
            </w:tcBorders>
          </w:tcPr>
          <w:p w14:paraId="55CEFD8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Yes</w:t>
            </w:r>
          </w:p>
          <w:p w14:paraId="00E2402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Yes</w:t>
            </w:r>
          </w:p>
          <w:p w14:paraId="02C3E38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822</w:t>
            </w:r>
          </w:p>
          <w:p w14:paraId="2FFD415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0.2121</w:t>
            </w:r>
          </w:p>
        </w:tc>
        <w:tc>
          <w:tcPr>
            <w:tcW w:w="1584" w:type="dxa"/>
            <w:tcBorders>
              <w:top w:val="nil"/>
              <w:left w:val="nil"/>
              <w:bottom w:val="nil"/>
              <w:right w:val="nil"/>
            </w:tcBorders>
          </w:tcPr>
          <w:p w14:paraId="21C1410C"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Yes</w:t>
            </w:r>
          </w:p>
          <w:p w14:paraId="0DE933A7"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Yes</w:t>
            </w:r>
          </w:p>
          <w:p w14:paraId="466F5809"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821</w:t>
            </w:r>
          </w:p>
          <w:p w14:paraId="3891229B"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0.1871</w:t>
            </w:r>
          </w:p>
        </w:tc>
      </w:tr>
      <w:tr w:rsidR="0060274A" w:rsidRPr="00055865" w14:paraId="37AB667E" w14:textId="77777777" w:rsidTr="005B6FD7">
        <w:trPr>
          <w:jc w:val="center"/>
        </w:trPr>
        <w:tc>
          <w:tcPr>
            <w:tcW w:w="1947" w:type="dxa"/>
            <w:tcBorders>
              <w:top w:val="nil"/>
              <w:left w:val="nil"/>
              <w:bottom w:val="nil"/>
              <w:right w:val="nil"/>
            </w:tcBorders>
          </w:tcPr>
          <w:p w14:paraId="3E4DAF55"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F Statistics</w:t>
            </w:r>
          </w:p>
        </w:tc>
        <w:tc>
          <w:tcPr>
            <w:tcW w:w="1728" w:type="dxa"/>
            <w:tcBorders>
              <w:top w:val="nil"/>
              <w:left w:val="nil"/>
              <w:bottom w:val="nil"/>
              <w:right w:val="nil"/>
            </w:tcBorders>
          </w:tcPr>
          <w:p w14:paraId="454C2F30"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14.39</w:t>
            </w:r>
          </w:p>
        </w:tc>
        <w:tc>
          <w:tcPr>
            <w:tcW w:w="1584" w:type="dxa"/>
            <w:tcBorders>
              <w:top w:val="nil"/>
              <w:left w:val="nil"/>
              <w:bottom w:val="nil"/>
              <w:right w:val="nil"/>
            </w:tcBorders>
          </w:tcPr>
          <w:p w14:paraId="16BB201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822</w:t>
            </w:r>
          </w:p>
        </w:tc>
        <w:tc>
          <w:tcPr>
            <w:tcW w:w="1584" w:type="dxa"/>
            <w:tcBorders>
              <w:top w:val="nil"/>
              <w:left w:val="nil"/>
              <w:bottom w:val="nil"/>
              <w:right w:val="nil"/>
            </w:tcBorders>
          </w:tcPr>
          <w:p w14:paraId="23CA585D"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821</w:t>
            </w:r>
          </w:p>
        </w:tc>
        <w:tc>
          <w:tcPr>
            <w:tcW w:w="1584" w:type="dxa"/>
            <w:tcBorders>
              <w:top w:val="nil"/>
              <w:left w:val="nil"/>
              <w:bottom w:val="nil"/>
              <w:right w:val="nil"/>
            </w:tcBorders>
          </w:tcPr>
          <w:p w14:paraId="24ACAAFF"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19.37</w:t>
            </w:r>
          </w:p>
        </w:tc>
        <w:tc>
          <w:tcPr>
            <w:tcW w:w="1584" w:type="dxa"/>
            <w:tcBorders>
              <w:top w:val="nil"/>
              <w:left w:val="nil"/>
              <w:bottom w:val="nil"/>
              <w:right w:val="nil"/>
            </w:tcBorders>
          </w:tcPr>
          <w:p w14:paraId="0F28CFDB"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14.00</w:t>
            </w:r>
          </w:p>
        </w:tc>
        <w:tc>
          <w:tcPr>
            <w:tcW w:w="1584" w:type="dxa"/>
            <w:tcBorders>
              <w:top w:val="nil"/>
              <w:left w:val="nil"/>
              <w:bottom w:val="nil"/>
              <w:right w:val="nil"/>
            </w:tcBorders>
          </w:tcPr>
          <w:p w14:paraId="2BBAC885"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821</w:t>
            </w:r>
          </w:p>
        </w:tc>
      </w:tr>
      <w:tr w:rsidR="0060274A" w:rsidRPr="00055865" w14:paraId="3A2F440C" w14:textId="77777777" w:rsidTr="005B6FD7">
        <w:tblPrEx>
          <w:tblBorders>
            <w:bottom w:val="single" w:sz="6" w:space="0" w:color="auto"/>
          </w:tblBorders>
        </w:tblPrEx>
        <w:trPr>
          <w:jc w:val="center"/>
        </w:trPr>
        <w:tc>
          <w:tcPr>
            <w:tcW w:w="1947" w:type="dxa"/>
            <w:tcBorders>
              <w:top w:val="nil"/>
              <w:left w:val="nil"/>
              <w:bottom w:val="single" w:sz="6" w:space="0" w:color="auto"/>
              <w:right w:val="nil"/>
            </w:tcBorders>
          </w:tcPr>
          <w:p w14:paraId="4587B0E3" w14:textId="77777777" w:rsidR="0060274A" w:rsidRPr="00055865" w:rsidRDefault="0060274A" w:rsidP="005B6FD7">
            <w:pPr>
              <w:widowControl w:val="0"/>
              <w:autoSpaceDE w:val="0"/>
              <w:autoSpaceDN w:val="0"/>
              <w:adjustRightInd w:val="0"/>
              <w:spacing w:after="0" w:line="480" w:lineRule="auto"/>
              <w:contextualSpacing/>
              <w:rPr>
                <w:rFonts w:ascii="Garamond" w:eastAsia="Times New Roman" w:hAnsi="Garamond"/>
                <w:sz w:val="17"/>
                <w:szCs w:val="17"/>
                <w:lang w:eastAsia="en-GB"/>
              </w:rPr>
            </w:pPr>
            <w:r w:rsidRPr="00055865">
              <w:rPr>
                <w:rFonts w:ascii="Garamond" w:eastAsia="Times New Roman" w:hAnsi="Garamond"/>
                <w:sz w:val="17"/>
                <w:szCs w:val="17"/>
                <w:lang w:eastAsia="en-GB"/>
              </w:rPr>
              <w:t>P Value</w:t>
            </w:r>
          </w:p>
        </w:tc>
        <w:tc>
          <w:tcPr>
            <w:tcW w:w="1728" w:type="dxa"/>
            <w:tcBorders>
              <w:top w:val="nil"/>
              <w:left w:val="nil"/>
              <w:bottom w:val="single" w:sz="6" w:space="0" w:color="auto"/>
              <w:right w:val="nil"/>
            </w:tcBorders>
          </w:tcPr>
          <w:p w14:paraId="0199C863"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0.000</w:t>
            </w:r>
          </w:p>
        </w:tc>
        <w:tc>
          <w:tcPr>
            <w:tcW w:w="1584" w:type="dxa"/>
            <w:tcBorders>
              <w:top w:val="nil"/>
              <w:left w:val="nil"/>
              <w:bottom w:val="single" w:sz="6" w:space="0" w:color="auto"/>
              <w:right w:val="nil"/>
            </w:tcBorders>
          </w:tcPr>
          <w:p w14:paraId="03A9423B"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0.000</w:t>
            </w:r>
          </w:p>
        </w:tc>
        <w:tc>
          <w:tcPr>
            <w:tcW w:w="1584" w:type="dxa"/>
            <w:tcBorders>
              <w:top w:val="nil"/>
              <w:left w:val="nil"/>
              <w:bottom w:val="single" w:sz="6" w:space="0" w:color="auto"/>
              <w:right w:val="nil"/>
            </w:tcBorders>
          </w:tcPr>
          <w:p w14:paraId="0F5E70C2"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0.000</w:t>
            </w:r>
          </w:p>
        </w:tc>
        <w:tc>
          <w:tcPr>
            <w:tcW w:w="1584" w:type="dxa"/>
            <w:tcBorders>
              <w:top w:val="nil"/>
              <w:left w:val="nil"/>
              <w:bottom w:val="single" w:sz="6" w:space="0" w:color="auto"/>
              <w:right w:val="nil"/>
            </w:tcBorders>
          </w:tcPr>
          <w:p w14:paraId="35187E9A"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0.073</w:t>
            </w:r>
          </w:p>
        </w:tc>
        <w:tc>
          <w:tcPr>
            <w:tcW w:w="1584" w:type="dxa"/>
            <w:tcBorders>
              <w:top w:val="nil"/>
              <w:left w:val="nil"/>
              <w:bottom w:val="single" w:sz="6" w:space="0" w:color="auto"/>
              <w:right w:val="nil"/>
            </w:tcBorders>
          </w:tcPr>
          <w:p w14:paraId="07BDB664"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0.000</w:t>
            </w:r>
          </w:p>
        </w:tc>
        <w:tc>
          <w:tcPr>
            <w:tcW w:w="1584" w:type="dxa"/>
            <w:tcBorders>
              <w:top w:val="nil"/>
              <w:left w:val="nil"/>
              <w:bottom w:val="single" w:sz="6" w:space="0" w:color="auto"/>
              <w:right w:val="nil"/>
            </w:tcBorders>
          </w:tcPr>
          <w:p w14:paraId="140ADB38"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0.000</w:t>
            </w:r>
          </w:p>
          <w:p w14:paraId="7F88B25B" w14:textId="77777777" w:rsidR="0060274A" w:rsidRPr="00055865" w:rsidRDefault="0060274A" w:rsidP="005B6FD7">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p>
        </w:tc>
      </w:tr>
    </w:tbl>
    <w:p w14:paraId="425244EB" w14:textId="77777777" w:rsidR="0060274A" w:rsidRPr="00055865" w:rsidRDefault="0060274A" w:rsidP="0060274A">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Robust t test in parentheses</w:t>
      </w:r>
    </w:p>
    <w:p w14:paraId="692ACCED" w14:textId="77777777" w:rsidR="0060274A" w:rsidRPr="00055865" w:rsidRDefault="0060274A" w:rsidP="0060274A">
      <w:pPr>
        <w:widowControl w:val="0"/>
        <w:autoSpaceDE w:val="0"/>
        <w:autoSpaceDN w:val="0"/>
        <w:adjustRightInd w:val="0"/>
        <w:spacing w:after="0" w:line="480" w:lineRule="auto"/>
        <w:contextualSpacing/>
        <w:jc w:val="center"/>
        <w:rPr>
          <w:rFonts w:ascii="Garamond" w:eastAsia="Times New Roman" w:hAnsi="Garamond"/>
          <w:sz w:val="17"/>
          <w:szCs w:val="17"/>
          <w:lang w:eastAsia="en-GB"/>
        </w:rPr>
      </w:pPr>
      <w:r w:rsidRPr="00055865">
        <w:rPr>
          <w:rFonts w:ascii="Garamond" w:eastAsia="Times New Roman" w:hAnsi="Garamond"/>
          <w:sz w:val="17"/>
          <w:szCs w:val="17"/>
          <w:lang w:eastAsia="en-GB"/>
        </w:rPr>
        <w:t>*** p&lt;0.01, ** p&lt;0.05, * p&lt;0.1</w:t>
      </w:r>
    </w:p>
    <w:p w14:paraId="286CEA8F" w14:textId="77777777" w:rsidR="0060274A" w:rsidRPr="00055865" w:rsidRDefault="0060274A" w:rsidP="005D6CE4">
      <w:pPr>
        <w:spacing w:after="0" w:line="480" w:lineRule="auto"/>
        <w:contextualSpacing/>
        <w:jc w:val="both"/>
        <w:rPr>
          <w:rFonts w:ascii="Garamond" w:hAnsi="Garamond"/>
          <w:b/>
          <w:sz w:val="24"/>
          <w:szCs w:val="24"/>
        </w:rPr>
      </w:pPr>
    </w:p>
    <w:p w14:paraId="17F4CE24" w14:textId="5F55FC32" w:rsidR="00B1278D" w:rsidRPr="00055865" w:rsidRDefault="00660AB8" w:rsidP="005D6CE4">
      <w:pPr>
        <w:spacing w:after="0" w:line="480" w:lineRule="auto"/>
        <w:contextualSpacing/>
        <w:jc w:val="both"/>
        <w:rPr>
          <w:rFonts w:ascii="Garamond" w:hAnsi="Garamond"/>
          <w:b/>
          <w:sz w:val="24"/>
          <w:szCs w:val="24"/>
        </w:rPr>
      </w:pPr>
      <w:r>
        <w:rPr>
          <w:rFonts w:ascii="Garamond" w:hAnsi="Garamond"/>
          <w:b/>
          <w:sz w:val="24"/>
          <w:szCs w:val="24"/>
        </w:rPr>
        <w:lastRenderedPageBreak/>
        <w:t>4</w:t>
      </w:r>
      <w:r w:rsidR="00C3429E" w:rsidRPr="00055865">
        <w:rPr>
          <w:rFonts w:ascii="Garamond" w:hAnsi="Garamond"/>
          <w:b/>
          <w:sz w:val="24"/>
          <w:szCs w:val="24"/>
        </w:rPr>
        <w:t>.4 Further Analysis and Robustness Test</w:t>
      </w:r>
    </w:p>
    <w:p w14:paraId="53825265" w14:textId="2A191DA7" w:rsidR="00C3429E" w:rsidRPr="00055865" w:rsidRDefault="00660AB8" w:rsidP="005D6CE4">
      <w:pPr>
        <w:spacing w:after="0" w:line="480" w:lineRule="auto"/>
        <w:contextualSpacing/>
        <w:jc w:val="both"/>
        <w:rPr>
          <w:rFonts w:ascii="Garamond" w:hAnsi="Garamond"/>
          <w:b/>
          <w:i/>
          <w:sz w:val="24"/>
          <w:szCs w:val="24"/>
        </w:rPr>
      </w:pPr>
      <w:r>
        <w:rPr>
          <w:rFonts w:ascii="Garamond" w:hAnsi="Garamond"/>
          <w:b/>
          <w:i/>
          <w:sz w:val="24"/>
          <w:szCs w:val="24"/>
        </w:rPr>
        <w:t>4</w:t>
      </w:r>
      <w:r w:rsidR="00C3429E" w:rsidRPr="00055865">
        <w:rPr>
          <w:rFonts w:ascii="Garamond" w:hAnsi="Garamond"/>
          <w:b/>
          <w:i/>
          <w:sz w:val="24"/>
          <w:szCs w:val="24"/>
        </w:rPr>
        <w:t>.4.1 Endogeneity concerns</w:t>
      </w:r>
    </w:p>
    <w:bookmarkEnd w:id="9"/>
    <w:p w14:paraId="54C871F7" w14:textId="7F4141FE" w:rsidR="00C3429E" w:rsidRPr="00055865" w:rsidRDefault="00164C8B" w:rsidP="005D6CE4">
      <w:pPr>
        <w:spacing w:after="0" w:line="480" w:lineRule="auto"/>
        <w:contextualSpacing/>
        <w:jc w:val="both"/>
        <w:rPr>
          <w:rFonts w:ascii="Garamond" w:hAnsi="Garamond" w:cs="Times New Roman"/>
          <w:sz w:val="24"/>
          <w:szCs w:val="24"/>
        </w:rPr>
      </w:pPr>
      <w:r w:rsidRPr="00055865">
        <w:rPr>
          <w:rFonts w:ascii="Garamond" w:hAnsi="Garamond"/>
          <w:sz w:val="24"/>
          <w:szCs w:val="24"/>
        </w:rPr>
        <w:t xml:space="preserve">            </w:t>
      </w:r>
      <w:r w:rsidR="00C3429E" w:rsidRPr="00055865">
        <w:rPr>
          <w:rFonts w:ascii="Garamond" w:hAnsi="Garamond"/>
          <w:sz w:val="24"/>
          <w:szCs w:val="24"/>
        </w:rPr>
        <w:t>In order to address the possibility of endogeneity affecting the results of the study, in table 4, we employed two</w:t>
      </w:r>
      <w:r w:rsidR="00301A9D" w:rsidRPr="00055865">
        <w:rPr>
          <w:rFonts w:ascii="Garamond" w:hAnsi="Garamond"/>
          <w:sz w:val="24"/>
          <w:szCs w:val="24"/>
        </w:rPr>
        <w:t>-</w:t>
      </w:r>
      <w:r w:rsidR="00C3429E" w:rsidRPr="00055865">
        <w:rPr>
          <w:rFonts w:ascii="Garamond" w:hAnsi="Garamond"/>
          <w:sz w:val="24"/>
          <w:szCs w:val="24"/>
        </w:rPr>
        <w:t xml:space="preserve">stage least square to regress sustainable environmental policies and financial performance (ROA). </w:t>
      </w:r>
      <w:r w:rsidR="0048284B" w:rsidRPr="00055865">
        <w:rPr>
          <w:rFonts w:ascii="Garamond" w:hAnsi="Garamond" w:cs="Times New Roman"/>
          <w:sz w:val="24"/>
          <w:szCs w:val="24"/>
        </w:rPr>
        <w:t xml:space="preserve">Endogeneity is the occurrence of interrelationships among dependent and independent variables that can be found in </w:t>
      </w:r>
      <w:r w:rsidR="00301A9D" w:rsidRPr="00055865">
        <w:rPr>
          <w:rFonts w:ascii="Garamond" w:hAnsi="Garamond" w:cs="Times New Roman"/>
          <w:sz w:val="24"/>
          <w:szCs w:val="24"/>
        </w:rPr>
        <w:t>a</w:t>
      </w:r>
      <w:r w:rsidR="0048284B" w:rsidRPr="00055865">
        <w:rPr>
          <w:rFonts w:ascii="Garamond" w:hAnsi="Garamond" w:cs="Times New Roman"/>
          <w:sz w:val="24"/>
          <w:szCs w:val="24"/>
        </w:rPr>
        <w:t xml:space="preserve"> model. </w:t>
      </w:r>
      <w:r w:rsidR="00F37022" w:rsidRPr="00055865">
        <w:rPr>
          <w:rFonts w:ascii="Garamond" w:hAnsi="Garamond" w:cs="Times New Roman"/>
          <w:sz w:val="24"/>
          <w:szCs w:val="24"/>
        </w:rPr>
        <w:t>It is</w:t>
      </w:r>
      <w:r w:rsidR="0048284B" w:rsidRPr="00055865">
        <w:rPr>
          <w:rFonts w:ascii="Garamond" w:hAnsi="Garamond" w:cs="Times New Roman"/>
          <w:sz w:val="24"/>
          <w:szCs w:val="24"/>
        </w:rPr>
        <w:t xml:space="preserve"> the existence of </w:t>
      </w:r>
      <w:r w:rsidR="00301A9D" w:rsidRPr="00055865">
        <w:rPr>
          <w:rFonts w:ascii="Garamond" w:hAnsi="Garamond" w:cs="Times New Roman"/>
          <w:sz w:val="24"/>
          <w:szCs w:val="24"/>
        </w:rPr>
        <w:t xml:space="preserve">a </w:t>
      </w:r>
      <w:r w:rsidR="0048284B" w:rsidRPr="00055865">
        <w:rPr>
          <w:rFonts w:ascii="Garamond" w:hAnsi="Garamond" w:cs="Times New Roman"/>
          <w:sz w:val="24"/>
          <w:szCs w:val="24"/>
        </w:rPr>
        <w:t>correlation between the explanatory variable and the error term due to the existence of causality among the dependent and independent variables</w:t>
      </w:r>
      <w:r w:rsidR="00F37022" w:rsidRPr="00055865">
        <w:rPr>
          <w:rFonts w:ascii="Garamond" w:hAnsi="Garamond" w:cs="Times New Roman"/>
          <w:sz w:val="24"/>
          <w:szCs w:val="24"/>
        </w:rPr>
        <w:t xml:space="preserve"> </w:t>
      </w:r>
      <w:r w:rsidR="00F37022" w:rsidRPr="00055865">
        <w:rPr>
          <w:rFonts w:ascii="Garamond" w:hAnsi="Garamond" w:cs="Times New Roman"/>
          <w:sz w:val="24"/>
          <w:szCs w:val="24"/>
        </w:rPr>
        <w:fldChar w:fldCharType="begin" w:fldLock="1"/>
      </w:r>
      <w:r w:rsidR="007122D5" w:rsidRPr="00055865">
        <w:rPr>
          <w:rFonts w:ascii="Garamond" w:hAnsi="Garamond" w:cs="Times New Roman"/>
          <w:sz w:val="24"/>
          <w:szCs w:val="24"/>
        </w:rPr>
        <w:instrText>ADDIN CSL_CITATION {"citationItems":[{"id":"ITEM-1","itemData":{"DOI":"10.1515/humr.2003.021","ISBN":"0262232197","ISSN":"09331719","PMID":"1914185","abstract":"This graduate text provides an intuitive but rigorous treatment of contemporary methods used in microeconometric research. The book makes clear that applied microeconometrics is about the estimation of marginal and treatment effects, and that parametric estimation is simply a means to this end. It also clarifies the distinction between causality and statistical association.The book focuses specifically on cross section and panel data methods. Population assumptions are stated separately from sampling assumptions, leading to simple statements as well as to important insights. The unified approach to linear and nonlinear models and to cross section and panel data enables straightforward coverage of more advanced methods. The numerous end-of-chapter problems are an important component of the book. Some problems contain important points not fully described in the text, and others cover new ideas that can be analyzed using tools presented in the current and previous chapters. Several problems require the use of the data sets located at the author's website.","author":[{"dropping-particle":"","family":"Wooldridge","given":"Jeffrey M","non-dropping-particle":"","parse-names":false,"suffix":""}],"container-title":"MIT Press","id":"ITEM-1","issued":{"date-parts":[["2010"]]},"page":"1096","title":"Econometric Analysis of Cross Section and Panel Data","type":"article","volume":"58"},"uris":["http://www.mendeley.com/documents/?uuid=e8d7f32c-6ab5-4f22-9c21-afd596eba024"]},{"id":"ITEM-2","itemData":{"DOI":"10.1111/beer.12152","ISSN":"14678608","author":[{"dropping-particle":"","family":"Martínez-Ferrero","given":"Jennifer","non-dropping-particle":"","parse-names":false,"suffix":""},{"dropping-particle":"","family":"García-Sánchez","given":"Isabel María","non-dropping-particle":"","parse-names":false,"suffix":""}],"container-title":"Business Ethics","id":"ITEM-2","issue":"3","issued":{"date-parts":[["2017"]]},"page":"223-239","title":"Sustainability assurance and cost of capital: Does assurance impact on credibility of corporate social responsibility information?","type":"article-journal","volume":"26"},"uris":["http://www.mendeley.com/documents/?uuid=3992a827-d7ad-42d0-8c49-a2f84ae6617a"]}],"mendeley":{"formattedCitation":"(Martínez-Ferrero &amp; García-Sánchez, 2017; Wooldridge, 2010)","plainTextFormattedCitation":"(Martínez-Ferrero &amp; García-Sánchez, 2017; Wooldridge, 2010)","previouslyFormattedCitation":"(Martínez-Ferrero &amp; García-Sánchez, 2017; Wooldridge, 2010)"},"properties":{"noteIndex":0},"schema":"https://github.com/citation-style-language/schema/raw/master/csl-citation.json"}</w:instrText>
      </w:r>
      <w:r w:rsidR="00F37022" w:rsidRPr="00055865">
        <w:rPr>
          <w:rFonts w:ascii="Garamond" w:hAnsi="Garamond" w:cs="Times New Roman"/>
          <w:sz w:val="24"/>
          <w:szCs w:val="24"/>
        </w:rPr>
        <w:fldChar w:fldCharType="separate"/>
      </w:r>
      <w:r w:rsidR="007122D5" w:rsidRPr="00055865">
        <w:rPr>
          <w:rFonts w:ascii="Garamond" w:hAnsi="Garamond" w:cs="Times New Roman"/>
          <w:noProof/>
          <w:sz w:val="24"/>
          <w:szCs w:val="24"/>
        </w:rPr>
        <w:t>(Martínez-Ferrero &amp; García-Sánchez, 2017; Wooldridge, 2010)</w:t>
      </w:r>
      <w:r w:rsidR="00F37022" w:rsidRPr="00055865">
        <w:rPr>
          <w:rFonts w:ascii="Garamond" w:hAnsi="Garamond" w:cs="Times New Roman"/>
          <w:sz w:val="24"/>
          <w:szCs w:val="24"/>
        </w:rPr>
        <w:fldChar w:fldCharType="end"/>
      </w:r>
      <w:r w:rsidR="0048284B" w:rsidRPr="00055865">
        <w:rPr>
          <w:rFonts w:ascii="Garamond" w:hAnsi="Garamond" w:cs="Times New Roman"/>
          <w:sz w:val="24"/>
          <w:szCs w:val="24"/>
        </w:rPr>
        <w:t xml:space="preserve">. </w:t>
      </w:r>
      <w:r w:rsidR="00B1278D">
        <w:rPr>
          <w:rFonts w:ascii="Garamond" w:hAnsi="Garamond" w:cs="Times New Roman"/>
          <w:sz w:val="24"/>
          <w:szCs w:val="24"/>
        </w:rPr>
        <w:t xml:space="preserve">The problem of endogeneity </w:t>
      </w:r>
      <w:r w:rsidR="0048284B" w:rsidRPr="00055865">
        <w:rPr>
          <w:rFonts w:ascii="Garamond" w:hAnsi="Garamond" w:cs="Times New Roman"/>
          <w:sz w:val="24"/>
          <w:szCs w:val="24"/>
        </w:rPr>
        <w:t xml:space="preserve">is likely to occur </w:t>
      </w:r>
      <w:r w:rsidR="00F37022" w:rsidRPr="00055865">
        <w:rPr>
          <w:rFonts w:ascii="Garamond" w:hAnsi="Garamond" w:cs="Times New Roman"/>
          <w:sz w:val="24"/>
          <w:szCs w:val="24"/>
        </w:rPr>
        <w:t xml:space="preserve">in this study </w:t>
      </w:r>
      <w:r w:rsidR="0048284B" w:rsidRPr="00055865">
        <w:rPr>
          <w:rFonts w:ascii="Garamond" w:hAnsi="Garamond" w:cs="Times New Roman"/>
          <w:sz w:val="24"/>
          <w:szCs w:val="24"/>
        </w:rPr>
        <w:t xml:space="preserve">as the explanatory variable; </w:t>
      </w:r>
      <w:r w:rsidR="00F37022" w:rsidRPr="00055865">
        <w:rPr>
          <w:rFonts w:ascii="Garamond" w:hAnsi="Garamond" w:cs="Times New Roman"/>
          <w:sz w:val="24"/>
          <w:szCs w:val="24"/>
        </w:rPr>
        <w:t xml:space="preserve">sustainable </w:t>
      </w:r>
      <w:r w:rsidR="0048284B" w:rsidRPr="00055865">
        <w:rPr>
          <w:rFonts w:ascii="Garamond" w:hAnsi="Garamond" w:cs="Times New Roman"/>
          <w:sz w:val="24"/>
          <w:szCs w:val="24"/>
        </w:rPr>
        <w:t xml:space="preserve">environmental </w:t>
      </w:r>
      <w:r w:rsidR="00F37022" w:rsidRPr="00055865">
        <w:rPr>
          <w:rFonts w:ascii="Garamond" w:hAnsi="Garamond" w:cs="Times New Roman"/>
          <w:sz w:val="24"/>
          <w:szCs w:val="24"/>
        </w:rPr>
        <w:t>practices</w:t>
      </w:r>
      <w:r w:rsidR="0048284B" w:rsidRPr="00055865">
        <w:rPr>
          <w:rFonts w:ascii="Garamond" w:hAnsi="Garamond" w:cs="Times New Roman"/>
          <w:sz w:val="24"/>
          <w:szCs w:val="24"/>
        </w:rPr>
        <w:t xml:space="preserve">, and the dependent variable; financial performance, are determined simultaneously. </w:t>
      </w:r>
      <w:r w:rsidR="00F37022" w:rsidRPr="00055865">
        <w:rPr>
          <w:rFonts w:ascii="Garamond" w:hAnsi="Garamond" w:cs="Times New Roman"/>
          <w:sz w:val="24"/>
          <w:szCs w:val="24"/>
        </w:rPr>
        <w:t xml:space="preserve">To address the problem of endogeneity, we employed </w:t>
      </w:r>
      <w:r w:rsidR="00301A9D" w:rsidRPr="00055865">
        <w:rPr>
          <w:rFonts w:ascii="Garamond" w:hAnsi="Garamond" w:cs="Times New Roman"/>
          <w:sz w:val="24"/>
          <w:szCs w:val="24"/>
        </w:rPr>
        <w:t>two-</w:t>
      </w:r>
      <w:r w:rsidR="00F37022" w:rsidRPr="00055865">
        <w:rPr>
          <w:rFonts w:ascii="Garamond" w:hAnsi="Garamond" w:cs="Times New Roman"/>
          <w:sz w:val="24"/>
          <w:szCs w:val="24"/>
        </w:rPr>
        <w:t xml:space="preserve">stage least square. </w:t>
      </w:r>
      <w:r w:rsidR="00607F92" w:rsidRPr="00055865">
        <w:rPr>
          <w:rFonts w:ascii="Garamond" w:hAnsi="Garamond" w:cs="Times New Roman"/>
          <w:sz w:val="24"/>
          <w:szCs w:val="24"/>
        </w:rPr>
        <w:t xml:space="preserve"> The two</w:t>
      </w:r>
      <w:r w:rsidR="00301A9D" w:rsidRPr="00055865">
        <w:rPr>
          <w:rFonts w:ascii="Garamond" w:hAnsi="Garamond" w:cs="Times New Roman"/>
          <w:sz w:val="24"/>
          <w:szCs w:val="24"/>
        </w:rPr>
        <w:t>-</w:t>
      </w:r>
      <w:r w:rsidR="00607F92" w:rsidRPr="00055865">
        <w:rPr>
          <w:rFonts w:ascii="Garamond" w:hAnsi="Garamond" w:cs="Times New Roman"/>
          <w:sz w:val="24"/>
          <w:szCs w:val="24"/>
        </w:rPr>
        <w:t xml:space="preserve">stage least square is </w:t>
      </w:r>
      <w:r w:rsidR="00301A9D" w:rsidRPr="00055865">
        <w:rPr>
          <w:rFonts w:ascii="Garamond" w:hAnsi="Garamond" w:cs="Times New Roman"/>
          <w:sz w:val="24"/>
          <w:szCs w:val="24"/>
        </w:rPr>
        <w:t xml:space="preserve">an </w:t>
      </w:r>
      <w:r w:rsidR="00607F92" w:rsidRPr="00055865">
        <w:rPr>
          <w:rFonts w:ascii="Garamond" w:hAnsi="Garamond" w:cs="Times New Roman"/>
          <w:sz w:val="24"/>
          <w:szCs w:val="24"/>
        </w:rPr>
        <w:t>extension of the OLS model</w:t>
      </w:r>
      <w:r w:rsidR="00301A9D" w:rsidRPr="00055865">
        <w:rPr>
          <w:rFonts w:ascii="Garamond" w:hAnsi="Garamond" w:cs="Times New Roman"/>
          <w:sz w:val="24"/>
          <w:szCs w:val="24"/>
        </w:rPr>
        <w:t>,</w:t>
      </w:r>
      <w:r w:rsidR="00607F92" w:rsidRPr="00055865">
        <w:rPr>
          <w:rFonts w:ascii="Garamond" w:hAnsi="Garamond" w:cs="Times New Roman"/>
          <w:sz w:val="24"/>
          <w:szCs w:val="24"/>
        </w:rPr>
        <w:t xml:space="preserve"> which is used when the dependent variable error term is correlated with the independent variables. </w:t>
      </w:r>
      <w:r w:rsidR="007B68F1" w:rsidRPr="00055865">
        <w:rPr>
          <w:rFonts w:ascii="Garamond" w:hAnsi="Garamond" w:cs="Times New Roman"/>
          <w:sz w:val="24"/>
          <w:szCs w:val="24"/>
        </w:rPr>
        <w:t>Following</w:t>
      </w:r>
      <w:r w:rsidR="00607F92" w:rsidRPr="00055865">
        <w:rPr>
          <w:rFonts w:ascii="Garamond" w:hAnsi="Garamond" w:cs="Times New Roman"/>
          <w:sz w:val="24"/>
          <w:szCs w:val="24"/>
        </w:rPr>
        <w:t xml:space="preserve"> </w:t>
      </w:r>
      <w:r w:rsidR="007B68F1" w:rsidRPr="00055865">
        <w:rPr>
          <w:rFonts w:ascii="Garamond" w:hAnsi="Garamond" w:cs="Times New Roman"/>
          <w:sz w:val="24"/>
          <w:szCs w:val="24"/>
        </w:rPr>
        <w:t xml:space="preserve">the suggestions of </w:t>
      </w:r>
      <w:r w:rsidR="00607F92" w:rsidRPr="00055865">
        <w:rPr>
          <w:rFonts w:ascii="Garamond" w:hAnsi="Garamond" w:cs="Times New Roman"/>
          <w:sz w:val="24"/>
          <w:szCs w:val="24"/>
        </w:rPr>
        <w:fldChar w:fldCharType="begin" w:fldLock="1"/>
      </w:r>
      <w:r w:rsidR="00217D30" w:rsidRPr="00055865">
        <w:rPr>
          <w:rFonts w:ascii="Garamond" w:hAnsi="Garamond" w:cs="Times New Roman"/>
          <w:sz w:val="24"/>
          <w:szCs w:val="24"/>
        </w:rPr>
        <w:instrText>ADDIN CSL_CITATION {"citationItems":[{"id":"ITEM-1","itemData":{"author":[{"dropping-particle":"","family":"Russo","given":"V. Michael","non-dropping-particle":"","parse-names":false,"suffix":""},{"dropping-particle":"","family":"Fouts","given":"A. Paul","non-dropping-particle":"","parse-names":false,"suffix":""}],"id":"ITEM-1","issue":"3","issued":{"date-parts":[["1997"]]},"page":"534-559","title":"A resource-based perspective on corporate environmental performance and profitability","type":"article-journal","volume":"40"},"uris":["http://www.mendeley.com/documents/?uuid=03dba0d7-f76d-4089-80fa-1161eb9b8c03"]},{"id":"ITEM-2","itemData":{"DOI":"10.1002/eet","ISSN":"09610405","author":[{"dropping-particle":"","family":"Earnhart","given":"Dietrich","non-dropping-particle":"","parse-names":false,"suffix":""},{"dropping-particle":"","family":"Lizal","given":"Lubomir","non-dropping-particle":"","parse-names":false,"suffix":""}],"container-title":"European Environment","id":"ITEM-2","issued":{"date-parts":[["2007"]]},"page":"247-266","title":"Effect of pollution control on corporate financial performance in a transition economy","type":"article-journal","volume":"266"},"uris":["http://www.mendeley.com/documents/?uuid=d6fa97d4-7bc2-413d-b5ff-0c7393d48b10"]}],"mendeley":{"formattedCitation":"(Earnhart &amp; Lizal, 2007; V. M. Russo &amp; Fouts, 1997)","manualFormatting":"Russo &amp; Fouts (1997), Earnhart &amp; Lizal (2007)","plainTextFormattedCitation":"(Earnhart &amp; Lizal, 2007; V. M. Russo &amp; Fouts, 1997)","previouslyFormattedCitation":"(Earnhart &amp; Lizal, 2007; V. M. Russo &amp; Fouts, 1997)"},"properties":{"noteIndex":0},"schema":"https://github.com/citation-style-language/schema/raw/master/csl-citation.json"}</w:instrText>
      </w:r>
      <w:r w:rsidR="00607F92" w:rsidRPr="00055865">
        <w:rPr>
          <w:rFonts w:ascii="Garamond" w:hAnsi="Garamond" w:cs="Times New Roman"/>
          <w:sz w:val="24"/>
          <w:szCs w:val="24"/>
        </w:rPr>
        <w:fldChar w:fldCharType="separate"/>
      </w:r>
      <w:r w:rsidR="00607F92" w:rsidRPr="00055865">
        <w:rPr>
          <w:rFonts w:ascii="Garamond" w:hAnsi="Garamond" w:cs="Times New Roman"/>
          <w:noProof/>
          <w:sz w:val="24"/>
          <w:szCs w:val="24"/>
        </w:rPr>
        <w:t xml:space="preserve">Russo </w:t>
      </w:r>
      <w:r w:rsidR="001E1E11" w:rsidRPr="00055865">
        <w:rPr>
          <w:rFonts w:ascii="Garamond" w:hAnsi="Garamond" w:cs="Times New Roman"/>
          <w:noProof/>
          <w:sz w:val="24"/>
          <w:szCs w:val="24"/>
        </w:rPr>
        <w:t>&amp;</w:t>
      </w:r>
      <w:r w:rsidR="00607F92" w:rsidRPr="00055865">
        <w:rPr>
          <w:rFonts w:ascii="Garamond" w:hAnsi="Garamond" w:cs="Times New Roman"/>
          <w:noProof/>
          <w:sz w:val="24"/>
          <w:szCs w:val="24"/>
        </w:rPr>
        <w:t xml:space="preserve"> Fouts (1997</w:t>
      </w:r>
      <w:r w:rsidR="007B68F1" w:rsidRPr="00055865">
        <w:rPr>
          <w:rFonts w:ascii="Garamond" w:hAnsi="Garamond" w:cs="Times New Roman"/>
          <w:noProof/>
          <w:sz w:val="24"/>
          <w:szCs w:val="24"/>
        </w:rPr>
        <w:t xml:space="preserve">), </w:t>
      </w:r>
      <w:r w:rsidR="00607F92" w:rsidRPr="00055865">
        <w:rPr>
          <w:rFonts w:ascii="Garamond" w:hAnsi="Garamond" w:cs="Times New Roman"/>
          <w:noProof/>
          <w:sz w:val="24"/>
          <w:szCs w:val="24"/>
        </w:rPr>
        <w:t xml:space="preserve">Earnhart </w:t>
      </w:r>
      <w:r w:rsidR="001E1E11" w:rsidRPr="00055865">
        <w:rPr>
          <w:rFonts w:ascii="Garamond" w:hAnsi="Garamond" w:cs="Times New Roman"/>
          <w:noProof/>
          <w:sz w:val="24"/>
          <w:szCs w:val="24"/>
        </w:rPr>
        <w:t>&amp;</w:t>
      </w:r>
      <w:r w:rsidR="00607F92" w:rsidRPr="00055865">
        <w:rPr>
          <w:rFonts w:ascii="Garamond" w:hAnsi="Garamond" w:cs="Times New Roman"/>
          <w:noProof/>
          <w:sz w:val="24"/>
          <w:szCs w:val="24"/>
        </w:rPr>
        <w:t xml:space="preserve"> Lizal (2007)</w:t>
      </w:r>
      <w:r w:rsidR="00607F92" w:rsidRPr="00055865">
        <w:rPr>
          <w:rFonts w:ascii="Garamond" w:hAnsi="Garamond" w:cs="Times New Roman"/>
          <w:sz w:val="24"/>
          <w:szCs w:val="24"/>
        </w:rPr>
        <w:fldChar w:fldCharType="end"/>
      </w:r>
      <w:r w:rsidR="007B68F1" w:rsidRPr="00055865">
        <w:rPr>
          <w:rFonts w:ascii="Garamond" w:hAnsi="Garamond" w:cs="Times New Roman"/>
          <w:sz w:val="24"/>
          <w:szCs w:val="24"/>
        </w:rPr>
        <w:t>, we employed lagged values of the independent variables (sustainable environmental p</w:t>
      </w:r>
      <w:r w:rsidR="002D294B">
        <w:rPr>
          <w:rFonts w:ascii="Garamond" w:hAnsi="Garamond" w:cs="Times New Roman"/>
          <w:sz w:val="24"/>
          <w:szCs w:val="24"/>
        </w:rPr>
        <w:t>olicies</w:t>
      </w:r>
      <w:r w:rsidR="007B68F1" w:rsidRPr="00055865">
        <w:rPr>
          <w:rFonts w:ascii="Garamond" w:hAnsi="Garamond" w:cs="Times New Roman"/>
          <w:sz w:val="24"/>
          <w:szCs w:val="24"/>
        </w:rPr>
        <w:t>) as instrumental variables in the two</w:t>
      </w:r>
      <w:r w:rsidR="00301A9D" w:rsidRPr="00055865">
        <w:rPr>
          <w:rFonts w:ascii="Garamond" w:hAnsi="Garamond" w:cs="Times New Roman"/>
          <w:sz w:val="24"/>
          <w:szCs w:val="24"/>
        </w:rPr>
        <w:t>-</w:t>
      </w:r>
      <w:r w:rsidR="007B68F1" w:rsidRPr="00055865">
        <w:rPr>
          <w:rFonts w:ascii="Garamond" w:hAnsi="Garamond" w:cs="Times New Roman"/>
          <w:sz w:val="24"/>
          <w:szCs w:val="24"/>
        </w:rPr>
        <w:t xml:space="preserve">stage least square. According to </w:t>
      </w:r>
      <w:r w:rsidR="007B68F1" w:rsidRPr="00055865">
        <w:rPr>
          <w:rFonts w:ascii="Garamond" w:hAnsi="Garamond" w:cs="Times New Roman"/>
          <w:sz w:val="24"/>
          <w:szCs w:val="24"/>
        </w:rPr>
        <w:fldChar w:fldCharType="begin" w:fldLock="1"/>
      </w:r>
      <w:r w:rsidR="001E1E11" w:rsidRPr="00055865">
        <w:rPr>
          <w:rFonts w:ascii="Garamond" w:hAnsi="Garamond" w:cs="Times New Roman"/>
          <w:sz w:val="24"/>
          <w:szCs w:val="24"/>
        </w:rPr>
        <w:instrText>ADDIN CSL_CITATION {"citationItems":[{"id":"ITEM-1","itemData":{"DOI":"10.1162/00346530151143815","ISBN":"00346535","ISSN":"0034-6535","PMID":"7754995","abstract":"Previous studies that attempt to relate environmental to financial performance have often led to conflicting results due to small samples and subjective environmental performance criteria. We report on a study that relates the market value of firms in the S&amp;P 500 to objective measures of their environmental performance. After controlling for variables traditionally thought to explain firm-level financial performance, we find that bad environmental performance is negatively correlated with the intangible asset value of firms. The average ‘intangible liability’ for firms in our sample is $380 million—approximately 9% of the replacement value of tangible assets. We conclude that legally emitted toxic chemicals have a significant effect on the intangible asset value of publicly traded companies. A 10% reduction in emissions of toxic chemicals results in a $34 million increase in market value. The magnitude of these effects varies across industries, with larger losses accruing to the traditionally polluting in...","author":[{"dropping-particle":"","family":"Konar","given":"Shameek","non-dropping-particle":"","parse-names":false,"suffix":""},{"dropping-particle":"","family":"Cohen","given":"Mark A.","non-dropping-particle":"","parse-names":false,"suffix":""}],"container-title":"Review of Economics and Statistics","id":"ITEM-1","issue":"2","issued":{"date-parts":[["2001"]]},"page":"281-289","title":"Does the Market Value Environmental Performance?","type":"article-journal","volume":"83"},"uris":["http://www.mendeley.com/documents/?uuid=55bf1acf-6681-428a-881e-d773cfcd22e2"]},{"id":"ITEM-2","itemData":{"DOI":"10.1002/eet","ISSN":"09610405","author":[{"dropping-particle":"","family":"Earnhart","given":"Dietrich","non-dropping-particle":"","parse-names":false,"suffix":""},{"dropping-particle":"","family":"Lizal","given":"Lubomir","non-dropping-particle":"","parse-names":false,"suffix":""}],"container-title":"European Environment","id":"ITEM-2","issued":{"date-parts":[["2007"]]},"page":"247-266","title":"Effect of pollution control on corporate financial performance in a transition economy","type":"article-journal","volume":"266"},"uris":["http://www.mendeley.com/documents/?uuid=d6fa97d4-7bc2-413d-b5ff-0c7393d48b10"]}],"mendeley":{"formattedCitation":"(Earnhart &amp; Lizal, 2007; Konar &amp; Cohen, 2001)","manualFormatting":"Konar &amp; Cohen (2001), Earnhart &amp; Lizal (2007)","plainTextFormattedCitation":"(Earnhart &amp; Lizal, 2007; Konar &amp; Cohen, 2001)","previouslyFormattedCitation":"(Earnhart &amp; Lizal, 2007; Konar &amp; Cohen, 2001)"},"properties":{"noteIndex":0},"schema":"https://github.com/citation-style-language/schema/raw/master/csl-citation.json"}</w:instrText>
      </w:r>
      <w:r w:rsidR="007B68F1" w:rsidRPr="00055865">
        <w:rPr>
          <w:rFonts w:ascii="Garamond" w:hAnsi="Garamond" w:cs="Times New Roman"/>
          <w:sz w:val="24"/>
          <w:szCs w:val="24"/>
        </w:rPr>
        <w:fldChar w:fldCharType="separate"/>
      </w:r>
      <w:r w:rsidR="007B68F1" w:rsidRPr="00055865">
        <w:rPr>
          <w:rFonts w:ascii="Garamond" w:hAnsi="Garamond" w:cs="Times New Roman"/>
          <w:noProof/>
          <w:sz w:val="24"/>
          <w:szCs w:val="24"/>
        </w:rPr>
        <w:t>Konar</w:t>
      </w:r>
      <w:r w:rsidR="001E1E11" w:rsidRPr="00055865">
        <w:rPr>
          <w:rFonts w:ascii="Garamond" w:hAnsi="Garamond" w:cs="Times New Roman"/>
          <w:noProof/>
          <w:sz w:val="24"/>
          <w:szCs w:val="24"/>
        </w:rPr>
        <w:t xml:space="preserve"> &amp;</w:t>
      </w:r>
      <w:r w:rsidR="007B68F1" w:rsidRPr="00055865">
        <w:rPr>
          <w:rFonts w:ascii="Garamond" w:hAnsi="Garamond" w:cs="Times New Roman"/>
          <w:noProof/>
          <w:sz w:val="24"/>
          <w:szCs w:val="24"/>
        </w:rPr>
        <w:t xml:space="preserve"> Cohen (2001)</w:t>
      </w:r>
      <w:r w:rsidR="001E1E11" w:rsidRPr="00055865">
        <w:rPr>
          <w:rFonts w:ascii="Garamond" w:hAnsi="Garamond" w:cs="Times New Roman"/>
          <w:noProof/>
          <w:sz w:val="24"/>
          <w:szCs w:val="24"/>
        </w:rPr>
        <w:t>,</w:t>
      </w:r>
      <w:r w:rsidR="007B68F1" w:rsidRPr="00055865">
        <w:rPr>
          <w:rFonts w:ascii="Garamond" w:hAnsi="Garamond" w:cs="Times New Roman"/>
          <w:noProof/>
          <w:sz w:val="24"/>
          <w:szCs w:val="24"/>
        </w:rPr>
        <w:t xml:space="preserve"> Earnhart </w:t>
      </w:r>
      <w:r w:rsidR="001E1E11" w:rsidRPr="00055865">
        <w:rPr>
          <w:rFonts w:ascii="Garamond" w:hAnsi="Garamond" w:cs="Times New Roman"/>
          <w:noProof/>
          <w:sz w:val="24"/>
          <w:szCs w:val="24"/>
        </w:rPr>
        <w:t>&amp;</w:t>
      </w:r>
      <w:r w:rsidR="007B68F1" w:rsidRPr="00055865">
        <w:rPr>
          <w:rFonts w:ascii="Garamond" w:hAnsi="Garamond" w:cs="Times New Roman"/>
          <w:noProof/>
          <w:sz w:val="24"/>
          <w:szCs w:val="24"/>
        </w:rPr>
        <w:t xml:space="preserve"> Lizal (2007)</w:t>
      </w:r>
      <w:r w:rsidR="007B68F1" w:rsidRPr="00055865">
        <w:rPr>
          <w:rFonts w:ascii="Garamond" w:hAnsi="Garamond" w:cs="Times New Roman"/>
          <w:sz w:val="24"/>
          <w:szCs w:val="24"/>
        </w:rPr>
        <w:fldChar w:fldCharType="end"/>
      </w:r>
      <w:r w:rsidR="00301A9D" w:rsidRPr="00055865">
        <w:rPr>
          <w:rFonts w:ascii="Garamond" w:hAnsi="Garamond" w:cs="Times New Roman"/>
          <w:sz w:val="24"/>
          <w:szCs w:val="24"/>
        </w:rPr>
        <w:t>,</w:t>
      </w:r>
      <w:r w:rsidR="007B68F1" w:rsidRPr="00055865">
        <w:rPr>
          <w:rFonts w:ascii="Garamond" w:hAnsi="Garamond" w:cs="Times New Roman"/>
          <w:sz w:val="24"/>
          <w:szCs w:val="24"/>
        </w:rPr>
        <w:t xml:space="preserve"> lagging of environmental variables avoid endogeneity problem as one would expect a lag between any </w:t>
      </w:r>
      <w:r w:rsidR="00B1278D">
        <w:rPr>
          <w:rFonts w:ascii="Garamond" w:hAnsi="Garamond" w:cs="Times New Roman"/>
          <w:sz w:val="24"/>
          <w:szCs w:val="24"/>
        </w:rPr>
        <w:t>environmental reduction measure</w:t>
      </w:r>
      <w:r w:rsidR="007B68F1" w:rsidRPr="00055865">
        <w:rPr>
          <w:rFonts w:ascii="Garamond" w:hAnsi="Garamond" w:cs="Times New Roman"/>
          <w:sz w:val="24"/>
          <w:szCs w:val="24"/>
        </w:rPr>
        <w:t xml:space="preserve"> and </w:t>
      </w:r>
      <w:r w:rsidR="005878F6" w:rsidRPr="00055865">
        <w:rPr>
          <w:rFonts w:ascii="Garamond" w:hAnsi="Garamond" w:cs="Times New Roman"/>
          <w:sz w:val="24"/>
          <w:szCs w:val="24"/>
        </w:rPr>
        <w:t>alteration</w:t>
      </w:r>
      <w:r w:rsidR="007B68F1" w:rsidRPr="00055865">
        <w:rPr>
          <w:rFonts w:ascii="Garamond" w:hAnsi="Garamond" w:cs="Times New Roman"/>
          <w:sz w:val="24"/>
          <w:szCs w:val="24"/>
        </w:rPr>
        <w:t xml:space="preserve"> to financial performance.</w:t>
      </w:r>
      <w:r w:rsidR="005878F6" w:rsidRPr="00055865">
        <w:rPr>
          <w:rFonts w:ascii="Garamond" w:hAnsi="Garamond" w:cs="Times New Roman"/>
          <w:sz w:val="24"/>
          <w:szCs w:val="24"/>
        </w:rPr>
        <w:t xml:space="preserve"> </w:t>
      </w:r>
      <w:r w:rsidR="005878F6" w:rsidRPr="00055865">
        <w:rPr>
          <w:rFonts w:ascii="Garamond" w:hAnsi="Garamond" w:cs="Times New Roman"/>
          <w:sz w:val="24"/>
          <w:szCs w:val="24"/>
        </w:rPr>
        <w:fldChar w:fldCharType="begin" w:fldLock="1"/>
      </w:r>
      <w:r w:rsidR="007122D5" w:rsidRPr="00055865">
        <w:rPr>
          <w:rFonts w:ascii="Garamond" w:hAnsi="Garamond" w:cs="Times New Roman"/>
          <w:sz w:val="24"/>
          <w:szCs w:val="24"/>
        </w:rPr>
        <w:instrText>ADDIN CSL_CITATION {"citationItems":[{"id":"ITEM-1","itemData":{"DOI":"10.1111/beer.12152","ISSN":"14678608","author":[{"dropping-particle":"","family":"Martínez-Ferrero","given":"Jennifer","non-dropping-particle":"","parse-names":false,"suffix":""},{"dropping-particle":"","family":"García-Sánchez","given":"Isabel María","non-dropping-particle":"","parse-names":false,"suffix":""}],"container-title":"Business Ethics","id":"ITEM-1","issue":"3","issued":{"date-parts":[["2017"]]},"page":"223-239","title":"Sustainability assurance and cost of capital: Does assurance impact on credibility of corporate social responsibility information?","type":"article-journal","volume":"26"},"uris":["http://www.mendeley.com/documents/?uuid=3992a827-d7ad-42d0-8c49-a2f84ae6617a"]}],"mendeley":{"formattedCitation":"(Martínez-Ferrero &amp; García-Sánchez, 2017)","manualFormatting":"Martínez-Ferrero and García-Sánchez (2017)","plainTextFormattedCitation":"(Martínez-Ferrero &amp; García-Sánchez, 2017)","previouslyFormattedCitation":"(Martínez-Ferrero &amp; García-Sánchez, 2017)"},"properties":{"noteIndex":0},"schema":"https://github.com/citation-style-language/schema/raw/master/csl-citation.json"}</w:instrText>
      </w:r>
      <w:r w:rsidR="005878F6" w:rsidRPr="00055865">
        <w:rPr>
          <w:rFonts w:ascii="Garamond" w:hAnsi="Garamond" w:cs="Times New Roman"/>
          <w:sz w:val="24"/>
          <w:szCs w:val="24"/>
        </w:rPr>
        <w:fldChar w:fldCharType="separate"/>
      </w:r>
      <w:r w:rsidR="005878F6" w:rsidRPr="00055865">
        <w:rPr>
          <w:rFonts w:ascii="Garamond" w:hAnsi="Garamond" w:cs="Times New Roman"/>
          <w:noProof/>
          <w:sz w:val="24"/>
          <w:szCs w:val="24"/>
        </w:rPr>
        <w:t>Martínez-Ferrero and García-Sánchez (2017)</w:t>
      </w:r>
      <w:r w:rsidR="005878F6" w:rsidRPr="00055865">
        <w:rPr>
          <w:rFonts w:ascii="Garamond" w:hAnsi="Garamond" w:cs="Times New Roman"/>
          <w:sz w:val="24"/>
          <w:szCs w:val="24"/>
        </w:rPr>
        <w:fldChar w:fldCharType="end"/>
      </w:r>
      <w:r w:rsidR="005878F6" w:rsidRPr="00055865">
        <w:rPr>
          <w:rFonts w:ascii="Garamond" w:hAnsi="Garamond" w:cs="Times New Roman"/>
          <w:sz w:val="24"/>
          <w:szCs w:val="24"/>
        </w:rPr>
        <w:t xml:space="preserve"> indicated that adequate instruments are the closest lags, as furthest lags cannot contain information on the current value of the variables. </w:t>
      </w:r>
      <w:r w:rsidR="005878F6" w:rsidRPr="00055865">
        <w:rPr>
          <w:rFonts w:ascii="Garamond" w:hAnsi="Garamond" w:cs="Times New Roman"/>
          <w:sz w:val="24"/>
          <w:szCs w:val="24"/>
        </w:rPr>
        <w:fldChar w:fldCharType="begin" w:fldLock="1"/>
      </w:r>
      <w:r w:rsidR="007122D5" w:rsidRPr="00055865">
        <w:rPr>
          <w:rFonts w:ascii="Garamond" w:hAnsi="Garamond" w:cs="Times New Roman"/>
          <w:sz w:val="24"/>
          <w:szCs w:val="24"/>
        </w:rPr>
        <w:instrText>ADDIN CSL_CITATION {"citationItems":[{"id":"ITEM-1","itemData":{"DOI":"10.1002/9781118785317.weom040013","ISBN":"9781118785317","abstract":"In this article, we provide guidance to financial economists on the choice of the proper panel data estimator for research. We first explain why the panel data methodology should be used if the unobservable heterogeneity problem arises. Additionally, we describe the alternative estimators that address the unobservable heterogeneity problem and that control for the endogeneity problem. Given that the latter problem is mitigated using an IV method, we explain the strategy to choose the right instrument set. The article also explains why the panel data methodology is particularly well suited to model specification and testing. Finally, we compare the different panel data estimators and offer researchers the key to choosing the most suitable one.","author":[{"dropping-particle":"","family":"Pindado","given":"Julio","non-dropping-particle":"","parse-names":false,"suffix":""},{"dropping-particle":"","family":"Requejo","given":"Ignacio","non-dropping-particle":"","parse-names":false,"suffix":""}],"container-title":"Wiley Encyclopedia of Management","id":"ITEM-1","issued":{"date-parts":[["2015"]]},"page":"1-8","title":"Panel Data: A Methodology for Model Specification and Testing","type":"chapter"},"uris":["http://www.mendeley.com/documents/?uuid=dbe9db2f-9462-467c-ae2b-945c50242815"]}],"mendeley":{"formattedCitation":"(Pindado &amp; Requejo, 2015)","manualFormatting":"Pindado and Requejo (2015)","plainTextFormattedCitation":"(Pindado &amp; Requejo, 2015)","previouslyFormattedCitation":"(Pindado &amp; Requejo, 2015)"},"properties":{"noteIndex":0},"schema":"https://github.com/citation-style-language/schema/raw/master/csl-citation.json"}</w:instrText>
      </w:r>
      <w:r w:rsidR="005878F6" w:rsidRPr="00055865">
        <w:rPr>
          <w:rFonts w:ascii="Garamond" w:hAnsi="Garamond" w:cs="Times New Roman"/>
          <w:sz w:val="24"/>
          <w:szCs w:val="24"/>
        </w:rPr>
        <w:fldChar w:fldCharType="separate"/>
      </w:r>
      <w:r w:rsidR="005878F6" w:rsidRPr="00055865">
        <w:rPr>
          <w:rFonts w:ascii="Garamond" w:hAnsi="Garamond" w:cs="Times New Roman"/>
          <w:noProof/>
          <w:sz w:val="24"/>
          <w:szCs w:val="24"/>
        </w:rPr>
        <w:t>Pindado and Requejo (2015)</w:t>
      </w:r>
      <w:r w:rsidR="005878F6" w:rsidRPr="00055865">
        <w:rPr>
          <w:rFonts w:ascii="Garamond" w:hAnsi="Garamond" w:cs="Times New Roman"/>
          <w:sz w:val="24"/>
          <w:szCs w:val="24"/>
        </w:rPr>
        <w:fldChar w:fldCharType="end"/>
      </w:r>
      <w:r w:rsidR="005878F6" w:rsidRPr="00055865">
        <w:rPr>
          <w:rFonts w:ascii="Garamond" w:hAnsi="Garamond" w:cs="Times New Roman"/>
          <w:sz w:val="24"/>
          <w:szCs w:val="24"/>
        </w:rPr>
        <w:t xml:space="preserve"> asserted that the closest lag is t-1</w:t>
      </w:r>
      <w:r w:rsidR="00301A9D" w:rsidRPr="00055865">
        <w:rPr>
          <w:rFonts w:ascii="Garamond" w:hAnsi="Garamond" w:cs="Times New Roman"/>
          <w:sz w:val="24"/>
          <w:szCs w:val="24"/>
        </w:rPr>
        <w:t>,</w:t>
      </w:r>
      <w:r w:rsidR="005878F6" w:rsidRPr="00055865">
        <w:rPr>
          <w:rFonts w:ascii="Garamond" w:hAnsi="Garamond" w:cs="Times New Roman"/>
          <w:sz w:val="24"/>
          <w:szCs w:val="24"/>
        </w:rPr>
        <w:t xml:space="preserve"> and therefore one-year lag of the independent variables w</w:t>
      </w:r>
      <w:r w:rsidR="00301A9D" w:rsidRPr="00055865">
        <w:rPr>
          <w:rFonts w:ascii="Garamond" w:hAnsi="Garamond" w:cs="Times New Roman"/>
          <w:sz w:val="24"/>
          <w:szCs w:val="24"/>
        </w:rPr>
        <w:t>as</w:t>
      </w:r>
      <w:r w:rsidR="005878F6" w:rsidRPr="00055865">
        <w:rPr>
          <w:rFonts w:ascii="Garamond" w:hAnsi="Garamond" w:cs="Times New Roman"/>
          <w:sz w:val="24"/>
          <w:szCs w:val="24"/>
        </w:rPr>
        <w:t xml:space="preserve"> instrumented.</w:t>
      </w:r>
      <w:r w:rsidR="00730026" w:rsidRPr="00055865">
        <w:rPr>
          <w:rFonts w:ascii="Garamond" w:hAnsi="Garamond" w:cs="Times New Roman"/>
          <w:sz w:val="24"/>
          <w:szCs w:val="24"/>
        </w:rPr>
        <w:t xml:space="preserve"> The result</w:t>
      </w:r>
      <w:r w:rsidR="00B1278D">
        <w:rPr>
          <w:rFonts w:ascii="Garamond" w:hAnsi="Garamond" w:cs="Times New Roman"/>
          <w:sz w:val="24"/>
          <w:szCs w:val="24"/>
        </w:rPr>
        <w:t>,</w:t>
      </w:r>
      <w:r w:rsidR="00730026" w:rsidRPr="00055865">
        <w:rPr>
          <w:rFonts w:ascii="Garamond" w:hAnsi="Garamond" w:cs="Times New Roman"/>
          <w:sz w:val="24"/>
          <w:szCs w:val="24"/>
        </w:rPr>
        <w:t xml:space="preserve"> based on the two</w:t>
      </w:r>
      <w:r w:rsidR="00813487" w:rsidRPr="00055865">
        <w:rPr>
          <w:rFonts w:ascii="Garamond" w:hAnsi="Garamond" w:cs="Times New Roman"/>
          <w:sz w:val="24"/>
          <w:szCs w:val="24"/>
        </w:rPr>
        <w:t>-</w:t>
      </w:r>
      <w:r w:rsidR="00730026" w:rsidRPr="00055865">
        <w:rPr>
          <w:rFonts w:ascii="Garamond" w:hAnsi="Garamond" w:cs="Times New Roman"/>
          <w:sz w:val="24"/>
          <w:szCs w:val="24"/>
        </w:rPr>
        <w:t xml:space="preserve">stage least square was similar to that of OLS where all the sustainable environmental policies revealed </w:t>
      </w:r>
      <w:r w:rsidR="005B6FD7">
        <w:rPr>
          <w:rFonts w:ascii="Garamond" w:hAnsi="Garamond" w:cs="Times New Roman"/>
          <w:sz w:val="24"/>
          <w:szCs w:val="24"/>
        </w:rPr>
        <w:t xml:space="preserve">a </w:t>
      </w:r>
      <w:r w:rsidR="00730026" w:rsidRPr="00055865">
        <w:rPr>
          <w:rFonts w:ascii="Garamond" w:hAnsi="Garamond" w:cs="Times New Roman"/>
          <w:sz w:val="24"/>
          <w:szCs w:val="24"/>
        </w:rPr>
        <w:t xml:space="preserve">significant </w:t>
      </w:r>
      <w:r w:rsidR="00813487" w:rsidRPr="00055865">
        <w:rPr>
          <w:rFonts w:ascii="Garamond" w:hAnsi="Garamond" w:cs="Times New Roman"/>
          <w:sz w:val="24"/>
          <w:szCs w:val="24"/>
        </w:rPr>
        <w:t>positive relationship with financial performance</w:t>
      </w:r>
      <w:r w:rsidR="00B1278D">
        <w:rPr>
          <w:rFonts w:ascii="Garamond" w:hAnsi="Garamond" w:cs="Times New Roman"/>
          <w:sz w:val="24"/>
          <w:szCs w:val="24"/>
        </w:rPr>
        <w:t>,</w:t>
      </w:r>
      <w:r w:rsidR="00813487" w:rsidRPr="00055865">
        <w:rPr>
          <w:rFonts w:ascii="Garamond" w:hAnsi="Garamond" w:cs="Times New Roman"/>
          <w:sz w:val="24"/>
          <w:szCs w:val="24"/>
        </w:rPr>
        <w:t xml:space="preserve"> except environmental compliance where the relationship was negative</w:t>
      </w:r>
      <w:r w:rsidR="00B1278D">
        <w:rPr>
          <w:rFonts w:ascii="Garamond" w:hAnsi="Garamond" w:cs="Times New Roman"/>
          <w:sz w:val="24"/>
          <w:szCs w:val="24"/>
        </w:rPr>
        <w:t>,</w:t>
      </w:r>
      <w:r w:rsidR="00813487" w:rsidRPr="00055865">
        <w:rPr>
          <w:rFonts w:ascii="Garamond" w:hAnsi="Garamond" w:cs="Times New Roman"/>
          <w:sz w:val="24"/>
          <w:szCs w:val="24"/>
        </w:rPr>
        <w:t xml:space="preserve"> but not significant.</w:t>
      </w:r>
    </w:p>
    <w:p w14:paraId="3A92264B" w14:textId="20E05BAA" w:rsidR="005B6FD7" w:rsidRDefault="00A51BDE" w:rsidP="005D6CE4">
      <w:pPr>
        <w:spacing w:after="0" w:line="480" w:lineRule="auto"/>
        <w:contextualSpacing/>
        <w:jc w:val="both"/>
        <w:rPr>
          <w:rFonts w:ascii="Garamond" w:hAnsi="Garamond"/>
          <w:b/>
          <w:sz w:val="24"/>
          <w:szCs w:val="24"/>
        </w:rPr>
      </w:pPr>
      <w:r w:rsidRPr="00055865">
        <w:rPr>
          <w:rFonts w:ascii="Garamond" w:hAnsi="Garamond" w:cs="Times New Roman"/>
          <w:sz w:val="24"/>
          <w:szCs w:val="24"/>
        </w:rPr>
        <w:t xml:space="preserve">                                        </w:t>
      </w:r>
      <w:bookmarkStart w:id="10" w:name="_Hlk36713174"/>
    </w:p>
    <w:p w14:paraId="442AA19A" w14:textId="77777777" w:rsidR="005B6FD7" w:rsidRDefault="005B6FD7" w:rsidP="005D6CE4">
      <w:pPr>
        <w:spacing w:after="0" w:line="480" w:lineRule="auto"/>
        <w:contextualSpacing/>
        <w:jc w:val="both"/>
        <w:rPr>
          <w:rFonts w:ascii="Garamond" w:hAnsi="Garamond"/>
          <w:b/>
          <w:sz w:val="24"/>
          <w:szCs w:val="24"/>
        </w:rPr>
      </w:pPr>
    </w:p>
    <w:p w14:paraId="362D20BA" w14:textId="77777777" w:rsidR="00334689" w:rsidRPr="00055865" w:rsidRDefault="00334689" w:rsidP="00334689">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hAnsi="Garamond"/>
          <w:b/>
          <w:sz w:val="20"/>
          <w:szCs w:val="20"/>
        </w:rPr>
        <w:lastRenderedPageBreak/>
        <w:t>Table 4: 2SLS Results of Sustainable Environmental Policies and Financial Performance (ROA)</w:t>
      </w:r>
    </w:p>
    <w:p w14:paraId="7C4D6039" w14:textId="77777777" w:rsidR="00334689" w:rsidRPr="00055865" w:rsidRDefault="00334689" w:rsidP="00334689">
      <w:pPr>
        <w:tabs>
          <w:tab w:val="left" w:pos="222"/>
        </w:tabs>
        <w:spacing w:after="0" w:line="480" w:lineRule="auto"/>
        <w:contextualSpacing/>
        <w:jc w:val="both"/>
        <w:rPr>
          <w:rFonts w:ascii="Garamond" w:hAnsi="Garamond"/>
          <w:b/>
          <w:sz w:val="20"/>
          <w:szCs w:val="20"/>
        </w:rPr>
      </w:pPr>
      <w:r w:rsidRPr="00055865">
        <w:rPr>
          <w:rFonts w:ascii="Garamond" w:hAnsi="Garamond"/>
          <w:sz w:val="20"/>
          <w:szCs w:val="20"/>
          <w:vertAlign w:val="subscript"/>
        </w:rPr>
        <w:t xml:space="preserve">This table presents the results of the following panel data regression on the relationship between Sustainable Environmental Policies (SEP) and financial performance (FP): </w:t>
      </w:r>
      <w:r w:rsidRPr="00055865">
        <w:rPr>
          <w:rFonts w:ascii="Garamond" w:eastAsia="Times New Roman" w:hAnsi="Garamond"/>
          <w:sz w:val="20"/>
          <w:szCs w:val="20"/>
          <w:vertAlign w:val="subscript"/>
        </w:rPr>
        <w:fldChar w:fldCharType="begin"/>
      </w:r>
      <w:r w:rsidRPr="00334689">
        <w:rPr>
          <w:rFonts w:ascii="Garamond" w:eastAsia="Times New Roman" w:hAnsi="Garamond"/>
          <w:sz w:val="20"/>
          <w:szCs w:val="20"/>
          <w:vertAlign w:val="subscript"/>
        </w:rPr>
        <w:instrText xml:space="preserve"> QUOTE </w:instrText>
      </w:r>
      <w:r w:rsidR="00806386">
        <w:rPr>
          <w:rFonts w:ascii="Garamond" w:hAnsi="Garamond"/>
          <w:noProof/>
          <w:position w:val="-9"/>
        </w:rPr>
        <w:pict w14:anchorId="78CED8B8">
          <v:shape id="_x0000_i1028" type="#_x0000_t75" alt="" style="width:273.6pt;height:14.4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MzU2sTQ3MDO2MLIwMDVS0lEKTi0uzszPAykwMqwFADwa6vwtAAAA&quot;/&gt;&lt;/w:docVars&gt;&lt;wsp:rsids&gt;&lt;wsp:rsidRoot wsp:val=&quot;006036E7&quot;/&gt;&lt;wsp:rsid wsp:val=&quot;00006990&quot;/&gt;&lt;wsp:rsid wsp:val=&quot;00013C17&quot;/&gt;&lt;wsp:rsid wsp:val=&quot;00017851&quot;/&gt;&lt;wsp:rsid wsp:val=&quot;00023262&quot;/&gt;&lt;wsp:rsid wsp:val=&quot;00024C92&quot;/&gt;&lt;wsp:rsid wsp:val=&quot;00030754&quot;/&gt;&lt;wsp:rsid wsp:val=&quot;0003694C&quot;/&gt;&lt;wsp:rsid wsp:val=&quot;00037DBB&quot;/&gt;&lt;wsp:rsid wsp:val=&quot;000444D2&quot;/&gt;&lt;wsp:rsid wsp:val=&quot;00044C1F&quot;/&gt;&lt;wsp:rsid wsp:val=&quot;00063723&quot;/&gt;&lt;wsp:rsid wsp:val=&quot;00063A9B&quot;/&gt;&lt;wsp:rsid wsp:val=&quot;00065594&quot;/&gt;&lt;wsp:rsid wsp:val=&quot;000675BF&quot;/&gt;&lt;wsp:rsid wsp:val=&quot;00075262&quot;/&gt;&lt;wsp:rsid wsp:val=&quot;0007589E&quot;/&gt;&lt;wsp:rsid wsp:val=&quot;00076741&quot;/&gt;&lt;wsp:rsid wsp:val=&quot;0008143B&quot;/&gt;&lt;wsp:rsid wsp:val=&quot;00081817&quot;/&gt;&lt;wsp:rsid wsp:val=&quot;00081A23&quot;/&gt;&lt;wsp:rsid wsp:val=&quot;00084561&quot;/&gt;&lt;wsp:rsid wsp:val=&quot;00085160&quot;/&gt;&lt;wsp:rsid wsp:val=&quot;00091380&quot;/&gt;&lt;wsp:rsid wsp:val=&quot;00095385&quot;/&gt;&lt;wsp:rsid wsp:val=&quot;000A07A0&quot;/&gt;&lt;wsp:rsid wsp:val=&quot;000A6CAB&quot;/&gt;&lt;wsp:rsid wsp:val=&quot;000A7612&quot;/&gt;&lt;wsp:rsid wsp:val=&quot;000B3D51&quot;/&gt;&lt;wsp:rsid wsp:val=&quot;000C3826&quot;/&gt;&lt;wsp:rsid wsp:val=&quot;000D1F37&quot;/&gt;&lt;wsp:rsid wsp:val=&quot;000D6337&quot;/&gt;&lt;wsp:rsid wsp:val=&quot;000E0107&quot;/&gt;&lt;wsp:rsid wsp:val=&quot;000E0DF4&quot;/&gt;&lt;wsp:rsid wsp:val=&quot;000E2B8A&quot;/&gt;&lt;wsp:rsid wsp:val=&quot;000E33FE&quot;/&gt;&lt;wsp:rsid wsp:val=&quot;000E701F&quot;/&gt;&lt;wsp:rsid wsp:val=&quot;000E7B98&quot;/&gt;&lt;wsp:rsid wsp:val=&quot;000F0A82&quot;/&gt;&lt;wsp:rsid wsp:val=&quot;0010708E&quot;/&gt;&lt;wsp:rsid wsp:val=&quot;00111DC4&quot;/&gt;&lt;wsp:rsid wsp:val=&quot;001121F1&quot;/&gt;&lt;wsp:rsid wsp:val=&quot;00114317&quot;/&gt;&lt;wsp:rsid wsp:val=&quot;0011545E&quot;/&gt;&lt;wsp:rsid wsp:val=&quot;001161CB&quot;/&gt;&lt;wsp:rsid wsp:val=&quot;0011798C&quot;/&gt;&lt;wsp:rsid wsp:val=&quot;0012578B&quot;/&gt;&lt;wsp:rsid wsp:val=&quot;0012795D&quot;/&gt;&lt;wsp:rsid wsp:val=&quot;00127DD3&quot;/&gt;&lt;wsp:rsid wsp:val=&quot;00130DC0&quot;/&gt;&lt;wsp:rsid wsp:val=&quot;00132EA0&quot;/&gt;&lt;wsp:rsid wsp:val=&quot;0013327A&quot;/&gt;&lt;wsp:rsid wsp:val=&quot;001372DD&quot;/&gt;&lt;wsp:rsid wsp:val=&quot;00145E9E&quot;/&gt;&lt;wsp:rsid wsp:val=&quot;00146606&quot;/&gt;&lt;wsp:rsid wsp:val=&quot;001471EC&quot;/&gt;&lt;wsp:rsid wsp:val=&quot;00147E9B&quot;/&gt;&lt;wsp:rsid wsp:val=&quot;001510EB&quot;/&gt;&lt;wsp:rsid wsp:val=&quot;00157FBB&quot;/&gt;&lt;wsp:rsid wsp:val=&quot;00171230&quot;/&gt;&lt;wsp:rsid wsp:val=&quot;00172991&quot;/&gt;&lt;wsp:rsid wsp:val=&quot;00175083&quot;/&gt;&lt;wsp:rsid wsp:val=&quot;001751CC&quot;/&gt;&lt;wsp:rsid wsp:val=&quot;001764C5&quot;/&gt;&lt;wsp:rsid wsp:val=&quot;00181FF7&quot;/&gt;&lt;wsp:rsid wsp:val=&quot;001841B9&quot;/&gt;&lt;wsp:rsid wsp:val=&quot;00186608&quot;/&gt;&lt;wsp:rsid wsp:val=&quot;00197319&quot;/&gt;&lt;wsp:rsid wsp:val=&quot;001A3CA6&quot;/&gt;&lt;wsp:rsid wsp:val=&quot;001C5886&quot;/&gt;&lt;wsp:rsid wsp:val=&quot;001D1F21&quot;/&gt;&lt;wsp:rsid wsp:val=&quot;001D7CDA&quot;/&gt;&lt;wsp:rsid wsp:val=&quot;001E0827&quot;/&gt;&lt;wsp:rsid wsp:val=&quot;001E63EC&quot;/&gt;&lt;wsp:rsid wsp:val=&quot;001F29AD&quot;/&gt;&lt;wsp:rsid wsp:val=&quot;00200C00&quot;/&gt;&lt;wsp:rsid wsp:val=&quot;00201C10&quot;/&gt;&lt;wsp:rsid wsp:val=&quot;0020459A&quot;/&gt;&lt;wsp:rsid wsp:val=&quot;00204961&quot;/&gt;&lt;wsp:rsid wsp:val=&quot;00204EC7&quot;/&gt;&lt;wsp:rsid wsp:val=&quot;00223956&quot;/&gt;&lt;wsp:rsid wsp:val=&quot;00236E5E&quot;/&gt;&lt;wsp:rsid wsp:val=&quot;00240574&quot;/&gt;&lt;wsp:rsid wsp:val=&quot;00244145&quot;/&gt;&lt;wsp:rsid wsp:val=&quot;00245147&quot;/&gt;&lt;wsp:rsid wsp:val=&quot;00247544&quot;/&gt;&lt;wsp:rsid wsp:val=&quot;00267DA0&quot;/&gt;&lt;wsp:rsid wsp:val=&quot;00280155&quot;/&gt;&lt;wsp:rsid wsp:val=&quot;00285FBA&quot;/&gt;&lt;wsp:rsid wsp:val=&quot;00286D7C&quot;/&gt;&lt;wsp:rsid wsp:val=&quot;00286FEC&quot;/&gt;&lt;wsp:rsid wsp:val=&quot;002A01F1&quot;/&gt;&lt;wsp:rsid wsp:val=&quot;002A1E01&quot;/&gt;&lt;wsp:rsid wsp:val=&quot;002B7C72&quot;/&gt;&lt;wsp:rsid wsp:val=&quot;002C28F5&quot;/&gt;&lt;wsp:rsid wsp:val=&quot;002C6F94&quot;/&gt;&lt;wsp:rsid wsp:val=&quot;002C702F&quot;/&gt;&lt;wsp:rsid wsp:val=&quot;002D2311&quot;/&gt;&lt;wsp:rsid wsp:val=&quot;002D2C35&quot;/&gt;&lt;wsp:rsid wsp:val=&quot;002D470F&quot;/&gt;&lt;wsp:rsid wsp:val=&quot;002E0DDE&quot;/&gt;&lt;wsp:rsid wsp:val=&quot;002E26FB&quot;/&gt;&lt;wsp:rsid wsp:val=&quot;003012D3&quot;/&gt;&lt;wsp:rsid wsp:val=&quot;00304AAB&quot;/&gt;&lt;wsp:rsid wsp:val=&quot;003069B2&quot;/&gt;&lt;wsp:rsid wsp:val=&quot;00312355&quot;/&gt;&lt;wsp:rsid wsp:val=&quot;00326C9B&quot;/&gt;&lt;wsp:rsid wsp:val=&quot;003375A1&quot;/&gt;&lt;wsp:rsid wsp:val=&quot;0034107D&quot;/&gt;&lt;wsp:rsid wsp:val=&quot;003432B8&quot;/&gt;&lt;wsp:rsid wsp:val=&quot;003455B5&quot;/&gt;&lt;wsp:rsid wsp:val=&quot;00355708&quot;/&gt;&lt;wsp:rsid wsp:val=&quot;00363419&quot;/&gt;&lt;wsp:rsid wsp:val=&quot;00363824&quot;/&gt;&lt;wsp:rsid wsp:val=&quot;003746A6&quot;/&gt;&lt;wsp:rsid wsp:val=&quot;00386296&quot;/&gt;&lt;wsp:rsid wsp:val=&quot;00390F79&quot;/&gt;&lt;wsp:rsid wsp:val=&quot;0039348B&quot;/&gt;&lt;wsp:rsid wsp:val=&quot;003B0842&quot;/&gt;&lt;wsp:rsid wsp:val=&quot;003B2D26&quot;/&gt;&lt;wsp:rsid wsp:val=&quot;003B3BE9&quot;/&gt;&lt;wsp:rsid wsp:val=&quot;003B6CFB&quot;/&gt;&lt;wsp:rsid wsp:val=&quot;003D2284&quot;/&gt;&lt;wsp:rsid wsp:val=&quot;003D3E6A&quot;/&gt;&lt;wsp:rsid wsp:val=&quot;003D7ECE&quot;/&gt;&lt;wsp:rsid wsp:val=&quot;003E2993&quot;/&gt;&lt;wsp:rsid wsp:val=&quot;003E4689&quot;/&gt;&lt;wsp:rsid wsp:val=&quot;003E74F0&quot;/&gt;&lt;wsp:rsid wsp:val=&quot;003F7E97&quot;/&gt;&lt;wsp:rsid wsp:val=&quot;0040109E&quot;/&gt;&lt;wsp:rsid wsp:val=&quot;004179F2&quot;/&gt;&lt;wsp:rsid wsp:val=&quot;00425317&quot;/&gt;&lt;wsp:rsid wsp:val=&quot;00431892&quot;/&gt;&lt;wsp:rsid wsp:val=&quot;00435FA0&quot;/&gt;&lt;wsp:rsid wsp:val=&quot;004432B8&quot;/&gt;&lt;wsp:rsid wsp:val=&quot;00444353&quot;/&gt;&lt;wsp:rsid wsp:val=&quot;0045476C&quot;/&gt;&lt;wsp:rsid wsp:val=&quot;00461247&quot;/&gt;&lt;wsp:rsid wsp:val=&quot;0047050D&quot;/&gt;&lt;wsp:rsid wsp:val=&quot;00480AAF&quot;/&gt;&lt;wsp:rsid wsp:val=&quot;00484DB2&quot;/&gt;&lt;wsp:rsid wsp:val=&quot;00491B7F&quot;/&gt;&lt;wsp:rsid wsp:val=&quot;004A5E00&quot;/&gt;&lt;wsp:rsid wsp:val=&quot;004B47B5&quot;/&gt;&lt;wsp:rsid wsp:val=&quot;004B62B0&quot;/&gt;&lt;wsp:rsid wsp:val=&quot;004D4808&quot;/&gt;&lt;wsp:rsid wsp:val=&quot;004E0EC3&quot;/&gt;&lt;wsp:rsid wsp:val=&quot;004E7D8D&quot;/&gt;&lt;wsp:rsid wsp:val=&quot;004F6EC4&quot;/&gt;&lt;wsp:rsid wsp:val=&quot;0050035A&quot;/&gt;&lt;wsp:rsid wsp:val=&quot;00502857&quot;/&gt;&lt;wsp:rsid wsp:val=&quot;00512E7E&quot;/&gt;&lt;wsp:rsid wsp:val=&quot;00514C22&quot;/&gt;&lt;wsp:rsid wsp:val=&quot;00515CEE&quot;/&gt;&lt;wsp:rsid wsp:val=&quot;00537569&quot;/&gt;&lt;wsp:rsid wsp:val=&quot;00542935&quot;/&gt;&lt;wsp:rsid wsp:val=&quot;00554C20&quot;/&gt;&lt;wsp:rsid wsp:val=&quot;0055706B&quot;/&gt;&lt;wsp:rsid wsp:val=&quot;00561598&quot;/&gt;&lt;wsp:rsid wsp:val=&quot;00564AB6&quot;/&gt;&lt;wsp:rsid wsp:val=&quot;00570837&quot;/&gt;&lt;wsp:rsid wsp:val=&quot;00577946&quot;/&gt;&lt;wsp:rsid wsp:val=&quot;0059264F&quot;/&gt;&lt;wsp:rsid wsp:val=&quot;005A1B24&quot;/&gt;&lt;wsp:rsid wsp:val=&quot;005A3AA7&quot;/&gt;&lt;wsp:rsid wsp:val=&quot;005A7EF3&quot;/&gt;&lt;wsp:rsid wsp:val=&quot;005B6C87&quot;/&gt;&lt;wsp:rsid wsp:val=&quot;005E4E83&quot;/&gt;&lt;wsp:rsid wsp:val=&quot;005F0782&quot;/&gt;&lt;wsp:rsid wsp:val=&quot;005F1A98&quot;/&gt;&lt;wsp:rsid wsp:val=&quot;005F5B68&quot;/&gt;&lt;wsp:rsid wsp:val=&quot;005F663B&quot;/&gt;&lt;wsp:rsid wsp:val=&quot;006036E7&quot;/&gt;&lt;wsp:rsid wsp:val=&quot;0060577A&quot;/&gt;&lt;wsp:rsid wsp:val=&quot;006177C3&quot;/&gt;&lt;wsp:rsid wsp:val=&quot;00620C3C&quot;/&gt;&lt;wsp:rsid wsp:val=&quot;0062134F&quot;/&gt;&lt;wsp:rsid wsp:val=&quot;00622289&quot;/&gt;&lt;wsp:rsid wsp:val=&quot;00633085&quot;/&gt;&lt;wsp:rsid wsp:val=&quot;0063416B&quot;/&gt;&lt;wsp:rsid wsp:val=&quot;00646027&quot;/&gt;&lt;wsp:rsid wsp:val=&quot;006503BD&quot;/&gt;&lt;wsp:rsid wsp:val=&quot;006539D1&quot;/&gt;&lt;wsp:rsid wsp:val=&quot;006604A7&quot;/&gt;&lt;wsp:rsid wsp:val=&quot;00663CEB&quot;/&gt;&lt;wsp:rsid wsp:val=&quot;00664AF4&quot;/&gt;&lt;wsp:rsid wsp:val=&quot;00664C06&quot;/&gt;&lt;wsp:rsid wsp:val=&quot;00671243&quot;/&gt;&lt;wsp:rsid wsp:val=&quot;00671D23&quot;/&gt;&lt;wsp:rsid wsp:val=&quot;00671F6E&quot;/&gt;&lt;wsp:rsid wsp:val=&quot;00674C56&quot;/&gt;&lt;wsp:rsid wsp:val=&quot;006801DC&quot;/&gt;&lt;wsp:rsid wsp:val=&quot;00680DC2&quot;/&gt;&lt;wsp:rsid wsp:val=&quot;00681D69&quot;/&gt;&lt;wsp:rsid wsp:val=&quot;00682770&quot;/&gt;&lt;wsp:rsid wsp:val=&quot;0068299C&quot;/&gt;&lt;wsp:rsid wsp:val=&quot;006859F6&quot;/&gt;&lt;wsp:rsid wsp:val=&quot;00694372&quot;/&gt;&lt;wsp:rsid wsp:val=&quot;006A637C&quot;/&gt;&lt;wsp:rsid wsp:val=&quot;006C0963&quot;/&gt;&lt;wsp:rsid wsp:val=&quot;006C2EDA&quot;/&gt;&lt;wsp:rsid wsp:val=&quot;006D1230&quot;/&gt;&lt;wsp:rsid wsp:val=&quot;006D4E2D&quot;/&gt;&lt;wsp:rsid wsp:val=&quot;006D6BF4&quot;/&gt;&lt;wsp:rsid wsp:val=&quot;007063E5&quot;/&gt;&lt;wsp:rsid wsp:val=&quot;00707CF1&quot;/&gt;&lt;wsp:rsid wsp:val=&quot;00713916&quot;/&gt;&lt;wsp:rsid wsp:val=&quot;00713EA8&quot;/&gt;&lt;wsp:rsid wsp:val=&quot;00717F21&quot;/&gt;&lt;wsp:rsid wsp:val=&quot;00721241&quot;/&gt;&lt;wsp:rsid wsp:val=&quot;007315FC&quot;/&gt;&lt;wsp:rsid wsp:val=&quot;00732AFA&quot;/&gt;&lt;wsp:rsid wsp:val=&quot;00732B17&quot;/&gt;&lt;wsp:rsid wsp:val=&quot;00746C7C&quot;/&gt;&lt;wsp:rsid wsp:val=&quot;00747FBB&quot;/&gt;&lt;wsp:rsid wsp:val=&quot;00750A57&quot;/&gt;&lt;wsp:rsid wsp:val=&quot;00770755&quot;/&gt;&lt;wsp:rsid wsp:val=&quot;007775DE&quot;/&gt;&lt;wsp:rsid wsp:val=&quot;00784E40&quot;/&gt;&lt;wsp:rsid wsp:val=&quot;00786A2D&quot;/&gt;&lt;wsp:rsid wsp:val=&quot;007A2EBF&quot;/&gt;&lt;wsp:rsid wsp:val=&quot;007A3A8E&quot;/&gt;&lt;wsp:rsid wsp:val=&quot;007A62C7&quot;/&gt;&lt;wsp:rsid wsp:val=&quot;007B1A74&quot;/&gt;&lt;wsp:rsid wsp:val=&quot;007B1BB0&quot;/&gt;&lt;wsp:rsid wsp:val=&quot;007B4D6B&quot;/&gt;&lt;wsp:rsid wsp:val=&quot;007B501B&quot;/&gt;&lt;wsp:rsid wsp:val=&quot;007B7372&quot;/&gt;&lt;wsp:rsid wsp:val=&quot;007C34CB&quot;/&gt;&lt;wsp:rsid wsp:val=&quot;007C4187&quot;/&gt;&lt;wsp:rsid wsp:val=&quot;007E748D&quot;/&gt;&lt;wsp:rsid wsp:val=&quot;007F0C3D&quot;/&gt;&lt;wsp:rsid wsp:val=&quot;007F7B1F&quot;/&gt;&lt;wsp:rsid wsp:val=&quot;008010E2&quot;/&gt;&lt;wsp:rsid wsp:val=&quot;0080339E&quot;/&gt;&lt;wsp:rsid wsp:val=&quot;00804F81&quot;/&gt;&lt;wsp:rsid wsp:val=&quot;00805B61&quot;/&gt;&lt;wsp:rsid wsp:val=&quot;00813AA8&quot;/&gt;&lt;wsp:rsid wsp:val=&quot;008140F0&quot;/&gt;&lt;wsp:rsid wsp:val=&quot;00823928&quot;/&gt;&lt;wsp:rsid wsp:val=&quot;0083293C&quot;/&gt;&lt;wsp:rsid wsp:val=&quot;0083510A&quot;/&gt;&lt;wsp:rsid wsp:val=&quot;0083540C&quot;/&gt;&lt;wsp:rsid wsp:val=&quot;00835DA0&quot;/&gt;&lt;wsp:rsid wsp:val=&quot;00837E76&quot;/&gt;&lt;wsp:rsid wsp:val=&quot;00842811&quot;/&gt;&lt;wsp:rsid wsp:val=&quot;00852765&quot;/&gt;&lt;wsp:rsid wsp:val=&quot;00862F41&quot;/&gt;&lt;wsp:rsid wsp:val=&quot;00873ECA&quot;/&gt;&lt;wsp:rsid wsp:val=&quot;0087631A&quot;/&gt;&lt;wsp:rsid wsp:val=&quot;008861D3&quot;/&gt;&lt;wsp:rsid wsp:val=&quot;00892D09&quot;/&gt;&lt;wsp:rsid wsp:val=&quot;008953EC&quot;/&gt;&lt;wsp:rsid wsp:val=&quot;008C02A2&quot;/&gt;&lt;wsp:rsid wsp:val=&quot;008C1771&quot;/&gt;&lt;wsp:rsid wsp:val=&quot;008D2395&quot;/&gt;&lt;wsp:rsid wsp:val=&quot;008E5BF6&quot;/&gt;&lt;wsp:rsid wsp:val=&quot;008E6498&quot;/&gt;&lt;wsp:rsid wsp:val=&quot;008F6567&quot;/&gt;&lt;wsp:rsid wsp:val=&quot;009025B7&quot;/&gt;&lt;wsp:rsid wsp:val=&quot;00904E55&quot;/&gt;&lt;wsp:rsid wsp:val=&quot;00911FF7&quot;/&gt;&lt;wsp:rsid wsp:val=&quot;00913E73&quot;/&gt;&lt;wsp:rsid wsp:val=&quot;009178A6&quot;/&gt;&lt;wsp:rsid wsp:val=&quot;00920156&quot;/&gt;&lt;wsp:rsid wsp:val=&quot;00923E75&quot;/&gt;&lt;wsp:rsid wsp:val=&quot;00931888&quot;/&gt;&lt;wsp:rsid wsp:val=&quot;00933E38&quot;/&gt;&lt;wsp:rsid wsp:val=&quot;00943D6A&quot;/&gt;&lt;wsp:rsid wsp:val=&quot;00944979&quot;/&gt;&lt;wsp:rsid wsp:val=&quot;009460E1&quot;/&gt;&lt;wsp:rsid wsp:val=&quot;00952187&quot;/&gt;&lt;wsp:rsid wsp:val=&quot;00964421&quot;/&gt;&lt;wsp:rsid wsp:val=&quot;00972D85&quot;/&gt;&lt;wsp:rsid wsp:val=&quot;0098178D&quot;/&gt;&lt;wsp:rsid wsp:val=&quot;00984586&quot;/&gt;&lt;wsp:rsid wsp:val=&quot;00987810&quot;/&gt;&lt;wsp:rsid wsp:val=&quot;009A197D&quot;/&gt;&lt;wsp:rsid wsp:val=&quot;009B3300&quot;/&gt;&lt;wsp:rsid wsp:val=&quot;009B3527&quot;/&gt;&lt;wsp:rsid wsp:val=&quot;009B5487&quot;/&gt;&lt;wsp:rsid wsp:val=&quot;009C5F30&quot;/&gt;&lt;wsp:rsid wsp:val=&quot;009D1492&quot;/&gt;&lt;wsp:rsid wsp:val=&quot;00A06322&quot;/&gt;&lt;wsp:rsid wsp:val=&quot;00A24B9F&quot;/&gt;&lt;wsp:rsid wsp:val=&quot;00A27E08&quot;/&gt;&lt;wsp:rsid wsp:val=&quot;00A3543E&quot;/&gt;&lt;wsp:rsid wsp:val=&quot;00A35674&quot;/&gt;&lt;wsp:rsid wsp:val=&quot;00A362CE&quot;/&gt;&lt;wsp:rsid wsp:val=&quot;00A372A7&quot;/&gt;&lt;wsp:rsid wsp:val=&quot;00A411D9&quot;/&gt;&lt;wsp:rsid wsp:val=&quot;00A4402C&quot;/&gt;&lt;wsp:rsid wsp:val=&quot;00A516DC&quot;/&gt;&lt;wsp:rsid wsp:val=&quot;00A52913&quot;/&gt;&lt;wsp:rsid wsp:val=&quot;00A53C05&quot;/&gt;&lt;wsp:rsid wsp:val=&quot;00A60134&quot;/&gt;&lt;wsp:rsid wsp:val=&quot;00A71D23&quot;/&gt;&lt;wsp:rsid wsp:val=&quot;00A742CE&quot;/&gt;&lt;wsp:rsid wsp:val=&quot;00A90E4B&quot;/&gt;&lt;wsp:rsid wsp:val=&quot;00A91737&quot;/&gt;&lt;wsp:rsid wsp:val=&quot;00AB6E48&quot;/&gt;&lt;wsp:rsid wsp:val=&quot;00AB7620&quot;/&gt;&lt;wsp:rsid wsp:val=&quot;00AB7E5B&quot;/&gt;&lt;wsp:rsid wsp:val=&quot;00AC702D&quot;/&gt;&lt;wsp:rsid wsp:val=&quot;00AD292A&quot;/&gt;&lt;wsp:rsid wsp:val=&quot;00AD392E&quot;/&gt;&lt;wsp:rsid wsp:val=&quot;00AD56DD&quot;/&gt;&lt;wsp:rsid wsp:val=&quot;00AD5CC3&quot;/&gt;&lt;wsp:rsid wsp:val=&quot;00AE0067&quot;/&gt;&lt;wsp:rsid wsp:val=&quot;00AE1B1F&quot;/&gt;&lt;wsp:rsid wsp:val=&quot;00AF0B96&quot;/&gt;&lt;wsp:rsid wsp:val=&quot;00AF586C&quot;/&gt;&lt;wsp:rsid wsp:val=&quot;00B01494&quot;/&gt;&lt;wsp:rsid wsp:val=&quot;00B01848&quot;/&gt;&lt;wsp:rsid wsp:val=&quot;00B14124&quot;/&gt;&lt;wsp:rsid wsp:val=&quot;00B15580&quot;/&gt;&lt;wsp:rsid wsp:val=&quot;00B24D45&quot;/&gt;&lt;wsp:rsid wsp:val=&quot;00B2767F&quot;/&gt;&lt;wsp:rsid wsp:val=&quot;00B27A51&quot;/&gt;&lt;wsp:rsid wsp:val=&quot;00B37776&quot;/&gt;&lt;wsp:rsid wsp:val=&quot;00B43603&quot;/&gt;&lt;wsp:rsid wsp:val=&quot;00B47EEA&quot;/&gt;&lt;wsp:rsid wsp:val=&quot;00B550C1&quot;/&gt;&lt;wsp:rsid wsp:val=&quot;00B55DEE&quot;/&gt;&lt;wsp:rsid wsp:val=&quot;00B568BA&quot;/&gt;&lt;wsp:rsid wsp:val=&quot;00B600D5&quot;/&gt;&lt;wsp:rsid wsp:val=&quot;00B64692&quot;/&gt;&lt;wsp:rsid wsp:val=&quot;00B8373C&quot;/&gt;&lt;wsp:rsid wsp:val=&quot;00B83926&quot;/&gt;&lt;wsp:rsid wsp:val=&quot;00B83D4F&quot;/&gt;&lt;wsp:rsid wsp:val=&quot;00B873F5&quot;/&gt;&lt;wsp:rsid wsp:val=&quot;00B969D6&quot;/&gt;&lt;wsp:rsid wsp:val=&quot;00BA5D34&quot;/&gt;&lt;wsp:rsid wsp:val=&quot;00BA66D3&quot;/&gt;&lt;wsp:rsid wsp:val=&quot;00BB12D1&quot;/&gt;&lt;wsp:rsid wsp:val=&quot;00BB6548&quot;/&gt;&lt;wsp:rsid wsp:val=&quot;00BC1988&quot;/&gt;&lt;wsp:rsid wsp:val=&quot;00BC305C&quot;/&gt;&lt;wsp:rsid wsp:val=&quot;00BD39A6&quot;/&gt;&lt;wsp:rsid wsp:val=&quot;00BD5625&quot;/&gt;&lt;wsp:rsid wsp:val=&quot;00BE6D92&quot;/&gt;&lt;wsp:rsid wsp:val=&quot;00BE710A&quot;/&gt;&lt;wsp:rsid wsp:val=&quot;00BE785A&quot;/&gt;&lt;wsp:rsid wsp:val=&quot;00BE7B58&quot;/&gt;&lt;wsp:rsid wsp:val=&quot;00BF0A94&quot;/&gt;&lt;wsp:rsid wsp:val=&quot;00BF0C5F&quot;/&gt;&lt;wsp:rsid wsp:val=&quot;00C00CED&quot;/&gt;&lt;wsp:rsid wsp:val=&quot;00C01D64&quot;/&gt;&lt;wsp:rsid wsp:val=&quot;00C01D8F&quot;/&gt;&lt;wsp:rsid wsp:val=&quot;00C05A48&quot;/&gt;&lt;wsp:rsid wsp:val=&quot;00C16404&quot;/&gt;&lt;wsp:rsid wsp:val=&quot;00C3173D&quot;/&gt;&lt;wsp:rsid wsp:val=&quot;00C32066&quot;/&gt;&lt;wsp:rsid wsp:val=&quot;00C3311A&quot;/&gt;&lt;wsp:rsid wsp:val=&quot;00C441D2&quot;/&gt;&lt;wsp:rsid wsp:val=&quot;00C46F61&quot;/&gt;&lt;wsp:rsid wsp:val=&quot;00C63222&quot;/&gt;&lt;wsp:rsid wsp:val=&quot;00C715F2&quot;/&gt;&lt;wsp:rsid wsp:val=&quot;00C72916&quot;/&gt;&lt;wsp:rsid wsp:val=&quot;00C739B6&quot;/&gt;&lt;wsp:rsid wsp:val=&quot;00C84536&quot;/&gt;&lt;wsp:rsid wsp:val=&quot;00C8484C&quot;/&gt;&lt;wsp:rsid wsp:val=&quot;00C8569A&quot;/&gt;&lt;wsp:rsid wsp:val=&quot;00C876C3&quot;/&gt;&lt;wsp:rsid wsp:val=&quot;00C90293&quot;/&gt;&lt;wsp:rsid wsp:val=&quot;00CA106B&quot;/&gt;&lt;wsp:rsid wsp:val=&quot;00CB01E2&quot;/&gt;&lt;wsp:rsid wsp:val=&quot;00CB35DE&quot;/&gt;&lt;wsp:rsid wsp:val=&quot;00CD09BF&quot;/&gt;&lt;wsp:rsid wsp:val=&quot;00CD5F69&quot;/&gt;&lt;wsp:rsid wsp:val=&quot;00CE41B1&quot;/&gt;&lt;wsp:rsid wsp:val=&quot;00CF63FF&quot;/&gt;&lt;wsp:rsid wsp:val=&quot;00D1416A&quot;/&gt;&lt;wsp:rsid wsp:val=&quot;00D3248A&quot;/&gt;&lt;wsp:rsid wsp:val=&quot;00D32F74&quot;/&gt;&lt;wsp:rsid wsp:val=&quot;00D33267&quot;/&gt;&lt;wsp:rsid wsp:val=&quot;00D408A3&quot;/&gt;&lt;wsp:rsid wsp:val=&quot;00D41BCE&quot;/&gt;&lt;wsp:rsid wsp:val=&quot;00D557DD&quot;/&gt;&lt;wsp:rsid wsp:val=&quot;00D63CC5&quot;/&gt;&lt;wsp:rsid wsp:val=&quot;00D641CB&quot;/&gt;&lt;wsp:rsid wsp:val=&quot;00D67554&quot;/&gt;&lt;wsp:rsid wsp:val=&quot;00D72102&quot;/&gt;&lt;wsp:rsid wsp:val=&quot;00D730CF&quot;/&gt;&lt;wsp:rsid wsp:val=&quot;00D74D08&quot;/&gt;&lt;wsp:rsid wsp:val=&quot;00D76ABE&quot;/&gt;&lt;wsp:rsid wsp:val=&quot;00D86B47&quot;/&gt;&lt;wsp:rsid wsp:val=&quot;00D90BC5&quot;/&gt;&lt;wsp:rsid wsp:val=&quot;00D91C61&quot;/&gt;&lt;wsp:rsid wsp:val=&quot;00D95787&quot;/&gt;&lt;wsp:rsid wsp:val=&quot;00D97692&quot;/&gt;&lt;wsp:rsid wsp:val=&quot;00D97E85&quot;/&gt;&lt;wsp:rsid wsp:val=&quot;00DC0CB0&quot;/&gt;&lt;wsp:rsid wsp:val=&quot;00DC3A3B&quot;/&gt;&lt;wsp:rsid wsp:val=&quot;00DC6380&quot;/&gt;&lt;wsp:rsid wsp:val=&quot;00DC6F9A&quot;/&gt;&lt;wsp:rsid wsp:val=&quot;00DD5E28&quot;/&gt;&lt;wsp:rsid wsp:val=&quot;00DD72FD&quot;/&gt;&lt;wsp:rsid wsp:val=&quot;00DE458B&quot;/&gt;&lt;wsp:rsid wsp:val=&quot;00DF0357&quot;/&gt;&lt;wsp:rsid wsp:val=&quot;00DF0F57&quot;/&gt;&lt;wsp:rsid wsp:val=&quot;00E1211A&quot;/&gt;&lt;wsp:rsid wsp:val=&quot;00E1211C&quot;/&gt;&lt;wsp:rsid wsp:val=&quot;00E15620&quot;/&gt;&lt;wsp:rsid wsp:val=&quot;00E2111D&quot;/&gt;&lt;wsp:rsid wsp:val=&quot;00E276CB&quot;/&gt;&lt;wsp:rsid wsp:val=&quot;00E42710&quot;/&gt;&lt;wsp:rsid wsp:val=&quot;00E462B6&quot;/&gt;&lt;wsp:rsid wsp:val=&quot;00E517D7&quot;/&gt;&lt;wsp:rsid wsp:val=&quot;00E51A93&quot;/&gt;&lt;wsp:rsid wsp:val=&quot;00E5474A&quot;/&gt;&lt;wsp:rsid wsp:val=&quot;00E65880&quot;/&gt;&lt;wsp:rsid wsp:val=&quot;00E671C9&quot;/&gt;&lt;wsp:rsid wsp:val=&quot;00E678CD&quot;/&gt;&lt;wsp:rsid wsp:val=&quot;00E8139B&quot;/&gt;&lt;wsp:rsid wsp:val=&quot;00E83268&quot;/&gt;&lt;wsp:rsid wsp:val=&quot;00E84BA2&quot;/&gt;&lt;wsp:rsid wsp:val=&quot;00E90A19&quot;/&gt;&lt;wsp:rsid wsp:val=&quot;00E95589&quot;/&gt;&lt;wsp:rsid wsp:val=&quot;00ED045E&quot;/&gt;&lt;wsp:rsid wsp:val=&quot;00EF18E7&quot;/&gt;&lt;wsp:rsid wsp:val=&quot;00F03E48&quot;/&gt;&lt;wsp:rsid wsp:val=&quot;00F05FC3&quot;/&gt;&lt;wsp:rsid wsp:val=&quot;00F065BE&quot;/&gt;&lt;wsp:rsid wsp:val=&quot;00F116D7&quot;/&gt;&lt;wsp:rsid wsp:val=&quot;00F27E0A&quot;/&gt;&lt;wsp:rsid wsp:val=&quot;00F3244C&quot;/&gt;&lt;wsp:rsid wsp:val=&quot;00F36E92&quot;/&gt;&lt;wsp:rsid wsp:val=&quot;00F54C30&quot;/&gt;&lt;wsp:rsid wsp:val=&quot;00F54DFE&quot;/&gt;&lt;wsp:rsid wsp:val=&quot;00F56E95&quot;/&gt;&lt;wsp:rsid wsp:val=&quot;00F60789&quot;/&gt;&lt;wsp:rsid wsp:val=&quot;00F62396&quot;/&gt;&lt;wsp:rsid wsp:val=&quot;00F63463&quot;/&gt;&lt;wsp:rsid wsp:val=&quot;00F87DDA&quot;/&gt;&lt;wsp:rsid wsp:val=&quot;00F9112C&quot;/&gt;&lt;wsp:rsid wsp:val=&quot;00F94541&quot;/&gt;&lt;wsp:rsid wsp:val=&quot;00FA47A3&quot;/&gt;&lt;wsp:rsid wsp:val=&quot;00FB6694&quot;/&gt;&lt;wsp:rsid wsp:val=&quot;00FC2A71&quot;/&gt;&lt;wsp:rsid wsp:val=&quot;00FC430F&quot;/&gt;&lt;wsp:rsid wsp:val=&quot;00FC6823&quot;/&gt;&lt;wsp:rsid wsp:val=&quot;00FD06AF&quot;/&gt;&lt;wsp:rsid wsp:val=&quot;00FE377B&quot;/&gt;&lt;wsp:rsid wsp:val=&quot;00FE5F09&quot;/&gt;&lt;wsp:rsid wsp:val=&quot;00FE682B&quot;/&gt;&lt;wsp:rsid wsp:val=&quot;00FF171F&quot;/&gt;&lt;wsp:rsid wsp:val=&quot;00FF4DC5&quot;/&gt;&lt;wsp:rsid wsp:val=&quot;00FF7744&quot;/&gt;&lt;/wsp:rsids&gt;&lt;/w:docPr&gt;&lt;w:body&gt;&lt;wx:sect&gt;&lt;w:p wsp:rsidR=&quot;00000000&quot; wsp:rsidRDefault=&quot;009B5487&quot; wsp:rsidP=&quot;009B5487&quot;&gt;&lt;m:oMathPara&gt;&lt;m:oMath&gt;&lt;m:sSub&gt;&lt;m:sSubPr&gt;&lt;m:ctrlPr&gt;&lt;w:rPr&gt;&lt;w:rFonts w:ascii=&quot;Cambria Math&quot; w:h-ansi=&quot;Cambria Math&quot;/&gt;&lt;wx:font wx:val=&quot;Cambria Math&quot;/&gt;&lt;w:sz w:val=&quot;20&quot;/&gt;&lt;w:sz-cs w:val=&quot;20&quot;/&gt;&lt;/w:rPr&gt;&lt;/m:ctrlPr&gt;&lt;/m:sSubPr&gt;&lt;m:e&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FP&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0&lt;/m:t&gt;&lt;/m:r&gt;&lt;/m:sub&gt;&lt;/m:sSub&gt;&lt;m:r&gt;&lt;m:rPr&gt;&lt;m:sty m:val=&quot;p&quot;/&gt;&lt;/m:rPr&gt;&lt;w:rPr&gt;&lt;w:rFonts w:ascii=&quot;Cambria Math&quot; w:h-ansi=&quot;Cambria Math&quot;/&gt;&lt;wx:font wx:val=&quot;Cambria Math&quot;/&gt;&lt;w:sz w:val=&quot;20&quot;/&gt;&lt;w:sz-cs w:val=&quot;20&quot;/&gt;&lt;/w:rPr&gt;&lt;m:t&gt;+ &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1&lt;/m:t&gt;&lt;/m:r&gt;&lt;/m:sub&gt;&lt;/m:sSub&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SEP&lt;/m:t&gt;&lt;/m:r&gt;&lt;/m:e&gt;&lt;m:sub&gt;&lt;m:r&gt;&lt;w:rPr&gt;&lt;w:rFonts w:ascii=&quot;Cambria Math&quot; w:h-ansi=&quot;Cambria Math&quot;/&gt;&lt;wx:font wx:val=&quot;Cambria Math&quot;/&gt;&lt;w:i/&gt;&lt;w:sz w:val=&quot;20&quot;/&gt;&lt;w:sz-cs w:val=&quot;20&quot;/&gt;&lt;/w:rPr&gt;&lt;m:t&gt;it&lt;/m:t&gt;&lt;/m:r&gt;&lt;/m:sub&gt;&lt;/m:sSub&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 &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2&lt;/m:t&gt;&lt;/m:r&gt;&lt;/m:sub&gt;&lt;/m:sSub&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SEP2&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  &lt;/m:t&gt;&lt;/m:r&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3&lt;/m:t&gt;&lt;/m:r&gt;&lt;/m:sub&gt;&lt;/m:sSub&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Controls&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º&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ª&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µ&lt;/m:t&gt;&lt;/m:r&gt;&lt;/m:e&gt;&lt;m:sub&gt;&lt;m:r&gt;&lt;w:rPr&gt;&lt;w:rFonts w:ascii=&quot;Cambria Math&quot; w:h-ansi=&quot;Cambria Math&quot;/&gt;&lt;wx:font wx:val=&quot;Cambria Math&quot;/&gt;&lt;w:i/&gt;&lt;w:sz w:val=&quot;20&quot;/&gt;&lt;w:sz-cs w:val=&quot;20&quot;/&gt;&lt;/w:rPr&gt;&lt;m:t&gt;it&lt;/m:t&gt;&lt;/m:r&gt;&lt;/m:sub&gt;&lt;/m:sSub&gt;&lt;/m:e&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334689">
        <w:rPr>
          <w:rFonts w:ascii="Garamond" w:eastAsia="Times New Roman" w:hAnsi="Garamond"/>
          <w:sz w:val="20"/>
          <w:szCs w:val="20"/>
          <w:vertAlign w:val="subscript"/>
        </w:rPr>
        <w:instrText xml:space="preserve"> </w:instrText>
      </w:r>
      <w:r w:rsidRPr="00055865">
        <w:rPr>
          <w:rFonts w:ascii="Garamond" w:eastAsia="Times New Roman" w:hAnsi="Garamond"/>
          <w:sz w:val="20"/>
          <w:szCs w:val="20"/>
          <w:vertAlign w:val="subscript"/>
        </w:rPr>
        <w:fldChar w:fldCharType="separate"/>
      </w:r>
      <w:r w:rsidR="00806386">
        <w:rPr>
          <w:rFonts w:ascii="Garamond" w:hAnsi="Garamond"/>
          <w:noProof/>
          <w:position w:val="-9"/>
        </w:rPr>
        <w:pict w14:anchorId="325D08F3">
          <v:shape id="_x0000_i1027" type="#_x0000_t75" alt="" style="width:273.6pt;height:14.4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MzU2sTQ3MDO2MLIwMDVS0lEKTi0uzszPAykwMqwFADwa6vwtAAAA&quot;/&gt;&lt;/w:docVars&gt;&lt;wsp:rsids&gt;&lt;wsp:rsidRoot wsp:val=&quot;006036E7&quot;/&gt;&lt;wsp:rsid wsp:val=&quot;00006990&quot;/&gt;&lt;wsp:rsid wsp:val=&quot;00013C17&quot;/&gt;&lt;wsp:rsid wsp:val=&quot;00017851&quot;/&gt;&lt;wsp:rsid wsp:val=&quot;00023262&quot;/&gt;&lt;wsp:rsid wsp:val=&quot;00024C92&quot;/&gt;&lt;wsp:rsid wsp:val=&quot;00030754&quot;/&gt;&lt;wsp:rsid wsp:val=&quot;0003694C&quot;/&gt;&lt;wsp:rsid wsp:val=&quot;00037DBB&quot;/&gt;&lt;wsp:rsid wsp:val=&quot;000444D2&quot;/&gt;&lt;wsp:rsid wsp:val=&quot;00044C1F&quot;/&gt;&lt;wsp:rsid wsp:val=&quot;00063723&quot;/&gt;&lt;wsp:rsid wsp:val=&quot;00063A9B&quot;/&gt;&lt;wsp:rsid wsp:val=&quot;00065594&quot;/&gt;&lt;wsp:rsid wsp:val=&quot;000675BF&quot;/&gt;&lt;wsp:rsid wsp:val=&quot;00075262&quot;/&gt;&lt;wsp:rsid wsp:val=&quot;0007589E&quot;/&gt;&lt;wsp:rsid wsp:val=&quot;00076741&quot;/&gt;&lt;wsp:rsid wsp:val=&quot;0008143B&quot;/&gt;&lt;wsp:rsid wsp:val=&quot;00081817&quot;/&gt;&lt;wsp:rsid wsp:val=&quot;00081A23&quot;/&gt;&lt;wsp:rsid wsp:val=&quot;00084561&quot;/&gt;&lt;wsp:rsid wsp:val=&quot;00085160&quot;/&gt;&lt;wsp:rsid wsp:val=&quot;00091380&quot;/&gt;&lt;wsp:rsid wsp:val=&quot;00095385&quot;/&gt;&lt;wsp:rsid wsp:val=&quot;000A07A0&quot;/&gt;&lt;wsp:rsid wsp:val=&quot;000A6CAB&quot;/&gt;&lt;wsp:rsid wsp:val=&quot;000A7612&quot;/&gt;&lt;wsp:rsid wsp:val=&quot;000B3D51&quot;/&gt;&lt;wsp:rsid wsp:val=&quot;000C3826&quot;/&gt;&lt;wsp:rsid wsp:val=&quot;000D1F37&quot;/&gt;&lt;wsp:rsid wsp:val=&quot;000D6337&quot;/&gt;&lt;wsp:rsid wsp:val=&quot;000E0107&quot;/&gt;&lt;wsp:rsid wsp:val=&quot;000E0DF4&quot;/&gt;&lt;wsp:rsid wsp:val=&quot;000E2B8A&quot;/&gt;&lt;wsp:rsid wsp:val=&quot;000E33FE&quot;/&gt;&lt;wsp:rsid wsp:val=&quot;000E701F&quot;/&gt;&lt;wsp:rsid wsp:val=&quot;000E7B98&quot;/&gt;&lt;wsp:rsid wsp:val=&quot;000F0A82&quot;/&gt;&lt;wsp:rsid wsp:val=&quot;0010708E&quot;/&gt;&lt;wsp:rsid wsp:val=&quot;00111DC4&quot;/&gt;&lt;wsp:rsid wsp:val=&quot;001121F1&quot;/&gt;&lt;wsp:rsid wsp:val=&quot;00114317&quot;/&gt;&lt;wsp:rsid wsp:val=&quot;0011545E&quot;/&gt;&lt;wsp:rsid wsp:val=&quot;001161CB&quot;/&gt;&lt;wsp:rsid wsp:val=&quot;0011798C&quot;/&gt;&lt;wsp:rsid wsp:val=&quot;0012578B&quot;/&gt;&lt;wsp:rsid wsp:val=&quot;0012795D&quot;/&gt;&lt;wsp:rsid wsp:val=&quot;00127DD3&quot;/&gt;&lt;wsp:rsid wsp:val=&quot;00130DC0&quot;/&gt;&lt;wsp:rsid wsp:val=&quot;00132EA0&quot;/&gt;&lt;wsp:rsid wsp:val=&quot;0013327A&quot;/&gt;&lt;wsp:rsid wsp:val=&quot;001372DD&quot;/&gt;&lt;wsp:rsid wsp:val=&quot;00145E9E&quot;/&gt;&lt;wsp:rsid wsp:val=&quot;00146606&quot;/&gt;&lt;wsp:rsid wsp:val=&quot;001471EC&quot;/&gt;&lt;wsp:rsid wsp:val=&quot;00147E9B&quot;/&gt;&lt;wsp:rsid wsp:val=&quot;001510EB&quot;/&gt;&lt;wsp:rsid wsp:val=&quot;00157FBB&quot;/&gt;&lt;wsp:rsid wsp:val=&quot;00171230&quot;/&gt;&lt;wsp:rsid wsp:val=&quot;00172991&quot;/&gt;&lt;wsp:rsid wsp:val=&quot;00175083&quot;/&gt;&lt;wsp:rsid wsp:val=&quot;001751CC&quot;/&gt;&lt;wsp:rsid wsp:val=&quot;001764C5&quot;/&gt;&lt;wsp:rsid wsp:val=&quot;00181FF7&quot;/&gt;&lt;wsp:rsid wsp:val=&quot;001841B9&quot;/&gt;&lt;wsp:rsid wsp:val=&quot;00186608&quot;/&gt;&lt;wsp:rsid wsp:val=&quot;00197319&quot;/&gt;&lt;wsp:rsid wsp:val=&quot;001A3CA6&quot;/&gt;&lt;wsp:rsid wsp:val=&quot;001C5886&quot;/&gt;&lt;wsp:rsid wsp:val=&quot;001D1F21&quot;/&gt;&lt;wsp:rsid wsp:val=&quot;001D7CDA&quot;/&gt;&lt;wsp:rsid wsp:val=&quot;001E0827&quot;/&gt;&lt;wsp:rsid wsp:val=&quot;001E63EC&quot;/&gt;&lt;wsp:rsid wsp:val=&quot;001F29AD&quot;/&gt;&lt;wsp:rsid wsp:val=&quot;00200C00&quot;/&gt;&lt;wsp:rsid wsp:val=&quot;00201C10&quot;/&gt;&lt;wsp:rsid wsp:val=&quot;0020459A&quot;/&gt;&lt;wsp:rsid wsp:val=&quot;00204961&quot;/&gt;&lt;wsp:rsid wsp:val=&quot;00204EC7&quot;/&gt;&lt;wsp:rsid wsp:val=&quot;00223956&quot;/&gt;&lt;wsp:rsid wsp:val=&quot;00236E5E&quot;/&gt;&lt;wsp:rsid wsp:val=&quot;00240574&quot;/&gt;&lt;wsp:rsid wsp:val=&quot;00244145&quot;/&gt;&lt;wsp:rsid wsp:val=&quot;00245147&quot;/&gt;&lt;wsp:rsid wsp:val=&quot;00247544&quot;/&gt;&lt;wsp:rsid wsp:val=&quot;00267DA0&quot;/&gt;&lt;wsp:rsid wsp:val=&quot;00280155&quot;/&gt;&lt;wsp:rsid wsp:val=&quot;00285FBA&quot;/&gt;&lt;wsp:rsid wsp:val=&quot;00286D7C&quot;/&gt;&lt;wsp:rsid wsp:val=&quot;00286FEC&quot;/&gt;&lt;wsp:rsid wsp:val=&quot;002A01F1&quot;/&gt;&lt;wsp:rsid wsp:val=&quot;002A1E01&quot;/&gt;&lt;wsp:rsid wsp:val=&quot;002B7C72&quot;/&gt;&lt;wsp:rsid wsp:val=&quot;002C28F5&quot;/&gt;&lt;wsp:rsid wsp:val=&quot;002C6F94&quot;/&gt;&lt;wsp:rsid wsp:val=&quot;002C702F&quot;/&gt;&lt;wsp:rsid wsp:val=&quot;002D2311&quot;/&gt;&lt;wsp:rsid wsp:val=&quot;002D2C35&quot;/&gt;&lt;wsp:rsid wsp:val=&quot;002D470F&quot;/&gt;&lt;wsp:rsid wsp:val=&quot;002E0DDE&quot;/&gt;&lt;wsp:rsid wsp:val=&quot;002E26FB&quot;/&gt;&lt;wsp:rsid wsp:val=&quot;003012D3&quot;/&gt;&lt;wsp:rsid wsp:val=&quot;00304AAB&quot;/&gt;&lt;wsp:rsid wsp:val=&quot;003069B2&quot;/&gt;&lt;wsp:rsid wsp:val=&quot;00312355&quot;/&gt;&lt;wsp:rsid wsp:val=&quot;00326C9B&quot;/&gt;&lt;wsp:rsid wsp:val=&quot;003375A1&quot;/&gt;&lt;wsp:rsid wsp:val=&quot;0034107D&quot;/&gt;&lt;wsp:rsid wsp:val=&quot;003432B8&quot;/&gt;&lt;wsp:rsid wsp:val=&quot;003455B5&quot;/&gt;&lt;wsp:rsid wsp:val=&quot;00355708&quot;/&gt;&lt;wsp:rsid wsp:val=&quot;00363419&quot;/&gt;&lt;wsp:rsid wsp:val=&quot;00363824&quot;/&gt;&lt;wsp:rsid wsp:val=&quot;003746A6&quot;/&gt;&lt;wsp:rsid wsp:val=&quot;00386296&quot;/&gt;&lt;wsp:rsid wsp:val=&quot;00390F79&quot;/&gt;&lt;wsp:rsid wsp:val=&quot;0039348B&quot;/&gt;&lt;wsp:rsid wsp:val=&quot;003B0842&quot;/&gt;&lt;wsp:rsid wsp:val=&quot;003B2D26&quot;/&gt;&lt;wsp:rsid wsp:val=&quot;003B3BE9&quot;/&gt;&lt;wsp:rsid wsp:val=&quot;003B6CFB&quot;/&gt;&lt;wsp:rsid wsp:val=&quot;003D2284&quot;/&gt;&lt;wsp:rsid wsp:val=&quot;003D3E6A&quot;/&gt;&lt;wsp:rsid wsp:val=&quot;003D7ECE&quot;/&gt;&lt;wsp:rsid wsp:val=&quot;003E2993&quot;/&gt;&lt;wsp:rsid wsp:val=&quot;003E4689&quot;/&gt;&lt;wsp:rsid wsp:val=&quot;003E74F0&quot;/&gt;&lt;wsp:rsid wsp:val=&quot;003F7E97&quot;/&gt;&lt;wsp:rsid wsp:val=&quot;0040109E&quot;/&gt;&lt;wsp:rsid wsp:val=&quot;004179F2&quot;/&gt;&lt;wsp:rsid wsp:val=&quot;00425317&quot;/&gt;&lt;wsp:rsid wsp:val=&quot;00431892&quot;/&gt;&lt;wsp:rsid wsp:val=&quot;00435FA0&quot;/&gt;&lt;wsp:rsid wsp:val=&quot;004432B8&quot;/&gt;&lt;wsp:rsid wsp:val=&quot;00444353&quot;/&gt;&lt;wsp:rsid wsp:val=&quot;0045476C&quot;/&gt;&lt;wsp:rsid wsp:val=&quot;00461247&quot;/&gt;&lt;wsp:rsid wsp:val=&quot;0047050D&quot;/&gt;&lt;wsp:rsid wsp:val=&quot;00480AAF&quot;/&gt;&lt;wsp:rsid wsp:val=&quot;00484DB2&quot;/&gt;&lt;wsp:rsid wsp:val=&quot;00491B7F&quot;/&gt;&lt;wsp:rsid wsp:val=&quot;004A5E00&quot;/&gt;&lt;wsp:rsid wsp:val=&quot;004B47B5&quot;/&gt;&lt;wsp:rsid wsp:val=&quot;004B62B0&quot;/&gt;&lt;wsp:rsid wsp:val=&quot;004D4808&quot;/&gt;&lt;wsp:rsid wsp:val=&quot;004E0EC3&quot;/&gt;&lt;wsp:rsid wsp:val=&quot;004E7D8D&quot;/&gt;&lt;wsp:rsid wsp:val=&quot;004F6EC4&quot;/&gt;&lt;wsp:rsid wsp:val=&quot;0050035A&quot;/&gt;&lt;wsp:rsid wsp:val=&quot;00502857&quot;/&gt;&lt;wsp:rsid wsp:val=&quot;00512E7E&quot;/&gt;&lt;wsp:rsid wsp:val=&quot;00514C22&quot;/&gt;&lt;wsp:rsid wsp:val=&quot;00515CEE&quot;/&gt;&lt;wsp:rsid wsp:val=&quot;00537569&quot;/&gt;&lt;wsp:rsid wsp:val=&quot;00542935&quot;/&gt;&lt;wsp:rsid wsp:val=&quot;00554C20&quot;/&gt;&lt;wsp:rsid wsp:val=&quot;0055706B&quot;/&gt;&lt;wsp:rsid wsp:val=&quot;00561598&quot;/&gt;&lt;wsp:rsid wsp:val=&quot;00564AB6&quot;/&gt;&lt;wsp:rsid wsp:val=&quot;00570837&quot;/&gt;&lt;wsp:rsid wsp:val=&quot;00577946&quot;/&gt;&lt;wsp:rsid wsp:val=&quot;0059264F&quot;/&gt;&lt;wsp:rsid wsp:val=&quot;005A1B24&quot;/&gt;&lt;wsp:rsid wsp:val=&quot;005A3AA7&quot;/&gt;&lt;wsp:rsid wsp:val=&quot;005A7EF3&quot;/&gt;&lt;wsp:rsid wsp:val=&quot;005B6C87&quot;/&gt;&lt;wsp:rsid wsp:val=&quot;005E4E83&quot;/&gt;&lt;wsp:rsid wsp:val=&quot;005F0782&quot;/&gt;&lt;wsp:rsid wsp:val=&quot;005F1A98&quot;/&gt;&lt;wsp:rsid wsp:val=&quot;005F5B68&quot;/&gt;&lt;wsp:rsid wsp:val=&quot;005F663B&quot;/&gt;&lt;wsp:rsid wsp:val=&quot;006036E7&quot;/&gt;&lt;wsp:rsid wsp:val=&quot;0060577A&quot;/&gt;&lt;wsp:rsid wsp:val=&quot;006177C3&quot;/&gt;&lt;wsp:rsid wsp:val=&quot;00620C3C&quot;/&gt;&lt;wsp:rsid wsp:val=&quot;0062134F&quot;/&gt;&lt;wsp:rsid wsp:val=&quot;00622289&quot;/&gt;&lt;wsp:rsid wsp:val=&quot;00633085&quot;/&gt;&lt;wsp:rsid wsp:val=&quot;0063416B&quot;/&gt;&lt;wsp:rsid wsp:val=&quot;00646027&quot;/&gt;&lt;wsp:rsid wsp:val=&quot;006503BD&quot;/&gt;&lt;wsp:rsid wsp:val=&quot;006539D1&quot;/&gt;&lt;wsp:rsid wsp:val=&quot;006604A7&quot;/&gt;&lt;wsp:rsid wsp:val=&quot;00663CEB&quot;/&gt;&lt;wsp:rsid wsp:val=&quot;00664AF4&quot;/&gt;&lt;wsp:rsid wsp:val=&quot;00664C06&quot;/&gt;&lt;wsp:rsid wsp:val=&quot;00671243&quot;/&gt;&lt;wsp:rsid wsp:val=&quot;00671D23&quot;/&gt;&lt;wsp:rsid wsp:val=&quot;00671F6E&quot;/&gt;&lt;wsp:rsid wsp:val=&quot;00674C56&quot;/&gt;&lt;wsp:rsid wsp:val=&quot;006801DC&quot;/&gt;&lt;wsp:rsid wsp:val=&quot;00680DC2&quot;/&gt;&lt;wsp:rsid wsp:val=&quot;00681D69&quot;/&gt;&lt;wsp:rsid wsp:val=&quot;00682770&quot;/&gt;&lt;wsp:rsid wsp:val=&quot;0068299C&quot;/&gt;&lt;wsp:rsid wsp:val=&quot;006859F6&quot;/&gt;&lt;wsp:rsid wsp:val=&quot;00694372&quot;/&gt;&lt;wsp:rsid wsp:val=&quot;006A637C&quot;/&gt;&lt;wsp:rsid wsp:val=&quot;006C0963&quot;/&gt;&lt;wsp:rsid wsp:val=&quot;006C2EDA&quot;/&gt;&lt;wsp:rsid wsp:val=&quot;006D1230&quot;/&gt;&lt;wsp:rsid wsp:val=&quot;006D4E2D&quot;/&gt;&lt;wsp:rsid wsp:val=&quot;006D6BF4&quot;/&gt;&lt;wsp:rsid wsp:val=&quot;007063E5&quot;/&gt;&lt;wsp:rsid wsp:val=&quot;00707CF1&quot;/&gt;&lt;wsp:rsid wsp:val=&quot;00713916&quot;/&gt;&lt;wsp:rsid wsp:val=&quot;00713EA8&quot;/&gt;&lt;wsp:rsid wsp:val=&quot;00717F21&quot;/&gt;&lt;wsp:rsid wsp:val=&quot;00721241&quot;/&gt;&lt;wsp:rsid wsp:val=&quot;007315FC&quot;/&gt;&lt;wsp:rsid wsp:val=&quot;00732AFA&quot;/&gt;&lt;wsp:rsid wsp:val=&quot;00732B17&quot;/&gt;&lt;wsp:rsid wsp:val=&quot;00746C7C&quot;/&gt;&lt;wsp:rsid wsp:val=&quot;00747FBB&quot;/&gt;&lt;wsp:rsid wsp:val=&quot;00750A57&quot;/&gt;&lt;wsp:rsid wsp:val=&quot;00770755&quot;/&gt;&lt;wsp:rsid wsp:val=&quot;007775DE&quot;/&gt;&lt;wsp:rsid wsp:val=&quot;00784E40&quot;/&gt;&lt;wsp:rsid wsp:val=&quot;00786A2D&quot;/&gt;&lt;wsp:rsid wsp:val=&quot;007A2EBF&quot;/&gt;&lt;wsp:rsid wsp:val=&quot;007A3A8E&quot;/&gt;&lt;wsp:rsid wsp:val=&quot;007A62C7&quot;/&gt;&lt;wsp:rsid wsp:val=&quot;007B1A74&quot;/&gt;&lt;wsp:rsid wsp:val=&quot;007B1BB0&quot;/&gt;&lt;wsp:rsid wsp:val=&quot;007B4D6B&quot;/&gt;&lt;wsp:rsid wsp:val=&quot;007B501B&quot;/&gt;&lt;wsp:rsid wsp:val=&quot;007B7372&quot;/&gt;&lt;wsp:rsid wsp:val=&quot;007C34CB&quot;/&gt;&lt;wsp:rsid wsp:val=&quot;007C4187&quot;/&gt;&lt;wsp:rsid wsp:val=&quot;007E748D&quot;/&gt;&lt;wsp:rsid wsp:val=&quot;007F0C3D&quot;/&gt;&lt;wsp:rsid wsp:val=&quot;007F7B1F&quot;/&gt;&lt;wsp:rsid wsp:val=&quot;008010E2&quot;/&gt;&lt;wsp:rsid wsp:val=&quot;0080339E&quot;/&gt;&lt;wsp:rsid wsp:val=&quot;00804F81&quot;/&gt;&lt;wsp:rsid wsp:val=&quot;00805B61&quot;/&gt;&lt;wsp:rsid wsp:val=&quot;00813AA8&quot;/&gt;&lt;wsp:rsid wsp:val=&quot;008140F0&quot;/&gt;&lt;wsp:rsid wsp:val=&quot;00823928&quot;/&gt;&lt;wsp:rsid wsp:val=&quot;0083293C&quot;/&gt;&lt;wsp:rsid wsp:val=&quot;0083510A&quot;/&gt;&lt;wsp:rsid wsp:val=&quot;0083540C&quot;/&gt;&lt;wsp:rsid wsp:val=&quot;00835DA0&quot;/&gt;&lt;wsp:rsid wsp:val=&quot;00837E76&quot;/&gt;&lt;wsp:rsid wsp:val=&quot;00842811&quot;/&gt;&lt;wsp:rsid wsp:val=&quot;00852765&quot;/&gt;&lt;wsp:rsid wsp:val=&quot;00862F41&quot;/&gt;&lt;wsp:rsid wsp:val=&quot;00873ECA&quot;/&gt;&lt;wsp:rsid wsp:val=&quot;0087631A&quot;/&gt;&lt;wsp:rsid wsp:val=&quot;008861D3&quot;/&gt;&lt;wsp:rsid wsp:val=&quot;00892D09&quot;/&gt;&lt;wsp:rsid wsp:val=&quot;008953EC&quot;/&gt;&lt;wsp:rsid wsp:val=&quot;008C02A2&quot;/&gt;&lt;wsp:rsid wsp:val=&quot;008C1771&quot;/&gt;&lt;wsp:rsid wsp:val=&quot;008D2395&quot;/&gt;&lt;wsp:rsid wsp:val=&quot;008E5BF6&quot;/&gt;&lt;wsp:rsid wsp:val=&quot;008E6498&quot;/&gt;&lt;wsp:rsid wsp:val=&quot;008F6567&quot;/&gt;&lt;wsp:rsid wsp:val=&quot;009025B7&quot;/&gt;&lt;wsp:rsid wsp:val=&quot;00904E55&quot;/&gt;&lt;wsp:rsid wsp:val=&quot;00911FF7&quot;/&gt;&lt;wsp:rsid wsp:val=&quot;00913E73&quot;/&gt;&lt;wsp:rsid wsp:val=&quot;009178A6&quot;/&gt;&lt;wsp:rsid wsp:val=&quot;00920156&quot;/&gt;&lt;wsp:rsid wsp:val=&quot;00923E75&quot;/&gt;&lt;wsp:rsid wsp:val=&quot;00931888&quot;/&gt;&lt;wsp:rsid wsp:val=&quot;00933E38&quot;/&gt;&lt;wsp:rsid wsp:val=&quot;00943D6A&quot;/&gt;&lt;wsp:rsid wsp:val=&quot;00944979&quot;/&gt;&lt;wsp:rsid wsp:val=&quot;009460E1&quot;/&gt;&lt;wsp:rsid wsp:val=&quot;00952187&quot;/&gt;&lt;wsp:rsid wsp:val=&quot;00964421&quot;/&gt;&lt;wsp:rsid wsp:val=&quot;00972D85&quot;/&gt;&lt;wsp:rsid wsp:val=&quot;0098178D&quot;/&gt;&lt;wsp:rsid wsp:val=&quot;00984586&quot;/&gt;&lt;wsp:rsid wsp:val=&quot;00987810&quot;/&gt;&lt;wsp:rsid wsp:val=&quot;009A197D&quot;/&gt;&lt;wsp:rsid wsp:val=&quot;009B3300&quot;/&gt;&lt;wsp:rsid wsp:val=&quot;009B3527&quot;/&gt;&lt;wsp:rsid wsp:val=&quot;009B5487&quot;/&gt;&lt;wsp:rsid wsp:val=&quot;009C5F30&quot;/&gt;&lt;wsp:rsid wsp:val=&quot;009D1492&quot;/&gt;&lt;wsp:rsid wsp:val=&quot;00A06322&quot;/&gt;&lt;wsp:rsid wsp:val=&quot;00A24B9F&quot;/&gt;&lt;wsp:rsid wsp:val=&quot;00A27E08&quot;/&gt;&lt;wsp:rsid wsp:val=&quot;00A3543E&quot;/&gt;&lt;wsp:rsid wsp:val=&quot;00A35674&quot;/&gt;&lt;wsp:rsid wsp:val=&quot;00A362CE&quot;/&gt;&lt;wsp:rsid wsp:val=&quot;00A372A7&quot;/&gt;&lt;wsp:rsid wsp:val=&quot;00A411D9&quot;/&gt;&lt;wsp:rsid wsp:val=&quot;00A4402C&quot;/&gt;&lt;wsp:rsid wsp:val=&quot;00A516DC&quot;/&gt;&lt;wsp:rsid wsp:val=&quot;00A52913&quot;/&gt;&lt;wsp:rsid wsp:val=&quot;00A53C05&quot;/&gt;&lt;wsp:rsid wsp:val=&quot;00A60134&quot;/&gt;&lt;wsp:rsid wsp:val=&quot;00A71D23&quot;/&gt;&lt;wsp:rsid wsp:val=&quot;00A742CE&quot;/&gt;&lt;wsp:rsid wsp:val=&quot;00A90E4B&quot;/&gt;&lt;wsp:rsid wsp:val=&quot;00A91737&quot;/&gt;&lt;wsp:rsid wsp:val=&quot;00AB6E48&quot;/&gt;&lt;wsp:rsid wsp:val=&quot;00AB7620&quot;/&gt;&lt;wsp:rsid wsp:val=&quot;00AB7E5B&quot;/&gt;&lt;wsp:rsid wsp:val=&quot;00AC702D&quot;/&gt;&lt;wsp:rsid wsp:val=&quot;00AD292A&quot;/&gt;&lt;wsp:rsid wsp:val=&quot;00AD392E&quot;/&gt;&lt;wsp:rsid wsp:val=&quot;00AD56DD&quot;/&gt;&lt;wsp:rsid wsp:val=&quot;00AD5CC3&quot;/&gt;&lt;wsp:rsid wsp:val=&quot;00AE0067&quot;/&gt;&lt;wsp:rsid wsp:val=&quot;00AE1B1F&quot;/&gt;&lt;wsp:rsid wsp:val=&quot;00AF0B96&quot;/&gt;&lt;wsp:rsid wsp:val=&quot;00AF586C&quot;/&gt;&lt;wsp:rsid wsp:val=&quot;00B01494&quot;/&gt;&lt;wsp:rsid wsp:val=&quot;00B01848&quot;/&gt;&lt;wsp:rsid wsp:val=&quot;00B14124&quot;/&gt;&lt;wsp:rsid wsp:val=&quot;00B15580&quot;/&gt;&lt;wsp:rsid wsp:val=&quot;00B24D45&quot;/&gt;&lt;wsp:rsid wsp:val=&quot;00B2767F&quot;/&gt;&lt;wsp:rsid wsp:val=&quot;00B27A51&quot;/&gt;&lt;wsp:rsid wsp:val=&quot;00B37776&quot;/&gt;&lt;wsp:rsid wsp:val=&quot;00B43603&quot;/&gt;&lt;wsp:rsid wsp:val=&quot;00B47EEA&quot;/&gt;&lt;wsp:rsid wsp:val=&quot;00B550C1&quot;/&gt;&lt;wsp:rsid wsp:val=&quot;00B55DEE&quot;/&gt;&lt;wsp:rsid wsp:val=&quot;00B568BA&quot;/&gt;&lt;wsp:rsid wsp:val=&quot;00B600D5&quot;/&gt;&lt;wsp:rsid wsp:val=&quot;00B64692&quot;/&gt;&lt;wsp:rsid wsp:val=&quot;00B8373C&quot;/&gt;&lt;wsp:rsid wsp:val=&quot;00B83926&quot;/&gt;&lt;wsp:rsid wsp:val=&quot;00B83D4F&quot;/&gt;&lt;wsp:rsid wsp:val=&quot;00B873F5&quot;/&gt;&lt;wsp:rsid wsp:val=&quot;00B969D6&quot;/&gt;&lt;wsp:rsid wsp:val=&quot;00BA5D34&quot;/&gt;&lt;wsp:rsid wsp:val=&quot;00BA66D3&quot;/&gt;&lt;wsp:rsid wsp:val=&quot;00BB12D1&quot;/&gt;&lt;wsp:rsid wsp:val=&quot;00BB6548&quot;/&gt;&lt;wsp:rsid wsp:val=&quot;00BC1988&quot;/&gt;&lt;wsp:rsid wsp:val=&quot;00BC305C&quot;/&gt;&lt;wsp:rsid wsp:val=&quot;00BD39A6&quot;/&gt;&lt;wsp:rsid wsp:val=&quot;00BD5625&quot;/&gt;&lt;wsp:rsid wsp:val=&quot;00BE6D92&quot;/&gt;&lt;wsp:rsid wsp:val=&quot;00BE710A&quot;/&gt;&lt;wsp:rsid wsp:val=&quot;00BE785A&quot;/&gt;&lt;wsp:rsid wsp:val=&quot;00BE7B58&quot;/&gt;&lt;wsp:rsid wsp:val=&quot;00BF0A94&quot;/&gt;&lt;wsp:rsid wsp:val=&quot;00BF0C5F&quot;/&gt;&lt;wsp:rsid wsp:val=&quot;00C00CED&quot;/&gt;&lt;wsp:rsid wsp:val=&quot;00C01D64&quot;/&gt;&lt;wsp:rsid wsp:val=&quot;00C01D8F&quot;/&gt;&lt;wsp:rsid wsp:val=&quot;00C05A48&quot;/&gt;&lt;wsp:rsid wsp:val=&quot;00C16404&quot;/&gt;&lt;wsp:rsid wsp:val=&quot;00C3173D&quot;/&gt;&lt;wsp:rsid wsp:val=&quot;00C32066&quot;/&gt;&lt;wsp:rsid wsp:val=&quot;00C3311A&quot;/&gt;&lt;wsp:rsid wsp:val=&quot;00C441D2&quot;/&gt;&lt;wsp:rsid wsp:val=&quot;00C46F61&quot;/&gt;&lt;wsp:rsid wsp:val=&quot;00C63222&quot;/&gt;&lt;wsp:rsid wsp:val=&quot;00C715F2&quot;/&gt;&lt;wsp:rsid wsp:val=&quot;00C72916&quot;/&gt;&lt;wsp:rsid wsp:val=&quot;00C739B6&quot;/&gt;&lt;wsp:rsid wsp:val=&quot;00C84536&quot;/&gt;&lt;wsp:rsid wsp:val=&quot;00C8484C&quot;/&gt;&lt;wsp:rsid wsp:val=&quot;00C8569A&quot;/&gt;&lt;wsp:rsid wsp:val=&quot;00C876C3&quot;/&gt;&lt;wsp:rsid wsp:val=&quot;00C90293&quot;/&gt;&lt;wsp:rsid wsp:val=&quot;00CA106B&quot;/&gt;&lt;wsp:rsid wsp:val=&quot;00CB01E2&quot;/&gt;&lt;wsp:rsid wsp:val=&quot;00CB35DE&quot;/&gt;&lt;wsp:rsid wsp:val=&quot;00CD09BF&quot;/&gt;&lt;wsp:rsid wsp:val=&quot;00CD5F69&quot;/&gt;&lt;wsp:rsid wsp:val=&quot;00CE41B1&quot;/&gt;&lt;wsp:rsid wsp:val=&quot;00CF63FF&quot;/&gt;&lt;wsp:rsid wsp:val=&quot;00D1416A&quot;/&gt;&lt;wsp:rsid wsp:val=&quot;00D3248A&quot;/&gt;&lt;wsp:rsid wsp:val=&quot;00D32F74&quot;/&gt;&lt;wsp:rsid wsp:val=&quot;00D33267&quot;/&gt;&lt;wsp:rsid wsp:val=&quot;00D408A3&quot;/&gt;&lt;wsp:rsid wsp:val=&quot;00D41BCE&quot;/&gt;&lt;wsp:rsid wsp:val=&quot;00D557DD&quot;/&gt;&lt;wsp:rsid wsp:val=&quot;00D63CC5&quot;/&gt;&lt;wsp:rsid wsp:val=&quot;00D641CB&quot;/&gt;&lt;wsp:rsid wsp:val=&quot;00D67554&quot;/&gt;&lt;wsp:rsid wsp:val=&quot;00D72102&quot;/&gt;&lt;wsp:rsid wsp:val=&quot;00D730CF&quot;/&gt;&lt;wsp:rsid wsp:val=&quot;00D74D08&quot;/&gt;&lt;wsp:rsid wsp:val=&quot;00D76ABE&quot;/&gt;&lt;wsp:rsid wsp:val=&quot;00D86B47&quot;/&gt;&lt;wsp:rsid wsp:val=&quot;00D90BC5&quot;/&gt;&lt;wsp:rsid wsp:val=&quot;00D91C61&quot;/&gt;&lt;wsp:rsid wsp:val=&quot;00D95787&quot;/&gt;&lt;wsp:rsid wsp:val=&quot;00D97692&quot;/&gt;&lt;wsp:rsid wsp:val=&quot;00D97E85&quot;/&gt;&lt;wsp:rsid wsp:val=&quot;00DC0CB0&quot;/&gt;&lt;wsp:rsid wsp:val=&quot;00DC3A3B&quot;/&gt;&lt;wsp:rsid wsp:val=&quot;00DC6380&quot;/&gt;&lt;wsp:rsid wsp:val=&quot;00DC6F9A&quot;/&gt;&lt;wsp:rsid wsp:val=&quot;00DD5E28&quot;/&gt;&lt;wsp:rsid wsp:val=&quot;00DD72FD&quot;/&gt;&lt;wsp:rsid wsp:val=&quot;00DE458B&quot;/&gt;&lt;wsp:rsid wsp:val=&quot;00DF0357&quot;/&gt;&lt;wsp:rsid wsp:val=&quot;00DF0F57&quot;/&gt;&lt;wsp:rsid wsp:val=&quot;00E1211A&quot;/&gt;&lt;wsp:rsid wsp:val=&quot;00E1211C&quot;/&gt;&lt;wsp:rsid wsp:val=&quot;00E15620&quot;/&gt;&lt;wsp:rsid wsp:val=&quot;00E2111D&quot;/&gt;&lt;wsp:rsid wsp:val=&quot;00E276CB&quot;/&gt;&lt;wsp:rsid wsp:val=&quot;00E42710&quot;/&gt;&lt;wsp:rsid wsp:val=&quot;00E462B6&quot;/&gt;&lt;wsp:rsid wsp:val=&quot;00E517D7&quot;/&gt;&lt;wsp:rsid wsp:val=&quot;00E51A93&quot;/&gt;&lt;wsp:rsid wsp:val=&quot;00E5474A&quot;/&gt;&lt;wsp:rsid wsp:val=&quot;00E65880&quot;/&gt;&lt;wsp:rsid wsp:val=&quot;00E671C9&quot;/&gt;&lt;wsp:rsid wsp:val=&quot;00E678CD&quot;/&gt;&lt;wsp:rsid wsp:val=&quot;00E8139B&quot;/&gt;&lt;wsp:rsid wsp:val=&quot;00E83268&quot;/&gt;&lt;wsp:rsid wsp:val=&quot;00E84BA2&quot;/&gt;&lt;wsp:rsid wsp:val=&quot;00E90A19&quot;/&gt;&lt;wsp:rsid wsp:val=&quot;00E95589&quot;/&gt;&lt;wsp:rsid wsp:val=&quot;00ED045E&quot;/&gt;&lt;wsp:rsid wsp:val=&quot;00EF18E7&quot;/&gt;&lt;wsp:rsid wsp:val=&quot;00F03E48&quot;/&gt;&lt;wsp:rsid wsp:val=&quot;00F05FC3&quot;/&gt;&lt;wsp:rsid wsp:val=&quot;00F065BE&quot;/&gt;&lt;wsp:rsid wsp:val=&quot;00F116D7&quot;/&gt;&lt;wsp:rsid wsp:val=&quot;00F27E0A&quot;/&gt;&lt;wsp:rsid wsp:val=&quot;00F3244C&quot;/&gt;&lt;wsp:rsid wsp:val=&quot;00F36E92&quot;/&gt;&lt;wsp:rsid wsp:val=&quot;00F54C30&quot;/&gt;&lt;wsp:rsid wsp:val=&quot;00F54DFE&quot;/&gt;&lt;wsp:rsid wsp:val=&quot;00F56E95&quot;/&gt;&lt;wsp:rsid wsp:val=&quot;00F60789&quot;/&gt;&lt;wsp:rsid wsp:val=&quot;00F62396&quot;/&gt;&lt;wsp:rsid wsp:val=&quot;00F63463&quot;/&gt;&lt;wsp:rsid wsp:val=&quot;00F87DDA&quot;/&gt;&lt;wsp:rsid wsp:val=&quot;00F9112C&quot;/&gt;&lt;wsp:rsid wsp:val=&quot;00F94541&quot;/&gt;&lt;wsp:rsid wsp:val=&quot;00FA47A3&quot;/&gt;&lt;wsp:rsid wsp:val=&quot;00FB6694&quot;/&gt;&lt;wsp:rsid wsp:val=&quot;00FC2A71&quot;/&gt;&lt;wsp:rsid wsp:val=&quot;00FC430F&quot;/&gt;&lt;wsp:rsid wsp:val=&quot;00FC6823&quot;/&gt;&lt;wsp:rsid wsp:val=&quot;00FD06AF&quot;/&gt;&lt;wsp:rsid wsp:val=&quot;00FE377B&quot;/&gt;&lt;wsp:rsid wsp:val=&quot;00FE5F09&quot;/&gt;&lt;wsp:rsid wsp:val=&quot;00FE682B&quot;/&gt;&lt;wsp:rsid wsp:val=&quot;00FF171F&quot;/&gt;&lt;wsp:rsid wsp:val=&quot;00FF4DC5&quot;/&gt;&lt;wsp:rsid wsp:val=&quot;00FF7744&quot;/&gt;&lt;/wsp:rsids&gt;&lt;/w:docPr&gt;&lt;w:body&gt;&lt;wx:sect&gt;&lt;w:p wsp:rsidR=&quot;00000000&quot; wsp:rsidRDefault=&quot;009B5487&quot; wsp:rsidP=&quot;009B5487&quot;&gt;&lt;m:oMathPara&gt;&lt;m:oMath&gt;&lt;m:sSub&gt;&lt;m:sSubPr&gt;&lt;m:ctrlPr&gt;&lt;w:rPr&gt;&lt;w:rFonts w:ascii=&quot;Cambria Math&quot; w:h-ansi=&quot;Cambria Math&quot;/&gt;&lt;wx:font wx:val=&quot;Cambria Math&quot;/&gt;&lt;w:sz w:val=&quot;20&quot;/&gt;&lt;w:sz-cs w:val=&quot;20&quot;/&gt;&lt;/w:rPr&gt;&lt;/m:ctrlPr&gt;&lt;/m:sSubPr&gt;&lt;m:e&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FP&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0&lt;/m:t&gt;&lt;/m:r&gt;&lt;/m:sub&gt;&lt;/m:sSub&gt;&lt;m:r&gt;&lt;m:rPr&gt;&lt;m:sty m:val=&quot;p&quot;/&gt;&lt;/m:rPr&gt;&lt;w:rPr&gt;&lt;w:rFonts w:ascii=&quot;Cambria Math&quot; w:h-ansi=&quot;Cambria Math&quot;/&gt;&lt;wx:font wx:val=&quot;Cambria Math&quot;/&gt;&lt;w:sz w:val=&quot;20&quot;/&gt;&lt;w:sz-cs w:val=&quot;20&quot;/&gt;&lt;/w:rPr&gt;&lt;m:t&gt;+ &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1&lt;/m:t&gt;&lt;/m:r&gt;&lt;/m:sub&gt;&lt;/m:sSub&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SEP&lt;/m:t&gt;&lt;/m:r&gt;&lt;/m:e&gt;&lt;m:sub&gt;&lt;m:r&gt;&lt;w:rPr&gt;&lt;w:rFonts w:ascii=&quot;Cambria Math&quot; w:h-ansi=&quot;Cambria Math&quot;/&gt;&lt;wx:font wx:val=&quot;Cambria Math&quot;/&gt;&lt;w:i/&gt;&lt;w:sz w:val=&quot;20&quot;/&gt;&lt;w:sz-cs w:val=&quot;20&quot;/&gt;&lt;/w:rPr&gt;&lt;m:t&gt;it&lt;/m:t&gt;&lt;/m:r&gt;&lt;/m:sub&gt;&lt;/m:sSub&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 &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2&lt;/m:t&gt;&lt;/m:r&gt;&lt;/m:sub&gt;&lt;/m:sSub&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SEP2&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  &lt;/m:t&gt;&lt;/m:r&gt;&lt;m:r&gt;&lt;w:rPr&gt;&lt;w:rFonts w:ascii=&quot;Cambria Math&quot; w:h-ansi=&quot;Cambria Math&quot;/&gt;&lt;wx:font wx:val=&quot;Cambria Math&quot;/&gt;&lt;w:i/&gt;&lt;w:sz w:val=&quot;20&quot;/&gt;&lt;w:sz-cs w:val=&quot;20&quot;/&gt;&lt;/w:rPr&gt;&lt;m:t&gt;Œ=&lt;/m:t&gt;&lt;/m:r&gt;&lt;/m:e&gt;&lt;m:sub&gt;&lt;m:r&gt;&lt;m:rPr&gt;&lt;m:sty m:val=&quot;p&quot;/&gt;&lt;/m:rPr&gt;&lt;w:rPr&gt;&lt;w:rFonts w:ascii=&quot;Cambria Math&quot; w:h-ansi=&quot;Cambria Math&quot;/&gt;&lt;wx:font wx:val=&quot;Cambria Math&quot;/&gt;&lt;w:sz w:val=&quot;20&quot;/&gt;&lt;w:sz-cs w:val=&quot;20&quot;/&gt;&lt;/w:rPr&gt;&lt;m:t&gt;3&lt;/m:t&gt;&lt;/m:r&gt;&lt;/m:sub&gt;&lt;/m:sSub&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Controls&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º&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ª&lt;/m:t&gt;&lt;/m:r&gt;&lt;/m:e&gt;&lt;m:sub&gt;&lt;m:r&gt;&lt;w:rPr&gt;&lt;w:rFonts w:ascii=&quot;Cambria Math&quot; w:h-ansi=&quot;Cambria Math&quot;/&gt;&lt;wx:font wx:val=&quot;Cambria Math&quot;/&gt;&lt;w:i/&gt;&lt;w:sz w:val=&quot;20&quot;/&gt;&lt;w:sz-cs w:val=&quot;20&quot;/&gt;&lt;/w:rPr&gt;&lt;m:t&gt;it&lt;/m:t&gt;&lt;/m:r&gt;&lt;/m:sub&gt;&lt;/m:sSub&gt;&lt;m:r&gt;&lt;m:rPr&gt;&lt;m:sty m:val=&quot;p&quot;/&gt;&lt;/m:rPr&gt;&lt;w:rPr&gt;&lt;w:rFonts w:ascii=&quot;Cambria Math&quot; w:h-ansi=&quot;Cambria Math&quot;/&gt;&lt;wx:font wx:val=&quot;Cambria Math&quot;/&gt;&lt;w:sz w:val=&quot;20&quot;/&gt;&lt;w:sz-cs w:val=&quot;20&quot;/&gt;&lt;/w:rPr&gt;&lt;m:t&gt;+&lt;/m:t&gt;&lt;/m:r&gt;&lt;m:sSub&gt;&lt;m:sSubPr&gt;&lt;m:ctrlPr&gt;&lt;w:rPr&gt;&lt;w:rFonts w:ascii=&quot;Cambria Math&quot; w:h-ansi=&quot;Cambria Math&quot;/&gt;&lt;wx:font wx:val=&quot;Cambria Math&quot;/&gt;&lt;w:sz w:val=&quot;20&quot;/&gt;&lt;w:sz-cs w:val=&quot;20&quot;/&gt;&lt;/w:rPr&gt;&lt;/m:ctrlPr&gt;&lt;/m:sSubPr&gt;&lt;m:e&gt;&lt;m:r&gt;&lt;w:rPr&gt;&lt;w:rFonts w:ascii=&quot;Cambria Math&quot; w:h-ansi=&quot;Cambria Math&quot;/&gt;&lt;wx:font wx:val=&quot;Cambria Math&quot;/&gt;&lt;w:i/&gt;&lt;w:sz w:val=&quot;20&quot;/&gt;&lt;w:sz-cs w:val=&quot;20&quot;/&gt;&lt;/w:rPr&gt;&lt;m:t&gt;Œµ&lt;/m:t&gt;&lt;/m:r&gt;&lt;/m:e&gt;&lt;m:sub&gt;&lt;m:r&gt;&lt;w:rPr&gt;&lt;w:rFonts w:ascii=&quot;Cambria Math&quot; w:h-ansi=&quot;Cambria Math&quot;/&gt;&lt;wx:font wx:val=&quot;Cambria Math&quot;/&gt;&lt;w:i/&gt;&lt;w:sz w:val=&quot;20&quot;/&gt;&lt;w:sz-cs w:val=&quot;20&quot;/&gt;&lt;/w:rPr&gt;&lt;m:t&gt;it&lt;/m:t&gt;&lt;/m:r&gt;&lt;/m:sub&gt;&lt;/m:sSub&gt;&lt;/m:e&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055865">
        <w:rPr>
          <w:rFonts w:ascii="Garamond" w:eastAsia="Times New Roman" w:hAnsi="Garamond"/>
          <w:sz w:val="20"/>
          <w:szCs w:val="20"/>
          <w:vertAlign w:val="subscript"/>
        </w:rPr>
        <w:fldChar w:fldCharType="end"/>
      </w:r>
      <w:r w:rsidRPr="00055865">
        <w:rPr>
          <w:rFonts w:ascii="Garamond" w:eastAsia="Times New Roman" w:hAnsi="Garamond"/>
          <w:sz w:val="20"/>
          <w:szCs w:val="20"/>
          <w:vertAlign w:val="subscript"/>
        </w:rPr>
        <w:t xml:space="preserve">Where </w:t>
      </w:r>
      <w:proofErr w:type="spellStart"/>
      <w:r w:rsidRPr="00055865">
        <w:rPr>
          <w:rFonts w:ascii="Garamond" w:eastAsia="Times New Roman" w:hAnsi="Garamond"/>
          <w:sz w:val="20"/>
          <w:szCs w:val="20"/>
          <w:vertAlign w:val="subscript"/>
        </w:rPr>
        <w:t>FPit</w:t>
      </w:r>
      <w:proofErr w:type="spellEnd"/>
      <w:r w:rsidRPr="00055865">
        <w:rPr>
          <w:rFonts w:ascii="Garamond" w:eastAsia="Times New Roman" w:hAnsi="Garamond"/>
          <w:sz w:val="20"/>
          <w:szCs w:val="20"/>
          <w:vertAlign w:val="subscript"/>
        </w:rPr>
        <w:t xml:space="preserve"> is the dependent variable which is measured using returns on assets</w:t>
      </w:r>
      <w:r w:rsidRPr="00055865">
        <w:rPr>
          <w:rFonts w:ascii="Garamond" w:hAnsi="Garamond"/>
          <w:sz w:val="20"/>
          <w:szCs w:val="20"/>
          <w:vertAlign w:val="subscript"/>
        </w:rPr>
        <w:t xml:space="preserve">. SEP represents the instrumental variables – where one-year lag of the independent variables (Energy, Compliance, Waste, GHG, Materials and Stakeholder) were instrumented.   SEP2 represents the square term SEP.  Control variables indicated by Controls are firm size (Size), Liquidity, Gearing, Board Size, Number on non-executive directors (NEDs), CEO Remuneration (CEO Rem), Industry Effect and Year Effect. </w:t>
      </w:r>
      <w:r w:rsidRPr="00055865">
        <w:rPr>
          <w:rFonts w:ascii="Garamond" w:hAnsi="Garamond"/>
          <w:sz w:val="20"/>
          <w:szCs w:val="20"/>
        </w:rPr>
        <w:t>β</w:t>
      </w:r>
      <w:r w:rsidRPr="00055865">
        <w:rPr>
          <w:rFonts w:ascii="Garamond" w:hAnsi="Garamond"/>
          <w:sz w:val="20"/>
          <w:szCs w:val="20"/>
          <w:vertAlign w:val="subscript"/>
        </w:rPr>
        <w:t>1 and</w:t>
      </w:r>
      <w:r w:rsidRPr="00055865">
        <w:rPr>
          <w:rFonts w:ascii="Garamond" w:hAnsi="Garamond"/>
          <w:sz w:val="20"/>
          <w:szCs w:val="20"/>
        </w:rPr>
        <w:t xml:space="preserve"> β</w:t>
      </w:r>
      <w:r w:rsidRPr="00055865">
        <w:rPr>
          <w:rFonts w:ascii="Garamond" w:hAnsi="Garamond"/>
          <w:sz w:val="20"/>
          <w:szCs w:val="20"/>
          <w:vertAlign w:val="subscript"/>
        </w:rPr>
        <w:t xml:space="preserve">2 are the regression coefficients. The subscript </w:t>
      </w:r>
      <w:r w:rsidRPr="00055865">
        <w:rPr>
          <w:rFonts w:ascii="Garamond" w:hAnsi="Garamond"/>
          <w:noProof/>
          <w:sz w:val="20"/>
          <w:szCs w:val="20"/>
          <w:vertAlign w:val="subscript"/>
        </w:rPr>
        <w:t>i</w:t>
      </w:r>
      <w:r w:rsidRPr="00055865">
        <w:rPr>
          <w:rFonts w:ascii="Garamond" w:hAnsi="Garamond"/>
          <w:sz w:val="20"/>
          <w:szCs w:val="20"/>
          <w:vertAlign w:val="subscript"/>
        </w:rPr>
        <w:t xml:space="preserve"> denotes the nth company (</w:t>
      </w:r>
      <w:proofErr w:type="spellStart"/>
      <w:r w:rsidRPr="00055865">
        <w:rPr>
          <w:rFonts w:ascii="Garamond" w:hAnsi="Garamond"/>
          <w:sz w:val="20"/>
          <w:szCs w:val="20"/>
          <w:vertAlign w:val="subscript"/>
        </w:rPr>
        <w:t>i</w:t>
      </w:r>
      <w:proofErr w:type="spellEnd"/>
      <w:r w:rsidRPr="00055865">
        <w:rPr>
          <w:rFonts w:ascii="Garamond" w:hAnsi="Garamond"/>
          <w:sz w:val="20"/>
          <w:szCs w:val="20"/>
          <w:vertAlign w:val="subscript"/>
        </w:rPr>
        <w:t xml:space="preserve"> = 1... 201), and the subscript t denotes the year (t=</w:t>
      </w:r>
      <w:proofErr w:type="gramStart"/>
      <w:r w:rsidRPr="00055865">
        <w:rPr>
          <w:rFonts w:ascii="Garamond" w:hAnsi="Garamond"/>
          <w:sz w:val="20"/>
          <w:szCs w:val="20"/>
          <w:vertAlign w:val="subscript"/>
        </w:rPr>
        <w:t>1,..</w:t>
      </w:r>
      <w:proofErr w:type="gramEnd"/>
      <w:r w:rsidRPr="00055865">
        <w:rPr>
          <w:rFonts w:ascii="Garamond" w:hAnsi="Garamond"/>
          <w:sz w:val="20"/>
          <w:szCs w:val="20"/>
          <w:vertAlign w:val="subscript"/>
        </w:rPr>
        <w:t xml:space="preserve">6). </w:t>
      </w:r>
      <w:proofErr w:type="spellStart"/>
      <w:r w:rsidRPr="00055865">
        <w:rPr>
          <w:rFonts w:ascii="Garamond" w:hAnsi="Garamond"/>
          <w:sz w:val="20"/>
          <w:szCs w:val="20"/>
          <w:vertAlign w:val="subscript"/>
        </w:rPr>
        <w:t>μi</w:t>
      </w:r>
      <w:proofErr w:type="spellEnd"/>
      <w:r w:rsidRPr="00055865">
        <w:rPr>
          <w:rFonts w:ascii="Garamond" w:hAnsi="Garamond"/>
          <w:sz w:val="20"/>
          <w:szCs w:val="20"/>
          <w:vertAlign w:val="subscript"/>
        </w:rPr>
        <w:t xml:space="preserve"> is the unobservable heterogeneity (individual effects) which is specific for each firm, </w:t>
      </w:r>
      <w:proofErr w:type="spellStart"/>
      <w:r w:rsidRPr="00055865">
        <w:rPr>
          <w:rFonts w:ascii="Garamond" w:hAnsi="Garamond"/>
          <w:sz w:val="20"/>
          <w:szCs w:val="20"/>
          <w:vertAlign w:val="subscript"/>
        </w:rPr>
        <w:t>λt</w:t>
      </w:r>
      <w:proofErr w:type="spellEnd"/>
      <w:r w:rsidRPr="00055865">
        <w:rPr>
          <w:rFonts w:ascii="Garamond" w:hAnsi="Garamond"/>
          <w:sz w:val="20"/>
          <w:szCs w:val="20"/>
          <w:vertAlign w:val="subscript"/>
        </w:rPr>
        <w:t xml:space="preserve"> is the parameters of time dummy variables, and </w:t>
      </w:r>
      <w:proofErr w:type="spellStart"/>
      <w:r w:rsidRPr="00055865">
        <w:rPr>
          <w:rFonts w:ascii="Garamond" w:hAnsi="Garamond"/>
          <w:sz w:val="20"/>
          <w:szCs w:val="20"/>
          <w:vertAlign w:val="subscript"/>
        </w:rPr>
        <w:t>εit</w:t>
      </w:r>
      <w:proofErr w:type="spellEnd"/>
      <w:r w:rsidRPr="00055865">
        <w:rPr>
          <w:rFonts w:ascii="Garamond" w:hAnsi="Garamond"/>
          <w:sz w:val="20"/>
          <w:szCs w:val="20"/>
          <w:vertAlign w:val="subscript"/>
        </w:rPr>
        <w:t xml:space="preserve"> is the error term</w:t>
      </w:r>
      <w:r w:rsidRPr="00055865">
        <w:rPr>
          <w:rFonts w:ascii="Garamond" w:eastAsia="Times New Roman" w:hAnsi="Garamond"/>
          <w:sz w:val="20"/>
          <w:szCs w:val="20"/>
          <w:vertAlign w:val="subscript"/>
        </w:rPr>
        <w:t xml:space="preserve">. Regressions </w:t>
      </w:r>
      <w:r w:rsidRPr="00055865">
        <w:rPr>
          <w:rFonts w:ascii="Garamond" w:hAnsi="Garamond"/>
          <w:sz w:val="20"/>
          <w:szCs w:val="20"/>
          <w:vertAlign w:val="subscript"/>
        </w:rPr>
        <w:t>are estimated with robust fixed effects</w:t>
      </w:r>
    </w:p>
    <w:tbl>
      <w:tblPr>
        <w:tblW w:w="11814" w:type="dxa"/>
        <w:jc w:val="center"/>
        <w:tblLayout w:type="fixed"/>
        <w:tblCellMar>
          <w:left w:w="75" w:type="dxa"/>
          <w:right w:w="75" w:type="dxa"/>
        </w:tblCellMar>
        <w:tblLook w:val="0000" w:firstRow="0" w:lastRow="0" w:firstColumn="0" w:lastColumn="0" w:noHBand="0" w:noVBand="0"/>
      </w:tblPr>
      <w:tblGrid>
        <w:gridCol w:w="75"/>
        <w:gridCol w:w="1872"/>
        <w:gridCol w:w="75"/>
        <w:gridCol w:w="1653"/>
        <w:gridCol w:w="219"/>
        <w:gridCol w:w="1365"/>
        <w:gridCol w:w="219"/>
        <w:gridCol w:w="1365"/>
        <w:gridCol w:w="36"/>
        <w:gridCol w:w="1548"/>
        <w:gridCol w:w="219"/>
        <w:gridCol w:w="1365"/>
        <w:gridCol w:w="219"/>
        <w:gridCol w:w="1365"/>
        <w:gridCol w:w="219"/>
      </w:tblGrid>
      <w:tr w:rsidR="00334689" w:rsidRPr="00055865" w14:paraId="520E1729" w14:textId="77777777" w:rsidTr="005B6FD7">
        <w:trPr>
          <w:gridAfter w:val="1"/>
          <w:wAfter w:w="219" w:type="dxa"/>
          <w:jc w:val="center"/>
        </w:trPr>
        <w:tc>
          <w:tcPr>
            <w:tcW w:w="1947" w:type="dxa"/>
            <w:gridSpan w:val="2"/>
            <w:tcBorders>
              <w:top w:val="single" w:sz="6" w:space="0" w:color="auto"/>
              <w:left w:val="nil"/>
              <w:bottom w:val="nil"/>
              <w:right w:val="nil"/>
            </w:tcBorders>
          </w:tcPr>
          <w:p w14:paraId="3F71770C"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single" w:sz="6" w:space="0" w:color="auto"/>
              <w:left w:val="nil"/>
              <w:bottom w:val="nil"/>
              <w:right w:val="nil"/>
            </w:tcBorders>
          </w:tcPr>
          <w:p w14:paraId="7EF0E97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(ROA)</w:t>
            </w:r>
          </w:p>
        </w:tc>
        <w:tc>
          <w:tcPr>
            <w:tcW w:w="1584" w:type="dxa"/>
            <w:gridSpan w:val="2"/>
            <w:tcBorders>
              <w:top w:val="single" w:sz="6" w:space="0" w:color="auto"/>
              <w:left w:val="nil"/>
              <w:bottom w:val="nil"/>
              <w:right w:val="nil"/>
            </w:tcBorders>
          </w:tcPr>
          <w:p w14:paraId="7B3864F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(ROA)</w:t>
            </w:r>
          </w:p>
        </w:tc>
        <w:tc>
          <w:tcPr>
            <w:tcW w:w="1584" w:type="dxa"/>
            <w:gridSpan w:val="2"/>
            <w:tcBorders>
              <w:top w:val="single" w:sz="6" w:space="0" w:color="auto"/>
              <w:left w:val="nil"/>
              <w:bottom w:val="nil"/>
              <w:right w:val="nil"/>
            </w:tcBorders>
          </w:tcPr>
          <w:p w14:paraId="3D8684E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(ROA)</w:t>
            </w:r>
          </w:p>
        </w:tc>
        <w:tc>
          <w:tcPr>
            <w:tcW w:w="1584" w:type="dxa"/>
            <w:gridSpan w:val="2"/>
            <w:tcBorders>
              <w:top w:val="single" w:sz="6" w:space="0" w:color="auto"/>
              <w:left w:val="nil"/>
              <w:bottom w:val="nil"/>
              <w:right w:val="nil"/>
            </w:tcBorders>
          </w:tcPr>
          <w:p w14:paraId="6CA4EFF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(ROA)</w:t>
            </w:r>
          </w:p>
        </w:tc>
        <w:tc>
          <w:tcPr>
            <w:tcW w:w="1584" w:type="dxa"/>
            <w:gridSpan w:val="2"/>
            <w:tcBorders>
              <w:top w:val="single" w:sz="6" w:space="0" w:color="auto"/>
              <w:left w:val="nil"/>
              <w:bottom w:val="nil"/>
              <w:right w:val="nil"/>
            </w:tcBorders>
          </w:tcPr>
          <w:p w14:paraId="0E9718C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(ROA)</w:t>
            </w:r>
          </w:p>
        </w:tc>
        <w:tc>
          <w:tcPr>
            <w:tcW w:w="1584" w:type="dxa"/>
            <w:gridSpan w:val="2"/>
            <w:tcBorders>
              <w:top w:val="single" w:sz="6" w:space="0" w:color="auto"/>
              <w:left w:val="nil"/>
              <w:bottom w:val="nil"/>
              <w:right w:val="nil"/>
            </w:tcBorders>
          </w:tcPr>
          <w:p w14:paraId="559F0EF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(ROA)</w:t>
            </w:r>
          </w:p>
        </w:tc>
      </w:tr>
      <w:tr w:rsidR="00334689" w:rsidRPr="00055865" w14:paraId="31221074" w14:textId="77777777" w:rsidTr="005B6FD7">
        <w:trPr>
          <w:gridAfter w:val="1"/>
          <w:wAfter w:w="219" w:type="dxa"/>
          <w:jc w:val="center"/>
        </w:trPr>
        <w:tc>
          <w:tcPr>
            <w:tcW w:w="1947" w:type="dxa"/>
            <w:gridSpan w:val="2"/>
            <w:tcBorders>
              <w:top w:val="nil"/>
              <w:left w:val="nil"/>
              <w:bottom w:val="single" w:sz="6" w:space="0" w:color="auto"/>
              <w:right w:val="nil"/>
            </w:tcBorders>
          </w:tcPr>
          <w:p w14:paraId="019B5C49"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VARIABLES</w:t>
            </w:r>
          </w:p>
        </w:tc>
        <w:tc>
          <w:tcPr>
            <w:tcW w:w="1728" w:type="dxa"/>
            <w:gridSpan w:val="2"/>
            <w:tcBorders>
              <w:top w:val="nil"/>
              <w:left w:val="nil"/>
              <w:bottom w:val="single" w:sz="6" w:space="0" w:color="auto"/>
              <w:right w:val="nil"/>
            </w:tcBorders>
          </w:tcPr>
          <w:p w14:paraId="40300E9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Model 1</w:t>
            </w:r>
          </w:p>
        </w:tc>
        <w:tc>
          <w:tcPr>
            <w:tcW w:w="1584" w:type="dxa"/>
            <w:gridSpan w:val="2"/>
            <w:tcBorders>
              <w:top w:val="nil"/>
              <w:left w:val="nil"/>
              <w:bottom w:val="single" w:sz="6" w:space="0" w:color="auto"/>
              <w:right w:val="nil"/>
            </w:tcBorders>
          </w:tcPr>
          <w:p w14:paraId="0EABDDC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Model 2</w:t>
            </w:r>
          </w:p>
        </w:tc>
        <w:tc>
          <w:tcPr>
            <w:tcW w:w="1584" w:type="dxa"/>
            <w:gridSpan w:val="2"/>
            <w:tcBorders>
              <w:top w:val="nil"/>
              <w:left w:val="nil"/>
              <w:bottom w:val="single" w:sz="6" w:space="0" w:color="auto"/>
              <w:right w:val="nil"/>
            </w:tcBorders>
          </w:tcPr>
          <w:p w14:paraId="72678EA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Model 3</w:t>
            </w:r>
          </w:p>
        </w:tc>
        <w:tc>
          <w:tcPr>
            <w:tcW w:w="1584" w:type="dxa"/>
            <w:gridSpan w:val="2"/>
            <w:tcBorders>
              <w:top w:val="nil"/>
              <w:left w:val="nil"/>
              <w:bottom w:val="single" w:sz="6" w:space="0" w:color="auto"/>
              <w:right w:val="nil"/>
            </w:tcBorders>
          </w:tcPr>
          <w:p w14:paraId="09D79BF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Model 4</w:t>
            </w:r>
          </w:p>
        </w:tc>
        <w:tc>
          <w:tcPr>
            <w:tcW w:w="1584" w:type="dxa"/>
            <w:gridSpan w:val="2"/>
            <w:tcBorders>
              <w:top w:val="nil"/>
              <w:left w:val="nil"/>
              <w:bottom w:val="single" w:sz="6" w:space="0" w:color="auto"/>
              <w:right w:val="nil"/>
            </w:tcBorders>
          </w:tcPr>
          <w:p w14:paraId="2F86444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Model 5</w:t>
            </w:r>
          </w:p>
        </w:tc>
        <w:tc>
          <w:tcPr>
            <w:tcW w:w="1584" w:type="dxa"/>
            <w:gridSpan w:val="2"/>
            <w:tcBorders>
              <w:top w:val="nil"/>
              <w:left w:val="nil"/>
              <w:bottom w:val="single" w:sz="6" w:space="0" w:color="auto"/>
              <w:right w:val="nil"/>
            </w:tcBorders>
          </w:tcPr>
          <w:p w14:paraId="4CF6BF9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Model 6</w:t>
            </w:r>
          </w:p>
        </w:tc>
      </w:tr>
      <w:tr w:rsidR="00334689" w:rsidRPr="00055865" w14:paraId="402B9FF6" w14:textId="77777777" w:rsidTr="005B6FD7">
        <w:trPr>
          <w:gridAfter w:val="1"/>
          <w:wAfter w:w="219" w:type="dxa"/>
          <w:jc w:val="center"/>
        </w:trPr>
        <w:tc>
          <w:tcPr>
            <w:tcW w:w="1947" w:type="dxa"/>
            <w:gridSpan w:val="2"/>
            <w:tcBorders>
              <w:top w:val="nil"/>
              <w:left w:val="nil"/>
              <w:bottom w:val="nil"/>
              <w:right w:val="nil"/>
            </w:tcBorders>
          </w:tcPr>
          <w:p w14:paraId="02DDF5E1"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182E740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9253E3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4D03AB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3685E0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5ED436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A3FE47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24035D45" w14:textId="77777777" w:rsidTr="005B6FD7">
        <w:trPr>
          <w:gridAfter w:val="1"/>
          <w:wAfter w:w="219" w:type="dxa"/>
          <w:jc w:val="center"/>
        </w:trPr>
        <w:tc>
          <w:tcPr>
            <w:tcW w:w="1947" w:type="dxa"/>
            <w:gridSpan w:val="2"/>
            <w:tcBorders>
              <w:top w:val="nil"/>
              <w:left w:val="nil"/>
              <w:bottom w:val="nil"/>
              <w:right w:val="nil"/>
            </w:tcBorders>
          </w:tcPr>
          <w:p w14:paraId="64A48332"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Energy</w:t>
            </w:r>
          </w:p>
        </w:tc>
        <w:tc>
          <w:tcPr>
            <w:tcW w:w="1728" w:type="dxa"/>
            <w:gridSpan w:val="2"/>
            <w:tcBorders>
              <w:top w:val="nil"/>
              <w:left w:val="nil"/>
              <w:bottom w:val="nil"/>
              <w:right w:val="nil"/>
            </w:tcBorders>
          </w:tcPr>
          <w:p w14:paraId="164A056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2.0900***</w:t>
            </w:r>
          </w:p>
        </w:tc>
        <w:tc>
          <w:tcPr>
            <w:tcW w:w="1584" w:type="dxa"/>
            <w:gridSpan w:val="2"/>
            <w:tcBorders>
              <w:top w:val="nil"/>
              <w:left w:val="nil"/>
              <w:bottom w:val="nil"/>
              <w:right w:val="nil"/>
            </w:tcBorders>
          </w:tcPr>
          <w:p w14:paraId="30BE445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0E519EF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6C4C5B3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85560D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0E711A1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1C0646AA" w14:textId="77777777" w:rsidTr="005B6FD7">
        <w:trPr>
          <w:gridAfter w:val="1"/>
          <w:wAfter w:w="219" w:type="dxa"/>
          <w:jc w:val="center"/>
        </w:trPr>
        <w:tc>
          <w:tcPr>
            <w:tcW w:w="1947" w:type="dxa"/>
            <w:gridSpan w:val="2"/>
            <w:tcBorders>
              <w:top w:val="nil"/>
              <w:left w:val="nil"/>
              <w:bottom w:val="nil"/>
              <w:right w:val="nil"/>
            </w:tcBorders>
          </w:tcPr>
          <w:p w14:paraId="301DE347"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05A4F203"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(6.10)</w:t>
            </w:r>
          </w:p>
        </w:tc>
        <w:tc>
          <w:tcPr>
            <w:tcW w:w="1584" w:type="dxa"/>
            <w:gridSpan w:val="2"/>
            <w:tcBorders>
              <w:top w:val="nil"/>
              <w:left w:val="nil"/>
              <w:bottom w:val="nil"/>
              <w:right w:val="nil"/>
            </w:tcBorders>
          </w:tcPr>
          <w:p w14:paraId="23E5210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831BFE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179B9BA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7AFC30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CDA414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15E36D67" w14:textId="77777777" w:rsidTr="005B6FD7">
        <w:trPr>
          <w:gridAfter w:val="1"/>
          <w:wAfter w:w="219" w:type="dxa"/>
          <w:jc w:val="center"/>
        </w:trPr>
        <w:tc>
          <w:tcPr>
            <w:tcW w:w="1947" w:type="dxa"/>
            <w:gridSpan w:val="2"/>
            <w:tcBorders>
              <w:top w:val="nil"/>
              <w:left w:val="nil"/>
              <w:bottom w:val="nil"/>
              <w:right w:val="nil"/>
            </w:tcBorders>
          </w:tcPr>
          <w:p w14:paraId="37D19863"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vertAlign w:val="superscript"/>
                <w:lang w:eastAsia="en-GB"/>
              </w:rPr>
            </w:pPr>
            <w:r w:rsidRPr="00055865">
              <w:rPr>
                <w:rFonts w:ascii="Garamond" w:eastAsia="Times New Roman" w:hAnsi="Garamond"/>
                <w:sz w:val="18"/>
                <w:szCs w:val="18"/>
                <w:lang w:eastAsia="en-GB"/>
              </w:rPr>
              <w:t>Energyt</w:t>
            </w:r>
            <w:r w:rsidRPr="00055865">
              <w:rPr>
                <w:rFonts w:ascii="Garamond" w:eastAsia="Times New Roman" w:hAnsi="Garamond"/>
                <w:sz w:val="18"/>
                <w:szCs w:val="18"/>
                <w:vertAlign w:val="superscript"/>
                <w:lang w:eastAsia="en-GB"/>
              </w:rPr>
              <w:t>2</w:t>
            </w:r>
          </w:p>
        </w:tc>
        <w:tc>
          <w:tcPr>
            <w:tcW w:w="1728" w:type="dxa"/>
            <w:gridSpan w:val="2"/>
            <w:tcBorders>
              <w:top w:val="nil"/>
              <w:left w:val="nil"/>
              <w:bottom w:val="nil"/>
              <w:right w:val="nil"/>
            </w:tcBorders>
          </w:tcPr>
          <w:p w14:paraId="7ECFE36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-0.1880***</w:t>
            </w:r>
          </w:p>
        </w:tc>
        <w:tc>
          <w:tcPr>
            <w:tcW w:w="1584" w:type="dxa"/>
            <w:gridSpan w:val="2"/>
            <w:tcBorders>
              <w:top w:val="nil"/>
              <w:left w:val="nil"/>
              <w:bottom w:val="nil"/>
              <w:right w:val="nil"/>
            </w:tcBorders>
          </w:tcPr>
          <w:p w14:paraId="0853032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3AC3C2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18C168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6649372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1D57B2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0ECCD682" w14:textId="77777777" w:rsidTr="005B6FD7">
        <w:trPr>
          <w:gridAfter w:val="1"/>
          <w:wAfter w:w="219" w:type="dxa"/>
          <w:jc w:val="center"/>
        </w:trPr>
        <w:tc>
          <w:tcPr>
            <w:tcW w:w="1947" w:type="dxa"/>
            <w:gridSpan w:val="2"/>
            <w:tcBorders>
              <w:top w:val="nil"/>
              <w:left w:val="nil"/>
              <w:bottom w:val="nil"/>
              <w:right w:val="nil"/>
            </w:tcBorders>
          </w:tcPr>
          <w:p w14:paraId="50E8CC27"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0DECD5CE"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(-3.55)</w:t>
            </w:r>
          </w:p>
        </w:tc>
        <w:tc>
          <w:tcPr>
            <w:tcW w:w="1584" w:type="dxa"/>
            <w:gridSpan w:val="2"/>
            <w:tcBorders>
              <w:top w:val="nil"/>
              <w:left w:val="nil"/>
              <w:bottom w:val="nil"/>
              <w:right w:val="nil"/>
            </w:tcBorders>
          </w:tcPr>
          <w:p w14:paraId="51D2E6F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2F2CB1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576566B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6822CAB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19C7532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4BA75C73" w14:textId="77777777" w:rsidTr="005B6FD7">
        <w:trPr>
          <w:gridAfter w:val="1"/>
          <w:wAfter w:w="219" w:type="dxa"/>
          <w:jc w:val="center"/>
        </w:trPr>
        <w:tc>
          <w:tcPr>
            <w:tcW w:w="1947" w:type="dxa"/>
            <w:gridSpan w:val="2"/>
            <w:tcBorders>
              <w:top w:val="nil"/>
              <w:left w:val="nil"/>
              <w:bottom w:val="nil"/>
              <w:right w:val="nil"/>
            </w:tcBorders>
          </w:tcPr>
          <w:p w14:paraId="634DF192"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Compliance</w:t>
            </w:r>
          </w:p>
        </w:tc>
        <w:tc>
          <w:tcPr>
            <w:tcW w:w="1728" w:type="dxa"/>
            <w:gridSpan w:val="2"/>
            <w:tcBorders>
              <w:top w:val="nil"/>
              <w:left w:val="nil"/>
              <w:bottom w:val="nil"/>
              <w:right w:val="nil"/>
            </w:tcBorders>
          </w:tcPr>
          <w:p w14:paraId="40395EA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3F12D1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-0.2570</w:t>
            </w:r>
          </w:p>
        </w:tc>
        <w:tc>
          <w:tcPr>
            <w:tcW w:w="1584" w:type="dxa"/>
            <w:gridSpan w:val="2"/>
            <w:tcBorders>
              <w:top w:val="nil"/>
              <w:left w:val="nil"/>
              <w:bottom w:val="nil"/>
              <w:right w:val="nil"/>
            </w:tcBorders>
          </w:tcPr>
          <w:p w14:paraId="065BD84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0C85A8B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EA6246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6D099C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7FCB78A1" w14:textId="77777777" w:rsidTr="005B6FD7">
        <w:trPr>
          <w:gridAfter w:val="1"/>
          <w:wAfter w:w="219" w:type="dxa"/>
          <w:jc w:val="center"/>
        </w:trPr>
        <w:tc>
          <w:tcPr>
            <w:tcW w:w="1947" w:type="dxa"/>
            <w:gridSpan w:val="2"/>
            <w:tcBorders>
              <w:top w:val="nil"/>
              <w:left w:val="nil"/>
              <w:bottom w:val="nil"/>
              <w:right w:val="nil"/>
            </w:tcBorders>
          </w:tcPr>
          <w:p w14:paraId="6E9291B9"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07ED604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892E67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(-0.49)</w:t>
            </w:r>
          </w:p>
        </w:tc>
        <w:tc>
          <w:tcPr>
            <w:tcW w:w="1584" w:type="dxa"/>
            <w:gridSpan w:val="2"/>
            <w:tcBorders>
              <w:top w:val="nil"/>
              <w:left w:val="nil"/>
              <w:bottom w:val="nil"/>
              <w:right w:val="nil"/>
            </w:tcBorders>
          </w:tcPr>
          <w:p w14:paraId="76A16F2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A31FCE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5AC07D7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599292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732EED95" w14:textId="77777777" w:rsidTr="005B6FD7">
        <w:trPr>
          <w:gridAfter w:val="1"/>
          <w:wAfter w:w="219" w:type="dxa"/>
          <w:jc w:val="center"/>
        </w:trPr>
        <w:tc>
          <w:tcPr>
            <w:tcW w:w="1947" w:type="dxa"/>
            <w:gridSpan w:val="2"/>
            <w:tcBorders>
              <w:top w:val="nil"/>
              <w:left w:val="nil"/>
              <w:bottom w:val="nil"/>
              <w:right w:val="nil"/>
            </w:tcBorders>
          </w:tcPr>
          <w:p w14:paraId="3BDFA7AF"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vertAlign w:val="superscript"/>
                <w:lang w:eastAsia="en-GB"/>
              </w:rPr>
            </w:pPr>
            <w:r w:rsidRPr="00055865">
              <w:rPr>
                <w:rFonts w:ascii="Garamond" w:eastAsia="Times New Roman" w:hAnsi="Garamond"/>
                <w:sz w:val="18"/>
                <w:szCs w:val="18"/>
                <w:lang w:eastAsia="en-GB"/>
              </w:rPr>
              <w:t>Compliance</w:t>
            </w:r>
            <w:r w:rsidRPr="00055865">
              <w:rPr>
                <w:rFonts w:ascii="Garamond" w:eastAsia="Times New Roman" w:hAnsi="Garamond"/>
                <w:sz w:val="18"/>
                <w:szCs w:val="18"/>
                <w:vertAlign w:val="superscript"/>
                <w:lang w:eastAsia="en-GB"/>
              </w:rPr>
              <w:t>2</w:t>
            </w:r>
          </w:p>
        </w:tc>
        <w:tc>
          <w:tcPr>
            <w:tcW w:w="1728" w:type="dxa"/>
            <w:gridSpan w:val="2"/>
            <w:tcBorders>
              <w:top w:val="nil"/>
              <w:left w:val="nil"/>
              <w:bottom w:val="nil"/>
              <w:right w:val="nil"/>
            </w:tcBorders>
          </w:tcPr>
          <w:p w14:paraId="0E30AD5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C7657A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1.0750**</w:t>
            </w:r>
          </w:p>
        </w:tc>
        <w:tc>
          <w:tcPr>
            <w:tcW w:w="1584" w:type="dxa"/>
            <w:gridSpan w:val="2"/>
            <w:tcBorders>
              <w:top w:val="nil"/>
              <w:left w:val="nil"/>
              <w:bottom w:val="nil"/>
              <w:right w:val="nil"/>
            </w:tcBorders>
          </w:tcPr>
          <w:p w14:paraId="630E010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B4A558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5DBF78F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1590E85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4AACD573" w14:textId="77777777" w:rsidTr="005B6FD7">
        <w:trPr>
          <w:gridAfter w:val="1"/>
          <w:wAfter w:w="219" w:type="dxa"/>
          <w:jc w:val="center"/>
        </w:trPr>
        <w:tc>
          <w:tcPr>
            <w:tcW w:w="1947" w:type="dxa"/>
            <w:gridSpan w:val="2"/>
            <w:tcBorders>
              <w:top w:val="nil"/>
              <w:left w:val="nil"/>
              <w:bottom w:val="nil"/>
              <w:right w:val="nil"/>
            </w:tcBorders>
          </w:tcPr>
          <w:p w14:paraId="6A5D5700"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19DF8E2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05DC21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(2.45)</w:t>
            </w:r>
          </w:p>
        </w:tc>
        <w:tc>
          <w:tcPr>
            <w:tcW w:w="1584" w:type="dxa"/>
            <w:gridSpan w:val="2"/>
            <w:tcBorders>
              <w:top w:val="nil"/>
              <w:left w:val="nil"/>
              <w:bottom w:val="nil"/>
              <w:right w:val="nil"/>
            </w:tcBorders>
          </w:tcPr>
          <w:p w14:paraId="17EAD3B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6C9605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16818DF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032F5A6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12BDDBA1" w14:textId="77777777" w:rsidTr="005B6FD7">
        <w:trPr>
          <w:gridAfter w:val="1"/>
          <w:wAfter w:w="219" w:type="dxa"/>
          <w:jc w:val="center"/>
        </w:trPr>
        <w:tc>
          <w:tcPr>
            <w:tcW w:w="1947" w:type="dxa"/>
            <w:gridSpan w:val="2"/>
            <w:tcBorders>
              <w:top w:val="nil"/>
              <w:left w:val="nil"/>
              <w:bottom w:val="nil"/>
              <w:right w:val="nil"/>
            </w:tcBorders>
          </w:tcPr>
          <w:p w14:paraId="63856C0D"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Waste</w:t>
            </w:r>
          </w:p>
        </w:tc>
        <w:tc>
          <w:tcPr>
            <w:tcW w:w="1728" w:type="dxa"/>
            <w:gridSpan w:val="2"/>
            <w:tcBorders>
              <w:top w:val="nil"/>
              <w:left w:val="nil"/>
              <w:bottom w:val="nil"/>
              <w:right w:val="nil"/>
            </w:tcBorders>
          </w:tcPr>
          <w:p w14:paraId="108F265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5EBD7AA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616CC8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0.8600***</w:t>
            </w:r>
          </w:p>
        </w:tc>
        <w:tc>
          <w:tcPr>
            <w:tcW w:w="1584" w:type="dxa"/>
            <w:gridSpan w:val="2"/>
            <w:tcBorders>
              <w:top w:val="nil"/>
              <w:left w:val="nil"/>
              <w:bottom w:val="nil"/>
              <w:right w:val="nil"/>
            </w:tcBorders>
          </w:tcPr>
          <w:p w14:paraId="53B146E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52FA39C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6486642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5B426D4A" w14:textId="77777777" w:rsidTr="005B6FD7">
        <w:trPr>
          <w:gridAfter w:val="1"/>
          <w:wAfter w:w="219" w:type="dxa"/>
          <w:jc w:val="center"/>
        </w:trPr>
        <w:tc>
          <w:tcPr>
            <w:tcW w:w="1947" w:type="dxa"/>
            <w:gridSpan w:val="2"/>
            <w:tcBorders>
              <w:top w:val="nil"/>
              <w:left w:val="nil"/>
              <w:bottom w:val="nil"/>
              <w:right w:val="nil"/>
            </w:tcBorders>
          </w:tcPr>
          <w:p w14:paraId="189F7BB1"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395904B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7171BB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C8F855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(4.56)</w:t>
            </w:r>
          </w:p>
        </w:tc>
        <w:tc>
          <w:tcPr>
            <w:tcW w:w="1584" w:type="dxa"/>
            <w:gridSpan w:val="2"/>
            <w:tcBorders>
              <w:top w:val="nil"/>
              <w:left w:val="nil"/>
              <w:bottom w:val="nil"/>
              <w:right w:val="nil"/>
            </w:tcBorders>
          </w:tcPr>
          <w:p w14:paraId="68FB1B1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044C36C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ADF155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7A403A6F" w14:textId="77777777" w:rsidTr="005B6FD7">
        <w:trPr>
          <w:gridAfter w:val="1"/>
          <w:wAfter w:w="219" w:type="dxa"/>
          <w:jc w:val="center"/>
        </w:trPr>
        <w:tc>
          <w:tcPr>
            <w:tcW w:w="1947" w:type="dxa"/>
            <w:gridSpan w:val="2"/>
            <w:tcBorders>
              <w:top w:val="nil"/>
              <w:left w:val="nil"/>
              <w:bottom w:val="nil"/>
              <w:right w:val="nil"/>
            </w:tcBorders>
          </w:tcPr>
          <w:p w14:paraId="1E67A333"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vertAlign w:val="superscript"/>
                <w:lang w:eastAsia="en-GB"/>
              </w:rPr>
            </w:pPr>
            <w:r w:rsidRPr="00055865">
              <w:rPr>
                <w:rFonts w:ascii="Garamond" w:eastAsia="Times New Roman" w:hAnsi="Garamond"/>
                <w:sz w:val="18"/>
                <w:szCs w:val="18"/>
                <w:lang w:eastAsia="en-GB"/>
              </w:rPr>
              <w:t>Waste</w:t>
            </w:r>
            <w:r w:rsidRPr="00055865">
              <w:rPr>
                <w:rFonts w:ascii="Garamond" w:eastAsia="Times New Roman" w:hAnsi="Garamond"/>
                <w:sz w:val="18"/>
                <w:szCs w:val="18"/>
                <w:vertAlign w:val="superscript"/>
                <w:lang w:eastAsia="en-GB"/>
              </w:rPr>
              <w:t>2</w:t>
            </w:r>
          </w:p>
        </w:tc>
        <w:tc>
          <w:tcPr>
            <w:tcW w:w="1728" w:type="dxa"/>
            <w:gridSpan w:val="2"/>
            <w:tcBorders>
              <w:top w:val="nil"/>
              <w:left w:val="nil"/>
              <w:bottom w:val="nil"/>
              <w:right w:val="nil"/>
            </w:tcBorders>
          </w:tcPr>
          <w:p w14:paraId="08ECA3E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958E6F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62A0F92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-0.240</w:t>
            </w:r>
          </w:p>
        </w:tc>
        <w:tc>
          <w:tcPr>
            <w:tcW w:w="1584" w:type="dxa"/>
            <w:gridSpan w:val="2"/>
            <w:tcBorders>
              <w:top w:val="nil"/>
              <w:left w:val="nil"/>
              <w:bottom w:val="nil"/>
              <w:right w:val="nil"/>
            </w:tcBorders>
          </w:tcPr>
          <w:p w14:paraId="5483373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8E92D7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481FFD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014FD97A" w14:textId="77777777" w:rsidTr="005B6FD7">
        <w:trPr>
          <w:gridAfter w:val="1"/>
          <w:wAfter w:w="219" w:type="dxa"/>
          <w:jc w:val="center"/>
        </w:trPr>
        <w:tc>
          <w:tcPr>
            <w:tcW w:w="1947" w:type="dxa"/>
            <w:gridSpan w:val="2"/>
            <w:tcBorders>
              <w:top w:val="nil"/>
              <w:left w:val="nil"/>
              <w:bottom w:val="nil"/>
              <w:right w:val="nil"/>
            </w:tcBorders>
          </w:tcPr>
          <w:p w14:paraId="0D0EAD0A"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0710FDB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1E278A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583C4FD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(-1.18)</w:t>
            </w:r>
          </w:p>
        </w:tc>
        <w:tc>
          <w:tcPr>
            <w:tcW w:w="1584" w:type="dxa"/>
            <w:gridSpan w:val="2"/>
            <w:tcBorders>
              <w:top w:val="nil"/>
              <w:left w:val="nil"/>
              <w:bottom w:val="nil"/>
              <w:right w:val="nil"/>
            </w:tcBorders>
          </w:tcPr>
          <w:p w14:paraId="1CD0313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9FCEEB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75E8CE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33A8EF43" w14:textId="77777777" w:rsidTr="005B6FD7">
        <w:trPr>
          <w:gridAfter w:val="1"/>
          <w:wAfter w:w="219" w:type="dxa"/>
          <w:jc w:val="center"/>
        </w:trPr>
        <w:tc>
          <w:tcPr>
            <w:tcW w:w="1947" w:type="dxa"/>
            <w:gridSpan w:val="2"/>
            <w:tcBorders>
              <w:top w:val="nil"/>
              <w:left w:val="nil"/>
              <w:bottom w:val="nil"/>
              <w:right w:val="nil"/>
            </w:tcBorders>
          </w:tcPr>
          <w:p w14:paraId="6F56DE48"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GHG</w:t>
            </w:r>
          </w:p>
        </w:tc>
        <w:tc>
          <w:tcPr>
            <w:tcW w:w="1728" w:type="dxa"/>
            <w:gridSpan w:val="2"/>
            <w:tcBorders>
              <w:top w:val="nil"/>
              <w:left w:val="nil"/>
              <w:bottom w:val="nil"/>
              <w:right w:val="nil"/>
            </w:tcBorders>
          </w:tcPr>
          <w:p w14:paraId="729A5C8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6DB98E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5185C03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132CDAB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2.9380***</w:t>
            </w:r>
          </w:p>
        </w:tc>
        <w:tc>
          <w:tcPr>
            <w:tcW w:w="1584" w:type="dxa"/>
            <w:gridSpan w:val="2"/>
            <w:tcBorders>
              <w:top w:val="nil"/>
              <w:left w:val="nil"/>
              <w:bottom w:val="nil"/>
              <w:right w:val="nil"/>
            </w:tcBorders>
          </w:tcPr>
          <w:p w14:paraId="3ACEC62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994270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25AFCC24" w14:textId="77777777" w:rsidTr="005B6FD7">
        <w:trPr>
          <w:gridAfter w:val="1"/>
          <w:wAfter w:w="219" w:type="dxa"/>
          <w:jc w:val="center"/>
        </w:trPr>
        <w:tc>
          <w:tcPr>
            <w:tcW w:w="1947" w:type="dxa"/>
            <w:gridSpan w:val="2"/>
            <w:tcBorders>
              <w:top w:val="nil"/>
              <w:left w:val="nil"/>
              <w:bottom w:val="nil"/>
              <w:right w:val="nil"/>
            </w:tcBorders>
          </w:tcPr>
          <w:p w14:paraId="72EFA305"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6E4DF42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F9D117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07B458E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CC358C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(10.34)</w:t>
            </w:r>
          </w:p>
        </w:tc>
        <w:tc>
          <w:tcPr>
            <w:tcW w:w="1584" w:type="dxa"/>
            <w:gridSpan w:val="2"/>
            <w:tcBorders>
              <w:top w:val="nil"/>
              <w:left w:val="nil"/>
              <w:bottom w:val="nil"/>
              <w:right w:val="nil"/>
            </w:tcBorders>
          </w:tcPr>
          <w:p w14:paraId="5D30BED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21689C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6537FBFD" w14:textId="77777777" w:rsidTr="005B6FD7">
        <w:trPr>
          <w:gridAfter w:val="1"/>
          <w:wAfter w:w="219" w:type="dxa"/>
          <w:jc w:val="center"/>
        </w:trPr>
        <w:tc>
          <w:tcPr>
            <w:tcW w:w="1947" w:type="dxa"/>
            <w:gridSpan w:val="2"/>
            <w:tcBorders>
              <w:top w:val="nil"/>
              <w:left w:val="nil"/>
              <w:bottom w:val="nil"/>
              <w:right w:val="nil"/>
            </w:tcBorders>
          </w:tcPr>
          <w:p w14:paraId="643753CC"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vertAlign w:val="superscript"/>
                <w:lang w:eastAsia="en-GB"/>
              </w:rPr>
            </w:pPr>
            <w:r w:rsidRPr="00055865">
              <w:rPr>
                <w:rFonts w:ascii="Garamond" w:eastAsia="Times New Roman" w:hAnsi="Garamond"/>
                <w:sz w:val="18"/>
                <w:szCs w:val="18"/>
                <w:lang w:eastAsia="en-GB"/>
              </w:rPr>
              <w:t>GHG</w:t>
            </w:r>
            <w:r w:rsidRPr="00055865">
              <w:rPr>
                <w:rFonts w:ascii="Garamond" w:eastAsia="Times New Roman" w:hAnsi="Garamond"/>
                <w:sz w:val="18"/>
                <w:szCs w:val="18"/>
                <w:vertAlign w:val="superscript"/>
                <w:lang w:eastAsia="en-GB"/>
              </w:rPr>
              <w:t>2</w:t>
            </w:r>
          </w:p>
        </w:tc>
        <w:tc>
          <w:tcPr>
            <w:tcW w:w="1728" w:type="dxa"/>
            <w:gridSpan w:val="2"/>
            <w:tcBorders>
              <w:top w:val="nil"/>
              <w:left w:val="nil"/>
              <w:bottom w:val="nil"/>
              <w:right w:val="nil"/>
            </w:tcBorders>
          </w:tcPr>
          <w:p w14:paraId="3996A75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639E22C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4A8D6E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1C4A298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-0.3400***</w:t>
            </w:r>
          </w:p>
        </w:tc>
        <w:tc>
          <w:tcPr>
            <w:tcW w:w="1584" w:type="dxa"/>
            <w:gridSpan w:val="2"/>
            <w:tcBorders>
              <w:top w:val="nil"/>
              <w:left w:val="nil"/>
              <w:bottom w:val="nil"/>
              <w:right w:val="nil"/>
            </w:tcBorders>
          </w:tcPr>
          <w:p w14:paraId="6426E07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27D8A8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2D58BBBE" w14:textId="77777777" w:rsidTr="005B6FD7">
        <w:trPr>
          <w:gridAfter w:val="1"/>
          <w:wAfter w:w="219" w:type="dxa"/>
          <w:jc w:val="center"/>
        </w:trPr>
        <w:tc>
          <w:tcPr>
            <w:tcW w:w="1947" w:type="dxa"/>
            <w:gridSpan w:val="2"/>
            <w:tcBorders>
              <w:top w:val="nil"/>
              <w:left w:val="nil"/>
              <w:bottom w:val="nil"/>
              <w:right w:val="nil"/>
            </w:tcBorders>
          </w:tcPr>
          <w:p w14:paraId="2FCAF36D"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17E9604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6F1E9EA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04B8CB2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0574FD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(-6.95)</w:t>
            </w:r>
          </w:p>
        </w:tc>
        <w:tc>
          <w:tcPr>
            <w:tcW w:w="1584" w:type="dxa"/>
            <w:gridSpan w:val="2"/>
            <w:tcBorders>
              <w:top w:val="nil"/>
              <w:left w:val="nil"/>
              <w:bottom w:val="nil"/>
              <w:right w:val="nil"/>
            </w:tcBorders>
          </w:tcPr>
          <w:p w14:paraId="709EEAC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1BA1E84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1D0B41FF" w14:textId="77777777" w:rsidTr="005B6FD7">
        <w:trPr>
          <w:gridAfter w:val="1"/>
          <w:wAfter w:w="219" w:type="dxa"/>
          <w:jc w:val="center"/>
        </w:trPr>
        <w:tc>
          <w:tcPr>
            <w:tcW w:w="1947" w:type="dxa"/>
            <w:gridSpan w:val="2"/>
            <w:tcBorders>
              <w:top w:val="nil"/>
              <w:left w:val="nil"/>
              <w:bottom w:val="nil"/>
              <w:right w:val="nil"/>
            </w:tcBorders>
          </w:tcPr>
          <w:p w14:paraId="40273A98"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Materials</w:t>
            </w:r>
          </w:p>
        </w:tc>
        <w:tc>
          <w:tcPr>
            <w:tcW w:w="1728" w:type="dxa"/>
            <w:gridSpan w:val="2"/>
            <w:tcBorders>
              <w:top w:val="nil"/>
              <w:left w:val="nil"/>
              <w:bottom w:val="nil"/>
              <w:right w:val="nil"/>
            </w:tcBorders>
          </w:tcPr>
          <w:p w14:paraId="3BFFB98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5C7C4CF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7A2C94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B0F645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0888E0A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1.5500***</w:t>
            </w:r>
          </w:p>
        </w:tc>
        <w:tc>
          <w:tcPr>
            <w:tcW w:w="1584" w:type="dxa"/>
            <w:gridSpan w:val="2"/>
            <w:tcBorders>
              <w:top w:val="nil"/>
              <w:left w:val="nil"/>
              <w:bottom w:val="nil"/>
              <w:right w:val="nil"/>
            </w:tcBorders>
          </w:tcPr>
          <w:p w14:paraId="062037D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33F7A17C" w14:textId="77777777" w:rsidTr="005B6FD7">
        <w:trPr>
          <w:gridAfter w:val="1"/>
          <w:wAfter w:w="219" w:type="dxa"/>
          <w:jc w:val="center"/>
        </w:trPr>
        <w:tc>
          <w:tcPr>
            <w:tcW w:w="1947" w:type="dxa"/>
            <w:gridSpan w:val="2"/>
            <w:tcBorders>
              <w:top w:val="nil"/>
              <w:left w:val="nil"/>
              <w:bottom w:val="nil"/>
              <w:right w:val="nil"/>
            </w:tcBorders>
          </w:tcPr>
          <w:p w14:paraId="53EF960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295B3B7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C055BE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64A2DF8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5765B2C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389593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(5.23)</w:t>
            </w:r>
          </w:p>
        </w:tc>
        <w:tc>
          <w:tcPr>
            <w:tcW w:w="1584" w:type="dxa"/>
            <w:gridSpan w:val="2"/>
            <w:tcBorders>
              <w:top w:val="nil"/>
              <w:left w:val="nil"/>
              <w:bottom w:val="nil"/>
              <w:right w:val="nil"/>
            </w:tcBorders>
          </w:tcPr>
          <w:p w14:paraId="773128D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2899D561" w14:textId="77777777" w:rsidTr="005B6FD7">
        <w:trPr>
          <w:gridAfter w:val="1"/>
          <w:wAfter w:w="219" w:type="dxa"/>
          <w:jc w:val="center"/>
        </w:trPr>
        <w:tc>
          <w:tcPr>
            <w:tcW w:w="1947" w:type="dxa"/>
            <w:gridSpan w:val="2"/>
            <w:tcBorders>
              <w:top w:val="nil"/>
              <w:left w:val="nil"/>
              <w:bottom w:val="nil"/>
              <w:right w:val="nil"/>
            </w:tcBorders>
          </w:tcPr>
          <w:p w14:paraId="3DFAD781"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vertAlign w:val="superscript"/>
                <w:lang w:eastAsia="en-GB"/>
              </w:rPr>
            </w:pPr>
            <w:r w:rsidRPr="00055865">
              <w:rPr>
                <w:rFonts w:ascii="Garamond" w:eastAsia="Times New Roman" w:hAnsi="Garamond"/>
                <w:sz w:val="18"/>
                <w:szCs w:val="18"/>
                <w:lang w:eastAsia="en-GB"/>
              </w:rPr>
              <w:t>Materials</w:t>
            </w:r>
            <w:r w:rsidRPr="00055865">
              <w:rPr>
                <w:rFonts w:ascii="Garamond" w:eastAsia="Times New Roman" w:hAnsi="Garamond"/>
                <w:sz w:val="18"/>
                <w:szCs w:val="18"/>
                <w:vertAlign w:val="superscript"/>
                <w:lang w:eastAsia="en-GB"/>
              </w:rPr>
              <w:t>2</w:t>
            </w:r>
          </w:p>
        </w:tc>
        <w:tc>
          <w:tcPr>
            <w:tcW w:w="1728" w:type="dxa"/>
            <w:gridSpan w:val="2"/>
            <w:tcBorders>
              <w:top w:val="nil"/>
              <w:left w:val="nil"/>
              <w:bottom w:val="nil"/>
              <w:right w:val="nil"/>
            </w:tcBorders>
          </w:tcPr>
          <w:p w14:paraId="5B2A585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028AD6D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360F7E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5A1263A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0E860A9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-0.8010**</w:t>
            </w:r>
          </w:p>
        </w:tc>
        <w:tc>
          <w:tcPr>
            <w:tcW w:w="1584" w:type="dxa"/>
            <w:gridSpan w:val="2"/>
            <w:tcBorders>
              <w:top w:val="nil"/>
              <w:left w:val="nil"/>
              <w:bottom w:val="nil"/>
              <w:right w:val="nil"/>
            </w:tcBorders>
          </w:tcPr>
          <w:p w14:paraId="4751CFB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3260838D" w14:textId="77777777" w:rsidTr="005B6FD7">
        <w:trPr>
          <w:gridAfter w:val="1"/>
          <w:wAfter w:w="219" w:type="dxa"/>
          <w:jc w:val="center"/>
        </w:trPr>
        <w:tc>
          <w:tcPr>
            <w:tcW w:w="1947" w:type="dxa"/>
            <w:gridSpan w:val="2"/>
            <w:tcBorders>
              <w:top w:val="nil"/>
              <w:left w:val="nil"/>
              <w:bottom w:val="nil"/>
              <w:right w:val="nil"/>
            </w:tcBorders>
          </w:tcPr>
          <w:p w14:paraId="309BAB6D"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5F0C4F7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6522E8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9D09D4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632EA6B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0FBE0F2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(-2.33)</w:t>
            </w:r>
          </w:p>
        </w:tc>
        <w:tc>
          <w:tcPr>
            <w:tcW w:w="1584" w:type="dxa"/>
            <w:gridSpan w:val="2"/>
            <w:tcBorders>
              <w:top w:val="nil"/>
              <w:left w:val="nil"/>
              <w:bottom w:val="nil"/>
              <w:right w:val="nil"/>
            </w:tcBorders>
          </w:tcPr>
          <w:p w14:paraId="0958E54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4BDB228E" w14:textId="77777777" w:rsidTr="005B6FD7">
        <w:trPr>
          <w:gridAfter w:val="1"/>
          <w:wAfter w:w="219" w:type="dxa"/>
          <w:jc w:val="center"/>
        </w:trPr>
        <w:tc>
          <w:tcPr>
            <w:tcW w:w="1947" w:type="dxa"/>
            <w:gridSpan w:val="2"/>
            <w:tcBorders>
              <w:top w:val="nil"/>
              <w:left w:val="nil"/>
              <w:bottom w:val="nil"/>
              <w:right w:val="nil"/>
            </w:tcBorders>
          </w:tcPr>
          <w:p w14:paraId="3BA378E3"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Stake</w:t>
            </w:r>
          </w:p>
        </w:tc>
        <w:tc>
          <w:tcPr>
            <w:tcW w:w="1728" w:type="dxa"/>
            <w:gridSpan w:val="2"/>
            <w:tcBorders>
              <w:top w:val="nil"/>
              <w:left w:val="nil"/>
              <w:bottom w:val="nil"/>
              <w:right w:val="nil"/>
            </w:tcBorders>
          </w:tcPr>
          <w:p w14:paraId="09616CF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99D102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198251C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78851C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03B61D4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C8D17E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1.4410***</w:t>
            </w:r>
          </w:p>
        </w:tc>
      </w:tr>
      <w:tr w:rsidR="00334689" w:rsidRPr="00055865" w14:paraId="626CBEEF" w14:textId="77777777" w:rsidTr="005B6FD7">
        <w:trPr>
          <w:gridAfter w:val="1"/>
          <w:wAfter w:w="219" w:type="dxa"/>
          <w:jc w:val="center"/>
        </w:trPr>
        <w:tc>
          <w:tcPr>
            <w:tcW w:w="1947" w:type="dxa"/>
            <w:gridSpan w:val="2"/>
            <w:tcBorders>
              <w:top w:val="nil"/>
              <w:left w:val="nil"/>
              <w:bottom w:val="nil"/>
              <w:right w:val="nil"/>
            </w:tcBorders>
          </w:tcPr>
          <w:p w14:paraId="30C9846B"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3DE9C6C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C7A915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1526651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CFFE1F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F8CA1A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5123B89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(4.96)</w:t>
            </w:r>
          </w:p>
        </w:tc>
      </w:tr>
      <w:tr w:rsidR="00334689" w:rsidRPr="00055865" w14:paraId="6FF3F83D" w14:textId="77777777" w:rsidTr="005B6FD7">
        <w:trPr>
          <w:gridAfter w:val="1"/>
          <w:wAfter w:w="219" w:type="dxa"/>
          <w:jc w:val="center"/>
        </w:trPr>
        <w:tc>
          <w:tcPr>
            <w:tcW w:w="1947" w:type="dxa"/>
            <w:gridSpan w:val="2"/>
            <w:tcBorders>
              <w:top w:val="nil"/>
              <w:left w:val="nil"/>
              <w:bottom w:val="nil"/>
              <w:right w:val="nil"/>
            </w:tcBorders>
          </w:tcPr>
          <w:p w14:paraId="00E5C75F"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vertAlign w:val="superscript"/>
                <w:lang w:eastAsia="en-GB"/>
              </w:rPr>
            </w:pPr>
            <w:r w:rsidRPr="00055865">
              <w:rPr>
                <w:rFonts w:ascii="Garamond" w:eastAsia="Times New Roman" w:hAnsi="Garamond"/>
                <w:sz w:val="18"/>
                <w:szCs w:val="18"/>
                <w:lang w:eastAsia="en-GB"/>
              </w:rPr>
              <w:lastRenderedPageBreak/>
              <w:t>Stake</w:t>
            </w:r>
            <w:r w:rsidRPr="00055865">
              <w:rPr>
                <w:rFonts w:ascii="Garamond" w:eastAsia="Times New Roman" w:hAnsi="Garamond"/>
                <w:sz w:val="18"/>
                <w:szCs w:val="18"/>
                <w:vertAlign w:val="superscript"/>
                <w:lang w:eastAsia="en-GB"/>
              </w:rPr>
              <w:t>2</w:t>
            </w:r>
          </w:p>
        </w:tc>
        <w:tc>
          <w:tcPr>
            <w:tcW w:w="1728" w:type="dxa"/>
            <w:gridSpan w:val="2"/>
            <w:tcBorders>
              <w:top w:val="nil"/>
              <w:left w:val="nil"/>
              <w:bottom w:val="nil"/>
              <w:right w:val="nil"/>
            </w:tcBorders>
          </w:tcPr>
          <w:p w14:paraId="0A1E343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3C7193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81F77D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A46147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6D8C793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411223C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-0.3850</w:t>
            </w:r>
          </w:p>
        </w:tc>
      </w:tr>
      <w:tr w:rsidR="00334689" w:rsidRPr="00055865" w14:paraId="711B6164" w14:textId="77777777" w:rsidTr="005B6FD7">
        <w:trPr>
          <w:gridAfter w:val="1"/>
          <w:wAfter w:w="219" w:type="dxa"/>
          <w:jc w:val="center"/>
        </w:trPr>
        <w:tc>
          <w:tcPr>
            <w:tcW w:w="1947" w:type="dxa"/>
            <w:gridSpan w:val="2"/>
            <w:tcBorders>
              <w:top w:val="nil"/>
              <w:left w:val="nil"/>
              <w:bottom w:val="nil"/>
              <w:right w:val="nil"/>
            </w:tcBorders>
          </w:tcPr>
          <w:p w14:paraId="7D871FA9"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43D69EF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1B9E2ED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1E77F3A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7ACA353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3A675A2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nil"/>
              <w:right w:val="nil"/>
            </w:tcBorders>
          </w:tcPr>
          <w:p w14:paraId="29F9D98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(-1.48)</w:t>
            </w:r>
          </w:p>
        </w:tc>
      </w:tr>
      <w:tr w:rsidR="00334689" w:rsidRPr="00055865" w14:paraId="3C0D5B74" w14:textId="77777777" w:rsidTr="005B6FD7">
        <w:trPr>
          <w:gridAfter w:val="1"/>
          <w:wAfter w:w="219" w:type="dxa"/>
          <w:jc w:val="center"/>
        </w:trPr>
        <w:tc>
          <w:tcPr>
            <w:tcW w:w="1947" w:type="dxa"/>
            <w:gridSpan w:val="2"/>
            <w:tcBorders>
              <w:top w:val="nil"/>
              <w:left w:val="nil"/>
              <w:bottom w:val="nil"/>
              <w:right w:val="nil"/>
            </w:tcBorders>
          </w:tcPr>
          <w:p w14:paraId="42742680"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Size</w:t>
            </w:r>
          </w:p>
        </w:tc>
        <w:tc>
          <w:tcPr>
            <w:tcW w:w="1728" w:type="dxa"/>
            <w:gridSpan w:val="2"/>
            <w:tcBorders>
              <w:top w:val="nil"/>
              <w:left w:val="nil"/>
              <w:bottom w:val="nil"/>
              <w:right w:val="nil"/>
            </w:tcBorders>
          </w:tcPr>
          <w:p w14:paraId="7CF5C90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0.00901**</w:t>
            </w:r>
          </w:p>
        </w:tc>
        <w:tc>
          <w:tcPr>
            <w:tcW w:w="1584" w:type="dxa"/>
            <w:gridSpan w:val="2"/>
            <w:tcBorders>
              <w:top w:val="nil"/>
              <w:left w:val="nil"/>
              <w:bottom w:val="nil"/>
              <w:right w:val="nil"/>
            </w:tcBorders>
          </w:tcPr>
          <w:p w14:paraId="7C2CF04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0.0084*</w:t>
            </w:r>
          </w:p>
        </w:tc>
        <w:tc>
          <w:tcPr>
            <w:tcW w:w="1584" w:type="dxa"/>
            <w:gridSpan w:val="2"/>
            <w:tcBorders>
              <w:top w:val="nil"/>
              <w:left w:val="nil"/>
              <w:bottom w:val="nil"/>
              <w:right w:val="nil"/>
            </w:tcBorders>
          </w:tcPr>
          <w:p w14:paraId="630B71A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0.0101**</w:t>
            </w:r>
          </w:p>
        </w:tc>
        <w:tc>
          <w:tcPr>
            <w:tcW w:w="1584" w:type="dxa"/>
            <w:gridSpan w:val="2"/>
            <w:tcBorders>
              <w:top w:val="nil"/>
              <w:left w:val="nil"/>
              <w:bottom w:val="nil"/>
              <w:right w:val="nil"/>
            </w:tcBorders>
          </w:tcPr>
          <w:p w14:paraId="49139F4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0.0225***</w:t>
            </w:r>
          </w:p>
        </w:tc>
        <w:tc>
          <w:tcPr>
            <w:tcW w:w="1584" w:type="dxa"/>
            <w:gridSpan w:val="2"/>
            <w:tcBorders>
              <w:top w:val="nil"/>
              <w:left w:val="nil"/>
              <w:bottom w:val="nil"/>
              <w:right w:val="nil"/>
            </w:tcBorders>
          </w:tcPr>
          <w:p w14:paraId="10D26CE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0.0993**</w:t>
            </w:r>
          </w:p>
        </w:tc>
        <w:tc>
          <w:tcPr>
            <w:tcW w:w="1584" w:type="dxa"/>
            <w:gridSpan w:val="2"/>
            <w:tcBorders>
              <w:top w:val="nil"/>
              <w:left w:val="nil"/>
              <w:bottom w:val="nil"/>
              <w:right w:val="nil"/>
            </w:tcBorders>
          </w:tcPr>
          <w:p w14:paraId="73A92C1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0.0055</w:t>
            </w:r>
          </w:p>
        </w:tc>
      </w:tr>
      <w:tr w:rsidR="00334689" w:rsidRPr="00055865" w14:paraId="723A77CD" w14:textId="77777777" w:rsidTr="005B6FD7">
        <w:trPr>
          <w:gridAfter w:val="1"/>
          <w:wAfter w:w="219" w:type="dxa"/>
          <w:jc w:val="center"/>
        </w:trPr>
        <w:tc>
          <w:tcPr>
            <w:tcW w:w="1947" w:type="dxa"/>
            <w:gridSpan w:val="2"/>
            <w:tcBorders>
              <w:top w:val="nil"/>
              <w:left w:val="nil"/>
              <w:bottom w:val="nil"/>
              <w:right w:val="nil"/>
            </w:tcBorders>
          </w:tcPr>
          <w:p w14:paraId="677A3699"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568D740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(2.15)</w:t>
            </w:r>
          </w:p>
        </w:tc>
        <w:tc>
          <w:tcPr>
            <w:tcW w:w="1584" w:type="dxa"/>
            <w:gridSpan w:val="2"/>
            <w:tcBorders>
              <w:top w:val="nil"/>
              <w:left w:val="nil"/>
              <w:bottom w:val="nil"/>
              <w:right w:val="nil"/>
            </w:tcBorders>
          </w:tcPr>
          <w:p w14:paraId="0BA938B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(1.88)</w:t>
            </w:r>
          </w:p>
        </w:tc>
        <w:tc>
          <w:tcPr>
            <w:tcW w:w="1584" w:type="dxa"/>
            <w:gridSpan w:val="2"/>
            <w:tcBorders>
              <w:top w:val="nil"/>
              <w:left w:val="nil"/>
              <w:bottom w:val="nil"/>
              <w:right w:val="nil"/>
            </w:tcBorders>
          </w:tcPr>
          <w:p w14:paraId="75F0935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(2.34)</w:t>
            </w:r>
          </w:p>
        </w:tc>
        <w:tc>
          <w:tcPr>
            <w:tcW w:w="1584" w:type="dxa"/>
            <w:gridSpan w:val="2"/>
            <w:tcBorders>
              <w:top w:val="nil"/>
              <w:left w:val="nil"/>
              <w:bottom w:val="nil"/>
              <w:right w:val="nil"/>
            </w:tcBorders>
          </w:tcPr>
          <w:p w14:paraId="2951AE4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(4.84)</w:t>
            </w:r>
          </w:p>
        </w:tc>
        <w:tc>
          <w:tcPr>
            <w:tcW w:w="1584" w:type="dxa"/>
            <w:gridSpan w:val="2"/>
            <w:tcBorders>
              <w:top w:val="nil"/>
              <w:left w:val="nil"/>
              <w:bottom w:val="nil"/>
              <w:right w:val="nil"/>
            </w:tcBorders>
          </w:tcPr>
          <w:p w14:paraId="3D969CE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(2.32)</w:t>
            </w:r>
          </w:p>
        </w:tc>
        <w:tc>
          <w:tcPr>
            <w:tcW w:w="1584" w:type="dxa"/>
            <w:gridSpan w:val="2"/>
            <w:tcBorders>
              <w:top w:val="nil"/>
              <w:left w:val="nil"/>
              <w:bottom w:val="nil"/>
              <w:right w:val="nil"/>
            </w:tcBorders>
          </w:tcPr>
          <w:p w14:paraId="560E009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(1.25)</w:t>
            </w:r>
          </w:p>
        </w:tc>
      </w:tr>
      <w:tr w:rsidR="00334689" w:rsidRPr="00055865" w14:paraId="76B5AFA2" w14:textId="77777777" w:rsidTr="005B6FD7">
        <w:trPr>
          <w:gridAfter w:val="1"/>
          <w:wAfter w:w="219" w:type="dxa"/>
          <w:jc w:val="center"/>
        </w:trPr>
        <w:tc>
          <w:tcPr>
            <w:tcW w:w="1947" w:type="dxa"/>
            <w:gridSpan w:val="2"/>
            <w:tcBorders>
              <w:top w:val="nil"/>
              <w:left w:val="nil"/>
              <w:bottom w:val="nil"/>
              <w:right w:val="nil"/>
            </w:tcBorders>
          </w:tcPr>
          <w:p w14:paraId="4812DB79"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Liquidity</w:t>
            </w:r>
          </w:p>
        </w:tc>
        <w:tc>
          <w:tcPr>
            <w:tcW w:w="1728" w:type="dxa"/>
            <w:gridSpan w:val="2"/>
            <w:tcBorders>
              <w:top w:val="nil"/>
              <w:left w:val="nil"/>
              <w:bottom w:val="nil"/>
              <w:right w:val="nil"/>
            </w:tcBorders>
          </w:tcPr>
          <w:p w14:paraId="167A8F4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-0.0003</w:t>
            </w:r>
          </w:p>
        </w:tc>
        <w:tc>
          <w:tcPr>
            <w:tcW w:w="1584" w:type="dxa"/>
            <w:gridSpan w:val="2"/>
            <w:tcBorders>
              <w:top w:val="nil"/>
              <w:left w:val="nil"/>
              <w:bottom w:val="nil"/>
              <w:right w:val="nil"/>
            </w:tcBorders>
          </w:tcPr>
          <w:p w14:paraId="76D7FE0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-0.0007</w:t>
            </w:r>
          </w:p>
        </w:tc>
        <w:tc>
          <w:tcPr>
            <w:tcW w:w="1584" w:type="dxa"/>
            <w:gridSpan w:val="2"/>
            <w:tcBorders>
              <w:top w:val="nil"/>
              <w:left w:val="nil"/>
              <w:bottom w:val="nil"/>
              <w:right w:val="nil"/>
            </w:tcBorders>
          </w:tcPr>
          <w:p w14:paraId="5738F47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-0.0004</w:t>
            </w:r>
          </w:p>
        </w:tc>
        <w:tc>
          <w:tcPr>
            <w:tcW w:w="1584" w:type="dxa"/>
            <w:gridSpan w:val="2"/>
            <w:tcBorders>
              <w:top w:val="nil"/>
              <w:left w:val="nil"/>
              <w:bottom w:val="nil"/>
              <w:right w:val="nil"/>
            </w:tcBorders>
          </w:tcPr>
          <w:p w14:paraId="3F081DD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-0.0012</w:t>
            </w:r>
          </w:p>
        </w:tc>
        <w:tc>
          <w:tcPr>
            <w:tcW w:w="1584" w:type="dxa"/>
            <w:gridSpan w:val="2"/>
            <w:tcBorders>
              <w:top w:val="nil"/>
              <w:left w:val="nil"/>
              <w:bottom w:val="nil"/>
              <w:right w:val="nil"/>
            </w:tcBorders>
          </w:tcPr>
          <w:p w14:paraId="356D0D4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-0.0005</w:t>
            </w:r>
          </w:p>
        </w:tc>
        <w:tc>
          <w:tcPr>
            <w:tcW w:w="1584" w:type="dxa"/>
            <w:gridSpan w:val="2"/>
            <w:tcBorders>
              <w:top w:val="nil"/>
              <w:left w:val="nil"/>
              <w:bottom w:val="nil"/>
              <w:right w:val="nil"/>
            </w:tcBorders>
          </w:tcPr>
          <w:p w14:paraId="33A25C2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-0.0004</w:t>
            </w:r>
          </w:p>
        </w:tc>
      </w:tr>
      <w:tr w:rsidR="00334689" w:rsidRPr="00055865" w14:paraId="3925D7A3" w14:textId="77777777" w:rsidTr="005B6FD7">
        <w:trPr>
          <w:gridAfter w:val="1"/>
          <w:wAfter w:w="219" w:type="dxa"/>
          <w:jc w:val="center"/>
        </w:trPr>
        <w:tc>
          <w:tcPr>
            <w:tcW w:w="1947" w:type="dxa"/>
            <w:gridSpan w:val="2"/>
            <w:tcBorders>
              <w:top w:val="nil"/>
              <w:left w:val="nil"/>
              <w:bottom w:val="nil"/>
              <w:right w:val="nil"/>
            </w:tcBorders>
          </w:tcPr>
          <w:p w14:paraId="331FE2E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69504D9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(-0.36)</w:t>
            </w:r>
          </w:p>
        </w:tc>
        <w:tc>
          <w:tcPr>
            <w:tcW w:w="1584" w:type="dxa"/>
            <w:gridSpan w:val="2"/>
            <w:tcBorders>
              <w:top w:val="nil"/>
              <w:left w:val="nil"/>
              <w:bottom w:val="nil"/>
              <w:right w:val="nil"/>
            </w:tcBorders>
          </w:tcPr>
          <w:p w14:paraId="48BCC6D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(-0.79)</w:t>
            </w:r>
          </w:p>
        </w:tc>
        <w:tc>
          <w:tcPr>
            <w:tcW w:w="1584" w:type="dxa"/>
            <w:gridSpan w:val="2"/>
            <w:tcBorders>
              <w:top w:val="nil"/>
              <w:left w:val="nil"/>
              <w:bottom w:val="nil"/>
              <w:right w:val="nil"/>
            </w:tcBorders>
          </w:tcPr>
          <w:p w14:paraId="0D24CFB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(-0.53)</w:t>
            </w:r>
          </w:p>
        </w:tc>
        <w:tc>
          <w:tcPr>
            <w:tcW w:w="1584" w:type="dxa"/>
            <w:gridSpan w:val="2"/>
            <w:tcBorders>
              <w:top w:val="nil"/>
              <w:left w:val="nil"/>
              <w:bottom w:val="nil"/>
              <w:right w:val="nil"/>
            </w:tcBorders>
          </w:tcPr>
          <w:p w14:paraId="58408BD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(-1.42)</w:t>
            </w:r>
          </w:p>
        </w:tc>
        <w:tc>
          <w:tcPr>
            <w:tcW w:w="1584" w:type="dxa"/>
            <w:gridSpan w:val="2"/>
            <w:tcBorders>
              <w:top w:val="nil"/>
              <w:left w:val="nil"/>
              <w:bottom w:val="nil"/>
              <w:right w:val="nil"/>
            </w:tcBorders>
          </w:tcPr>
          <w:p w14:paraId="3F42CA4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(-1.42)</w:t>
            </w:r>
          </w:p>
        </w:tc>
        <w:tc>
          <w:tcPr>
            <w:tcW w:w="1584" w:type="dxa"/>
            <w:gridSpan w:val="2"/>
            <w:tcBorders>
              <w:top w:val="nil"/>
              <w:left w:val="nil"/>
              <w:bottom w:val="nil"/>
              <w:right w:val="nil"/>
            </w:tcBorders>
          </w:tcPr>
          <w:p w14:paraId="005788C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(-0.49)</w:t>
            </w:r>
          </w:p>
        </w:tc>
      </w:tr>
      <w:tr w:rsidR="00334689" w:rsidRPr="00055865" w14:paraId="1193D458" w14:textId="77777777" w:rsidTr="005B6FD7">
        <w:trPr>
          <w:gridAfter w:val="1"/>
          <w:wAfter w:w="219" w:type="dxa"/>
          <w:jc w:val="center"/>
        </w:trPr>
        <w:tc>
          <w:tcPr>
            <w:tcW w:w="1947" w:type="dxa"/>
            <w:gridSpan w:val="2"/>
            <w:tcBorders>
              <w:top w:val="nil"/>
              <w:left w:val="nil"/>
              <w:bottom w:val="nil"/>
              <w:right w:val="nil"/>
            </w:tcBorders>
          </w:tcPr>
          <w:p w14:paraId="7BCE504B"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Gearing</w:t>
            </w:r>
          </w:p>
        </w:tc>
        <w:tc>
          <w:tcPr>
            <w:tcW w:w="1728" w:type="dxa"/>
            <w:gridSpan w:val="2"/>
            <w:tcBorders>
              <w:top w:val="nil"/>
              <w:left w:val="nil"/>
              <w:bottom w:val="nil"/>
              <w:right w:val="nil"/>
            </w:tcBorders>
          </w:tcPr>
          <w:p w14:paraId="34EB51C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-0.0133***</w:t>
            </w:r>
          </w:p>
        </w:tc>
        <w:tc>
          <w:tcPr>
            <w:tcW w:w="1584" w:type="dxa"/>
            <w:gridSpan w:val="2"/>
            <w:tcBorders>
              <w:top w:val="nil"/>
              <w:left w:val="nil"/>
              <w:bottom w:val="nil"/>
              <w:right w:val="nil"/>
            </w:tcBorders>
          </w:tcPr>
          <w:p w14:paraId="42ADBF0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-0.0059</w:t>
            </w:r>
          </w:p>
        </w:tc>
        <w:tc>
          <w:tcPr>
            <w:tcW w:w="1584" w:type="dxa"/>
            <w:gridSpan w:val="2"/>
            <w:tcBorders>
              <w:top w:val="nil"/>
              <w:left w:val="nil"/>
              <w:bottom w:val="nil"/>
              <w:right w:val="nil"/>
            </w:tcBorders>
          </w:tcPr>
          <w:p w14:paraId="1E8620B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-0.0068*</w:t>
            </w:r>
          </w:p>
        </w:tc>
        <w:tc>
          <w:tcPr>
            <w:tcW w:w="1584" w:type="dxa"/>
            <w:gridSpan w:val="2"/>
            <w:tcBorders>
              <w:top w:val="nil"/>
              <w:left w:val="nil"/>
              <w:bottom w:val="nil"/>
              <w:right w:val="nil"/>
            </w:tcBorders>
          </w:tcPr>
          <w:p w14:paraId="1AA12C8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-0.0918***</w:t>
            </w:r>
          </w:p>
        </w:tc>
        <w:tc>
          <w:tcPr>
            <w:tcW w:w="1584" w:type="dxa"/>
            <w:gridSpan w:val="2"/>
            <w:tcBorders>
              <w:top w:val="nil"/>
              <w:left w:val="nil"/>
              <w:bottom w:val="nil"/>
              <w:right w:val="nil"/>
            </w:tcBorders>
          </w:tcPr>
          <w:p w14:paraId="3434EA3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-0.0066*</w:t>
            </w:r>
          </w:p>
        </w:tc>
        <w:tc>
          <w:tcPr>
            <w:tcW w:w="1584" w:type="dxa"/>
            <w:gridSpan w:val="2"/>
            <w:tcBorders>
              <w:top w:val="nil"/>
              <w:left w:val="nil"/>
              <w:bottom w:val="nil"/>
              <w:right w:val="nil"/>
            </w:tcBorders>
          </w:tcPr>
          <w:p w14:paraId="6D091C6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-0.0001</w:t>
            </w:r>
          </w:p>
        </w:tc>
      </w:tr>
      <w:tr w:rsidR="00334689" w:rsidRPr="00055865" w14:paraId="048D7699" w14:textId="77777777" w:rsidTr="005B6FD7">
        <w:trPr>
          <w:gridAfter w:val="1"/>
          <w:wAfter w:w="219" w:type="dxa"/>
          <w:jc w:val="center"/>
        </w:trPr>
        <w:tc>
          <w:tcPr>
            <w:tcW w:w="1947" w:type="dxa"/>
            <w:gridSpan w:val="2"/>
            <w:tcBorders>
              <w:top w:val="nil"/>
              <w:left w:val="nil"/>
              <w:bottom w:val="nil"/>
              <w:right w:val="nil"/>
            </w:tcBorders>
          </w:tcPr>
          <w:p w14:paraId="6F45F288"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69763EF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(-3.78)</w:t>
            </w:r>
          </w:p>
        </w:tc>
        <w:tc>
          <w:tcPr>
            <w:tcW w:w="1584" w:type="dxa"/>
            <w:gridSpan w:val="2"/>
            <w:tcBorders>
              <w:top w:val="nil"/>
              <w:left w:val="nil"/>
              <w:bottom w:val="nil"/>
              <w:right w:val="nil"/>
            </w:tcBorders>
          </w:tcPr>
          <w:p w14:paraId="7859A75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(-1.48)</w:t>
            </w:r>
          </w:p>
        </w:tc>
        <w:tc>
          <w:tcPr>
            <w:tcW w:w="1584" w:type="dxa"/>
            <w:gridSpan w:val="2"/>
            <w:tcBorders>
              <w:top w:val="nil"/>
              <w:left w:val="nil"/>
              <w:bottom w:val="nil"/>
              <w:right w:val="nil"/>
            </w:tcBorders>
          </w:tcPr>
          <w:p w14:paraId="2275EE9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(-1.87)</w:t>
            </w:r>
          </w:p>
        </w:tc>
        <w:tc>
          <w:tcPr>
            <w:tcW w:w="1584" w:type="dxa"/>
            <w:gridSpan w:val="2"/>
            <w:tcBorders>
              <w:top w:val="nil"/>
              <w:left w:val="nil"/>
              <w:bottom w:val="nil"/>
              <w:right w:val="nil"/>
            </w:tcBorders>
          </w:tcPr>
          <w:p w14:paraId="214E775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(-4.43)</w:t>
            </w:r>
          </w:p>
        </w:tc>
        <w:tc>
          <w:tcPr>
            <w:tcW w:w="1584" w:type="dxa"/>
            <w:gridSpan w:val="2"/>
            <w:tcBorders>
              <w:top w:val="nil"/>
              <w:left w:val="nil"/>
              <w:bottom w:val="nil"/>
              <w:right w:val="nil"/>
            </w:tcBorders>
          </w:tcPr>
          <w:p w14:paraId="5A43FFD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(-1.77)</w:t>
            </w:r>
          </w:p>
        </w:tc>
        <w:tc>
          <w:tcPr>
            <w:tcW w:w="1584" w:type="dxa"/>
            <w:gridSpan w:val="2"/>
            <w:tcBorders>
              <w:top w:val="nil"/>
              <w:left w:val="nil"/>
              <w:bottom w:val="nil"/>
              <w:right w:val="nil"/>
            </w:tcBorders>
          </w:tcPr>
          <w:p w14:paraId="7DBADBC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(-0.03)</w:t>
            </w:r>
          </w:p>
        </w:tc>
      </w:tr>
      <w:tr w:rsidR="00334689" w:rsidRPr="00055865" w14:paraId="5A5E1D1A" w14:textId="77777777" w:rsidTr="005B6FD7">
        <w:trPr>
          <w:gridAfter w:val="1"/>
          <w:wAfter w:w="219" w:type="dxa"/>
          <w:jc w:val="center"/>
        </w:trPr>
        <w:tc>
          <w:tcPr>
            <w:tcW w:w="1947" w:type="dxa"/>
            <w:gridSpan w:val="2"/>
            <w:tcBorders>
              <w:top w:val="nil"/>
              <w:left w:val="nil"/>
              <w:bottom w:val="nil"/>
              <w:right w:val="nil"/>
            </w:tcBorders>
          </w:tcPr>
          <w:p w14:paraId="420B8C3F"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Board Size</w:t>
            </w:r>
          </w:p>
        </w:tc>
        <w:tc>
          <w:tcPr>
            <w:tcW w:w="1728" w:type="dxa"/>
            <w:gridSpan w:val="2"/>
            <w:tcBorders>
              <w:top w:val="nil"/>
              <w:left w:val="nil"/>
              <w:bottom w:val="nil"/>
              <w:right w:val="nil"/>
            </w:tcBorders>
          </w:tcPr>
          <w:p w14:paraId="50101D5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0.0034</w:t>
            </w:r>
          </w:p>
        </w:tc>
        <w:tc>
          <w:tcPr>
            <w:tcW w:w="1584" w:type="dxa"/>
            <w:gridSpan w:val="2"/>
            <w:tcBorders>
              <w:top w:val="nil"/>
              <w:left w:val="nil"/>
              <w:bottom w:val="nil"/>
              <w:right w:val="nil"/>
            </w:tcBorders>
          </w:tcPr>
          <w:p w14:paraId="15432F6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0.0051</w:t>
            </w:r>
          </w:p>
        </w:tc>
        <w:tc>
          <w:tcPr>
            <w:tcW w:w="1584" w:type="dxa"/>
            <w:gridSpan w:val="2"/>
            <w:tcBorders>
              <w:top w:val="nil"/>
              <w:left w:val="nil"/>
              <w:bottom w:val="nil"/>
              <w:right w:val="nil"/>
            </w:tcBorders>
          </w:tcPr>
          <w:p w14:paraId="4D7E929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0.0053</w:t>
            </w:r>
          </w:p>
        </w:tc>
        <w:tc>
          <w:tcPr>
            <w:tcW w:w="1584" w:type="dxa"/>
            <w:gridSpan w:val="2"/>
            <w:tcBorders>
              <w:top w:val="nil"/>
              <w:left w:val="nil"/>
              <w:bottom w:val="nil"/>
              <w:right w:val="nil"/>
            </w:tcBorders>
          </w:tcPr>
          <w:p w14:paraId="0BCA23E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0.0079**</w:t>
            </w:r>
          </w:p>
        </w:tc>
        <w:tc>
          <w:tcPr>
            <w:tcW w:w="1584" w:type="dxa"/>
            <w:gridSpan w:val="2"/>
            <w:tcBorders>
              <w:top w:val="nil"/>
              <w:left w:val="nil"/>
              <w:bottom w:val="nil"/>
              <w:right w:val="nil"/>
            </w:tcBorders>
          </w:tcPr>
          <w:p w14:paraId="64CF996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0.0051</w:t>
            </w:r>
          </w:p>
        </w:tc>
        <w:tc>
          <w:tcPr>
            <w:tcW w:w="1584" w:type="dxa"/>
            <w:gridSpan w:val="2"/>
            <w:tcBorders>
              <w:top w:val="nil"/>
              <w:left w:val="nil"/>
              <w:bottom w:val="nil"/>
              <w:right w:val="nil"/>
            </w:tcBorders>
          </w:tcPr>
          <w:p w14:paraId="0B3DBBE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0.0024</w:t>
            </w:r>
          </w:p>
        </w:tc>
      </w:tr>
      <w:tr w:rsidR="00334689" w:rsidRPr="00055865" w14:paraId="0E1A97D8" w14:textId="77777777" w:rsidTr="005B6FD7">
        <w:trPr>
          <w:gridAfter w:val="1"/>
          <w:wAfter w:w="219" w:type="dxa"/>
          <w:jc w:val="center"/>
        </w:trPr>
        <w:tc>
          <w:tcPr>
            <w:tcW w:w="1947" w:type="dxa"/>
            <w:gridSpan w:val="2"/>
            <w:tcBorders>
              <w:top w:val="nil"/>
              <w:left w:val="nil"/>
              <w:bottom w:val="nil"/>
              <w:right w:val="nil"/>
            </w:tcBorders>
          </w:tcPr>
          <w:p w14:paraId="678F514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002DDAA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(1.91)</w:t>
            </w:r>
          </w:p>
        </w:tc>
        <w:tc>
          <w:tcPr>
            <w:tcW w:w="1584" w:type="dxa"/>
            <w:gridSpan w:val="2"/>
            <w:tcBorders>
              <w:top w:val="nil"/>
              <w:left w:val="nil"/>
              <w:bottom w:val="nil"/>
              <w:right w:val="nil"/>
            </w:tcBorders>
          </w:tcPr>
          <w:p w14:paraId="7A2AD61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(1.33)</w:t>
            </w:r>
          </w:p>
        </w:tc>
        <w:tc>
          <w:tcPr>
            <w:tcW w:w="1584" w:type="dxa"/>
            <w:gridSpan w:val="2"/>
            <w:tcBorders>
              <w:top w:val="nil"/>
              <w:left w:val="nil"/>
              <w:bottom w:val="nil"/>
              <w:right w:val="nil"/>
            </w:tcBorders>
          </w:tcPr>
          <w:p w14:paraId="5863455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(1.41)</w:t>
            </w:r>
          </w:p>
        </w:tc>
        <w:tc>
          <w:tcPr>
            <w:tcW w:w="1584" w:type="dxa"/>
            <w:gridSpan w:val="2"/>
            <w:tcBorders>
              <w:top w:val="nil"/>
              <w:left w:val="nil"/>
              <w:bottom w:val="nil"/>
              <w:right w:val="nil"/>
            </w:tcBorders>
          </w:tcPr>
          <w:p w14:paraId="7368B3F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(2.09)</w:t>
            </w:r>
          </w:p>
        </w:tc>
        <w:tc>
          <w:tcPr>
            <w:tcW w:w="1584" w:type="dxa"/>
            <w:gridSpan w:val="2"/>
            <w:tcBorders>
              <w:top w:val="nil"/>
              <w:left w:val="nil"/>
              <w:bottom w:val="nil"/>
              <w:right w:val="nil"/>
            </w:tcBorders>
          </w:tcPr>
          <w:p w14:paraId="12CCC08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(1.37)</w:t>
            </w:r>
          </w:p>
        </w:tc>
        <w:tc>
          <w:tcPr>
            <w:tcW w:w="1584" w:type="dxa"/>
            <w:gridSpan w:val="2"/>
            <w:tcBorders>
              <w:top w:val="nil"/>
              <w:left w:val="nil"/>
              <w:bottom w:val="nil"/>
              <w:right w:val="nil"/>
            </w:tcBorders>
          </w:tcPr>
          <w:p w14:paraId="5402E51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(0.61)</w:t>
            </w:r>
          </w:p>
        </w:tc>
      </w:tr>
      <w:tr w:rsidR="00334689" w:rsidRPr="00055865" w14:paraId="4490FDB7" w14:textId="77777777" w:rsidTr="005B6FD7">
        <w:trPr>
          <w:gridAfter w:val="1"/>
          <w:wAfter w:w="219" w:type="dxa"/>
          <w:jc w:val="center"/>
        </w:trPr>
        <w:tc>
          <w:tcPr>
            <w:tcW w:w="1947" w:type="dxa"/>
            <w:gridSpan w:val="2"/>
            <w:tcBorders>
              <w:top w:val="nil"/>
              <w:left w:val="nil"/>
              <w:bottom w:val="nil"/>
              <w:right w:val="nil"/>
            </w:tcBorders>
          </w:tcPr>
          <w:p w14:paraId="2D3FE4B4"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NEDS</w:t>
            </w:r>
          </w:p>
        </w:tc>
        <w:tc>
          <w:tcPr>
            <w:tcW w:w="1728" w:type="dxa"/>
            <w:gridSpan w:val="2"/>
            <w:tcBorders>
              <w:top w:val="nil"/>
              <w:left w:val="nil"/>
              <w:bottom w:val="nil"/>
              <w:right w:val="nil"/>
            </w:tcBorders>
          </w:tcPr>
          <w:p w14:paraId="07359FD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-0.0033</w:t>
            </w:r>
          </w:p>
        </w:tc>
        <w:tc>
          <w:tcPr>
            <w:tcW w:w="1584" w:type="dxa"/>
            <w:gridSpan w:val="2"/>
            <w:tcBorders>
              <w:top w:val="nil"/>
              <w:left w:val="nil"/>
              <w:bottom w:val="nil"/>
              <w:right w:val="nil"/>
            </w:tcBorders>
          </w:tcPr>
          <w:p w14:paraId="2F40C0E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-0.0566</w:t>
            </w:r>
          </w:p>
        </w:tc>
        <w:tc>
          <w:tcPr>
            <w:tcW w:w="1584" w:type="dxa"/>
            <w:gridSpan w:val="2"/>
            <w:tcBorders>
              <w:top w:val="nil"/>
              <w:left w:val="nil"/>
              <w:bottom w:val="nil"/>
              <w:right w:val="nil"/>
            </w:tcBorders>
          </w:tcPr>
          <w:p w14:paraId="6235760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-0.0040</w:t>
            </w:r>
          </w:p>
        </w:tc>
        <w:tc>
          <w:tcPr>
            <w:tcW w:w="1584" w:type="dxa"/>
            <w:gridSpan w:val="2"/>
            <w:tcBorders>
              <w:top w:val="nil"/>
              <w:left w:val="nil"/>
              <w:bottom w:val="nil"/>
              <w:right w:val="nil"/>
            </w:tcBorders>
          </w:tcPr>
          <w:p w14:paraId="37FD93A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-0.0058</w:t>
            </w:r>
          </w:p>
        </w:tc>
        <w:tc>
          <w:tcPr>
            <w:tcW w:w="1584" w:type="dxa"/>
            <w:gridSpan w:val="2"/>
            <w:tcBorders>
              <w:top w:val="nil"/>
              <w:left w:val="nil"/>
              <w:bottom w:val="nil"/>
              <w:right w:val="nil"/>
            </w:tcBorders>
          </w:tcPr>
          <w:p w14:paraId="1617495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-0.0034</w:t>
            </w:r>
          </w:p>
        </w:tc>
        <w:tc>
          <w:tcPr>
            <w:tcW w:w="1584" w:type="dxa"/>
            <w:gridSpan w:val="2"/>
            <w:tcBorders>
              <w:top w:val="nil"/>
              <w:left w:val="nil"/>
              <w:bottom w:val="nil"/>
              <w:right w:val="nil"/>
            </w:tcBorders>
          </w:tcPr>
          <w:p w14:paraId="16653AE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0.0003</w:t>
            </w:r>
          </w:p>
        </w:tc>
      </w:tr>
      <w:tr w:rsidR="00334689" w:rsidRPr="00055865" w14:paraId="649F03B2" w14:textId="77777777" w:rsidTr="005B6FD7">
        <w:trPr>
          <w:gridAfter w:val="1"/>
          <w:wAfter w:w="219" w:type="dxa"/>
          <w:jc w:val="center"/>
        </w:trPr>
        <w:tc>
          <w:tcPr>
            <w:tcW w:w="1947" w:type="dxa"/>
            <w:gridSpan w:val="2"/>
            <w:tcBorders>
              <w:top w:val="nil"/>
              <w:left w:val="nil"/>
              <w:bottom w:val="nil"/>
              <w:right w:val="nil"/>
            </w:tcBorders>
          </w:tcPr>
          <w:p w14:paraId="09623ADD"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1878DA8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(-0.71)</w:t>
            </w:r>
          </w:p>
        </w:tc>
        <w:tc>
          <w:tcPr>
            <w:tcW w:w="1584" w:type="dxa"/>
            <w:gridSpan w:val="2"/>
            <w:tcBorders>
              <w:top w:val="nil"/>
              <w:left w:val="nil"/>
              <w:bottom w:val="nil"/>
              <w:right w:val="nil"/>
            </w:tcBorders>
          </w:tcPr>
          <w:p w14:paraId="6F64F16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(-1.17)</w:t>
            </w:r>
          </w:p>
        </w:tc>
        <w:tc>
          <w:tcPr>
            <w:tcW w:w="1584" w:type="dxa"/>
            <w:gridSpan w:val="2"/>
            <w:tcBorders>
              <w:top w:val="nil"/>
              <w:left w:val="nil"/>
              <w:bottom w:val="nil"/>
              <w:right w:val="nil"/>
            </w:tcBorders>
          </w:tcPr>
          <w:p w14:paraId="0E8E776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(-0.86)</w:t>
            </w:r>
          </w:p>
        </w:tc>
        <w:tc>
          <w:tcPr>
            <w:tcW w:w="1584" w:type="dxa"/>
            <w:gridSpan w:val="2"/>
            <w:tcBorders>
              <w:top w:val="nil"/>
              <w:left w:val="nil"/>
              <w:bottom w:val="nil"/>
              <w:right w:val="nil"/>
            </w:tcBorders>
          </w:tcPr>
          <w:p w14:paraId="0A887D9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(-1.23)</w:t>
            </w:r>
          </w:p>
        </w:tc>
        <w:tc>
          <w:tcPr>
            <w:tcW w:w="1584" w:type="dxa"/>
            <w:gridSpan w:val="2"/>
            <w:tcBorders>
              <w:top w:val="nil"/>
              <w:left w:val="nil"/>
              <w:bottom w:val="nil"/>
              <w:right w:val="nil"/>
            </w:tcBorders>
          </w:tcPr>
          <w:p w14:paraId="3147FB4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(-0.72)</w:t>
            </w:r>
          </w:p>
        </w:tc>
        <w:tc>
          <w:tcPr>
            <w:tcW w:w="1584" w:type="dxa"/>
            <w:gridSpan w:val="2"/>
            <w:tcBorders>
              <w:top w:val="nil"/>
              <w:left w:val="nil"/>
              <w:bottom w:val="nil"/>
              <w:right w:val="nil"/>
            </w:tcBorders>
          </w:tcPr>
          <w:p w14:paraId="317EB2D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(0.06)</w:t>
            </w:r>
          </w:p>
        </w:tc>
      </w:tr>
      <w:tr w:rsidR="00334689" w:rsidRPr="00055865" w14:paraId="2483AE48" w14:textId="77777777" w:rsidTr="005B6FD7">
        <w:trPr>
          <w:gridAfter w:val="1"/>
          <w:wAfter w:w="219" w:type="dxa"/>
          <w:jc w:val="center"/>
        </w:trPr>
        <w:tc>
          <w:tcPr>
            <w:tcW w:w="1947" w:type="dxa"/>
            <w:gridSpan w:val="2"/>
            <w:tcBorders>
              <w:top w:val="nil"/>
              <w:left w:val="nil"/>
              <w:bottom w:val="nil"/>
              <w:right w:val="nil"/>
            </w:tcBorders>
          </w:tcPr>
          <w:p w14:paraId="435DA299"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CEO Rem</w:t>
            </w:r>
          </w:p>
        </w:tc>
        <w:tc>
          <w:tcPr>
            <w:tcW w:w="1728" w:type="dxa"/>
            <w:gridSpan w:val="2"/>
            <w:tcBorders>
              <w:top w:val="nil"/>
              <w:left w:val="nil"/>
              <w:bottom w:val="nil"/>
              <w:right w:val="nil"/>
            </w:tcBorders>
          </w:tcPr>
          <w:p w14:paraId="7A33A6B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0.0195**</w:t>
            </w:r>
          </w:p>
        </w:tc>
        <w:tc>
          <w:tcPr>
            <w:tcW w:w="1584" w:type="dxa"/>
            <w:gridSpan w:val="2"/>
            <w:tcBorders>
              <w:top w:val="nil"/>
              <w:left w:val="nil"/>
              <w:bottom w:val="nil"/>
              <w:right w:val="nil"/>
            </w:tcBorders>
          </w:tcPr>
          <w:p w14:paraId="2A9094B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0.0172*</w:t>
            </w:r>
          </w:p>
        </w:tc>
        <w:tc>
          <w:tcPr>
            <w:tcW w:w="1584" w:type="dxa"/>
            <w:gridSpan w:val="2"/>
            <w:tcBorders>
              <w:top w:val="nil"/>
              <w:left w:val="nil"/>
              <w:bottom w:val="nil"/>
              <w:right w:val="nil"/>
            </w:tcBorders>
          </w:tcPr>
          <w:p w14:paraId="07A664F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0.0187**</w:t>
            </w:r>
          </w:p>
        </w:tc>
        <w:tc>
          <w:tcPr>
            <w:tcW w:w="1584" w:type="dxa"/>
            <w:gridSpan w:val="2"/>
            <w:tcBorders>
              <w:top w:val="nil"/>
              <w:left w:val="nil"/>
              <w:bottom w:val="nil"/>
              <w:right w:val="nil"/>
            </w:tcBorders>
          </w:tcPr>
          <w:p w14:paraId="157CE0F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0.0359***</w:t>
            </w:r>
          </w:p>
        </w:tc>
        <w:tc>
          <w:tcPr>
            <w:tcW w:w="1584" w:type="dxa"/>
            <w:gridSpan w:val="2"/>
            <w:tcBorders>
              <w:top w:val="nil"/>
              <w:left w:val="nil"/>
              <w:bottom w:val="nil"/>
              <w:right w:val="nil"/>
            </w:tcBorders>
          </w:tcPr>
          <w:p w14:paraId="72CFB0F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0.0137</w:t>
            </w:r>
          </w:p>
        </w:tc>
        <w:tc>
          <w:tcPr>
            <w:tcW w:w="1584" w:type="dxa"/>
            <w:gridSpan w:val="2"/>
            <w:tcBorders>
              <w:top w:val="nil"/>
              <w:left w:val="nil"/>
              <w:bottom w:val="nil"/>
              <w:right w:val="nil"/>
            </w:tcBorders>
          </w:tcPr>
          <w:p w14:paraId="24C4948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0.0090</w:t>
            </w:r>
          </w:p>
        </w:tc>
      </w:tr>
      <w:tr w:rsidR="00334689" w:rsidRPr="00055865" w14:paraId="19653AA6" w14:textId="77777777" w:rsidTr="005B6FD7">
        <w:trPr>
          <w:gridAfter w:val="1"/>
          <w:wAfter w:w="219" w:type="dxa"/>
          <w:jc w:val="center"/>
        </w:trPr>
        <w:tc>
          <w:tcPr>
            <w:tcW w:w="1947" w:type="dxa"/>
            <w:gridSpan w:val="2"/>
            <w:tcBorders>
              <w:top w:val="nil"/>
              <w:left w:val="nil"/>
              <w:bottom w:val="nil"/>
              <w:right w:val="nil"/>
            </w:tcBorders>
          </w:tcPr>
          <w:p w14:paraId="6AC1B773"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728" w:type="dxa"/>
            <w:gridSpan w:val="2"/>
            <w:tcBorders>
              <w:top w:val="nil"/>
              <w:left w:val="nil"/>
              <w:bottom w:val="nil"/>
              <w:right w:val="nil"/>
            </w:tcBorders>
          </w:tcPr>
          <w:p w14:paraId="24A7B8E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(2.31)</w:t>
            </w:r>
          </w:p>
        </w:tc>
        <w:tc>
          <w:tcPr>
            <w:tcW w:w="1584" w:type="dxa"/>
            <w:gridSpan w:val="2"/>
            <w:tcBorders>
              <w:top w:val="nil"/>
              <w:left w:val="nil"/>
              <w:bottom w:val="nil"/>
              <w:right w:val="nil"/>
            </w:tcBorders>
          </w:tcPr>
          <w:p w14:paraId="516E497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(1.90)</w:t>
            </w:r>
          </w:p>
        </w:tc>
        <w:tc>
          <w:tcPr>
            <w:tcW w:w="1584" w:type="dxa"/>
            <w:gridSpan w:val="2"/>
            <w:tcBorders>
              <w:top w:val="nil"/>
              <w:left w:val="nil"/>
              <w:bottom w:val="nil"/>
              <w:right w:val="nil"/>
            </w:tcBorders>
          </w:tcPr>
          <w:p w14:paraId="0F06481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(2.18)</w:t>
            </w:r>
          </w:p>
        </w:tc>
        <w:tc>
          <w:tcPr>
            <w:tcW w:w="1584" w:type="dxa"/>
            <w:gridSpan w:val="2"/>
            <w:tcBorders>
              <w:top w:val="nil"/>
              <w:left w:val="nil"/>
              <w:bottom w:val="nil"/>
              <w:right w:val="nil"/>
            </w:tcBorders>
          </w:tcPr>
          <w:p w14:paraId="7F090BC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(3.80)</w:t>
            </w:r>
          </w:p>
        </w:tc>
        <w:tc>
          <w:tcPr>
            <w:tcW w:w="1584" w:type="dxa"/>
            <w:gridSpan w:val="2"/>
            <w:tcBorders>
              <w:top w:val="nil"/>
              <w:left w:val="nil"/>
              <w:bottom w:val="nil"/>
              <w:right w:val="nil"/>
            </w:tcBorders>
          </w:tcPr>
          <w:p w14:paraId="19158E3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(1.56)</w:t>
            </w:r>
          </w:p>
        </w:tc>
        <w:tc>
          <w:tcPr>
            <w:tcW w:w="1584" w:type="dxa"/>
            <w:gridSpan w:val="2"/>
            <w:tcBorders>
              <w:top w:val="nil"/>
              <w:left w:val="nil"/>
              <w:bottom w:val="nil"/>
              <w:right w:val="nil"/>
            </w:tcBorders>
          </w:tcPr>
          <w:p w14:paraId="6AFD7B0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(1.00)</w:t>
            </w:r>
          </w:p>
        </w:tc>
      </w:tr>
      <w:tr w:rsidR="00334689" w:rsidRPr="00055865" w14:paraId="31383142" w14:textId="77777777" w:rsidTr="005B6FD7">
        <w:trPr>
          <w:gridAfter w:val="1"/>
          <w:wAfter w:w="219" w:type="dxa"/>
          <w:jc w:val="center"/>
        </w:trPr>
        <w:tc>
          <w:tcPr>
            <w:tcW w:w="1947" w:type="dxa"/>
            <w:gridSpan w:val="2"/>
            <w:tcBorders>
              <w:top w:val="nil"/>
              <w:left w:val="nil"/>
              <w:bottom w:val="nil"/>
              <w:right w:val="nil"/>
            </w:tcBorders>
          </w:tcPr>
          <w:p w14:paraId="5B879EE3"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Industry Effect</w:t>
            </w:r>
          </w:p>
        </w:tc>
        <w:tc>
          <w:tcPr>
            <w:tcW w:w="1728" w:type="dxa"/>
            <w:gridSpan w:val="2"/>
            <w:tcBorders>
              <w:top w:val="nil"/>
              <w:left w:val="nil"/>
              <w:bottom w:val="nil"/>
              <w:right w:val="nil"/>
            </w:tcBorders>
          </w:tcPr>
          <w:p w14:paraId="7CE7473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584" w:type="dxa"/>
            <w:gridSpan w:val="2"/>
            <w:tcBorders>
              <w:top w:val="nil"/>
              <w:left w:val="nil"/>
              <w:bottom w:val="nil"/>
              <w:right w:val="nil"/>
            </w:tcBorders>
          </w:tcPr>
          <w:p w14:paraId="4FA450F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584" w:type="dxa"/>
            <w:gridSpan w:val="2"/>
            <w:tcBorders>
              <w:top w:val="nil"/>
              <w:left w:val="nil"/>
              <w:bottom w:val="nil"/>
              <w:right w:val="nil"/>
            </w:tcBorders>
          </w:tcPr>
          <w:p w14:paraId="6DC2E5E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584" w:type="dxa"/>
            <w:gridSpan w:val="2"/>
            <w:tcBorders>
              <w:top w:val="nil"/>
              <w:left w:val="nil"/>
              <w:bottom w:val="nil"/>
              <w:right w:val="nil"/>
            </w:tcBorders>
          </w:tcPr>
          <w:p w14:paraId="68FB98E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584" w:type="dxa"/>
            <w:gridSpan w:val="2"/>
            <w:tcBorders>
              <w:top w:val="nil"/>
              <w:left w:val="nil"/>
              <w:bottom w:val="nil"/>
              <w:right w:val="nil"/>
            </w:tcBorders>
          </w:tcPr>
          <w:p w14:paraId="1725ADA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584" w:type="dxa"/>
            <w:gridSpan w:val="2"/>
            <w:tcBorders>
              <w:top w:val="nil"/>
              <w:left w:val="nil"/>
              <w:bottom w:val="nil"/>
              <w:right w:val="nil"/>
            </w:tcBorders>
          </w:tcPr>
          <w:p w14:paraId="1B83FAC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r>
      <w:tr w:rsidR="00334689" w:rsidRPr="00055865" w14:paraId="4A4E4DC1" w14:textId="77777777" w:rsidTr="005B6FD7">
        <w:trPr>
          <w:gridAfter w:val="1"/>
          <w:wAfter w:w="219" w:type="dxa"/>
          <w:jc w:val="center"/>
        </w:trPr>
        <w:tc>
          <w:tcPr>
            <w:tcW w:w="1947" w:type="dxa"/>
            <w:gridSpan w:val="2"/>
            <w:tcBorders>
              <w:top w:val="nil"/>
              <w:left w:val="nil"/>
              <w:bottom w:val="nil"/>
              <w:right w:val="nil"/>
            </w:tcBorders>
          </w:tcPr>
          <w:p w14:paraId="53C674B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Year Effect </w:t>
            </w:r>
          </w:p>
        </w:tc>
        <w:tc>
          <w:tcPr>
            <w:tcW w:w="1728" w:type="dxa"/>
            <w:gridSpan w:val="2"/>
            <w:tcBorders>
              <w:top w:val="nil"/>
              <w:left w:val="nil"/>
              <w:bottom w:val="nil"/>
              <w:right w:val="nil"/>
            </w:tcBorders>
          </w:tcPr>
          <w:p w14:paraId="7F784BB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584" w:type="dxa"/>
            <w:gridSpan w:val="2"/>
            <w:tcBorders>
              <w:top w:val="nil"/>
              <w:left w:val="nil"/>
              <w:bottom w:val="nil"/>
              <w:right w:val="nil"/>
            </w:tcBorders>
          </w:tcPr>
          <w:p w14:paraId="44FED23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584" w:type="dxa"/>
            <w:gridSpan w:val="2"/>
            <w:tcBorders>
              <w:top w:val="nil"/>
              <w:left w:val="nil"/>
              <w:bottom w:val="nil"/>
              <w:right w:val="nil"/>
            </w:tcBorders>
          </w:tcPr>
          <w:p w14:paraId="7ED3CE0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584" w:type="dxa"/>
            <w:gridSpan w:val="2"/>
            <w:tcBorders>
              <w:top w:val="nil"/>
              <w:left w:val="nil"/>
              <w:bottom w:val="nil"/>
              <w:right w:val="nil"/>
            </w:tcBorders>
          </w:tcPr>
          <w:p w14:paraId="1E934C3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584" w:type="dxa"/>
            <w:gridSpan w:val="2"/>
            <w:tcBorders>
              <w:top w:val="nil"/>
              <w:left w:val="nil"/>
              <w:bottom w:val="nil"/>
              <w:right w:val="nil"/>
            </w:tcBorders>
          </w:tcPr>
          <w:p w14:paraId="13DFAF0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584" w:type="dxa"/>
            <w:gridSpan w:val="2"/>
            <w:tcBorders>
              <w:top w:val="nil"/>
              <w:left w:val="nil"/>
              <w:bottom w:val="nil"/>
              <w:right w:val="nil"/>
            </w:tcBorders>
          </w:tcPr>
          <w:p w14:paraId="074A593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r>
      <w:tr w:rsidR="00334689" w:rsidRPr="00055865" w14:paraId="743A71C7" w14:textId="77777777" w:rsidTr="005B6FD7">
        <w:trPr>
          <w:gridAfter w:val="1"/>
          <w:wAfter w:w="219" w:type="dxa"/>
          <w:jc w:val="center"/>
        </w:trPr>
        <w:tc>
          <w:tcPr>
            <w:tcW w:w="1947" w:type="dxa"/>
            <w:gridSpan w:val="2"/>
            <w:tcBorders>
              <w:top w:val="nil"/>
              <w:left w:val="nil"/>
              <w:bottom w:val="nil"/>
              <w:right w:val="nil"/>
            </w:tcBorders>
          </w:tcPr>
          <w:p w14:paraId="3909C1BA"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Observation</w:t>
            </w:r>
          </w:p>
        </w:tc>
        <w:tc>
          <w:tcPr>
            <w:tcW w:w="1728" w:type="dxa"/>
            <w:gridSpan w:val="2"/>
            <w:tcBorders>
              <w:top w:val="nil"/>
              <w:left w:val="nil"/>
              <w:bottom w:val="nil"/>
              <w:right w:val="nil"/>
            </w:tcBorders>
          </w:tcPr>
          <w:p w14:paraId="4659C38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822</w:t>
            </w:r>
          </w:p>
        </w:tc>
        <w:tc>
          <w:tcPr>
            <w:tcW w:w="1584" w:type="dxa"/>
            <w:gridSpan w:val="2"/>
            <w:tcBorders>
              <w:top w:val="nil"/>
              <w:left w:val="nil"/>
              <w:bottom w:val="nil"/>
              <w:right w:val="nil"/>
            </w:tcBorders>
          </w:tcPr>
          <w:p w14:paraId="7CAEEC6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822</w:t>
            </w:r>
          </w:p>
        </w:tc>
        <w:tc>
          <w:tcPr>
            <w:tcW w:w="1584" w:type="dxa"/>
            <w:gridSpan w:val="2"/>
            <w:tcBorders>
              <w:top w:val="nil"/>
              <w:left w:val="nil"/>
              <w:bottom w:val="nil"/>
              <w:right w:val="nil"/>
            </w:tcBorders>
          </w:tcPr>
          <w:p w14:paraId="5DB02DD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821</w:t>
            </w:r>
          </w:p>
        </w:tc>
        <w:tc>
          <w:tcPr>
            <w:tcW w:w="1584" w:type="dxa"/>
            <w:gridSpan w:val="2"/>
            <w:tcBorders>
              <w:top w:val="nil"/>
              <w:left w:val="nil"/>
              <w:bottom w:val="nil"/>
              <w:right w:val="nil"/>
            </w:tcBorders>
          </w:tcPr>
          <w:p w14:paraId="4ADC80A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821</w:t>
            </w:r>
          </w:p>
        </w:tc>
        <w:tc>
          <w:tcPr>
            <w:tcW w:w="1584" w:type="dxa"/>
            <w:gridSpan w:val="2"/>
            <w:tcBorders>
              <w:top w:val="nil"/>
              <w:left w:val="nil"/>
              <w:bottom w:val="nil"/>
              <w:right w:val="nil"/>
            </w:tcBorders>
          </w:tcPr>
          <w:p w14:paraId="083F784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822</w:t>
            </w:r>
          </w:p>
        </w:tc>
        <w:tc>
          <w:tcPr>
            <w:tcW w:w="1584" w:type="dxa"/>
            <w:gridSpan w:val="2"/>
            <w:tcBorders>
              <w:top w:val="nil"/>
              <w:left w:val="nil"/>
              <w:bottom w:val="nil"/>
              <w:right w:val="nil"/>
            </w:tcBorders>
          </w:tcPr>
          <w:p w14:paraId="05F71DA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821</w:t>
            </w:r>
          </w:p>
        </w:tc>
      </w:tr>
      <w:tr w:rsidR="00334689" w:rsidRPr="00055865" w14:paraId="32FE95C4" w14:textId="77777777" w:rsidTr="005B6FD7">
        <w:tblPrEx>
          <w:tblBorders>
            <w:bottom w:val="single" w:sz="6" w:space="0" w:color="auto"/>
          </w:tblBorders>
        </w:tblPrEx>
        <w:trPr>
          <w:gridAfter w:val="1"/>
          <w:wAfter w:w="219" w:type="dxa"/>
          <w:jc w:val="center"/>
        </w:trPr>
        <w:tc>
          <w:tcPr>
            <w:tcW w:w="1947" w:type="dxa"/>
            <w:gridSpan w:val="2"/>
            <w:tcBorders>
              <w:top w:val="nil"/>
              <w:left w:val="nil"/>
              <w:bottom w:val="nil"/>
              <w:right w:val="nil"/>
            </w:tcBorders>
          </w:tcPr>
          <w:p w14:paraId="012BC9C5"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Adjusted R Squared</w:t>
            </w:r>
          </w:p>
        </w:tc>
        <w:tc>
          <w:tcPr>
            <w:tcW w:w="1728" w:type="dxa"/>
            <w:gridSpan w:val="2"/>
            <w:tcBorders>
              <w:top w:val="nil"/>
              <w:left w:val="nil"/>
              <w:bottom w:val="nil"/>
              <w:right w:val="nil"/>
            </w:tcBorders>
          </w:tcPr>
          <w:p w14:paraId="07E8426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0.2193</w:t>
            </w:r>
          </w:p>
        </w:tc>
        <w:tc>
          <w:tcPr>
            <w:tcW w:w="1584" w:type="dxa"/>
            <w:gridSpan w:val="2"/>
            <w:tcBorders>
              <w:top w:val="nil"/>
              <w:left w:val="nil"/>
              <w:bottom w:val="nil"/>
              <w:right w:val="nil"/>
            </w:tcBorders>
          </w:tcPr>
          <w:p w14:paraId="7447B62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0.1897</w:t>
            </w:r>
          </w:p>
        </w:tc>
        <w:tc>
          <w:tcPr>
            <w:tcW w:w="1584" w:type="dxa"/>
            <w:gridSpan w:val="2"/>
            <w:tcBorders>
              <w:top w:val="nil"/>
              <w:left w:val="nil"/>
              <w:bottom w:val="nil"/>
              <w:right w:val="nil"/>
            </w:tcBorders>
          </w:tcPr>
          <w:p w14:paraId="7E246BA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0.2207</w:t>
            </w:r>
          </w:p>
        </w:tc>
        <w:tc>
          <w:tcPr>
            <w:tcW w:w="1584" w:type="dxa"/>
            <w:gridSpan w:val="2"/>
            <w:tcBorders>
              <w:top w:val="nil"/>
              <w:left w:val="nil"/>
              <w:bottom w:val="nil"/>
              <w:right w:val="nil"/>
            </w:tcBorders>
          </w:tcPr>
          <w:p w14:paraId="564371D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0.2758</w:t>
            </w:r>
          </w:p>
        </w:tc>
        <w:tc>
          <w:tcPr>
            <w:tcW w:w="1584" w:type="dxa"/>
            <w:gridSpan w:val="2"/>
            <w:tcBorders>
              <w:top w:val="nil"/>
              <w:left w:val="nil"/>
              <w:bottom w:val="nil"/>
              <w:right w:val="nil"/>
            </w:tcBorders>
          </w:tcPr>
          <w:p w14:paraId="7472FC2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0.2284</w:t>
            </w:r>
          </w:p>
        </w:tc>
        <w:tc>
          <w:tcPr>
            <w:tcW w:w="1584" w:type="dxa"/>
            <w:gridSpan w:val="2"/>
            <w:tcBorders>
              <w:top w:val="nil"/>
              <w:left w:val="nil"/>
              <w:bottom w:val="nil"/>
              <w:right w:val="nil"/>
            </w:tcBorders>
          </w:tcPr>
          <w:p w14:paraId="7A41379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0.2040</w:t>
            </w:r>
          </w:p>
        </w:tc>
      </w:tr>
      <w:tr w:rsidR="00334689" w:rsidRPr="00055865" w14:paraId="384E6806" w14:textId="77777777" w:rsidTr="005B6FD7">
        <w:trPr>
          <w:gridBefore w:val="1"/>
          <w:wBefore w:w="75" w:type="dxa"/>
          <w:jc w:val="center"/>
        </w:trPr>
        <w:tc>
          <w:tcPr>
            <w:tcW w:w="1947" w:type="dxa"/>
            <w:gridSpan w:val="2"/>
            <w:tcBorders>
              <w:top w:val="nil"/>
              <w:left w:val="nil"/>
              <w:bottom w:val="nil"/>
              <w:right w:val="nil"/>
            </w:tcBorders>
          </w:tcPr>
          <w:p w14:paraId="6BC4480F"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F Statistics</w:t>
            </w:r>
          </w:p>
        </w:tc>
        <w:tc>
          <w:tcPr>
            <w:tcW w:w="1872" w:type="dxa"/>
            <w:gridSpan w:val="2"/>
            <w:tcBorders>
              <w:top w:val="nil"/>
              <w:left w:val="nil"/>
              <w:bottom w:val="nil"/>
              <w:right w:val="nil"/>
            </w:tcBorders>
          </w:tcPr>
          <w:p w14:paraId="640D48B4"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14.57</w:t>
            </w:r>
          </w:p>
        </w:tc>
        <w:tc>
          <w:tcPr>
            <w:tcW w:w="1584" w:type="dxa"/>
            <w:gridSpan w:val="2"/>
            <w:tcBorders>
              <w:top w:val="nil"/>
              <w:left w:val="nil"/>
              <w:bottom w:val="nil"/>
              <w:right w:val="nil"/>
            </w:tcBorders>
          </w:tcPr>
          <w:p w14:paraId="6CAB18E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11.07</w:t>
            </w:r>
          </w:p>
        </w:tc>
        <w:tc>
          <w:tcPr>
            <w:tcW w:w="1401" w:type="dxa"/>
            <w:gridSpan w:val="2"/>
            <w:tcBorders>
              <w:top w:val="nil"/>
              <w:left w:val="nil"/>
              <w:bottom w:val="nil"/>
              <w:right w:val="nil"/>
            </w:tcBorders>
          </w:tcPr>
          <w:p w14:paraId="7AE724E4"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13.38</w:t>
            </w:r>
          </w:p>
        </w:tc>
        <w:tc>
          <w:tcPr>
            <w:tcW w:w="1767" w:type="dxa"/>
            <w:gridSpan w:val="2"/>
            <w:tcBorders>
              <w:top w:val="nil"/>
              <w:left w:val="nil"/>
              <w:bottom w:val="nil"/>
              <w:right w:val="nil"/>
            </w:tcBorders>
          </w:tcPr>
          <w:p w14:paraId="107F2A0E"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19.37</w:t>
            </w:r>
          </w:p>
        </w:tc>
        <w:tc>
          <w:tcPr>
            <w:tcW w:w="1584" w:type="dxa"/>
            <w:gridSpan w:val="2"/>
            <w:tcBorders>
              <w:top w:val="nil"/>
              <w:left w:val="nil"/>
              <w:bottom w:val="nil"/>
              <w:right w:val="nil"/>
            </w:tcBorders>
          </w:tcPr>
          <w:p w14:paraId="797D0BDC"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14.00</w:t>
            </w:r>
          </w:p>
        </w:tc>
        <w:tc>
          <w:tcPr>
            <w:tcW w:w="1584" w:type="dxa"/>
            <w:gridSpan w:val="2"/>
            <w:tcBorders>
              <w:top w:val="nil"/>
              <w:left w:val="nil"/>
              <w:bottom w:val="nil"/>
              <w:right w:val="nil"/>
            </w:tcBorders>
          </w:tcPr>
          <w:p w14:paraId="4D3D00A4"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12.72</w:t>
            </w:r>
          </w:p>
        </w:tc>
      </w:tr>
      <w:tr w:rsidR="00334689" w:rsidRPr="00055865" w14:paraId="3510D1D7" w14:textId="77777777" w:rsidTr="005B6FD7">
        <w:tblPrEx>
          <w:tblBorders>
            <w:bottom w:val="single" w:sz="6" w:space="0" w:color="auto"/>
          </w:tblBorders>
        </w:tblPrEx>
        <w:trPr>
          <w:gridBefore w:val="1"/>
          <w:wBefore w:w="75" w:type="dxa"/>
          <w:jc w:val="center"/>
        </w:trPr>
        <w:tc>
          <w:tcPr>
            <w:tcW w:w="1947" w:type="dxa"/>
            <w:gridSpan w:val="2"/>
            <w:tcBorders>
              <w:top w:val="nil"/>
              <w:left w:val="nil"/>
              <w:bottom w:val="single" w:sz="6" w:space="0" w:color="auto"/>
              <w:right w:val="nil"/>
            </w:tcBorders>
          </w:tcPr>
          <w:p w14:paraId="32F97CDB"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P-Value</w:t>
            </w:r>
          </w:p>
        </w:tc>
        <w:tc>
          <w:tcPr>
            <w:tcW w:w="1872" w:type="dxa"/>
            <w:gridSpan w:val="2"/>
            <w:tcBorders>
              <w:top w:val="nil"/>
              <w:left w:val="nil"/>
              <w:bottom w:val="single" w:sz="6" w:space="0" w:color="auto"/>
              <w:right w:val="nil"/>
            </w:tcBorders>
          </w:tcPr>
          <w:p w14:paraId="2837ACC2"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0.005</w:t>
            </w:r>
          </w:p>
        </w:tc>
        <w:tc>
          <w:tcPr>
            <w:tcW w:w="1584" w:type="dxa"/>
            <w:gridSpan w:val="2"/>
            <w:tcBorders>
              <w:top w:val="nil"/>
              <w:left w:val="nil"/>
              <w:bottom w:val="single" w:sz="6" w:space="0" w:color="auto"/>
              <w:right w:val="nil"/>
            </w:tcBorders>
          </w:tcPr>
          <w:p w14:paraId="7AEB681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0.013</w:t>
            </w:r>
          </w:p>
          <w:p w14:paraId="34051D7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01" w:type="dxa"/>
            <w:gridSpan w:val="2"/>
            <w:tcBorders>
              <w:top w:val="nil"/>
              <w:left w:val="nil"/>
              <w:bottom w:val="single" w:sz="6" w:space="0" w:color="auto"/>
              <w:right w:val="nil"/>
            </w:tcBorders>
          </w:tcPr>
          <w:p w14:paraId="434903E0"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0.005</w:t>
            </w:r>
          </w:p>
          <w:p w14:paraId="63267C7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767" w:type="dxa"/>
            <w:gridSpan w:val="2"/>
            <w:tcBorders>
              <w:top w:val="nil"/>
              <w:left w:val="nil"/>
              <w:bottom w:val="single" w:sz="6" w:space="0" w:color="auto"/>
              <w:right w:val="nil"/>
            </w:tcBorders>
          </w:tcPr>
          <w:p w14:paraId="5680F39C"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0.000</w:t>
            </w:r>
          </w:p>
          <w:p w14:paraId="2C0E8B7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single" w:sz="6" w:space="0" w:color="auto"/>
              <w:right w:val="nil"/>
            </w:tcBorders>
          </w:tcPr>
          <w:p w14:paraId="45099F10"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0.029</w:t>
            </w:r>
          </w:p>
          <w:p w14:paraId="1D27F73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584" w:type="dxa"/>
            <w:gridSpan w:val="2"/>
            <w:tcBorders>
              <w:top w:val="nil"/>
              <w:left w:val="nil"/>
              <w:bottom w:val="single" w:sz="6" w:space="0" w:color="auto"/>
              <w:right w:val="nil"/>
            </w:tcBorders>
          </w:tcPr>
          <w:p w14:paraId="2142C621"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0.095</w:t>
            </w:r>
          </w:p>
          <w:p w14:paraId="19B7A3B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bl>
    <w:p w14:paraId="614EF294" w14:textId="77777777" w:rsidR="00334689" w:rsidRPr="00055865" w:rsidRDefault="00334689" w:rsidP="00334689">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Robust t test in parentheses</w:t>
      </w:r>
    </w:p>
    <w:p w14:paraId="275DB970" w14:textId="37F8854D" w:rsidR="0060274A" w:rsidRDefault="00334689" w:rsidP="008A15E2">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 p&lt;0.01, ** p&lt;0.05, * p&lt;0.1</w:t>
      </w:r>
      <w:bookmarkEnd w:id="10"/>
    </w:p>
    <w:p w14:paraId="541EA42D" w14:textId="77777777" w:rsidR="008A15E2" w:rsidRPr="008A15E2" w:rsidRDefault="008A15E2" w:rsidP="008A15E2">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p w14:paraId="28C9004D" w14:textId="513DEB4E" w:rsidR="00C3429E" w:rsidRPr="00055865" w:rsidRDefault="00660AB8" w:rsidP="005D6CE4">
      <w:pPr>
        <w:spacing w:after="0" w:line="480" w:lineRule="auto"/>
        <w:contextualSpacing/>
        <w:jc w:val="both"/>
        <w:rPr>
          <w:rFonts w:ascii="Garamond" w:hAnsi="Garamond"/>
          <w:b/>
          <w:i/>
          <w:sz w:val="24"/>
          <w:szCs w:val="24"/>
        </w:rPr>
      </w:pPr>
      <w:r>
        <w:rPr>
          <w:rFonts w:ascii="Garamond" w:hAnsi="Garamond"/>
          <w:b/>
          <w:i/>
          <w:sz w:val="24"/>
          <w:szCs w:val="24"/>
        </w:rPr>
        <w:t>4</w:t>
      </w:r>
      <w:r w:rsidR="00C3429E" w:rsidRPr="00055865">
        <w:rPr>
          <w:rFonts w:ascii="Garamond" w:hAnsi="Garamond"/>
          <w:b/>
          <w:i/>
          <w:sz w:val="24"/>
          <w:szCs w:val="24"/>
        </w:rPr>
        <w:t>.4.2 Robustness Test</w:t>
      </w:r>
    </w:p>
    <w:p w14:paraId="421D4F35" w14:textId="1B8C8B29" w:rsidR="00C3429E" w:rsidRPr="00055865" w:rsidRDefault="00164C8B" w:rsidP="005D6CE4">
      <w:pPr>
        <w:spacing w:after="0" w:line="480" w:lineRule="auto"/>
        <w:contextualSpacing/>
        <w:jc w:val="both"/>
        <w:rPr>
          <w:rFonts w:ascii="Garamond" w:hAnsi="Garamond"/>
          <w:sz w:val="24"/>
          <w:szCs w:val="24"/>
        </w:rPr>
      </w:pPr>
      <w:r w:rsidRPr="00055865">
        <w:rPr>
          <w:rFonts w:ascii="Garamond" w:hAnsi="Garamond"/>
          <w:sz w:val="24"/>
          <w:szCs w:val="24"/>
        </w:rPr>
        <w:t xml:space="preserve">              </w:t>
      </w:r>
      <w:r w:rsidR="005B6FD7">
        <w:rPr>
          <w:rFonts w:ascii="Garamond" w:hAnsi="Garamond"/>
          <w:sz w:val="24"/>
          <w:szCs w:val="24"/>
        </w:rPr>
        <w:t xml:space="preserve">We employ a </w:t>
      </w:r>
      <w:r w:rsidR="00C3429E" w:rsidRPr="00055865">
        <w:rPr>
          <w:rFonts w:ascii="Garamond" w:hAnsi="Garamond"/>
          <w:sz w:val="24"/>
          <w:szCs w:val="24"/>
        </w:rPr>
        <w:t>robustness test to check the validit</w:t>
      </w:r>
      <w:r w:rsidR="00DA5893">
        <w:rPr>
          <w:rFonts w:ascii="Garamond" w:hAnsi="Garamond"/>
          <w:sz w:val="24"/>
          <w:szCs w:val="24"/>
        </w:rPr>
        <w:t>y of our results</w:t>
      </w:r>
      <w:r w:rsidR="005B6FD7">
        <w:rPr>
          <w:rFonts w:ascii="Garamond" w:hAnsi="Garamond"/>
          <w:sz w:val="24"/>
          <w:szCs w:val="24"/>
        </w:rPr>
        <w:t>.</w:t>
      </w:r>
      <w:r w:rsidR="00DA5893">
        <w:rPr>
          <w:rFonts w:ascii="Garamond" w:hAnsi="Garamond"/>
          <w:sz w:val="24"/>
          <w:szCs w:val="24"/>
        </w:rPr>
        <w:t xml:space="preserve"> </w:t>
      </w:r>
      <w:r w:rsidR="005B6FD7">
        <w:rPr>
          <w:rFonts w:ascii="Garamond" w:hAnsi="Garamond"/>
          <w:sz w:val="24"/>
          <w:szCs w:val="24"/>
        </w:rPr>
        <w:t>Th</w:t>
      </w:r>
      <w:r w:rsidR="00DA5893">
        <w:rPr>
          <w:rFonts w:ascii="Garamond" w:hAnsi="Garamond"/>
          <w:sz w:val="24"/>
          <w:szCs w:val="24"/>
        </w:rPr>
        <w:t>e study</w:t>
      </w:r>
      <w:r w:rsidR="00C3429E" w:rsidRPr="00055865">
        <w:rPr>
          <w:rFonts w:ascii="Garamond" w:hAnsi="Garamond"/>
          <w:sz w:val="24"/>
          <w:szCs w:val="24"/>
        </w:rPr>
        <w:t xml:space="preserve"> showed the impact of sustainable environmental p</w:t>
      </w:r>
      <w:r w:rsidR="005C7A76" w:rsidRPr="00055865">
        <w:rPr>
          <w:rFonts w:ascii="Garamond" w:hAnsi="Garamond"/>
          <w:sz w:val="24"/>
          <w:szCs w:val="24"/>
        </w:rPr>
        <w:t>ractices</w:t>
      </w:r>
      <w:r w:rsidR="00C3429E" w:rsidRPr="00055865">
        <w:rPr>
          <w:rFonts w:ascii="Garamond" w:hAnsi="Garamond"/>
          <w:sz w:val="24"/>
          <w:szCs w:val="24"/>
        </w:rPr>
        <w:t xml:space="preserve"> on </w:t>
      </w:r>
      <w:r w:rsidR="00301A9D" w:rsidRPr="00055865">
        <w:rPr>
          <w:rFonts w:ascii="Garamond" w:hAnsi="Garamond"/>
          <w:sz w:val="24"/>
          <w:szCs w:val="24"/>
        </w:rPr>
        <w:t xml:space="preserve">a </w:t>
      </w:r>
      <w:r w:rsidR="00C3429E" w:rsidRPr="00055865">
        <w:rPr>
          <w:rFonts w:ascii="Garamond" w:hAnsi="Garamond"/>
          <w:sz w:val="24"/>
          <w:szCs w:val="24"/>
        </w:rPr>
        <w:t xml:space="preserve">market-based measure of performance represented by Tobin’s q by employing OLS regression models. Unlike </w:t>
      </w:r>
      <w:r w:rsidR="00DA5893">
        <w:rPr>
          <w:rFonts w:ascii="Garamond" w:hAnsi="Garamond"/>
          <w:sz w:val="24"/>
          <w:szCs w:val="24"/>
        </w:rPr>
        <w:t>in</w:t>
      </w:r>
      <w:r w:rsidR="002D294B">
        <w:rPr>
          <w:rFonts w:ascii="Garamond" w:hAnsi="Garamond"/>
          <w:sz w:val="24"/>
          <w:szCs w:val="24"/>
        </w:rPr>
        <w:t xml:space="preserve"> </w:t>
      </w:r>
      <w:r w:rsidR="00C3429E" w:rsidRPr="00055865">
        <w:rPr>
          <w:rFonts w:ascii="Garamond" w:hAnsi="Garamond"/>
          <w:sz w:val="24"/>
          <w:szCs w:val="24"/>
        </w:rPr>
        <w:t xml:space="preserve">Table 3 where almost all the sustainable environmental practices revealed a significant positive relationship or significant non-linear relationship with the ROA, based on Tobin's q, only three environmental variables </w:t>
      </w:r>
      <w:r w:rsidR="00301A9D" w:rsidRPr="00055865">
        <w:rPr>
          <w:rFonts w:ascii="Garamond" w:hAnsi="Garamond"/>
          <w:sz w:val="24"/>
          <w:szCs w:val="24"/>
        </w:rPr>
        <w:t>show</w:t>
      </w:r>
      <w:r w:rsidR="00C3429E" w:rsidRPr="00055865">
        <w:rPr>
          <w:rFonts w:ascii="Garamond" w:hAnsi="Garamond"/>
          <w:sz w:val="24"/>
          <w:szCs w:val="24"/>
        </w:rPr>
        <w:t xml:space="preserve">ed </w:t>
      </w:r>
      <w:r w:rsidR="00301A9D" w:rsidRPr="00055865">
        <w:rPr>
          <w:rFonts w:ascii="Garamond" w:hAnsi="Garamond"/>
          <w:sz w:val="24"/>
          <w:szCs w:val="24"/>
        </w:rPr>
        <w:t xml:space="preserve">a </w:t>
      </w:r>
      <w:r w:rsidR="00C3429E" w:rsidRPr="00055865">
        <w:rPr>
          <w:rFonts w:ascii="Garamond" w:hAnsi="Garamond"/>
          <w:sz w:val="24"/>
          <w:szCs w:val="24"/>
        </w:rPr>
        <w:t xml:space="preserve">significant </w:t>
      </w:r>
      <w:r w:rsidR="00301A9D" w:rsidRPr="00055865">
        <w:rPr>
          <w:rFonts w:ascii="Garamond" w:hAnsi="Garamond"/>
          <w:sz w:val="24"/>
          <w:szCs w:val="24"/>
        </w:rPr>
        <w:t>association</w:t>
      </w:r>
      <w:r w:rsidR="00C3429E" w:rsidRPr="00055865">
        <w:rPr>
          <w:rFonts w:ascii="Garamond" w:hAnsi="Garamond"/>
          <w:sz w:val="24"/>
          <w:szCs w:val="24"/>
        </w:rPr>
        <w:t xml:space="preserve"> with sustainable environmental p</w:t>
      </w:r>
      <w:r w:rsidR="005C7A76" w:rsidRPr="00055865">
        <w:rPr>
          <w:rFonts w:ascii="Garamond" w:hAnsi="Garamond"/>
          <w:sz w:val="24"/>
          <w:szCs w:val="24"/>
        </w:rPr>
        <w:t>ractices</w:t>
      </w:r>
      <w:r w:rsidR="00C3429E" w:rsidRPr="00055865">
        <w:rPr>
          <w:rFonts w:ascii="Garamond" w:hAnsi="Garamond"/>
          <w:sz w:val="24"/>
          <w:szCs w:val="24"/>
        </w:rPr>
        <w:t>. Whereas waste, material and resource efficiency</w:t>
      </w:r>
      <w:r w:rsidR="00DA5893">
        <w:rPr>
          <w:rFonts w:ascii="Garamond" w:hAnsi="Garamond"/>
          <w:sz w:val="24"/>
          <w:szCs w:val="24"/>
        </w:rPr>
        <w:t>,</w:t>
      </w:r>
      <w:r w:rsidR="00C3429E" w:rsidRPr="00055865">
        <w:rPr>
          <w:rFonts w:ascii="Garamond" w:hAnsi="Garamond"/>
          <w:sz w:val="24"/>
          <w:szCs w:val="24"/>
        </w:rPr>
        <w:t xml:space="preserve"> and stakeholder relationship recorded significant relationship, there was </w:t>
      </w:r>
      <w:r w:rsidR="00C3429E" w:rsidRPr="00055865">
        <w:rPr>
          <w:rFonts w:ascii="Garamond" w:hAnsi="Garamond"/>
          <w:sz w:val="24"/>
          <w:szCs w:val="24"/>
        </w:rPr>
        <w:lastRenderedPageBreak/>
        <w:t>no significant relationship between energy</w:t>
      </w:r>
      <w:r w:rsidR="00301A9D" w:rsidRPr="00055865">
        <w:rPr>
          <w:rFonts w:ascii="Garamond" w:hAnsi="Garamond"/>
          <w:sz w:val="24"/>
          <w:szCs w:val="24"/>
        </w:rPr>
        <w:t>-</w:t>
      </w:r>
      <w:r w:rsidR="00C3429E" w:rsidRPr="00055865">
        <w:rPr>
          <w:rFonts w:ascii="Garamond" w:hAnsi="Garamond"/>
          <w:sz w:val="24"/>
          <w:szCs w:val="24"/>
        </w:rPr>
        <w:t xml:space="preserve">efficient practices and Tobin’s q, compliance and Tobin’s q as well as GHG and Tobin’s q. </w:t>
      </w:r>
      <w:r w:rsidR="00C3429E" w:rsidRPr="00055865">
        <w:rPr>
          <w:rFonts w:ascii="Garamond" w:eastAsia="TimesNewRomanPSMT" w:hAnsi="Garamond"/>
          <w:sz w:val="24"/>
          <w:szCs w:val="24"/>
        </w:rPr>
        <w:t xml:space="preserve">The negative or no significant relationship between environmental compliance and Tobin's q could be explained from the point of view of the signal theory. Many studies </w:t>
      </w:r>
      <w:r w:rsidR="004D2847" w:rsidRPr="00055865">
        <w:rPr>
          <w:rFonts w:ascii="Garamond" w:eastAsia="TimesNewRomanPSMT" w:hAnsi="Garamond"/>
          <w:sz w:val="24"/>
          <w:szCs w:val="24"/>
        </w:rPr>
        <w:fldChar w:fldCharType="begin" w:fldLock="1"/>
      </w:r>
      <w:r w:rsidR="004D2847" w:rsidRPr="00055865">
        <w:rPr>
          <w:rFonts w:ascii="Garamond" w:eastAsia="TimesNewRomanPSMT" w:hAnsi="Garamond"/>
          <w:sz w:val="24"/>
          <w:szCs w:val="24"/>
        </w:rPr>
        <w:instrText>ADDIN CSL_CITATION {"citationItems":[{"id":"ITEM-1","itemData":{"DOI":"10.1002/csr","ISBN":"15353958\\r15353966","ISSN":"15353958","PMID":"35256642","abstract":"Economic globalization, increasing resource scarcity and environmental degradation have caused green supply chain management (GSCM) to become an important competitive approach for organizations involved in international trade. Using survey data collected from over 200 China-based organizations, we compare the implementation levels of fi ve GSCM practices among small-, medium- and large-sized organizations in China. We fi nd that medium- and large-sized organizations are more advanced than their smaller-sized coun- terparts on most aspects, but not necessarily all, of these GSCM practices. Future research includes possible studies on GSCM practices and promotion, especially targeting small manufacturing organizations. In addition, the infl uence of globalization and foreign direct investment, especially after China’s entry into the WTO, could be more carefully examined.","author":[{"dropping-particle":"","family":"Zhu","given":"Q.","non-dropping-particle":"","parse-names":false,"suffix":""},{"dropping-particle":"","family":"Sarkis","given":"J.","non-dropping-particle":"","parse-names":false,"suffix":""},{"dropping-particle":"","family":"Lai","given":"K.","non-dropping-particle":"","parse-names":false,"suffix":""},{"dropping-particle":"","family":"Geng","given":"Y.","non-dropping-particle":"","parse-names":false,"suffix":""}],"container-title":"Corporate Social Responsibility and Environmental Management","id":"ITEM-1","issue":"6","issued":{"date-parts":[["2008"]]},"page":"322-337","title":"The Role of Organizational Size in the Adoption of Green Supply Chain Management Practices","type":"article-journal","volume":"337"},"uris":["http://www.mendeley.com/documents/?uuid=6e9fbdd0-076b-4d16-a812-d3b9e26e0bf2"]},{"id":"ITEM-2","itemData":{"author":[{"dropping-particle":"","family":"Aiyub","given":"Kadaruddin","non-dropping-particle":"","parse-names":false,"suffix":""},{"dropping-particle":"","family":"Arifin","given":"KAdir","non-dropping-particle":"","parse-names":false,"suffix":""},{"dropping-particle":"","family":"Awang","given":"Azahan","non-dropping-particle":"","parse-names":false,"suffix":""},{"dropping-particle":"","family":"Jahi","given":"Jamaludin","non-dropping-particle":"","parse-names":false,"suffix":""}],"id":"ITEM-2","issued":{"date-parts":[["2009"]]},"title":"environmental performance in SMEs certified to ISO14001 in the UK.pdf","type":"article"},"uris":["http://www.mendeley.com/documents/?uuid=be026efd-b1e3-4fec-b445-181f7d1e758c"]},{"id":"ITEM-3","itemData":{"author":[{"dropping-particle":"","family":"Hillary","given":"Ruth","non-dropping-particle":"","parse-names":false,"suffix":""},{"dropping-particle":"","family":"Burr","given":"Paul","non-dropping-particle":"","parse-names":false,"suffix":""}],"container-title":"Final Report to the Department for Environment, Food and Rural Affairs","id":"ITEM-3","issue":"September","issued":{"date-parts":[["2011"]]},"page":"1-145","title":"Evidence-based Study into the Benefits of EMSs for SMEs (EV0440).","type":"article-journal"},"uris":["http://www.mendeley.com/documents/?uuid=6d5666c8-ea22-4348-abb9-c16cf066d06e"]},{"id":"ITEM-4","itemData":{"DOI":"10.1002/jtr.1939","ISBN":"1522-1970","ISSN":"15221970","abstract":"This paper assesses the environmental management practices of different categories of hotels in Accra, Ghana. Managers of 200 hotels were surveyed, employing the stratified random sampling method. Results of the study indicate significant differences in the extent of environ- mental management of the hotels suggesting that the better the quality of a hotel, the better the environmental management performance. Suggestions are made towards improvement in waste management and voluntary environmental programmes in small and medium hotels that did not perform well in those areas of environmental management Copyright © 2013 John Wiley &amp; Sons, Ltd.","author":[{"dropping-particle":"","family":"Mensah","given":"Ishmael","non-dropping-particle":"","parse-names":false,"suffix":""}],"container-title":"International Journal of Tourism Research","id":"ITEM-4","issue":"5","issued":{"date-parts":[["2014"]]},"page":"450-461","title":"Different shades of green: Environmental management in hotels in Accra","type":"article-journal","volume":"16"},"uris":["http://www.mendeley.com/documents/?uuid=49d790f5-0165-429d-a53e-3132721f7fdf"]}],"mendeley":{"formattedCitation":"(Aiyub et al., 2009; Hillary &amp; Burr, 2011; Mensah, 2014; Zhu, Sarkis, Lai, &amp; Geng, 2008)","manualFormatting":"(e.g. Aiyub et al., 2009; Hillary &amp; Burr, 2011; Mensah, 2014; Zhu, Sarkis, Lai, &amp; Geng, 2008)","plainTextFormattedCitation":"(Aiyub et al., 2009; Hillary &amp; Burr, 2011; Mensah, 2014; Zhu, Sarkis, Lai, &amp; Geng, 2008)","previouslyFormattedCitation":"(Aiyub et al., 2009; Hillary &amp; Burr, 2011; Mensah, 2014; Zhu, Sarkis, Lai, &amp; Geng, 2008)"},"properties":{"noteIndex":0},"schema":"https://github.com/citation-style-language/schema/raw/master/csl-citation.json"}</w:instrText>
      </w:r>
      <w:r w:rsidR="004D2847" w:rsidRPr="00055865">
        <w:rPr>
          <w:rFonts w:ascii="Garamond" w:eastAsia="TimesNewRomanPSMT" w:hAnsi="Garamond"/>
          <w:sz w:val="24"/>
          <w:szCs w:val="24"/>
        </w:rPr>
        <w:fldChar w:fldCharType="separate"/>
      </w:r>
      <w:r w:rsidR="004D2847" w:rsidRPr="00055865">
        <w:rPr>
          <w:rFonts w:ascii="Garamond" w:eastAsia="TimesNewRomanPSMT" w:hAnsi="Garamond"/>
          <w:noProof/>
          <w:sz w:val="24"/>
          <w:szCs w:val="24"/>
        </w:rPr>
        <w:t>(e.g. Aiyub et al., 2009; Hillary &amp; Burr, 2011; Mensah, 2014; Zhu, Sarkis, Lai, &amp; Geng, 2008)</w:t>
      </w:r>
      <w:r w:rsidR="004D2847" w:rsidRPr="00055865">
        <w:rPr>
          <w:rFonts w:ascii="Garamond" w:eastAsia="TimesNewRomanPSMT" w:hAnsi="Garamond"/>
          <w:sz w:val="24"/>
          <w:szCs w:val="24"/>
        </w:rPr>
        <w:fldChar w:fldCharType="end"/>
      </w:r>
      <w:r w:rsidR="00301A9D" w:rsidRPr="00055865">
        <w:rPr>
          <w:rFonts w:ascii="Garamond" w:eastAsia="TimesNewRomanPSMT" w:hAnsi="Garamond"/>
          <w:sz w:val="24"/>
          <w:szCs w:val="24"/>
        </w:rPr>
        <w:t xml:space="preserve"> </w:t>
      </w:r>
      <w:r w:rsidR="00C3429E" w:rsidRPr="00055865">
        <w:rPr>
          <w:rFonts w:ascii="Garamond" w:eastAsia="TimesNewRomanPSMT" w:hAnsi="Garamond"/>
          <w:sz w:val="24"/>
          <w:szCs w:val="24"/>
        </w:rPr>
        <w:t xml:space="preserve">have shown that positive correlation between environmental compliance and financial performance is enhanced </w:t>
      </w:r>
      <w:r w:rsidR="00301A9D" w:rsidRPr="00055865">
        <w:rPr>
          <w:rFonts w:ascii="Garamond" w:eastAsia="TimesNewRomanPSMT" w:hAnsi="Garamond"/>
          <w:sz w:val="24"/>
          <w:szCs w:val="24"/>
        </w:rPr>
        <w:t>when</w:t>
      </w:r>
      <w:r w:rsidR="00C3429E" w:rsidRPr="00055865">
        <w:rPr>
          <w:rFonts w:ascii="Garamond" w:eastAsia="TimesNewRomanPSMT" w:hAnsi="Garamond"/>
          <w:sz w:val="24"/>
          <w:szCs w:val="24"/>
        </w:rPr>
        <w:t xml:space="preserve"> environmental management systems such as ISO and EMAS certification are in place</w:t>
      </w:r>
      <w:r w:rsidR="00C3429E" w:rsidRPr="00055865">
        <w:rPr>
          <w:rFonts w:ascii="Garamond" w:hAnsi="Garamond"/>
          <w:sz w:val="24"/>
          <w:szCs w:val="24"/>
        </w:rPr>
        <w:t xml:space="preserve">. </w:t>
      </w:r>
    </w:p>
    <w:p w14:paraId="797477CC" w14:textId="55C50BA4" w:rsidR="00C3429E" w:rsidRPr="00055865" w:rsidRDefault="00C3429E" w:rsidP="005D6CE4">
      <w:pPr>
        <w:spacing w:after="0" w:line="480" w:lineRule="auto"/>
        <w:ind w:firstLine="720"/>
        <w:contextualSpacing/>
        <w:jc w:val="both"/>
        <w:rPr>
          <w:rFonts w:ascii="Garamond" w:hAnsi="Garamond"/>
          <w:sz w:val="24"/>
          <w:szCs w:val="24"/>
        </w:rPr>
      </w:pPr>
      <w:r w:rsidRPr="00055865">
        <w:rPr>
          <w:rFonts w:ascii="Garamond" w:hAnsi="Garamond"/>
          <w:sz w:val="24"/>
          <w:szCs w:val="24"/>
        </w:rPr>
        <w:t>However, most AIM-listed firms do not employ ISO 14001 or EMAS. Therefore, information asymmetry may exist as the market may not be aware of proactive environmental compliance measures that are employed by the firm; hence, no significant relationship between environmental compliance and Tobin’s q. Th</w:t>
      </w:r>
      <w:r w:rsidR="00C04A23" w:rsidRPr="00055865">
        <w:rPr>
          <w:rFonts w:ascii="Garamond" w:hAnsi="Garamond"/>
          <w:sz w:val="24"/>
          <w:szCs w:val="24"/>
        </w:rPr>
        <w:t>e result</w:t>
      </w:r>
      <w:r w:rsidRPr="00055865">
        <w:rPr>
          <w:rFonts w:ascii="Garamond" w:hAnsi="Garamond"/>
          <w:sz w:val="24"/>
          <w:szCs w:val="24"/>
        </w:rPr>
        <w:t xml:space="preserve"> may</w:t>
      </w:r>
      <w:r w:rsidR="00C04A23" w:rsidRPr="00055865">
        <w:rPr>
          <w:rFonts w:ascii="Garamond" w:hAnsi="Garamond"/>
          <w:sz w:val="24"/>
          <w:szCs w:val="24"/>
        </w:rPr>
        <w:t xml:space="preserve"> also</w:t>
      </w:r>
      <w:r w:rsidRPr="00055865">
        <w:rPr>
          <w:rFonts w:ascii="Garamond" w:hAnsi="Garamond"/>
          <w:sz w:val="24"/>
          <w:szCs w:val="24"/>
        </w:rPr>
        <w:t xml:space="preserve"> imply that </w:t>
      </w:r>
      <w:r w:rsidR="00C04A23" w:rsidRPr="00055865">
        <w:rPr>
          <w:rFonts w:ascii="Garamond" w:hAnsi="Garamond"/>
          <w:sz w:val="24"/>
          <w:szCs w:val="24"/>
        </w:rPr>
        <w:t>the market might not have observed sustainable environmental policies put in place by such companies</w:t>
      </w:r>
      <w:r w:rsidR="005B6FD7">
        <w:rPr>
          <w:rFonts w:ascii="Garamond" w:hAnsi="Garamond"/>
          <w:sz w:val="24"/>
          <w:szCs w:val="24"/>
        </w:rPr>
        <w:t>;</w:t>
      </w:r>
      <w:r w:rsidRPr="00055865">
        <w:rPr>
          <w:rFonts w:ascii="Garamond" w:hAnsi="Garamond"/>
          <w:sz w:val="24"/>
          <w:szCs w:val="24"/>
        </w:rPr>
        <w:t xml:space="preserve"> hence, the negative or no significant relationship between environmental compliance and Tobin's q.</w:t>
      </w:r>
    </w:p>
    <w:p w14:paraId="2E1D9FDF" w14:textId="5484DCAE" w:rsidR="00334689" w:rsidRDefault="00C3429E" w:rsidP="00334689">
      <w:pPr>
        <w:spacing w:after="0" w:line="480" w:lineRule="auto"/>
        <w:contextualSpacing/>
        <w:jc w:val="both"/>
        <w:rPr>
          <w:rFonts w:ascii="Garamond" w:hAnsi="Garamond"/>
          <w:b/>
          <w:sz w:val="24"/>
          <w:szCs w:val="24"/>
        </w:rPr>
      </w:pPr>
      <w:r w:rsidRPr="00055865">
        <w:rPr>
          <w:rFonts w:ascii="Garamond" w:hAnsi="Garamond"/>
          <w:sz w:val="24"/>
          <w:szCs w:val="24"/>
        </w:rPr>
        <w:t xml:space="preserve">          </w:t>
      </w:r>
      <w:r w:rsidR="00164C8B" w:rsidRPr="00055865">
        <w:rPr>
          <w:rFonts w:ascii="Garamond" w:hAnsi="Garamond"/>
          <w:sz w:val="24"/>
          <w:szCs w:val="24"/>
        </w:rPr>
        <w:t xml:space="preserve"> </w:t>
      </w:r>
      <w:r w:rsidRPr="00055865">
        <w:rPr>
          <w:rFonts w:ascii="Garamond" w:hAnsi="Garamond"/>
          <w:sz w:val="24"/>
          <w:szCs w:val="24"/>
        </w:rPr>
        <w:t xml:space="preserve"> Regarding GH</w:t>
      </w:r>
      <w:r w:rsidR="00813487" w:rsidRPr="00055865">
        <w:rPr>
          <w:rFonts w:ascii="Garamond" w:hAnsi="Garamond"/>
          <w:sz w:val="24"/>
          <w:szCs w:val="24"/>
        </w:rPr>
        <w:t>G</w:t>
      </w:r>
      <w:r w:rsidRPr="00055865">
        <w:rPr>
          <w:rFonts w:ascii="Garamond" w:hAnsi="Garamond"/>
          <w:sz w:val="24"/>
          <w:szCs w:val="24"/>
        </w:rPr>
        <w:t>, the lack of a significant relationship with the market value (Tobin's q) could be linked to the explanation offered by</w:t>
      </w:r>
      <w:r w:rsidR="004D2847" w:rsidRPr="00055865">
        <w:rPr>
          <w:rFonts w:ascii="Garamond" w:hAnsi="Garamond"/>
          <w:sz w:val="24"/>
          <w:szCs w:val="24"/>
        </w:rPr>
        <w:t xml:space="preserve"> </w:t>
      </w:r>
      <w:r w:rsidR="002C65A2" w:rsidRPr="00055865">
        <w:rPr>
          <w:rFonts w:ascii="Garamond" w:hAnsi="Garamond"/>
          <w:sz w:val="24"/>
          <w:szCs w:val="24"/>
        </w:rPr>
        <w:fldChar w:fldCharType="begin" w:fldLock="1"/>
      </w:r>
      <w:r w:rsidR="002C65A2" w:rsidRPr="00055865">
        <w:rPr>
          <w:rFonts w:ascii="Garamond" w:hAnsi="Garamond"/>
          <w:sz w:val="24"/>
          <w:szCs w:val="24"/>
        </w:rPr>
        <w:instrText>ADDIN CSL_CITATION {"citationItems":[{"id":"ITEM-1","itemData":{"DOI":"10.1287/mnsc.48.2.289.258","ISBN":"00251909","ISSN":"0025-1909","PMID":"6375643","abstract":"In this paper, we explore the locus of profitable pollution reduction. We propose that managers underestimate the full value of some means of pollution reduction and so under exploit these means. Based on evidence from previous studies, we argue that waste prevention often provides unexpected innovation offsets, and that onsite waste treatment often provides unexpected cost. We use statistical methods to test the direction and significance of the relationship between the various means of pollution reduction and profitability. We find strong evidence that waste prevention leads to financial gain, but we find no evidence that firms profit from reducing pollution by other means. Indeed, we find evidence that the benefits of waste prevention alone are responsible for the observed association between lower emissions and profitability. [ABSTRACT FROM AUTHOR] Copyright of Management Science is the property of INFORMS: Institute for Operations Research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King","given":"Andrew","non-dropping-particle":"","parse-names":false,"suffix":""},{"dropping-particle":"","family":"Lenox","given":"Michael","non-dropping-particle":"","parse-names":false,"suffix":""}],"container-title":"Management Science","id":"ITEM-1","issue":"2","issued":{"date-parts":[["2002"]]},"page":"289-299","title":"Exploring the Locus of Profitable Pollution Reduction","type":"article-journal","volume":"48"},"uris":["http://www.mendeley.com/documents/?uuid=2529adb3-b5e7-43ca-be39-ec8267b88b3c"]}],"mendeley":{"formattedCitation":"(King &amp; Lenox, 2002)","plainTextFormattedCitation":"(King &amp; Lenox, 2002)","previouslyFormattedCitation":"(King &amp; Lenox, 2002)"},"properties":{"noteIndex":0},"schema":"https://github.com/citation-style-language/schema/raw/master/csl-citation.json"}</w:instrText>
      </w:r>
      <w:r w:rsidR="002C65A2" w:rsidRPr="00055865">
        <w:rPr>
          <w:rFonts w:ascii="Garamond" w:hAnsi="Garamond"/>
          <w:sz w:val="24"/>
          <w:szCs w:val="24"/>
        </w:rPr>
        <w:fldChar w:fldCharType="separate"/>
      </w:r>
      <w:r w:rsidR="002C65A2" w:rsidRPr="00055865">
        <w:rPr>
          <w:rFonts w:ascii="Garamond" w:hAnsi="Garamond"/>
          <w:noProof/>
          <w:sz w:val="24"/>
          <w:szCs w:val="24"/>
        </w:rPr>
        <w:t>(King &amp; Lenox, 2002)</w:t>
      </w:r>
      <w:r w:rsidR="002C65A2" w:rsidRPr="00055865">
        <w:rPr>
          <w:rFonts w:ascii="Garamond" w:hAnsi="Garamond"/>
          <w:sz w:val="24"/>
          <w:szCs w:val="24"/>
        </w:rPr>
        <w:fldChar w:fldCharType="end"/>
      </w:r>
      <w:r w:rsidR="00DA5893">
        <w:rPr>
          <w:rFonts w:ascii="Garamond" w:hAnsi="Garamond"/>
          <w:sz w:val="24"/>
          <w:szCs w:val="24"/>
        </w:rPr>
        <w:t>. They contend</w:t>
      </w:r>
      <w:r w:rsidRPr="00055865">
        <w:rPr>
          <w:rFonts w:ascii="Garamond" w:hAnsi="Garamond"/>
          <w:sz w:val="24"/>
          <w:szCs w:val="24"/>
        </w:rPr>
        <w:t xml:space="preserve"> that </w:t>
      </w:r>
      <w:r w:rsidR="00813487" w:rsidRPr="00055865">
        <w:rPr>
          <w:rFonts w:ascii="Garamond" w:hAnsi="Garamond"/>
          <w:sz w:val="24"/>
          <w:szCs w:val="24"/>
        </w:rPr>
        <w:t>aside</w:t>
      </w:r>
      <w:r w:rsidRPr="00055865">
        <w:rPr>
          <w:rFonts w:ascii="Garamond" w:hAnsi="Garamond"/>
          <w:sz w:val="24"/>
          <w:szCs w:val="24"/>
        </w:rPr>
        <w:t xml:space="preserve"> pollution prevention</w:t>
      </w:r>
      <w:r w:rsidR="00813487" w:rsidRPr="00055865">
        <w:rPr>
          <w:rFonts w:ascii="Garamond" w:hAnsi="Garamond"/>
          <w:sz w:val="24"/>
          <w:szCs w:val="24"/>
        </w:rPr>
        <w:t xml:space="preserve">, </w:t>
      </w:r>
      <w:r w:rsidRPr="00055865">
        <w:rPr>
          <w:rFonts w:ascii="Garamond" w:hAnsi="Garamond"/>
          <w:sz w:val="24"/>
          <w:szCs w:val="24"/>
        </w:rPr>
        <w:t xml:space="preserve">pollution reduction through other means such as pollution/waste management </w:t>
      </w:r>
      <w:r w:rsidR="00813487" w:rsidRPr="00055865">
        <w:rPr>
          <w:rFonts w:ascii="Garamond" w:hAnsi="Garamond"/>
          <w:sz w:val="24"/>
          <w:szCs w:val="24"/>
        </w:rPr>
        <w:t xml:space="preserve">does not </w:t>
      </w:r>
      <w:r w:rsidRPr="00055865">
        <w:rPr>
          <w:rFonts w:ascii="Garamond" w:hAnsi="Garamond"/>
          <w:sz w:val="24"/>
          <w:szCs w:val="24"/>
        </w:rPr>
        <w:t xml:space="preserve">enhance value. </w:t>
      </w:r>
      <w:r w:rsidR="002C65A2" w:rsidRPr="00055865">
        <w:rPr>
          <w:rFonts w:ascii="Garamond" w:hAnsi="Garamond"/>
          <w:sz w:val="24"/>
          <w:szCs w:val="24"/>
        </w:rPr>
        <w:fldChar w:fldCharType="begin" w:fldLock="1"/>
      </w:r>
      <w:r w:rsidR="00C473B9" w:rsidRPr="00055865">
        <w:rPr>
          <w:rFonts w:ascii="Garamond" w:hAnsi="Garamond"/>
          <w:sz w:val="24"/>
          <w:szCs w:val="24"/>
        </w:rPr>
        <w:instrText>ADDIN CSL_CITATION {"citationItems":[{"id":"ITEM-1","itemData":{"DOI":"10.2307/256982","ISBN":"00014273","ISSN":"0001-4273","PMID":"199787006","abstract":"Management of the natural environment is becoming an increasingly important issue to manufacturing firms, yet their managers are also challenged to implement changes that improve competitiveness. To meet this challenge, a new construct grounded in the resource-based view of the firm and manufacturing strategy has been developed: the environmental technology portfolio. The composition of a plant's portfolio--the pattern of its investment in environmental technologies in manufacturing over time--was found to significantly affect both manufacturing and environmental performance for a sample of manufacturing plants.","author":[{"dropping-particle":"","family":"Klassen","given":"Robert D.","non-dropping-particle":"","parse-names":false,"suffix":""},{"dropping-particle":"","family":"Whybark","given":"D. Clay","non-dropping-particle":"","parse-names":false,"suffix":""}],"container-title":"The Academy of Management Journal","id":"ITEM-1","issue":"6","issued":{"date-parts":[["1999"]]},"page":"599-615","title":"The Impact of Environmental Technologies on Manufacturing Performance","type":"article-journal","volume":"42"},"uris":["http://www.mendeley.com/documents/?uuid=33af0f41-ae41-4b03-accc-393bdd210772"]}],"mendeley":{"formattedCitation":"(Klassen &amp; Whybark, 1999)","manualFormatting":"Klassen &amp; Whybark (1999)","plainTextFormattedCitation":"(Klassen &amp; Whybark, 1999)","previouslyFormattedCitation":"(Klassen &amp; Whybark, 1999)"},"properties":{"noteIndex":0},"schema":"https://github.com/citation-style-language/schema/raw/master/csl-citation.json"}</w:instrText>
      </w:r>
      <w:r w:rsidR="002C65A2" w:rsidRPr="00055865">
        <w:rPr>
          <w:rFonts w:ascii="Garamond" w:hAnsi="Garamond"/>
          <w:sz w:val="24"/>
          <w:szCs w:val="24"/>
        </w:rPr>
        <w:fldChar w:fldCharType="separate"/>
      </w:r>
      <w:r w:rsidR="002C65A2" w:rsidRPr="00055865">
        <w:rPr>
          <w:rFonts w:ascii="Garamond" w:hAnsi="Garamond"/>
          <w:noProof/>
          <w:sz w:val="24"/>
          <w:szCs w:val="24"/>
        </w:rPr>
        <w:t>Klassen &amp; Whybark (1999)</w:t>
      </w:r>
      <w:r w:rsidR="002C65A2" w:rsidRPr="00055865">
        <w:rPr>
          <w:rFonts w:ascii="Garamond" w:hAnsi="Garamond"/>
          <w:sz w:val="24"/>
          <w:szCs w:val="24"/>
        </w:rPr>
        <w:fldChar w:fldCharType="end"/>
      </w:r>
      <w:r w:rsidRPr="00055865">
        <w:rPr>
          <w:rFonts w:ascii="Garamond" w:hAnsi="Garamond"/>
          <w:noProof/>
          <w:sz w:val="24"/>
          <w:szCs w:val="24"/>
        </w:rPr>
        <w:t xml:space="preserve"> have also argued that pollution prevention is underexploited</w:t>
      </w:r>
      <w:r w:rsidR="00DA5893">
        <w:rPr>
          <w:rFonts w:ascii="Garamond" w:hAnsi="Garamond"/>
          <w:noProof/>
          <w:sz w:val="24"/>
          <w:szCs w:val="24"/>
        </w:rPr>
        <w:t xml:space="preserve"> </w:t>
      </w:r>
      <w:r w:rsidRPr="00055865">
        <w:rPr>
          <w:rFonts w:ascii="Garamond" w:hAnsi="Garamond"/>
          <w:noProof/>
          <w:sz w:val="24"/>
          <w:szCs w:val="24"/>
        </w:rPr>
        <w:t xml:space="preserve">because it provides hard to observe benefits. </w:t>
      </w:r>
      <w:r w:rsidRPr="00055865">
        <w:rPr>
          <w:rFonts w:ascii="Garamond" w:hAnsi="Garamond"/>
          <w:sz w:val="24"/>
          <w:szCs w:val="24"/>
        </w:rPr>
        <w:fldChar w:fldCharType="begin" w:fldLock="1"/>
      </w:r>
      <w:r w:rsidR="002C65A2" w:rsidRPr="00055865">
        <w:rPr>
          <w:rFonts w:ascii="Garamond" w:hAnsi="Garamond"/>
          <w:sz w:val="24"/>
          <w:szCs w:val="24"/>
        </w:rPr>
        <w:instrText>ADDIN CSL_CITATION {"citationItems":[{"id":"ITEM-1","itemData":{"DOI":"10.1287/mnsc.48.2.289.258","ISBN":"00251909","ISSN":"0025-1909","PMID":"6375643","abstract":"In this paper, we explore the locus of profitable pollution reduction. We propose that managers underestimate the full value of some means of pollution reduction and so under exploit these means. Based on evidence from previous studies, we argue that waste prevention often provides unexpected innovation offsets, and that onsite waste treatment often provides unexpected cost. We use statistical methods to test the direction and significance of the relationship between the various means of pollution reduction and profitability. We find strong evidence that waste prevention leads to financial gain, but we find no evidence that firms profit from reducing pollution by other means. Indeed, we find evidence that the benefits of waste prevention alone are responsible for the observed association between lower emissions and profitability. [ABSTRACT FROM AUTHOR] Copyright of Management Science is the property of INFORMS: Institute for Operations Research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King","given":"Andrew","non-dropping-particle":"","parse-names":false,"suffix":""},{"dropping-particle":"","family":"Lenox","given":"Michael","non-dropping-particle":"","parse-names":false,"suffix":""}],"container-title":"Management Science","id":"ITEM-1","issue":"2","issued":{"date-parts":[["2002"]]},"page":"289-299","title":"Exploring the Locus of Profitable Pollution Reduction","type":"article-journal","volume":"48"},"uris":["http://www.mendeley.com/documents/?uuid=2529adb3-b5e7-43ca-be39-ec8267b88b3c"]}],"mendeley":{"formattedCitation":"(King &amp; Lenox, 2002)","manualFormatting":"King &amp; Lenox (2002)","plainTextFormattedCitation":"(King &amp; Lenox, 2002)","previouslyFormattedCitation":"(King &amp; Lenox, 2002)"},"properties":{"noteIndex":0},"schema":"https://github.com/citation-style-language/schema/raw/master/csl-citation.json"}</w:instrText>
      </w:r>
      <w:r w:rsidRPr="00055865">
        <w:rPr>
          <w:rFonts w:ascii="Garamond" w:hAnsi="Garamond"/>
          <w:sz w:val="24"/>
          <w:szCs w:val="24"/>
        </w:rPr>
        <w:fldChar w:fldCharType="separate"/>
      </w:r>
      <w:r w:rsidRPr="00055865">
        <w:rPr>
          <w:rFonts w:ascii="Garamond" w:hAnsi="Garamond"/>
          <w:noProof/>
          <w:sz w:val="24"/>
          <w:szCs w:val="24"/>
        </w:rPr>
        <w:t xml:space="preserve">King </w:t>
      </w:r>
      <w:r w:rsidR="002C65A2" w:rsidRPr="00055865">
        <w:rPr>
          <w:rFonts w:ascii="Garamond" w:hAnsi="Garamond"/>
          <w:noProof/>
          <w:sz w:val="24"/>
          <w:szCs w:val="24"/>
        </w:rPr>
        <w:t xml:space="preserve">&amp; </w:t>
      </w:r>
      <w:r w:rsidRPr="00055865">
        <w:rPr>
          <w:rFonts w:ascii="Garamond" w:hAnsi="Garamond"/>
          <w:noProof/>
          <w:sz w:val="24"/>
          <w:szCs w:val="24"/>
        </w:rPr>
        <w:t>Lenox (2002)</w:t>
      </w:r>
      <w:r w:rsidRPr="00055865">
        <w:rPr>
          <w:rFonts w:ascii="Garamond" w:hAnsi="Garamond"/>
          <w:sz w:val="24"/>
          <w:szCs w:val="24"/>
        </w:rPr>
        <w:fldChar w:fldCharType="end"/>
      </w:r>
      <w:r w:rsidRPr="00055865">
        <w:rPr>
          <w:rFonts w:ascii="Garamond" w:hAnsi="Garamond"/>
          <w:sz w:val="24"/>
          <w:szCs w:val="24"/>
        </w:rPr>
        <w:t xml:space="preserve"> </w:t>
      </w:r>
      <w:r w:rsidR="00DA5893">
        <w:rPr>
          <w:rFonts w:ascii="Garamond" w:hAnsi="Garamond"/>
          <w:sz w:val="24"/>
          <w:szCs w:val="24"/>
        </w:rPr>
        <w:t xml:space="preserve">further </w:t>
      </w:r>
      <w:r w:rsidRPr="00055865">
        <w:rPr>
          <w:rFonts w:ascii="Garamond" w:hAnsi="Garamond"/>
          <w:sz w:val="24"/>
          <w:szCs w:val="24"/>
        </w:rPr>
        <w:t>explained that associated benefits of pollution prevention</w:t>
      </w:r>
      <w:r w:rsidR="005B6FD7">
        <w:rPr>
          <w:rFonts w:ascii="Garamond" w:hAnsi="Garamond"/>
          <w:sz w:val="24"/>
          <w:szCs w:val="24"/>
        </w:rPr>
        <w:t>,</w:t>
      </w:r>
      <w:r w:rsidRPr="00055865">
        <w:rPr>
          <w:rFonts w:ascii="Garamond" w:hAnsi="Garamond"/>
          <w:sz w:val="24"/>
          <w:szCs w:val="24"/>
        </w:rPr>
        <w:t xml:space="preserve"> such as the elevation of workers’ skills are usually overlooked</w:t>
      </w:r>
      <w:r w:rsidR="00C04A23" w:rsidRPr="00055865">
        <w:rPr>
          <w:rFonts w:ascii="Garamond" w:hAnsi="Garamond"/>
          <w:sz w:val="24"/>
          <w:szCs w:val="24"/>
        </w:rPr>
        <w:t xml:space="preserve">. They indicated </w:t>
      </w:r>
      <w:r w:rsidRPr="00055865">
        <w:rPr>
          <w:rFonts w:ascii="Garamond" w:hAnsi="Garamond"/>
          <w:sz w:val="24"/>
          <w:szCs w:val="24"/>
        </w:rPr>
        <w:t xml:space="preserve">the contextual embeddedness </w:t>
      </w:r>
      <w:r w:rsidR="00C04A23" w:rsidRPr="00055865">
        <w:rPr>
          <w:rFonts w:ascii="Garamond" w:hAnsi="Garamond"/>
          <w:sz w:val="24"/>
          <w:szCs w:val="24"/>
        </w:rPr>
        <w:t>related to</w:t>
      </w:r>
      <w:r w:rsidRPr="00055865">
        <w:rPr>
          <w:rFonts w:ascii="Garamond" w:hAnsi="Garamond"/>
          <w:sz w:val="24"/>
          <w:szCs w:val="24"/>
        </w:rPr>
        <w:t xml:space="preserve"> pollution prevention and management makes it difficult for managers and other stakeholders to assess its</w:t>
      </w:r>
      <w:r w:rsidR="00DA5893">
        <w:rPr>
          <w:rFonts w:ascii="Garamond" w:hAnsi="Garamond"/>
          <w:sz w:val="24"/>
          <w:szCs w:val="24"/>
        </w:rPr>
        <w:t xml:space="preserve"> full value. Similarly, there i</w:t>
      </w:r>
      <w:r w:rsidRPr="00055865">
        <w:rPr>
          <w:rFonts w:ascii="Garamond" w:hAnsi="Garamond"/>
          <w:sz w:val="24"/>
          <w:szCs w:val="24"/>
        </w:rPr>
        <w:t>s no significant relationship between energy efficiency practices and mark</w:t>
      </w:r>
      <w:r w:rsidR="00DA5893">
        <w:rPr>
          <w:rFonts w:ascii="Garamond" w:hAnsi="Garamond"/>
          <w:sz w:val="24"/>
          <w:szCs w:val="24"/>
        </w:rPr>
        <w:t>et-based measure of performance</w:t>
      </w:r>
      <w:r w:rsidR="005B6FD7">
        <w:rPr>
          <w:rFonts w:ascii="Garamond" w:hAnsi="Garamond"/>
          <w:sz w:val="24"/>
          <w:szCs w:val="24"/>
        </w:rPr>
        <w:t>,</w:t>
      </w:r>
      <w:r w:rsidR="00DA5893">
        <w:rPr>
          <w:rFonts w:ascii="Garamond" w:hAnsi="Garamond"/>
          <w:sz w:val="24"/>
          <w:szCs w:val="24"/>
        </w:rPr>
        <w:t xml:space="preserve"> and</w:t>
      </w:r>
      <w:r w:rsidRPr="00055865">
        <w:rPr>
          <w:rFonts w:ascii="Garamond" w:hAnsi="Garamond"/>
          <w:sz w:val="24"/>
          <w:szCs w:val="24"/>
        </w:rPr>
        <w:t xml:space="preserve"> this could result from a misperception of the stock market. </w:t>
      </w:r>
      <w:r w:rsidR="00C473B9" w:rsidRPr="00055865">
        <w:rPr>
          <w:rFonts w:ascii="Garamond" w:hAnsi="Garamond"/>
          <w:sz w:val="24"/>
          <w:szCs w:val="24"/>
        </w:rPr>
        <w:fldChar w:fldCharType="begin" w:fldLock="1"/>
      </w:r>
      <w:r w:rsidR="00C473B9" w:rsidRPr="00055865">
        <w:rPr>
          <w:rFonts w:ascii="Garamond" w:hAnsi="Garamond"/>
          <w:sz w:val="24"/>
          <w:szCs w:val="24"/>
        </w:rPr>
        <w:instrText>ADDIN CSL_CITATION {"citationItems":[{"id":"ITEM-1","itemData":{"author":[{"dropping-particle":"","family":"Pavlinovic","given":"Sladana","non-dropping-particle":"","parse-names":false,"suffix":""}],"container-title":"Advance Research in Scientific Areas","id":"ITEM-1","issue":"6","issued":{"date-parts":[["2013"]]},"page":"149-152","title":"Motives for Voluntary Environmental Investments","type":"article-journal","volume":"2"},"uris":["http://www.mendeley.com/documents/?uuid=8e1b0d0a-e30b-4937-9710-c51c2da9ff7d"]}],"mendeley":{"formattedCitation":"(Pavlinovic, 2013)","manualFormatting":"Pavlinovic (2013)","plainTextFormattedCitation":"(Pavlinovic, 2013)","previouslyFormattedCitation":"(Pavlinovic, 2013)"},"properties":{"noteIndex":0},"schema":"https://github.com/citation-style-language/schema/raw/master/csl-citation.json"}</w:instrText>
      </w:r>
      <w:r w:rsidR="00C473B9" w:rsidRPr="00055865">
        <w:rPr>
          <w:rFonts w:ascii="Garamond" w:hAnsi="Garamond"/>
          <w:sz w:val="24"/>
          <w:szCs w:val="24"/>
        </w:rPr>
        <w:fldChar w:fldCharType="separate"/>
      </w:r>
      <w:r w:rsidR="00C473B9" w:rsidRPr="00055865">
        <w:rPr>
          <w:rFonts w:ascii="Garamond" w:hAnsi="Garamond"/>
          <w:noProof/>
          <w:sz w:val="24"/>
          <w:szCs w:val="24"/>
        </w:rPr>
        <w:t>Pavlinovic (2013)</w:t>
      </w:r>
      <w:r w:rsidR="00C473B9" w:rsidRPr="00055865">
        <w:rPr>
          <w:rFonts w:ascii="Garamond" w:hAnsi="Garamond"/>
          <w:sz w:val="24"/>
          <w:szCs w:val="24"/>
        </w:rPr>
        <w:fldChar w:fldCharType="end"/>
      </w:r>
      <w:r w:rsidRPr="00055865">
        <w:rPr>
          <w:rFonts w:ascii="Garamond" w:hAnsi="Garamond"/>
          <w:sz w:val="24"/>
          <w:szCs w:val="24"/>
        </w:rPr>
        <w:t xml:space="preserve"> indicated that the benefits </w:t>
      </w:r>
      <w:r w:rsidR="005B6FD7">
        <w:rPr>
          <w:rFonts w:ascii="Garamond" w:hAnsi="Garamond"/>
          <w:sz w:val="24"/>
          <w:szCs w:val="24"/>
        </w:rPr>
        <w:t>of</w:t>
      </w:r>
      <w:r w:rsidRPr="00055865">
        <w:rPr>
          <w:rFonts w:ascii="Garamond" w:hAnsi="Garamond"/>
          <w:sz w:val="24"/>
          <w:szCs w:val="24"/>
        </w:rPr>
        <w:t xml:space="preserve"> sustainable environmental polic</w:t>
      </w:r>
      <w:r w:rsidR="001F13E3">
        <w:rPr>
          <w:rFonts w:ascii="Garamond" w:hAnsi="Garamond"/>
          <w:sz w:val="24"/>
          <w:szCs w:val="24"/>
        </w:rPr>
        <w:t>ies m</w:t>
      </w:r>
      <w:r w:rsidR="005B6FD7">
        <w:rPr>
          <w:rFonts w:ascii="Garamond" w:hAnsi="Garamond"/>
          <w:sz w:val="24"/>
          <w:szCs w:val="24"/>
        </w:rPr>
        <w:t>ight</w:t>
      </w:r>
      <w:r w:rsidR="001F13E3">
        <w:rPr>
          <w:rFonts w:ascii="Garamond" w:hAnsi="Garamond"/>
          <w:sz w:val="24"/>
          <w:szCs w:val="24"/>
        </w:rPr>
        <w:t xml:space="preserve"> be long-term. However, in case of </w:t>
      </w:r>
      <w:r w:rsidRPr="00055865">
        <w:rPr>
          <w:rFonts w:ascii="Garamond" w:hAnsi="Garamond"/>
          <w:sz w:val="24"/>
          <w:szCs w:val="24"/>
        </w:rPr>
        <w:t>short-term lo</w:t>
      </w:r>
      <w:r w:rsidR="001F13E3">
        <w:rPr>
          <w:rFonts w:ascii="Garamond" w:hAnsi="Garamond"/>
          <w:sz w:val="24"/>
          <w:szCs w:val="24"/>
        </w:rPr>
        <w:t>sses occur, the stock market normally</w:t>
      </w:r>
      <w:r w:rsidRPr="00055865">
        <w:rPr>
          <w:rFonts w:ascii="Garamond" w:hAnsi="Garamond"/>
          <w:sz w:val="24"/>
          <w:szCs w:val="24"/>
        </w:rPr>
        <w:t xml:space="preserve"> </w:t>
      </w:r>
      <w:proofErr w:type="gramStart"/>
      <w:r w:rsidRPr="00055865">
        <w:rPr>
          <w:rFonts w:ascii="Garamond" w:hAnsi="Garamond"/>
          <w:sz w:val="24"/>
          <w:szCs w:val="24"/>
        </w:rPr>
        <w:t>react</w:t>
      </w:r>
      <w:proofErr w:type="gramEnd"/>
      <w:r w:rsidRPr="00055865">
        <w:rPr>
          <w:rFonts w:ascii="Garamond" w:hAnsi="Garamond"/>
          <w:sz w:val="24"/>
          <w:szCs w:val="24"/>
        </w:rPr>
        <w:t xml:space="preserve"> negatively.</w:t>
      </w:r>
      <w:r w:rsidRPr="00055865">
        <w:rPr>
          <w:rFonts w:ascii="Garamond" w:hAnsi="Garamond"/>
          <w:b/>
          <w:sz w:val="24"/>
          <w:szCs w:val="24"/>
        </w:rPr>
        <w:t xml:space="preserve">    </w:t>
      </w:r>
      <w:bookmarkStart w:id="11" w:name="_Hlk36713234"/>
    </w:p>
    <w:p w14:paraId="21DD1276" w14:textId="5DC6C919" w:rsidR="00334689" w:rsidRPr="00334689" w:rsidRDefault="00334689" w:rsidP="00334689">
      <w:pPr>
        <w:spacing w:after="0" w:line="480" w:lineRule="auto"/>
        <w:contextualSpacing/>
        <w:jc w:val="both"/>
        <w:rPr>
          <w:rFonts w:ascii="Garamond" w:hAnsi="Garamond"/>
          <w:b/>
          <w:sz w:val="24"/>
          <w:szCs w:val="24"/>
        </w:rPr>
      </w:pPr>
      <w:r w:rsidRPr="00055865">
        <w:rPr>
          <w:rFonts w:ascii="Garamond" w:hAnsi="Garamond"/>
          <w:b/>
          <w:i/>
          <w:iCs/>
          <w:sz w:val="19"/>
          <w:szCs w:val="19"/>
        </w:rPr>
        <w:lastRenderedPageBreak/>
        <w:t>Table 5: OLS Results of Sustainable Environmental Policies and Financial Performance (Tobin’s q)</w:t>
      </w:r>
    </w:p>
    <w:p w14:paraId="3919FC3A" w14:textId="77777777" w:rsidR="00334689" w:rsidRPr="00055865" w:rsidRDefault="00334689" w:rsidP="00334689">
      <w:pPr>
        <w:tabs>
          <w:tab w:val="left" w:pos="222"/>
        </w:tabs>
        <w:spacing w:after="0" w:line="480" w:lineRule="auto"/>
        <w:contextualSpacing/>
        <w:jc w:val="both"/>
        <w:rPr>
          <w:rFonts w:ascii="Garamond" w:hAnsi="Garamond"/>
          <w:b/>
          <w:iCs/>
          <w:sz w:val="19"/>
          <w:szCs w:val="19"/>
        </w:rPr>
      </w:pPr>
      <w:r w:rsidRPr="00055865">
        <w:rPr>
          <w:rFonts w:ascii="Garamond" w:hAnsi="Garamond"/>
          <w:iCs/>
          <w:sz w:val="19"/>
          <w:szCs w:val="19"/>
          <w:vertAlign w:val="subscript"/>
        </w:rPr>
        <w:t xml:space="preserve">This table presents the results of the following panel data regression on the relationship between Sustainable Environmental Policies (SEP) and financial performance (FP): </w:t>
      </w:r>
      <w:r w:rsidRPr="00055865">
        <w:rPr>
          <w:rFonts w:ascii="Garamond" w:eastAsia="Times New Roman" w:hAnsi="Garamond"/>
          <w:iCs/>
          <w:sz w:val="19"/>
          <w:szCs w:val="19"/>
          <w:vertAlign w:val="subscript"/>
        </w:rPr>
        <w:fldChar w:fldCharType="begin"/>
      </w:r>
      <w:r w:rsidRPr="00334689">
        <w:rPr>
          <w:rFonts w:ascii="Garamond" w:eastAsia="Times New Roman" w:hAnsi="Garamond"/>
          <w:iCs/>
          <w:sz w:val="19"/>
          <w:szCs w:val="19"/>
          <w:vertAlign w:val="subscript"/>
        </w:rPr>
        <w:instrText xml:space="preserve"> QUOTE </w:instrText>
      </w:r>
      <w:r w:rsidR="00806386">
        <w:rPr>
          <w:rFonts w:ascii="Garamond" w:hAnsi="Garamond"/>
          <w:iCs/>
          <w:noProof/>
          <w:position w:val="-9"/>
          <w:sz w:val="19"/>
          <w:szCs w:val="19"/>
        </w:rPr>
        <w:pict w14:anchorId="020E52F3">
          <v:shape id="_x0000_i1026" type="#_x0000_t75" alt="" style="width:252pt;height:14.4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MzU2sTQ3MDO2MLIwMDVS0lEKTi0uzszPAykwMqgFAH0r8eUtAAAA&quot;/&gt;&lt;/w:docVars&gt;&lt;wsp:rsids&gt;&lt;wsp:rsidRoot wsp:val=&quot;006036E7&quot;/&gt;&lt;wsp:rsid wsp:val=&quot;00006990&quot;/&gt;&lt;wsp:rsid wsp:val=&quot;00013C17&quot;/&gt;&lt;wsp:rsid wsp:val=&quot;00017851&quot;/&gt;&lt;wsp:rsid wsp:val=&quot;00023262&quot;/&gt;&lt;wsp:rsid wsp:val=&quot;00024C92&quot;/&gt;&lt;wsp:rsid wsp:val=&quot;00030754&quot;/&gt;&lt;wsp:rsid wsp:val=&quot;0003694C&quot;/&gt;&lt;wsp:rsid wsp:val=&quot;00037DBB&quot;/&gt;&lt;wsp:rsid wsp:val=&quot;000444D2&quot;/&gt;&lt;wsp:rsid wsp:val=&quot;00044C1F&quot;/&gt;&lt;wsp:rsid wsp:val=&quot;00063A9B&quot;/&gt;&lt;wsp:rsid wsp:val=&quot;000675BF&quot;/&gt;&lt;wsp:rsid wsp:val=&quot;00074897&quot;/&gt;&lt;wsp:rsid wsp:val=&quot;00075262&quot;/&gt;&lt;wsp:rsid wsp:val=&quot;0007589E&quot;/&gt;&lt;wsp:rsid wsp:val=&quot;00076741&quot;/&gt;&lt;wsp:rsid wsp:val=&quot;0008143B&quot;/&gt;&lt;wsp:rsid wsp:val=&quot;00081817&quot;/&gt;&lt;wsp:rsid wsp:val=&quot;00081A23&quot;/&gt;&lt;wsp:rsid wsp:val=&quot;00084561&quot;/&gt;&lt;wsp:rsid wsp:val=&quot;00085160&quot;/&gt;&lt;wsp:rsid wsp:val=&quot;00091380&quot;/&gt;&lt;wsp:rsid wsp:val=&quot;00095385&quot;/&gt;&lt;wsp:rsid wsp:val=&quot;000A07A0&quot;/&gt;&lt;wsp:rsid wsp:val=&quot;000A6CAB&quot;/&gt;&lt;wsp:rsid wsp:val=&quot;000A7612&quot;/&gt;&lt;wsp:rsid wsp:val=&quot;000B3D51&quot;/&gt;&lt;wsp:rsid wsp:val=&quot;000C3826&quot;/&gt;&lt;wsp:rsid wsp:val=&quot;000D1F37&quot;/&gt;&lt;wsp:rsid wsp:val=&quot;000D6337&quot;/&gt;&lt;wsp:rsid wsp:val=&quot;000E0107&quot;/&gt;&lt;wsp:rsid wsp:val=&quot;000E0DF4&quot;/&gt;&lt;wsp:rsid wsp:val=&quot;000E2B8A&quot;/&gt;&lt;wsp:rsid wsp:val=&quot;000E33FE&quot;/&gt;&lt;wsp:rsid wsp:val=&quot;000E701F&quot;/&gt;&lt;wsp:rsid wsp:val=&quot;000E7B98&quot;/&gt;&lt;wsp:rsid wsp:val=&quot;000F0A82&quot;/&gt;&lt;wsp:rsid wsp:val=&quot;0010708E&quot;/&gt;&lt;wsp:rsid wsp:val=&quot;00111DC4&quot;/&gt;&lt;wsp:rsid wsp:val=&quot;001121F1&quot;/&gt;&lt;wsp:rsid wsp:val=&quot;00114317&quot;/&gt;&lt;wsp:rsid wsp:val=&quot;0011545E&quot;/&gt;&lt;wsp:rsid wsp:val=&quot;001161CB&quot;/&gt;&lt;wsp:rsid wsp:val=&quot;0011798C&quot;/&gt;&lt;wsp:rsid wsp:val=&quot;0012578B&quot;/&gt;&lt;wsp:rsid wsp:val=&quot;0012795D&quot;/&gt;&lt;wsp:rsid wsp:val=&quot;00127DD3&quot;/&gt;&lt;wsp:rsid wsp:val=&quot;00130DC0&quot;/&gt;&lt;wsp:rsid wsp:val=&quot;00132EA0&quot;/&gt;&lt;wsp:rsid wsp:val=&quot;0013327A&quot;/&gt;&lt;wsp:rsid wsp:val=&quot;001372DD&quot;/&gt;&lt;wsp:rsid wsp:val=&quot;00145E9E&quot;/&gt;&lt;wsp:rsid wsp:val=&quot;00146606&quot;/&gt;&lt;wsp:rsid wsp:val=&quot;001471EC&quot;/&gt;&lt;wsp:rsid wsp:val=&quot;00147E9B&quot;/&gt;&lt;wsp:rsid wsp:val=&quot;001510EB&quot;/&gt;&lt;wsp:rsid wsp:val=&quot;00157FBB&quot;/&gt;&lt;wsp:rsid wsp:val=&quot;00171230&quot;/&gt;&lt;wsp:rsid wsp:val=&quot;00172991&quot;/&gt;&lt;wsp:rsid wsp:val=&quot;00175083&quot;/&gt;&lt;wsp:rsid wsp:val=&quot;001751CC&quot;/&gt;&lt;wsp:rsid wsp:val=&quot;001764C5&quot;/&gt;&lt;wsp:rsid wsp:val=&quot;00181FF7&quot;/&gt;&lt;wsp:rsid wsp:val=&quot;001841B9&quot;/&gt;&lt;wsp:rsid wsp:val=&quot;00186608&quot;/&gt;&lt;wsp:rsid wsp:val=&quot;00197319&quot;/&gt;&lt;wsp:rsid wsp:val=&quot;001A3CA6&quot;/&gt;&lt;wsp:rsid wsp:val=&quot;001D1F21&quot;/&gt;&lt;wsp:rsid wsp:val=&quot;001D7CDA&quot;/&gt;&lt;wsp:rsid wsp:val=&quot;001E0827&quot;/&gt;&lt;wsp:rsid wsp:val=&quot;001E63EC&quot;/&gt;&lt;wsp:rsid wsp:val=&quot;001F29AD&quot;/&gt;&lt;wsp:rsid wsp:val=&quot;00200C00&quot;/&gt;&lt;wsp:rsid wsp:val=&quot;00201C10&quot;/&gt;&lt;wsp:rsid wsp:val=&quot;0020459A&quot;/&gt;&lt;wsp:rsid wsp:val=&quot;00204961&quot;/&gt;&lt;wsp:rsid wsp:val=&quot;00204EC7&quot;/&gt;&lt;wsp:rsid wsp:val=&quot;00223956&quot;/&gt;&lt;wsp:rsid wsp:val=&quot;00236E5E&quot;/&gt;&lt;wsp:rsid wsp:val=&quot;00240574&quot;/&gt;&lt;wsp:rsid wsp:val=&quot;00244145&quot;/&gt;&lt;wsp:rsid wsp:val=&quot;00245147&quot;/&gt;&lt;wsp:rsid wsp:val=&quot;00247544&quot;/&gt;&lt;wsp:rsid wsp:val=&quot;00267DA0&quot;/&gt;&lt;wsp:rsid wsp:val=&quot;00280155&quot;/&gt;&lt;wsp:rsid wsp:val=&quot;00285FBA&quot;/&gt;&lt;wsp:rsid wsp:val=&quot;00286D7C&quot;/&gt;&lt;wsp:rsid wsp:val=&quot;00286FEC&quot;/&gt;&lt;wsp:rsid wsp:val=&quot;002A01F1&quot;/&gt;&lt;wsp:rsid wsp:val=&quot;002A1E01&quot;/&gt;&lt;wsp:rsid wsp:val=&quot;002B7C72&quot;/&gt;&lt;wsp:rsid wsp:val=&quot;002C28F5&quot;/&gt;&lt;wsp:rsid wsp:val=&quot;002C6F94&quot;/&gt;&lt;wsp:rsid wsp:val=&quot;002C702F&quot;/&gt;&lt;wsp:rsid wsp:val=&quot;002D2311&quot;/&gt;&lt;wsp:rsid wsp:val=&quot;002D2C35&quot;/&gt;&lt;wsp:rsid wsp:val=&quot;002D470F&quot;/&gt;&lt;wsp:rsid wsp:val=&quot;002E0DDE&quot;/&gt;&lt;wsp:rsid wsp:val=&quot;002E26FB&quot;/&gt;&lt;wsp:rsid wsp:val=&quot;003012D3&quot;/&gt;&lt;wsp:rsid wsp:val=&quot;00304AAB&quot;/&gt;&lt;wsp:rsid wsp:val=&quot;00312355&quot;/&gt;&lt;wsp:rsid wsp:val=&quot;00326C9B&quot;/&gt;&lt;wsp:rsid wsp:val=&quot;003375A1&quot;/&gt;&lt;wsp:rsid wsp:val=&quot;0034107D&quot;/&gt;&lt;wsp:rsid wsp:val=&quot;003432B8&quot;/&gt;&lt;wsp:rsid wsp:val=&quot;003455B5&quot;/&gt;&lt;wsp:rsid wsp:val=&quot;00355708&quot;/&gt;&lt;wsp:rsid wsp:val=&quot;00363419&quot;/&gt;&lt;wsp:rsid wsp:val=&quot;00363824&quot;/&gt;&lt;wsp:rsid wsp:val=&quot;003746A6&quot;/&gt;&lt;wsp:rsid wsp:val=&quot;00386296&quot;/&gt;&lt;wsp:rsid wsp:val=&quot;00390F79&quot;/&gt;&lt;wsp:rsid wsp:val=&quot;0039348B&quot;/&gt;&lt;wsp:rsid wsp:val=&quot;003B0842&quot;/&gt;&lt;wsp:rsid wsp:val=&quot;003B2D26&quot;/&gt;&lt;wsp:rsid wsp:val=&quot;003B3BE9&quot;/&gt;&lt;wsp:rsid wsp:val=&quot;003B6CFB&quot;/&gt;&lt;wsp:rsid wsp:val=&quot;003D2284&quot;/&gt;&lt;wsp:rsid wsp:val=&quot;003D3E6A&quot;/&gt;&lt;wsp:rsid wsp:val=&quot;003D7ECE&quot;/&gt;&lt;wsp:rsid wsp:val=&quot;003E2993&quot;/&gt;&lt;wsp:rsid wsp:val=&quot;003E4689&quot;/&gt;&lt;wsp:rsid wsp:val=&quot;003E74F0&quot;/&gt;&lt;wsp:rsid wsp:val=&quot;003F7E97&quot;/&gt;&lt;wsp:rsid wsp:val=&quot;0040109E&quot;/&gt;&lt;wsp:rsid wsp:val=&quot;004179F2&quot;/&gt;&lt;wsp:rsid wsp:val=&quot;00425317&quot;/&gt;&lt;wsp:rsid wsp:val=&quot;00431892&quot;/&gt;&lt;wsp:rsid wsp:val=&quot;00435FA0&quot;/&gt;&lt;wsp:rsid wsp:val=&quot;004432B8&quot;/&gt;&lt;wsp:rsid wsp:val=&quot;00444353&quot;/&gt;&lt;wsp:rsid wsp:val=&quot;0045476C&quot;/&gt;&lt;wsp:rsid wsp:val=&quot;00461247&quot;/&gt;&lt;wsp:rsid wsp:val=&quot;0047050D&quot;/&gt;&lt;wsp:rsid wsp:val=&quot;00480AAF&quot;/&gt;&lt;wsp:rsid wsp:val=&quot;00484DB2&quot;/&gt;&lt;wsp:rsid wsp:val=&quot;00491B7F&quot;/&gt;&lt;wsp:rsid wsp:val=&quot;004A5E00&quot;/&gt;&lt;wsp:rsid wsp:val=&quot;004B47B5&quot;/&gt;&lt;wsp:rsid wsp:val=&quot;004B62B0&quot;/&gt;&lt;wsp:rsid wsp:val=&quot;004D4808&quot;/&gt;&lt;wsp:rsid wsp:val=&quot;004E0EC3&quot;/&gt;&lt;wsp:rsid wsp:val=&quot;004E7D8D&quot;/&gt;&lt;wsp:rsid wsp:val=&quot;004F6EC4&quot;/&gt;&lt;wsp:rsid wsp:val=&quot;0050035A&quot;/&gt;&lt;wsp:rsid wsp:val=&quot;00502857&quot;/&gt;&lt;wsp:rsid wsp:val=&quot;00512E7E&quot;/&gt;&lt;wsp:rsid wsp:val=&quot;00514C22&quot;/&gt;&lt;wsp:rsid wsp:val=&quot;00515CEE&quot;/&gt;&lt;wsp:rsid wsp:val=&quot;00537569&quot;/&gt;&lt;wsp:rsid wsp:val=&quot;00542935&quot;/&gt;&lt;wsp:rsid wsp:val=&quot;00554C20&quot;/&gt;&lt;wsp:rsid wsp:val=&quot;0055706B&quot;/&gt;&lt;wsp:rsid wsp:val=&quot;00561598&quot;/&gt;&lt;wsp:rsid wsp:val=&quot;00564AB6&quot;/&gt;&lt;wsp:rsid wsp:val=&quot;00570837&quot;/&gt;&lt;wsp:rsid wsp:val=&quot;00577946&quot;/&gt;&lt;wsp:rsid wsp:val=&quot;0059264F&quot;/&gt;&lt;wsp:rsid wsp:val=&quot;005A1B24&quot;/&gt;&lt;wsp:rsid wsp:val=&quot;005A3AA7&quot;/&gt;&lt;wsp:rsid wsp:val=&quot;005A7EF3&quot;/&gt;&lt;wsp:rsid wsp:val=&quot;005B6C87&quot;/&gt;&lt;wsp:rsid wsp:val=&quot;005E4E83&quot;/&gt;&lt;wsp:rsid wsp:val=&quot;005F0782&quot;/&gt;&lt;wsp:rsid wsp:val=&quot;005F1A98&quot;/&gt;&lt;wsp:rsid wsp:val=&quot;005F5B68&quot;/&gt;&lt;wsp:rsid wsp:val=&quot;005F663B&quot;/&gt;&lt;wsp:rsid wsp:val=&quot;006036E7&quot;/&gt;&lt;wsp:rsid wsp:val=&quot;0060577A&quot;/&gt;&lt;wsp:rsid wsp:val=&quot;006177C3&quot;/&gt;&lt;wsp:rsid wsp:val=&quot;00620C3C&quot;/&gt;&lt;wsp:rsid wsp:val=&quot;0062134F&quot;/&gt;&lt;wsp:rsid wsp:val=&quot;00622289&quot;/&gt;&lt;wsp:rsid wsp:val=&quot;00633085&quot;/&gt;&lt;wsp:rsid wsp:val=&quot;0063416B&quot;/&gt;&lt;wsp:rsid wsp:val=&quot;00646027&quot;/&gt;&lt;wsp:rsid wsp:val=&quot;006503BD&quot;/&gt;&lt;wsp:rsid wsp:val=&quot;006539D1&quot;/&gt;&lt;wsp:rsid wsp:val=&quot;006604A7&quot;/&gt;&lt;wsp:rsid wsp:val=&quot;00663CEB&quot;/&gt;&lt;wsp:rsid wsp:val=&quot;00664AF4&quot;/&gt;&lt;wsp:rsid wsp:val=&quot;00664C06&quot;/&gt;&lt;wsp:rsid wsp:val=&quot;00671243&quot;/&gt;&lt;wsp:rsid wsp:val=&quot;00671D23&quot;/&gt;&lt;wsp:rsid wsp:val=&quot;00671F6E&quot;/&gt;&lt;wsp:rsid wsp:val=&quot;00674C56&quot;/&gt;&lt;wsp:rsid wsp:val=&quot;006801DC&quot;/&gt;&lt;wsp:rsid wsp:val=&quot;00680DC2&quot;/&gt;&lt;wsp:rsid wsp:val=&quot;00681D69&quot;/&gt;&lt;wsp:rsid wsp:val=&quot;00682770&quot;/&gt;&lt;wsp:rsid wsp:val=&quot;0068299C&quot;/&gt;&lt;wsp:rsid wsp:val=&quot;006859F6&quot;/&gt;&lt;wsp:rsid wsp:val=&quot;00694372&quot;/&gt;&lt;wsp:rsid wsp:val=&quot;006A637C&quot;/&gt;&lt;wsp:rsid wsp:val=&quot;006C0963&quot;/&gt;&lt;wsp:rsid wsp:val=&quot;006C2EDA&quot;/&gt;&lt;wsp:rsid wsp:val=&quot;006D1230&quot;/&gt;&lt;wsp:rsid wsp:val=&quot;006D4E2D&quot;/&gt;&lt;wsp:rsid wsp:val=&quot;006D6BF4&quot;/&gt;&lt;wsp:rsid wsp:val=&quot;007063E5&quot;/&gt;&lt;wsp:rsid wsp:val=&quot;00707CF1&quot;/&gt;&lt;wsp:rsid wsp:val=&quot;00713916&quot;/&gt;&lt;wsp:rsid wsp:val=&quot;00713EA8&quot;/&gt;&lt;wsp:rsid wsp:val=&quot;00717F21&quot;/&gt;&lt;wsp:rsid wsp:val=&quot;00721241&quot;/&gt;&lt;wsp:rsid wsp:val=&quot;007315FC&quot;/&gt;&lt;wsp:rsid wsp:val=&quot;00732AFA&quot;/&gt;&lt;wsp:rsid wsp:val=&quot;00732B17&quot;/&gt;&lt;wsp:rsid wsp:val=&quot;00746C7C&quot;/&gt;&lt;wsp:rsid wsp:val=&quot;00747FBB&quot;/&gt;&lt;wsp:rsid wsp:val=&quot;00750A57&quot;/&gt;&lt;wsp:rsid wsp:val=&quot;00770755&quot;/&gt;&lt;wsp:rsid wsp:val=&quot;007775DE&quot;/&gt;&lt;wsp:rsid wsp:val=&quot;00784E40&quot;/&gt;&lt;wsp:rsid wsp:val=&quot;00786A2D&quot;/&gt;&lt;wsp:rsid wsp:val=&quot;007A2EBF&quot;/&gt;&lt;wsp:rsid wsp:val=&quot;007A3A8E&quot;/&gt;&lt;wsp:rsid wsp:val=&quot;007A62C7&quot;/&gt;&lt;wsp:rsid wsp:val=&quot;007B1A74&quot;/&gt;&lt;wsp:rsid wsp:val=&quot;007B1BB0&quot;/&gt;&lt;wsp:rsid wsp:val=&quot;007B4D6B&quot;/&gt;&lt;wsp:rsid wsp:val=&quot;007B501B&quot;/&gt;&lt;wsp:rsid wsp:val=&quot;007B7372&quot;/&gt;&lt;wsp:rsid wsp:val=&quot;007C34CB&quot;/&gt;&lt;wsp:rsid wsp:val=&quot;007C4187&quot;/&gt;&lt;wsp:rsid wsp:val=&quot;007E748D&quot;/&gt;&lt;wsp:rsid wsp:val=&quot;007F0C3D&quot;/&gt;&lt;wsp:rsid wsp:val=&quot;007F7B1F&quot;/&gt;&lt;wsp:rsid wsp:val=&quot;008010E2&quot;/&gt;&lt;wsp:rsid wsp:val=&quot;0080339E&quot;/&gt;&lt;wsp:rsid wsp:val=&quot;00804F81&quot;/&gt;&lt;wsp:rsid wsp:val=&quot;00805B61&quot;/&gt;&lt;wsp:rsid wsp:val=&quot;00813AA8&quot;/&gt;&lt;wsp:rsid wsp:val=&quot;008140F0&quot;/&gt;&lt;wsp:rsid wsp:val=&quot;00823928&quot;/&gt;&lt;wsp:rsid wsp:val=&quot;0083293C&quot;/&gt;&lt;wsp:rsid wsp:val=&quot;0083510A&quot;/&gt;&lt;wsp:rsid wsp:val=&quot;0083540C&quot;/&gt;&lt;wsp:rsid wsp:val=&quot;00835DA0&quot;/&gt;&lt;wsp:rsid wsp:val=&quot;00837E76&quot;/&gt;&lt;wsp:rsid wsp:val=&quot;00842811&quot;/&gt;&lt;wsp:rsid wsp:val=&quot;00852765&quot;/&gt;&lt;wsp:rsid wsp:val=&quot;00862F41&quot;/&gt;&lt;wsp:rsid wsp:val=&quot;00873ECA&quot;/&gt;&lt;wsp:rsid wsp:val=&quot;0087631A&quot;/&gt;&lt;wsp:rsid wsp:val=&quot;008861D3&quot;/&gt;&lt;wsp:rsid wsp:val=&quot;00892D09&quot;/&gt;&lt;wsp:rsid wsp:val=&quot;008953EC&quot;/&gt;&lt;wsp:rsid wsp:val=&quot;008C02A2&quot;/&gt;&lt;wsp:rsid wsp:val=&quot;008C1771&quot;/&gt;&lt;wsp:rsid wsp:val=&quot;008D2395&quot;/&gt;&lt;wsp:rsid wsp:val=&quot;008E5BF6&quot;/&gt;&lt;wsp:rsid wsp:val=&quot;008E6498&quot;/&gt;&lt;wsp:rsid wsp:val=&quot;008F6567&quot;/&gt;&lt;wsp:rsid wsp:val=&quot;009025B7&quot;/&gt;&lt;wsp:rsid wsp:val=&quot;00904E55&quot;/&gt;&lt;wsp:rsid wsp:val=&quot;00911FF7&quot;/&gt;&lt;wsp:rsid wsp:val=&quot;00913E73&quot;/&gt;&lt;wsp:rsid wsp:val=&quot;009178A6&quot;/&gt;&lt;wsp:rsid wsp:val=&quot;00920156&quot;/&gt;&lt;wsp:rsid wsp:val=&quot;00923E75&quot;/&gt;&lt;wsp:rsid wsp:val=&quot;00931888&quot;/&gt;&lt;wsp:rsid wsp:val=&quot;00933E38&quot;/&gt;&lt;wsp:rsid wsp:val=&quot;00943D6A&quot;/&gt;&lt;wsp:rsid wsp:val=&quot;00944979&quot;/&gt;&lt;wsp:rsid wsp:val=&quot;009460E1&quot;/&gt;&lt;wsp:rsid wsp:val=&quot;00952187&quot;/&gt;&lt;wsp:rsid wsp:val=&quot;00964421&quot;/&gt;&lt;wsp:rsid wsp:val=&quot;00972D85&quot;/&gt;&lt;wsp:rsid wsp:val=&quot;0098178D&quot;/&gt;&lt;wsp:rsid wsp:val=&quot;00984586&quot;/&gt;&lt;wsp:rsid wsp:val=&quot;00987810&quot;/&gt;&lt;wsp:rsid wsp:val=&quot;009A197D&quot;/&gt;&lt;wsp:rsid wsp:val=&quot;009B3300&quot;/&gt;&lt;wsp:rsid wsp:val=&quot;009B3527&quot;/&gt;&lt;wsp:rsid wsp:val=&quot;009C5F30&quot;/&gt;&lt;wsp:rsid wsp:val=&quot;009D1492&quot;/&gt;&lt;wsp:rsid wsp:val=&quot;00A06322&quot;/&gt;&lt;wsp:rsid wsp:val=&quot;00A24B9F&quot;/&gt;&lt;wsp:rsid wsp:val=&quot;00A27E08&quot;/&gt;&lt;wsp:rsid wsp:val=&quot;00A3543E&quot;/&gt;&lt;wsp:rsid wsp:val=&quot;00A35674&quot;/&gt;&lt;wsp:rsid wsp:val=&quot;00A362CE&quot;/&gt;&lt;wsp:rsid wsp:val=&quot;00A372A7&quot;/&gt;&lt;wsp:rsid wsp:val=&quot;00A411D9&quot;/&gt;&lt;wsp:rsid wsp:val=&quot;00A4402C&quot;/&gt;&lt;wsp:rsid wsp:val=&quot;00A516DC&quot;/&gt;&lt;wsp:rsid wsp:val=&quot;00A52913&quot;/&gt;&lt;wsp:rsid wsp:val=&quot;00A53C05&quot;/&gt;&lt;wsp:rsid wsp:val=&quot;00A60134&quot;/&gt;&lt;wsp:rsid wsp:val=&quot;00A71D23&quot;/&gt;&lt;wsp:rsid wsp:val=&quot;00A742CE&quot;/&gt;&lt;wsp:rsid wsp:val=&quot;00A90E4B&quot;/&gt;&lt;wsp:rsid wsp:val=&quot;00A91737&quot;/&gt;&lt;wsp:rsid wsp:val=&quot;00AB6E48&quot;/&gt;&lt;wsp:rsid wsp:val=&quot;00AB7620&quot;/&gt;&lt;wsp:rsid wsp:val=&quot;00AB7E5B&quot;/&gt;&lt;wsp:rsid wsp:val=&quot;00AC702D&quot;/&gt;&lt;wsp:rsid wsp:val=&quot;00AD292A&quot;/&gt;&lt;wsp:rsid wsp:val=&quot;00AD392E&quot;/&gt;&lt;wsp:rsid wsp:val=&quot;00AD56DD&quot;/&gt;&lt;wsp:rsid wsp:val=&quot;00AD5CC3&quot;/&gt;&lt;wsp:rsid wsp:val=&quot;00AE0067&quot;/&gt;&lt;wsp:rsid wsp:val=&quot;00AE1B1F&quot;/&gt;&lt;wsp:rsid wsp:val=&quot;00AF0B96&quot;/&gt;&lt;wsp:rsid wsp:val=&quot;00AF586C&quot;/&gt;&lt;wsp:rsid wsp:val=&quot;00B01494&quot;/&gt;&lt;wsp:rsid wsp:val=&quot;00B01848&quot;/&gt;&lt;wsp:rsid wsp:val=&quot;00B14124&quot;/&gt;&lt;wsp:rsid wsp:val=&quot;00B15580&quot;/&gt;&lt;wsp:rsid wsp:val=&quot;00B24D45&quot;/&gt;&lt;wsp:rsid wsp:val=&quot;00B2767F&quot;/&gt;&lt;wsp:rsid wsp:val=&quot;00B27A51&quot;/&gt;&lt;wsp:rsid wsp:val=&quot;00B37776&quot;/&gt;&lt;wsp:rsid wsp:val=&quot;00B43603&quot;/&gt;&lt;wsp:rsid wsp:val=&quot;00B47EEA&quot;/&gt;&lt;wsp:rsid wsp:val=&quot;00B550C1&quot;/&gt;&lt;wsp:rsid wsp:val=&quot;00B55DEE&quot;/&gt;&lt;wsp:rsid wsp:val=&quot;00B568BA&quot;/&gt;&lt;wsp:rsid wsp:val=&quot;00B64692&quot;/&gt;&lt;wsp:rsid wsp:val=&quot;00B8373C&quot;/&gt;&lt;wsp:rsid wsp:val=&quot;00B83926&quot;/&gt;&lt;wsp:rsid wsp:val=&quot;00B83D4F&quot;/&gt;&lt;wsp:rsid wsp:val=&quot;00B873F5&quot;/&gt;&lt;wsp:rsid wsp:val=&quot;00B969D6&quot;/&gt;&lt;wsp:rsid wsp:val=&quot;00BA5D34&quot;/&gt;&lt;wsp:rsid wsp:val=&quot;00BA66D3&quot;/&gt;&lt;wsp:rsid wsp:val=&quot;00BB12D1&quot;/&gt;&lt;wsp:rsid wsp:val=&quot;00BB6548&quot;/&gt;&lt;wsp:rsid wsp:val=&quot;00BC1988&quot;/&gt;&lt;wsp:rsid wsp:val=&quot;00BC305C&quot;/&gt;&lt;wsp:rsid wsp:val=&quot;00BD39A6&quot;/&gt;&lt;wsp:rsid wsp:val=&quot;00BD5625&quot;/&gt;&lt;wsp:rsid wsp:val=&quot;00BE6D92&quot;/&gt;&lt;wsp:rsid wsp:val=&quot;00BE710A&quot;/&gt;&lt;wsp:rsid wsp:val=&quot;00BE785A&quot;/&gt;&lt;wsp:rsid wsp:val=&quot;00BE7B58&quot;/&gt;&lt;wsp:rsid wsp:val=&quot;00BF0A94&quot;/&gt;&lt;wsp:rsid wsp:val=&quot;00BF0C5F&quot;/&gt;&lt;wsp:rsid wsp:val=&quot;00C00CED&quot;/&gt;&lt;wsp:rsid wsp:val=&quot;00C01D64&quot;/&gt;&lt;wsp:rsid wsp:val=&quot;00C01D8F&quot;/&gt;&lt;wsp:rsid wsp:val=&quot;00C05A48&quot;/&gt;&lt;wsp:rsid wsp:val=&quot;00C16404&quot;/&gt;&lt;wsp:rsid wsp:val=&quot;00C3173D&quot;/&gt;&lt;wsp:rsid wsp:val=&quot;00C32066&quot;/&gt;&lt;wsp:rsid wsp:val=&quot;00C3311A&quot;/&gt;&lt;wsp:rsid wsp:val=&quot;00C441D2&quot;/&gt;&lt;wsp:rsid wsp:val=&quot;00C46F61&quot;/&gt;&lt;wsp:rsid wsp:val=&quot;00C63222&quot;/&gt;&lt;wsp:rsid wsp:val=&quot;00C715F2&quot;/&gt;&lt;wsp:rsid wsp:val=&quot;00C72916&quot;/&gt;&lt;wsp:rsid wsp:val=&quot;00C739B6&quot;/&gt;&lt;wsp:rsid wsp:val=&quot;00C84536&quot;/&gt;&lt;wsp:rsid wsp:val=&quot;00C8484C&quot;/&gt;&lt;wsp:rsid wsp:val=&quot;00C8569A&quot;/&gt;&lt;wsp:rsid wsp:val=&quot;00C876C3&quot;/&gt;&lt;wsp:rsid wsp:val=&quot;00C90293&quot;/&gt;&lt;wsp:rsid wsp:val=&quot;00CA106B&quot;/&gt;&lt;wsp:rsid wsp:val=&quot;00CB01E2&quot;/&gt;&lt;wsp:rsid wsp:val=&quot;00CB35DE&quot;/&gt;&lt;wsp:rsid wsp:val=&quot;00CD09BF&quot;/&gt;&lt;wsp:rsid wsp:val=&quot;00CD5F69&quot;/&gt;&lt;wsp:rsid wsp:val=&quot;00CE41B1&quot;/&gt;&lt;wsp:rsid wsp:val=&quot;00CF63FF&quot;/&gt;&lt;wsp:rsid wsp:val=&quot;00D1416A&quot;/&gt;&lt;wsp:rsid wsp:val=&quot;00D3248A&quot;/&gt;&lt;wsp:rsid wsp:val=&quot;00D32F74&quot;/&gt;&lt;wsp:rsid wsp:val=&quot;00D33267&quot;/&gt;&lt;wsp:rsid wsp:val=&quot;00D408A3&quot;/&gt;&lt;wsp:rsid wsp:val=&quot;00D41BCE&quot;/&gt;&lt;wsp:rsid wsp:val=&quot;00D557DD&quot;/&gt;&lt;wsp:rsid wsp:val=&quot;00D63CC5&quot;/&gt;&lt;wsp:rsid wsp:val=&quot;00D641CB&quot;/&gt;&lt;wsp:rsid wsp:val=&quot;00D67554&quot;/&gt;&lt;wsp:rsid wsp:val=&quot;00D72102&quot;/&gt;&lt;wsp:rsid wsp:val=&quot;00D730CF&quot;/&gt;&lt;wsp:rsid wsp:val=&quot;00D74D08&quot;/&gt;&lt;wsp:rsid wsp:val=&quot;00D76ABE&quot;/&gt;&lt;wsp:rsid wsp:val=&quot;00D86B47&quot;/&gt;&lt;wsp:rsid wsp:val=&quot;00D90BC5&quot;/&gt;&lt;wsp:rsid wsp:val=&quot;00D91C61&quot;/&gt;&lt;wsp:rsid wsp:val=&quot;00D95787&quot;/&gt;&lt;wsp:rsid wsp:val=&quot;00D97692&quot;/&gt;&lt;wsp:rsid wsp:val=&quot;00D97E85&quot;/&gt;&lt;wsp:rsid wsp:val=&quot;00DC0CB0&quot;/&gt;&lt;wsp:rsid wsp:val=&quot;00DC3A3B&quot;/&gt;&lt;wsp:rsid wsp:val=&quot;00DC6380&quot;/&gt;&lt;wsp:rsid wsp:val=&quot;00DC6F9A&quot;/&gt;&lt;wsp:rsid wsp:val=&quot;00DD5E28&quot;/&gt;&lt;wsp:rsid wsp:val=&quot;00DD72FD&quot;/&gt;&lt;wsp:rsid wsp:val=&quot;00DE458B&quot;/&gt;&lt;wsp:rsid wsp:val=&quot;00DF0357&quot;/&gt;&lt;wsp:rsid wsp:val=&quot;00DF0F57&quot;/&gt;&lt;wsp:rsid wsp:val=&quot;00E1211A&quot;/&gt;&lt;wsp:rsid wsp:val=&quot;00E1211C&quot;/&gt;&lt;wsp:rsid wsp:val=&quot;00E15620&quot;/&gt;&lt;wsp:rsid wsp:val=&quot;00E2111D&quot;/&gt;&lt;wsp:rsid wsp:val=&quot;00E276CB&quot;/&gt;&lt;wsp:rsid wsp:val=&quot;00E42710&quot;/&gt;&lt;wsp:rsid wsp:val=&quot;00E462B6&quot;/&gt;&lt;wsp:rsid wsp:val=&quot;00E517D7&quot;/&gt;&lt;wsp:rsid wsp:val=&quot;00E51A93&quot;/&gt;&lt;wsp:rsid wsp:val=&quot;00E5474A&quot;/&gt;&lt;wsp:rsid wsp:val=&quot;00E65880&quot;/&gt;&lt;wsp:rsid wsp:val=&quot;00E671C9&quot;/&gt;&lt;wsp:rsid wsp:val=&quot;00E678CD&quot;/&gt;&lt;wsp:rsid wsp:val=&quot;00E8139B&quot;/&gt;&lt;wsp:rsid wsp:val=&quot;00E83268&quot;/&gt;&lt;wsp:rsid wsp:val=&quot;00E84BA2&quot;/&gt;&lt;wsp:rsid wsp:val=&quot;00E90A19&quot;/&gt;&lt;wsp:rsid wsp:val=&quot;00E95589&quot;/&gt;&lt;wsp:rsid wsp:val=&quot;00ED045E&quot;/&gt;&lt;wsp:rsid wsp:val=&quot;00EF18E7&quot;/&gt;&lt;wsp:rsid wsp:val=&quot;00F03E48&quot;/&gt;&lt;wsp:rsid wsp:val=&quot;00F05FC3&quot;/&gt;&lt;wsp:rsid wsp:val=&quot;00F065BE&quot;/&gt;&lt;wsp:rsid wsp:val=&quot;00F116D7&quot;/&gt;&lt;wsp:rsid wsp:val=&quot;00F27E0A&quot;/&gt;&lt;wsp:rsid wsp:val=&quot;00F3244C&quot;/&gt;&lt;wsp:rsid wsp:val=&quot;00F36E92&quot;/&gt;&lt;wsp:rsid wsp:val=&quot;00F54C30&quot;/&gt;&lt;wsp:rsid wsp:val=&quot;00F54DFE&quot;/&gt;&lt;wsp:rsid wsp:val=&quot;00F56E95&quot;/&gt;&lt;wsp:rsid wsp:val=&quot;00F60789&quot;/&gt;&lt;wsp:rsid wsp:val=&quot;00F62396&quot;/&gt;&lt;wsp:rsid wsp:val=&quot;00F63463&quot;/&gt;&lt;wsp:rsid wsp:val=&quot;00F87DDA&quot;/&gt;&lt;wsp:rsid wsp:val=&quot;00F9112C&quot;/&gt;&lt;wsp:rsid wsp:val=&quot;00F94541&quot;/&gt;&lt;wsp:rsid wsp:val=&quot;00FA47A3&quot;/&gt;&lt;wsp:rsid wsp:val=&quot;00FB6694&quot;/&gt;&lt;wsp:rsid wsp:val=&quot;00FC2A71&quot;/&gt;&lt;wsp:rsid wsp:val=&quot;00FC430F&quot;/&gt;&lt;wsp:rsid wsp:val=&quot;00FC6823&quot;/&gt;&lt;wsp:rsid wsp:val=&quot;00FD06AF&quot;/&gt;&lt;wsp:rsid wsp:val=&quot;00FE377B&quot;/&gt;&lt;wsp:rsid wsp:val=&quot;00FE5F09&quot;/&gt;&lt;wsp:rsid wsp:val=&quot;00FE682B&quot;/&gt;&lt;wsp:rsid wsp:val=&quot;00FF171F&quot;/&gt;&lt;wsp:rsid wsp:val=&quot;00FF4DC5&quot;/&gt;&lt;wsp:rsid wsp:val=&quot;00FF7744&quot;/&gt;&lt;/wsp:rsids&gt;&lt;/w:docPr&gt;&lt;w:body&gt;&lt;wx:sect&gt;&lt;w:p wsp:rsidR=&quot;00000000&quot; wsp:rsidRDefault=&quot;00074897&quot; wsp:rsidP=&quot;00074897&quot;&gt;&lt;m:oMathPara&gt;&lt;m:oMath&gt;&lt;m:sSub&gt;&lt;m:sSubPr&gt;&lt;m:ctrlPr&gt;&lt;w:rPr&gt;&lt;w:rFonts w:ascii=&quot;Cambria Math&quot; w:h-ansi=&quot;Cambria Math&quot;/&gt;&lt;wx:font wx:val=&quot;Cambria Math&quot;/&gt;&lt;/w:rPr&gt;&lt;/m:ctrlPr&gt;&lt;/m:sSubPr&gt;&lt;m:e&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FP&lt;/m:t&gt;&lt;/m:r&gt;&lt;/m:e&gt;&lt;m:sub&gt;&lt;m:r&gt;&lt;w:rPr&gt;&lt;w:rFonts w:ascii=&quot;Cambria Math&quot; w:h-ansi=&quot;Cambria Math&quot;/&gt;&lt;wx:font wx:val=&quot;Cambria Math&quot;/&gt;&lt;w:i/&gt;&lt;/w:rPr&gt;&lt;m:t&gt;it&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Œ=&lt;/m:t&gt;&lt;/m:r&gt;&lt;/m:e&gt;&lt;m:sub&gt;&lt;m:r&gt;&lt;m:rPr&gt;&lt;m:sty m:val=&quot;p&quot;/&gt;&lt;/m:rPr&gt;&lt;w:rPr&gt;&lt;w:rFonts w:ascii=&quot;Cambria Math&quot; w:h-ansi=&quot;Cambria Math&quot;/&gt;&lt;wx:font wx:val=&quot;Cambria Math&quot;/&gt;&lt;/w:rPr&gt;&lt;m:t&gt;0&lt;/m:t&gt;&lt;/m:r&gt;&lt;/m:sub&gt;&lt;/m:sSub&gt;&lt;m:r&gt;&lt;m:rPr&gt;&lt;m:sty m:val=&quot;p&quot;/&gt;&lt;/m:rPr&gt;&lt;w:rPr&gt;&lt;w:rFonts w:ascii=&quot;Cambria Math&quot; w:h-ansi=&quot;Cambria Math&quot;/&gt;&lt;wx:font wx:val=&quot;Cambria Math&quot;/&gt;&lt;/w:rPr&gt;&lt;m:t&gt;+ &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Œ=&lt;/m:t&gt;&lt;/m:r&gt;&lt;/m:e&gt;&lt;m:sub&gt;&lt;m:r&gt;&lt;m:rPr&gt;&lt;m:sty m:val=&quot;p&quot;/&gt;&lt;/m:rPr&gt;&lt;w:rPr&gt;&lt;w:rFonts w:ascii=&quot;Cambria Math&quot; w:h-ansi=&quot;Cambria Math&quot;/&gt;&lt;wx:font wx:val=&quot;Cambria Math&quot;/&gt;&lt;/w:rPr&gt;&lt;m:t&gt;1&lt;/m:t&gt;&lt;/m:r&gt;&lt;/m:sub&gt;&lt;/m:sSub&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SEP&lt;/m:t&gt;&lt;/m:r&gt;&lt;/m:e&gt;&lt;m:sub&gt;&lt;m:r&gt;&lt;w:rPr&gt;&lt;w:rFonts w:ascii=&quot;Cambria Math&quot; w:h-ansi=&quot;Cambria Math&quot;/&gt;&lt;wx:font wx:val=&quot;Cambria Math&quot;/&gt;&lt;w:i/&gt;&lt;/w:rPr&gt;&lt;m:t&gt;it&lt;/m:t&gt;&lt;/m:r&gt;&lt;/m:sub&gt;&lt;/m:sSub&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 &lt;/m:t&gt;&lt;/m:r&gt;&lt;m:r&gt;&lt;w:rPr&gt;&lt;w:rFonts w:ascii=&quot;Cambria Math&quot; w:h-ansi=&quot;Cambria Math&quot;/&gt;&lt;wx:font wx:val=&quot;Cambria Math&quot;/&gt;&lt;w:i/&gt;&lt;/w:rPr&gt;&lt;m:t&gt;Œ=&lt;/m:t&gt;&lt;/m:r&gt;&lt;/m:e&gt;&lt;m:sub&gt;&lt;m:r&gt;&lt;m:rPr&gt;&lt;m:sty m:val=&quot;p&quot;/&gt;&lt;/m:rPr&gt;&lt;w:rPr&gt;&lt;w:rFonts w:ascii=&quot;Cambria Math&quot; w:h-ansi=&quot;Cambria Math&quot;/&gt;&lt;wx:font wx:val=&quot;Cambria Math&quot;/&gt;&lt;/w:rPr&gt;&lt;m:t&gt;2&lt;/m:t&gt;&lt;/m:r&gt;&lt;/m:sub&gt;&lt;/m:sSub&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Controls&lt;/m:t&gt;&lt;/m:r&gt;&lt;/m:e&gt;&lt;m:sub&gt;&lt;m:r&gt;&lt;w:rPr&gt;&lt;w:rFonts w:ascii=&quot;Cambria Math&quot; w:h-ansi=&quot;Cambria Math&quot;/&gt;&lt;wx:font wx:val=&quot;Cambria Math&quot;/&gt;&lt;w:i/&gt;&lt;/w:rPr&gt;&lt;m:t&gt;it&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Œº&lt;/m:t&gt;&lt;/m:r&gt;&lt;/m:e&gt;&lt;m:sub&gt;&lt;m:r&gt;&lt;w:rPr&gt;&lt;w:rFonts w:ascii=&quot;Cambria Math&quot; w:h-ansi=&quot;Cambria Math&quot;/&gt;&lt;wx:font wx:val=&quot;Cambria Math&quot;/&gt;&lt;w:i/&gt;&lt;/w:rPr&gt;&lt;m:t&gt;it&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Œª&lt;/m:t&gt;&lt;/m:r&gt;&lt;/m:e&gt;&lt;m:sub&gt;&lt;m:r&gt;&lt;w:rPr&gt;&lt;w:rFonts w:ascii=&quot;Cambria Math&quot; w:h-ansi=&quot;Cambria Math&quot;/&gt;&lt;wx:font wx:val=&quot;Cambria Math&quot;/&gt;&lt;w:i/&gt;&lt;/w:rPr&gt;&lt;m:t&gt;it&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Œµ&lt;/m:t&gt;&lt;/m:r&gt;&lt;/m:e&gt;&lt;m:sub&gt;&lt;m:r&gt;&lt;w:rPr&gt;&lt;w:rFonts w:ascii=&quot;Cambria Math&quot; w:h-ansi=&quot;Cambria Math&quot;/&gt;&lt;wx:font wx:val=&quot;Cambria Math&quot;/&gt;&lt;w:i/&gt;&lt;/w:rPr&gt;&lt;m:t&gt;it&lt;/m:t&gt;&lt;/m:r&gt;&lt;/m:sub&gt;&lt;/m:sSub&gt;&lt;/m:e&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334689">
        <w:rPr>
          <w:rFonts w:ascii="Garamond" w:eastAsia="Times New Roman" w:hAnsi="Garamond"/>
          <w:iCs/>
          <w:sz w:val="19"/>
          <w:szCs w:val="19"/>
          <w:vertAlign w:val="subscript"/>
        </w:rPr>
        <w:instrText xml:space="preserve"> </w:instrText>
      </w:r>
      <w:r w:rsidRPr="00055865">
        <w:rPr>
          <w:rFonts w:ascii="Garamond" w:eastAsia="Times New Roman" w:hAnsi="Garamond"/>
          <w:iCs/>
          <w:sz w:val="19"/>
          <w:szCs w:val="19"/>
          <w:vertAlign w:val="subscript"/>
        </w:rPr>
        <w:fldChar w:fldCharType="separate"/>
      </w:r>
      <w:r w:rsidR="00806386">
        <w:rPr>
          <w:rFonts w:ascii="Garamond" w:hAnsi="Garamond"/>
          <w:iCs/>
          <w:noProof/>
          <w:position w:val="-9"/>
          <w:sz w:val="19"/>
          <w:szCs w:val="19"/>
        </w:rPr>
        <w:pict w14:anchorId="7A90D8E0">
          <v:shape id="_x0000_i1025" type="#_x0000_t75" alt="" style="width:252pt;height:14.4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0MzU2sTQ3MDO2MLIwMDVS0lEKTi0uzszPAykwMqgFAH0r8eUtAAAA&quot;/&gt;&lt;/w:docVars&gt;&lt;wsp:rsids&gt;&lt;wsp:rsidRoot wsp:val=&quot;006036E7&quot;/&gt;&lt;wsp:rsid wsp:val=&quot;00006990&quot;/&gt;&lt;wsp:rsid wsp:val=&quot;00013C17&quot;/&gt;&lt;wsp:rsid wsp:val=&quot;00017851&quot;/&gt;&lt;wsp:rsid wsp:val=&quot;00023262&quot;/&gt;&lt;wsp:rsid wsp:val=&quot;00024C92&quot;/&gt;&lt;wsp:rsid wsp:val=&quot;00030754&quot;/&gt;&lt;wsp:rsid wsp:val=&quot;0003694C&quot;/&gt;&lt;wsp:rsid wsp:val=&quot;00037DBB&quot;/&gt;&lt;wsp:rsid wsp:val=&quot;000444D2&quot;/&gt;&lt;wsp:rsid wsp:val=&quot;00044C1F&quot;/&gt;&lt;wsp:rsid wsp:val=&quot;00063A9B&quot;/&gt;&lt;wsp:rsid wsp:val=&quot;000675BF&quot;/&gt;&lt;wsp:rsid wsp:val=&quot;00074897&quot;/&gt;&lt;wsp:rsid wsp:val=&quot;00075262&quot;/&gt;&lt;wsp:rsid wsp:val=&quot;0007589E&quot;/&gt;&lt;wsp:rsid wsp:val=&quot;00076741&quot;/&gt;&lt;wsp:rsid wsp:val=&quot;0008143B&quot;/&gt;&lt;wsp:rsid wsp:val=&quot;00081817&quot;/&gt;&lt;wsp:rsid wsp:val=&quot;00081A23&quot;/&gt;&lt;wsp:rsid wsp:val=&quot;00084561&quot;/&gt;&lt;wsp:rsid wsp:val=&quot;00085160&quot;/&gt;&lt;wsp:rsid wsp:val=&quot;00091380&quot;/&gt;&lt;wsp:rsid wsp:val=&quot;00095385&quot;/&gt;&lt;wsp:rsid wsp:val=&quot;000A07A0&quot;/&gt;&lt;wsp:rsid wsp:val=&quot;000A6CAB&quot;/&gt;&lt;wsp:rsid wsp:val=&quot;000A7612&quot;/&gt;&lt;wsp:rsid wsp:val=&quot;000B3D51&quot;/&gt;&lt;wsp:rsid wsp:val=&quot;000C3826&quot;/&gt;&lt;wsp:rsid wsp:val=&quot;000D1F37&quot;/&gt;&lt;wsp:rsid wsp:val=&quot;000D6337&quot;/&gt;&lt;wsp:rsid wsp:val=&quot;000E0107&quot;/&gt;&lt;wsp:rsid wsp:val=&quot;000E0DF4&quot;/&gt;&lt;wsp:rsid wsp:val=&quot;000E2B8A&quot;/&gt;&lt;wsp:rsid wsp:val=&quot;000E33FE&quot;/&gt;&lt;wsp:rsid wsp:val=&quot;000E701F&quot;/&gt;&lt;wsp:rsid wsp:val=&quot;000E7B98&quot;/&gt;&lt;wsp:rsid wsp:val=&quot;000F0A82&quot;/&gt;&lt;wsp:rsid wsp:val=&quot;0010708E&quot;/&gt;&lt;wsp:rsid wsp:val=&quot;00111DC4&quot;/&gt;&lt;wsp:rsid wsp:val=&quot;001121F1&quot;/&gt;&lt;wsp:rsid wsp:val=&quot;00114317&quot;/&gt;&lt;wsp:rsid wsp:val=&quot;0011545E&quot;/&gt;&lt;wsp:rsid wsp:val=&quot;001161CB&quot;/&gt;&lt;wsp:rsid wsp:val=&quot;0011798C&quot;/&gt;&lt;wsp:rsid wsp:val=&quot;0012578B&quot;/&gt;&lt;wsp:rsid wsp:val=&quot;0012795D&quot;/&gt;&lt;wsp:rsid wsp:val=&quot;00127DD3&quot;/&gt;&lt;wsp:rsid wsp:val=&quot;00130DC0&quot;/&gt;&lt;wsp:rsid wsp:val=&quot;00132EA0&quot;/&gt;&lt;wsp:rsid wsp:val=&quot;0013327A&quot;/&gt;&lt;wsp:rsid wsp:val=&quot;001372DD&quot;/&gt;&lt;wsp:rsid wsp:val=&quot;00145E9E&quot;/&gt;&lt;wsp:rsid wsp:val=&quot;00146606&quot;/&gt;&lt;wsp:rsid wsp:val=&quot;001471EC&quot;/&gt;&lt;wsp:rsid wsp:val=&quot;00147E9B&quot;/&gt;&lt;wsp:rsid wsp:val=&quot;001510EB&quot;/&gt;&lt;wsp:rsid wsp:val=&quot;00157FBB&quot;/&gt;&lt;wsp:rsid wsp:val=&quot;00171230&quot;/&gt;&lt;wsp:rsid wsp:val=&quot;00172991&quot;/&gt;&lt;wsp:rsid wsp:val=&quot;00175083&quot;/&gt;&lt;wsp:rsid wsp:val=&quot;001751CC&quot;/&gt;&lt;wsp:rsid wsp:val=&quot;001764C5&quot;/&gt;&lt;wsp:rsid wsp:val=&quot;00181FF7&quot;/&gt;&lt;wsp:rsid wsp:val=&quot;001841B9&quot;/&gt;&lt;wsp:rsid wsp:val=&quot;00186608&quot;/&gt;&lt;wsp:rsid wsp:val=&quot;00197319&quot;/&gt;&lt;wsp:rsid wsp:val=&quot;001A3CA6&quot;/&gt;&lt;wsp:rsid wsp:val=&quot;001D1F21&quot;/&gt;&lt;wsp:rsid wsp:val=&quot;001D7CDA&quot;/&gt;&lt;wsp:rsid wsp:val=&quot;001E0827&quot;/&gt;&lt;wsp:rsid wsp:val=&quot;001E63EC&quot;/&gt;&lt;wsp:rsid wsp:val=&quot;001F29AD&quot;/&gt;&lt;wsp:rsid wsp:val=&quot;00200C00&quot;/&gt;&lt;wsp:rsid wsp:val=&quot;00201C10&quot;/&gt;&lt;wsp:rsid wsp:val=&quot;0020459A&quot;/&gt;&lt;wsp:rsid wsp:val=&quot;00204961&quot;/&gt;&lt;wsp:rsid wsp:val=&quot;00204EC7&quot;/&gt;&lt;wsp:rsid wsp:val=&quot;00223956&quot;/&gt;&lt;wsp:rsid wsp:val=&quot;00236E5E&quot;/&gt;&lt;wsp:rsid wsp:val=&quot;00240574&quot;/&gt;&lt;wsp:rsid wsp:val=&quot;00244145&quot;/&gt;&lt;wsp:rsid wsp:val=&quot;00245147&quot;/&gt;&lt;wsp:rsid wsp:val=&quot;00247544&quot;/&gt;&lt;wsp:rsid wsp:val=&quot;00267DA0&quot;/&gt;&lt;wsp:rsid wsp:val=&quot;00280155&quot;/&gt;&lt;wsp:rsid wsp:val=&quot;00285FBA&quot;/&gt;&lt;wsp:rsid wsp:val=&quot;00286D7C&quot;/&gt;&lt;wsp:rsid wsp:val=&quot;00286FEC&quot;/&gt;&lt;wsp:rsid wsp:val=&quot;002A01F1&quot;/&gt;&lt;wsp:rsid wsp:val=&quot;002A1E01&quot;/&gt;&lt;wsp:rsid wsp:val=&quot;002B7C72&quot;/&gt;&lt;wsp:rsid wsp:val=&quot;002C28F5&quot;/&gt;&lt;wsp:rsid wsp:val=&quot;002C6F94&quot;/&gt;&lt;wsp:rsid wsp:val=&quot;002C702F&quot;/&gt;&lt;wsp:rsid wsp:val=&quot;002D2311&quot;/&gt;&lt;wsp:rsid wsp:val=&quot;002D2C35&quot;/&gt;&lt;wsp:rsid wsp:val=&quot;002D470F&quot;/&gt;&lt;wsp:rsid wsp:val=&quot;002E0DDE&quot;/&gt;&lt;wsp:rsid wsp:val=&quot;002E26FB&quot;/&gt;&lt;wsp:rsid wsp:val=&quot;003012D3&quot;/&gt;&lt;wsp:rsid wsp:val=&quot;00304AAB&quot;/&gt;&lt;wsp:rsid wsp:val=&quot;00312355&quot;/&gt;&lt;wsp:rsid wsp:val=&quot;00326C9B&quot;/&gt;&lt;wsp:rsid wsp:val=&quot;003375A1&quot;/&gt;&lt;wsp:rsid wsp:val=&quot;0034107D&quot;/&gt;&lt;wsp:rsid wsp:val=&quot;003432B8&quot;/&gt;&lt;wsp:rsid wsp:val=&quot;003455B5&quot;/&gt;&lt;wsp:rsid wsp:val=&quot;00355708&quot;/&gt;&lt;wsp:rsid wsp:val=&quot;00363419&quot;/&gt;&lt;wsp:rsid wsp:val=&quot;00363824&quot;/&gt;&lt;wsp:rsid wsp:val=&quot;003746A6&quot;/&gt;&lt;wsp:rsid wsp:val=&quot;00386296&quot;/&gt;&lt;wsp:rsid wsp:val=&quot;00390F79&quot;/&gt;&lt;wsp:rsid wsp:val=&quot;0039348B&quot;/&gt;&lt;wsp:rsid wsp:val=&quot;003B0842&quot;/&gt;&lt;wsp:rsid wsp:val=&quot;003B2D26&quot;/&gt;&lt;wsp:rsid wsp:val=&quot;003B3BE9&quot;/&gt;&lt;wsp:rsid wsp:val=&quot;003B6CFB&quot;/&gt;&lt;wsp:rsid wsp:val=&quot;003D2284&quot;/&gt;&lt;wsp:rsid wsp:val=&quot;003D3E6A&quot;/&gt;&lt;wsp:rsid wsp:val=&quot;003D7ECE&quot;/&gt;&lt;wsp:rsid wsp:val=&quot;003E2993&quot;/&gt;&lt;wsp:rsid wsp:val=&quot;003E4689&quot;/&gt;&lt;wsp:rsid wsp:val=&quot;003E74F0&quot;/&gt;&lt;wsp:rsid wsp:val=&quot;003F7E97&quot;/&gt;&lt;wsp:rsid wsp:val=&quot;0040109E&quot;/&gt;&lt;wsp:rsid wsp:val=&quot;004179F2&quot;/&gt;&lt;wsp:rsid wsp:val=&quot;00425317&quot;/&gt;&lt;wsp:rsid wsp:val=&quot;00431892&quot;/&gt;&lt;wsp:rsid wsp:val=&quot;00435FA0&quot;/&gt;&lt;wsp:rsid wsp:val=&quot;004432B8&quot;/&gt;&lt;wsp:rsid wsp:val=&quot;00444353&quot;/&gt;&lt;wsp:rsid wsp:val=&quot;0045476C&quot;/&gt;&lt;wsp:rsid wsp:val=&quot;00461247&quot;/&gt;&lt;wsp:rsid wsp:val=&quot;0047050D&quot;/&gt;&lt;wsp:rsid wsp:val=&quot;00480AAF&quot;/&gt;&lt;wsp:rsid wsp:val=&quot;00484DB2&quot;/&gt;&lt;wsp:rsid wsp:val=&quot;00491B7F&quot;/&gt;&lt;wsp:rsid wsp:val=&quot;004A5E00&quot;/&gt;&lt;wsp:rsid wsp:val=&quot;004B47B5&quot;/&gt;&lt;wsp:rsid wsp:val=&quot;004B62B0&quot;/&gt;&lt;wsp:rsid wsp:val=&quot;004D4808&quot;/&gt;&lt;wsp:rsid wsp:val=&quot;004E0EC3&quot;/&gt;&lt;wsp:rsid wsp:val=&quot;004E7D8D&quot;/&gt;&lt;wsp:rsid wsp:val=&quot;004F6EC4&quot;/&gt;&lt;wsp:rsid wsp:val=&quot;0050035A&quot;/&gt;&lt;wsp:rsid wsp:val=&quot;00502857&quot;/&gt;&lt;wsp:rsid wsp:val=&quot;00512E7E&quot;/&gt;&lt;wsp:rsid wsp:val=&quot;00514C22&quot;/&gt;&lt;wsp:rsid wsp:val=&quot;00515CEE&quot;/&gt;&lt;wsp:rsid wsp:val=&quot;00537569&quot;/&gt;&lt;wsp:rsid wsp:val=&quot;00542935&quot;/&gt;&lt;wsp:rsid wsp:val=&quot;00554C20&quot;/&gt;&lt;wsp:rsid wsp:val=&quot;0055706B&quot;/&gt;&lt;wsp:rsid wsp:val=&quot;00561598&quot;/&gt;&lt;wsp:rsid wsp:val=&quot;00564AB6&quot;/&gt;&lt;wsp:rsid wsp:val=&quot;00570837&quot;/&gt;&lt;wsp:rsid wsp:val=&quot;00577946&quot;/&gt;&lt;wsp:rsid wsp:val=&quot;0059264F&quot;/&gt;&lt;wsp:rsid wsp:val=&quot;005A1B24&quot;/&gt;&lt;wsp:rsid wsp:val=&quot;005A3AA7&quot;/&gt;&lt;wsp:rsid wsp:val=&quot;005A7EF3&quot;/&gt;&lt;wsp:rsid wsp:val=&quot;005B6C87&quot;/&gt;&lt;wsp:rsid wsp:val=&quot;005E4E83&quot;/&gt;&lt;wsp:rsid wsp:val=&quot;005F0782&quot;/&gt;&lt;wsp:rsid wsp:val=&quot;005F1A98&quot;/&gt;&lt;wsp:rsid wsp:val=&quot;005F5B68&quot;/&gt;&lt;wsp:rsid wsp:val=&quot;005F663B&quot;/&gt;&lt;wsp:rsid wsp:val=&quot;006036E7&quot;/&gt;&lt;wsp:rsid wsp:val=&quot;0060577A&quot;/&gt;&lt;wsp:rsid wsp:val=&quot;006177C3&quot;/&gt;&lt;wsp:rsid wsp:val=&quot;00620C3C&quot;/&gt;&lt;wsp:rsid wsp:val=&quot;0062134F&quot;/&gt;&lt;wsp:rsid wsp:val=&quot;00622289&quot;/&gt;&lt;wsp:rsid wsp:val=&quot;00633085&quot;/&gt;&lt;wsp:rsid wsp:val=&quot;0063416B&quot;/&gt;&lt;wsp:rsid wsp:val=&quot;00646027&quot;/&gt;&lt;wsp:rsid wsp:val=&quot;006503BD&quot;/&gt;&lt;wsp:rsid wsp:val=&quot;006539D1&quot;/&gt;&lt;wsp:rsid wsp:val=&quot;006604A7&quot;/&gt;&lt;wsp:rsid wsp:val=&quot;00663CEB&quot;/&gt;&lt;wsp:rsid wsp:val=&quot;00664AF4&quot;/&gt;&lt;wsp:rsid wsp:val=&quot;00664C06&quot;/&gt;&lt;wsp:rsid wsp:val=&quot;00671243&quot;/&gt;&lt;wsp:rsid wsp:val=&quot;00671D23&quot;/&gt;&lt;wsp:rsid wsp:val=&quot;00671F6E&quot;/&gt;&lt;wsp:rsid wsp:val=&quot;00674C56&quot;/&gt;&lt;wsp:rsid wsp:val=&quot;006801DC&quot;/&gt;&lt;wsp:rsid wsp:val=&quot;00680DC2&quot;/&gt;&lt;wsp:rsid wsp:val=&quot;00681D69&quot;/&gt;&lt;wsp:rsid wsp:val=&quot;00682770&quot;/&gt;&lt;wsp:rsid wsp:val=&quot;0068299C&quot;/&gt;&lt;wsp:rsid wsp:val=&quot;006859F6&quot;/&gt;&lt;wsp:rsid wsp:val=&quot;00694372&quot;/&gt;&lt;wsp:rsid wsp:val=&quot;006A637C&quot;/&gt;&lt;wsp:rsid wsp:val=&quot;006C0963&quot;/&gt;&lt;wsp:rsid wsp:val=&quot;006C2EDA&quot;/&gt;&lt;wsp:rsid wsp:val=&quot;006D1230&quot;/&gt;&lt;wsp:rsid wsp:val=&quot;006D4E2D&quot;/&gt;&lt;wsp:rsid wsp:val=&quot;006D6BF4&quot;/&gt;&lt;wsp:rsid wsp:val=&quot;007063E5&quot;/&gt;&lt;wsp:rsid wsp:val=&quot;00707CF1&quot;/&gt;&lt;wsp:rsid wsp:val=&quot;00713916&quot;/&gt;&lt;wsp:rsid wsp:val=&quot;00713EA8&quot;/&gt;&lt;wsp:rsid wsp:val=&quot;00717F21&quot;/&gt;&lt;wsp:rsid wsp:val=&quot;00721241&quot;/&gt;&lt;wsp:rsid wsp:val=&quot;007315FC&quot;/&gt;&lt;wsp:rsid wsp:val=&quot;00732AFA&quot;/&gt;&lt;wsp:rsid wsp:val=&quot;00732B17&quot;/&gt;&lt;wsp:rsid wsp:val=&quot;00746C7C&quot;/&gt;&lt;wsp:rsid wsp:val=&quot;00747FBB&quot;/&gt;&lt;wsp:rsid wsp:val=&quot;00750A57&quot;/&gt;&lt;wsp:rsid wsp:val=&quot;00770755&quot;/&gt;&lt;wsp:rsid wsp:val=&quot;007775DE&quot;/&gt;&lt;wsp:rsid wsp:val=&quot;00784E40&quot;/&gt;&lt;wsp:rsid wsp:val=&quot;00786A2D&quot;/&gt;&lt;wsp:rsid wsp:val=&quot;007A2EBF&quot;/&gt;&lt;wsp:rsid wsp:val=&quot;007A3A8E&quot;/&gt;&lt;wsp:rsid wsp:val=&quot;007A62C7&quot;/&gt;&lt;wsp:rsid wsp:val=&quot;007B1A74&quot;/&gt;&lt;wsp:rsid wsp:val=&quot;007B1BB0&quot;/&gt;&lt;wsp:rsid wsp:val=&quot;007B4D6B&quot;/&gt;&lt;wsp:rsid wsp:val=&quot;007B501B&quot;/&gt;&lt;wsp:rsid wsp:val=&quot;007B7372&quot;/&gt;&lt;wsp:rsid wsp:val=&quot;007C34CB&quot;/&gt;&lt;wsp:rsid wsp:val=&quot;007C4187&quot;/&gt;&lt;wsp:rsid wsp:val=&quot;007E748D&quot;/&gt;&lt;wsp:rsid wsp:val=&quot;007F0C3D&quot;/&gt;&lt;wsp:rsid wsp:val=&quot;007F7B1F&quot;/&gt;&lt;wsp:rsid wsp:val=&quot;008010E2&quot;/&gt;&lt;wsp:rsid wsp:val=&quot;0080339E&quot;/&gt;&lt;wsp:rsid wsp:val=&quot;00804F81&quot;/&gt;&lt;wsp:rsid wsp:val=&quot;00805B61&quot;/&gt;&lt;wsp:rsid wsp:val=&quot;00813AA8&quot;/&gt;&lt;wsp:rsid wsp:val=&quot;008140F0&quot;/&gt;&lt;wsp:rsid wsp:val=&quot;00823928&quot;/&gt;&lt;wsp:rsid wsp:val=&quot;0083293C&quot;/&gt;&lt;wsp:rsid wsp:val=&quot;0083510A&quot;/&gt;&lt;wsp:rsid wsp:val=&quot;0083540C&quot;/&gt;&lt;wsp:rsid wsp:val=&quot;00835DA0&quot;/&gt;&lt;wsp:rsid wsp:val=&quot;00837E76&quot;/&gt;&lt;wsp:rsid wsp:val=&quot;00842811&quot;/&gt;&lt;wsp:rsid wsp:val=&quot;00852765&quot;/&gt;&lt;wsp:rsid wsp:val=&quot;00862F41&quot;/&gt;&lt;wsp:rsid wsp:val=&quot;00873ECA&quot;/&gt;&lt;wsp:rsid wsp:val=&quot;0087631A&quot;/&gt;&lt;wsp:rsid wsp:val=&quot;008861D3&quot;/&gt;&lt;wsp:rsid wsp:val=&quot;00892D09&quot;/&gt;&lt;wsp:rsid wsp:val=&quot;008953EC&quot;/&gt;&lt;wsp:rsid wsp:val=&quot;008C02A2&quot;/&gt;&lt;wsp:rsid wsp:val=&quot;008C1771&quot;/&gt;&lt;wsp:rsid wsp:val=&quot;008D2395&quot;/&gt;&lt;wsp:rsid wsp:val=&quot;008E5BF6&quot;/&gt;&lt;wsp:rsid wsp:val=&quot;008E6498&quot;/&gt;&lt;wsp:rsid wsp:val=&quot;008F6567&quot;/&gt;&lt;wsp:rsid wsp:val=&quot;009025B7&quot;/&gt;&lt;wsp:rsid wsp:val=&quot;00904E55&quot;/&gt;&lt;wsp:rsid wsp:val=&quot;00911FF7&quot;/&gt;&lt;wsp:rsid wsp:val=&quot;00913E73&quot;/&gt;&lt;wsp:rsid wsp:val=&quot;009178A6&quot;/&gt;&lt;wsp:rsid wsp:val=&quot;00920156&quot;/&gt;&lt;wsp:rsid wsp:val=&quot;00923E75&quot;/&gt;&lt;wsp:rsid wsp:val=&quot;00931888&quot;/&gt;&lt;wsp:rsid wsp:val=&quot;00933E38&quot;/&gt;&lt;wsp:rsid wsp:val=&quot;00943D6A&quot;/&gt;&lt;wsp:rsid wsp:val=&quot;00944979&quot;/&gt;&lt;wsp:rsid wsp:val=&quot;009460E1&quot;/&gt;&lt;wsp:rsid wsp:val=&quot;00952187&quot;/&gt;&lt;wsp:rsid wsp:val=&quot;00964421&quot;/&gt;&lt;wsp:rsid wsp:val=&quot;00972D85&quot;/&gt;&lt;wsp:rsid wsp:val=&quot;0098178D&quot;/&gt;&lt;wsp:rsid wsp:val=&quot;00984586&quot;/&gt;&lt;wsp:rsid wsp:val=&quot;00987810&quot;/&gt;&lt;wsp:rsid wsp:val=&quot;009A197D&quot;/&gt;&lt;wsp:rsid wsp:val=&quot;009B3300&quot;/&gt;&lt;wsp:rsid wsp:val=&quot;009B3527&quot;/&gt;&lt;wsp:rsid wsp:val=&quot;009C5F30&quot;/&gt;&lt;wsp:rsid wsp:val=&quot;009D1492&quot;/&gt;&lt;wsp:rsid wsp:val=&quot;00A06322&quot;/&gt;&lt;wsp:rsid wsp:val=&quot;00A24B9F&quot;/&gt;&lt;wsp:rsid wsp:val=&quot;00A27E08&quot;/&gt;&lt;wsp:rsid wsp:val=&quot;00A3543E&quot;/&gt;&lt;wsp:rsid wsp:val=&quot;00A35674&quot;/&gt;&lt;wsp:rsid wsp:val=&quot;00A362CE&quot;/&gt;&lt;wsp:rsid wsp:val=&quot;00A372A7&quot;/&gt;&lt;wsp:rsid wsp:val=&quot;00A411D9&quot;/&gt;&lt;wsp:rsid wsp:val=&quot;00A4402C&quot;/&gt;&lt;wsp:rsid wsp:val=&quot;00A516DC&quot;/&gt;&lt;wsp:rsid wsp:val=&quot;00A52913&quot;/&gt;&lt;wsp:rsid wsp:val=&quot;00A53C05&quot;/&gt;&lt;wsp:rsid wsp:val=&quot;00A60134&quot;/&gt;&lt;wsp:rsid wsp:val=&quot;00A71D23&quot;/&gt;&lt;wsp:rsid wsp:val=&quot;00A742CE&quot;/&gt;&lt;wsp:rsid wsp:val=&quot;00A90E4B&quot;/&gt;&lt;wsp:rsid wsp:val=&quot;00A91737&quot;/&gt;&lt;wsp:rsid wsp:val=&quot;00AB6E48&quot;/&gt;&lt;wsp:rsid wsp:val=&quot;00AB7620&quot;/&gt;&lt;wsp:rsid wsp:val=&quot;00AB7E5B&quot;/&gt;&lt;wsp:rsid wsp:val=&quot;00AC702D&quot;/&gt;&lt;wsp:rsid wsp:val=&quot;00AD292A&quot;/&gt;&lt;wsp:rsid wsp:val=&quot;00AD392E&quot;/&gt;&lt;wsp:rsid wsp:val=&quot;00AD56DD&quot;/&gt;&lt;wsp:rsid wsp:val=&quot;00AD5CC3&quot;/&gt;&lt;wsp:rsid wsp:val=&quot;00AE0067&quot;/&gt;&lt;wsp:rsid wsp:val=&quot;00AE1B1F&quot;/&gt;&lt;wsp:rsid wsp:val=&quot;00AF0B96&quot;/&gt;&lt;wsp:rsid wsp:val=&quot;00AF586C&quot;/&gt;&lt;wsp:rsid wsp:val=&quot;00B01494&quot;/&gt;&lt;wsp:rsid wsp:val=&quot;00B01848&quot;/&gt;&lt;wsp:rsid wsp:val=&quot;00B14124&quot;/&gt;&lt;wsp:rsid wsp:val=&quot;00B15580&quot;/&gt;&lt;wsp:rsid wsp:val=&quot;00B24D45&quot;/&gt;&lt;wsp:rsid wsp:val=&quot;00B2767F&quot;/&gt;&lt;wsp:rsid wsp:val=&quot;00B27A51&quot;/&gt;&lt;wsp:rsid wsp:val=&quot;00B37776&quot;/&gt;&lt;wsp:rsid wsp:val=&quot;00B43603&quot;/&gt;&lt;wsp:rsid wsp:val=&quot;00B47EEA&quot;/&gt;&lt;wsp:rsid wsp:val=&quot;00B550C1&quot;/&gt;&lt;wsp:rsid wsp:val=&quot;00B55DEE&quot;/&gt;&lt;wsp:rsid wsp:val=&quot;00B568BA&quot;/&gt;&lt;wsp:rsid wsp:val=&quot;00B64692&quot;/&gt;&lt;wsp:rsid wsp:val=&quot;00B8373C&quot;/&gt;&lt;wsp:rsid wsp:val=&quot;00B83926&quot;/&gt;&lt;wsp:rsid wsp:val=&quot;00B83D4F&quot;/&gt;&lt;wsp:rsid wsp:val=&quot;00B873F5&quot;/&gt;&lt;wsp:rsid wsp:val=&quot;00B969D6&quot;/&gt;&lt;wsp:rsid wsp:val=&quot;00BA5D34&quot;/&gt;&lt;wsp:rsid wsp:val=&quot;00BA66D3&quot;/&gt;&lt;wsp:rsid wsp:val=&quot;00BB12D1&quot;/&gt;&lt;wsp:rsid wsp:val=&quot;00BB6548&quot;/&gt;&lt;wsp:rsid wsp:val=&quot;00BC1988&quot;/&gt;&lt;wsp:rsid wsp:val=&quot;00BC305C&quot;/&gt;&lt;wsp:rsid wsp:val=&quot;00BD39A6&quot;/&gt;&lt;wsp:rsid wsp:val=&quot;00BD5625&quot;/&gt;&lt;wsp:rsid wsp:val=&quot;00BE6D92&quot;/&gt;&lt;wsp:rsid wsp:val=&quot;00BE710A&quot;/&gt;&lt;wsp:rsid wsp:val=&quot;00BE785A&quot;/&gt;&lt;wsp:rsid wsp:val=&quot;00BE7B58&quot;/&gt;&lt;wsp:rsid wsp:val=&quot;00BF0A94&quot;/&gt;&lt;wsp:rsid wsp:val=&quot;00BF0C5F&quot;/&gt;&lt;wsp:rsid wsp:val=&quot;00C00CED&quot;/&gt;&lt;wsp:rsid wsp:val=&quot;00C01D64&quot;/&gt;&lt;wsp:rsid wsp:val=&quot;00C01D8F&quot;/&gt;&lt;wsp:rsid wsp:val=&quot;00C05A48&quot;/&gt;&lt;wsp:rsid wsp:val=&quot;00C16404&quot;/&gt;&lt;wsp:rsid wsp:val=&quot;00C3173D&quot;/&gt;&lt;wsp:rsid wsp:val=&quot;00C32066&quot;/&gt;&lt;wsp:rsid wsp:val=&quot;00C3311A&quot;/&gt;&lt;wsp:rsid wsp:val=&quot;00C441D2&quot;/&gt;&lt;wsp:rsid wsp:val=&quot;00C46F61&quot;/&gt;&lt;wsp:rsid wsp:val=&quot;00C63222&quot;/&gt;&lt;wsp:rsid wsp:val=&quot;00C715F2&quot;/&gt;&lt;wsp:rsid wsp:val=&quot;00C72916&quot;/&gt;&lt;wsp:rsid wsp:val=&quot;00C739B6&quot;/&gt;&lt;wsp:rsid wsp:val=&quot;00C84536&quot;/&gt;&lt;wsp:rsid wsp:val=&quot;00C8484C&quot;/&gt;&lt;wsp:rsid wsp:val=&quot;00C8569A&quot;/&gt;&lt;wsp:rsid wsp:val=&quot;00C876C3&quot;/&gt;&lt;wsp:rsid wsp:val=&quot;00C90293&quot;/&gt;&lt;wsp:rsid wsp:val=&quot;00CA106B&quot;/&gt;&lt;wsp:rsid wsp:val=&quot;00CB01E2&quot;/&gt;&lt;wsp:rsid wsp:val=&quot;00CB35DE&quot;/&gt;&lt;wsp:rsid wsp:val=&quot;00CD09BF&quot;/&gt;&lt;wsp:rsid wsp:val=&quot;00CD5F69&quot;/&gt;&lt;wsp:rsid wsp:val=&quot;00CE41B1&quot;/&gt;&lt;wsp:rsid wsp:val=&quot;00CF63FF&quot;/&gt;&lt;wsp:rsid wsp:val=&quot;00D1416A&quot;/&gt;&lt;wsp:rsid wsp:val=&quot;00D3248A&quot;/&gt;&lt;wsp:rsid wsp:val=&quot;00D32F74&quot;/&gt;&lt;wsp:rsid wsp:val=&quot;00D33267&quot;/&gt;&lt;wsp:rsid wsp:val=&quot;00D408A3&quot;/&gt;&lt;wsp:rsid wsp:val=&quot;00D41BCE&quot;/&gt;&lt;wsp:rsid wsp:val=&quot;00D557DD&quot;/&gt;&lt;wsp:rsid wsp:val=&quot;00D63CC5&quot;/&gt;&lt;wsp:rsid wsp:val=&quot;00D641CB&quot;/&gt;&lt;wsp:rsid wsp:val=&quot;00D67554&quot;/&gt;&lt;wsp:rsid wsp:val=&quot;00D72102&quot;/&gt;&lt;wsp:rsid wsp:val=&quot;00D730CF&quot;/&gt;&lt;wsp:rsid wsp:val=&quot;00D74D08&quot;/&gt;&lt;wsp:rsid wsp:val=&quot;00D76ABE&quot;/&gt;&lt;wsp:rsid wsp:val=&quot;00D86B47&quot;/&gt;&lt;wsp:rsid wsp:val=&quot;00D90BC5&quot;/&gt;&lt;wsp:rsid wsp:val=&quot;00D91C61&quot;/&gt;&lt;wsp:rsid wsp:val=&quot;00D95787&quot;/&gt;&lt;wsp:rsid wsp:val=&quot;00D97692&quot;/&gt;&lt;wsp:rsid wsp:val=&quot;00D97E85&quot;/&gt;&lt;wsp:rsid wsp:val=&quot;00DC0CB0&quot;/&gt;&lt;wsp:rsid wsp:val=&quot;00DC3A3B&quot;/&gt;&lt;wsp:rsid wsp:val=&quot;00DC6380&quot;/&gt;&lt;wsp:rsid wsp:val=&quot;00DC6F9A&quot;/&gt;&lt;wsp:rsid wsp:val=&quot;00DD5E28&quot;/&gt;&lt;wsp:rsid wsp:val=&quot;00DD72FD&quot;/&gt;&lt;wsp:rsid wsp:val=&quot;00DE458B&quot;/&gt;&lt;wsp:rsid wsp:val=&quot;00DF0357&quot;/&gt;&lt;wsp:rsid wsp:val=&quot;00DF0F57&quot;/&gt;&lt;wsp:rsid wsp:val=&quot;00E1211A&quot;/&gt;&lt;wsp:rsid wsp:val=&quot;00E1211C&quot;/&gt;&lt;wsp:rsid wsp:val=&quot;00E15620&quot;/&gt;&lt;wsp:rsid wsp:val=&quot;00E2111D&quot;/&gt;&lt;wsp:rsid wsp:val=&quot;00E276CB&quot;/&gt;&lt;wsp:rsid wsp:val=&quot;00E42710&quot;/&gt;&lt;wsp:rsid wsp:val=&quot;00E462B6&quot;/&gt;&lt;wsp:rsid wsp:val=&quot;00E517D7&quot;/&gt;&lt;wsp:rsid wsp:val=&quot;00E51A93&quot;/&gt;&lt;wsp:rsid wsp:val=&quot;00E5474A&quot;/&gt;&lt;wsp:rsid wsp:val=&quot;00E65880&quot;/&gt;&lt;wsp:rsid wsp:val=&quot;00E671C9&quot;/&gt;&lt;wsp:rsid wsp:val=&quot;00E678CD&quot;/&gt;&lt;wsp:rsid wsp:val=&quot;00E8139B&quot;/&gt;&lt;wsp:rsid wsp:val=&quot;00E83268&quot;/&gt;&lt;wsp:rsid wsp:val=&quot;00E84BA2&quot;/&gt;&lt;wsp:rsid wsp:val=&quot;00E90A19&quot;/&gt;&lt;wsp:rsid wsp:val=&quot;00E95589&quot;/&gt;&lt;wsp:rsid wsp:val=&quot;00ED045E&quot;/&gt;&lt;wsp:rsid wsp:val=&quot;00EF18E7&quot;/&gt;&lt;wsp:rsid wsp:val=&quot;00F03E48&quot;/&gt;&lt;wsp:rsid wsp:val=&quot;00F05FC3&quot;/&gt;&lt;wsp:rsid wsp:val=&quot;00F065BE&quot;/&gt;&lt;wsp:rsid wsp:val=&quot;00F116D7&quot;/&gt;&lt;wsp:rsid wsp:val=&quot;00F27E0A&quot;/&gt;&lt;wsp:rsid wsp:val=&quot;00F3244C&quot;/&gt;&lt;wsp:rsid wsp:val=&quot;00F36E92&quot;/&gt;&lt;wsp:rsid wsp:val=&quot;00F54C30&quot;/&gt;&lt;wsp:rsid wsp:val=&quot;00F54DFE&quot;/&gt;&lt;wsp:rsid wsp:val=&quot;00F56E95&quot;/&gt;&lt;wsp:rsid wsp:val=&quot;00F60789&quot;/&gt;&lt;wsp:rsid wsp:val=&quot;00F62396&quot;/&gt;&lt;wsp:rsid wsp:val=&quot;00F63463&quot;/&gt;&lt;wsp:rsid wsp:val=&quot;00F87DDA&quot;/&gt;&lt;wsp:rsid wsp:val=&quot;00F9112C&quot;/&gt;&lt;wsp:rsid wsp:val=&quot;00F94541&quot;/&gt;&lt;wsp:rsid wsp:val=&quot;00FA47A3&quot;/&gt;&lt;wsp:rsid wsp:val=&quot;00FB6694&quot;/&gt;&lt;wsp:rsid wsp:val=&quot;00FC2A71&quot;/&gt;&lt;wsp:rsid wsp:val=&quot;00FC430F&quot;/&gt;&lt;wsp:rsid wsp:val=&quot;00FC6823&quot;/&gt;&lt;wsp:rsid wsp:val=&quot;00FD06AF&quot;/&gt;&lt;wsp:rsid wsp:val=&quot;00FE377B&quot;/&gt;&lt;wsp:rsid wsp:val=&quot;00FE5F09&quot;/&gt;&lt;wsp:rsid wsp:val=&quot;00FE682B&quot;/&gt;&lt;wsp:rsid wsp:val=&quot;00FF171F&quot;/&gt;&lt;wsp:rsid wsp:val=&quot;00FF4DC5&quot;/&gt;&lt;wsp:rsid wsp:val=&quot;00FF7744&quot;/&gt;&lt;/wsp:rsids&gt;&lt;/w:docPr&gt;&lt;w:body&gt;&lt;wx:sect&gt;&lt;w:p wsp:rsidR=&quot;00000000&quot; wsp:rsidRDefault=&quot;00074897&quot; wsp:rsidP=&quot;00074897&quot;&gt;&lt;m:oMathPara&gt;&lt;m:oMath&gt;&lt;m:sSub&gt;&lt;m:sSubPr&gt;&lt;m:ctrlPr&gt;&lt;w:rPr&gt;&lt;w:rFonts w:ascii=&quot;Cambria Math&quot; w:h-ansi=&quot;Cambria Math&quot;/&gt;&lt;wx:font wx:val=&quot;Cambria Math&quot;/&gt;&lt;/w:rPr&gt;&lt;/m:ctrlPr&gt;&lt;/m:sSubPr&gt;&lt;m:e&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FP&lt;/m:t&gt;&lt;/m:r&gt;&lt;/m:e&gt;&lt;m:sub&gt;&lt;m:r&gt;&lt;w:rPr&gt;&lt;w:rFonts w:ascii=&quot;Cambria Math&quot; w:h-ansi=&quot;Cambria Math&quot;/&gt;&lt;wx:font wx:val=&quot;Cambria Math&quot;/&gt;&lt;w:i/&gt;&lt;/w:rPr&gt;&lt;m:t&gt;it&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Œ=&lt;/m:t&gt;&lt;/m:r&gt;&lt;/m:e&gt;&lt;m:sub&gt;&lt;m:r&gt;&lt;m:rPr&gt;&lt;m:sty m:val=&quot;p&quot;/&gt;&lt;/m:rPr&gt;&lt;w:rPr&gt;&lt;w:rFonts w:ascii=&quot;Cambria Math&quot; w:h-ansi=&quot;Cambria Math&quot;/&gt;&lt;wx:font wx:val=&quot;Cambria Math&quot;/&gt;&lt;/w:rPr&gt;&lt;m:t&gt;0&lt;/m:t&gt;&lt;/m:r&gt;&lt;/m:sub&gt;&lt;/m:sSub&gt;&lt;m:r&gt;&lt;m:rPr&gt;&lt;m:sty m:val=&quot;p&quot;/&gt;&lt;/m:rPr&gt;&lt;w:rPr&gt;&lt;w:rFonts w:ascii=&quot;Cambria Math&quot; w:h-ansi=&quot;Cambria Math&quot;/&gt;&lt;wx:font wx:val=&quot;Cambria Math&quot;/&gt;&lt;/w:rPr&gt;&lt;m:t&gt;+ &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Œ=&lt;/m:t&gt;&lt;/m:r&gt;&lt;/m:e&gt;&lt;m:sub&gt;&lt;m:r&gt;&lt;m:rPr&gt;&lt;m:sty m:val=&quot;p&quot;/&gt;&lt;/m:rPr&gt;&lt;w:rPr&gt;&lt;w:rFonts w:ascii=&quot;Cambria Math&quot; w:h-ansi=&quot;Cambria Math&quot;/&gt;&lt;wx:font wx:val=&quot;Cambria Math&quot;/&gt;&lt;/w:rPr&gt;&lt;m:t&gt;1&lt;/m:t&gt;&lt;/m:r&gt;&lt;/m:sub&gt;&lt;/m:sSub&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SEP&lt;/m:t&gt;&lt;/m:r&gt;&lt;/m:e&gt;&lt;m:sub&gt;&lt;m:r&gt;&lt;w:rPr&gt;&lt;w:rFonts w:ascii=&quot;Cambria Math&quot; w:h-ansi=&quot;Cambria Math&quot;/&gt;&lt;wx:font wx:val=&quot;Cambria Math&quot;/&gt;&lt;w:i/&gt;&lt;/w:rPr&gt;&lt;m:t&gt;it&lt;/m:t&gt;&lt;/m:r&gt;&lt;/m:sub&gt;&lt;/m:sSub&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 &lt;/m:t&gt;&lt;/m:r&gt;&lt;m:r&gt;&lt;w:rPr&gt;&lt;w:rFonts w:ascii=&quot;Cambria Math&quot; w:h-ansi=&quot;Cambria Math&quot;/&gt;&lt;wx:font wx:val=&quot;Cambria Math&quot;/&gt;&lt;w:i/&gt;&lt;/w:rPr&gt;&lt;m:t&gt;Œ=&lt;/m:t&gt;&lt;/m:r&gt;&lt;/m:e&gt;&lt;m:sub&gt;&lt;m:r&gt;&lt;m:rPr&gt;&lt;m:sty m:val=&quot;p&quot;/&gt;&lt;/m:rPr&gt;&lt;w:rPr&gt;&lt;w:rFonts w:ascii=&quot;Cambria Math&quot; w:h-ansi=&quot;Cambria Math&quot;/&gt;&lt;wx:font wx:val=&quot;Cambria Math&quot;/&gt;&lt;/w:rPr&gt;&lt;m:t&gt;2&lt;/m:t&gt;&lt;/m:r&gt;&lt;/m:sub&gt;&lt;/m:sSub&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Controls&lt;/m:t&gt;&lt;/m:r&gt;&lt;/m:e&gt;&lt;m:sub&gt;&lt;m:r&gt;&lt;w:rPr&gt;&lt;w:rFonts w:ascii=&quot;Cambria Math&quot; w:h-ansi=&quot;Cambria Math&quot;/&gt;&lt;wx:font wx:val=&quot;Cambria Math&quot;/&gt;&lt;w:i/&gt;&lt;/w:rPr&gt;&lt;m:t&gt;it&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Œº&lt;/m:t&gt;&lt;/m:r&gt;&lt;/m:e&gt;&lt;m:sub&gt;&lt;m:r&gt;&lt;w:rPr&gt;&lt;w:rFonts w:ascii=&quot;Cambria Math&quot; w:h-ansi=&quot;Cambria Math&quot;/&gt;&lt;wx:font wx:val=&quot;Cambria Math&quot;/&gt;&lt;w:i/&gt;&lt;/w:rPr&gt;&lt;m:t&gt;it&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Œª&lt;/m:t&gt;&lt;/m:r&gt;&lt;/m:e&gt;&lt;m:sub&gt;&lt;m:r&gt;&lt;w:rPr&gt;&lt;w:rFonts w:ascii=&quot;Cambria Math&quot; w:h-ansi=&quot;Cambria Math&quot;/&gt;&lt;wx:font wx:val=&quot;Cambria Math&quot;/&gt;&lt;w:i/&gt;&lt;/w:rPr&gt;&lt;m:t&gt;it&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Œµ&lt;/m:t&gt;&lt;/m:r&gt;&lt;/m:e&gt;&lt;m:sub&gt;&lt;m:r&gt;&lt;w:rPr&gt;&lt;w:rFonts w:ascii=&quot;Cambria Math&quot; w:h-ansi=&quot;Cambria Math&quot;/&gt;&lt;wx:font wx:val=&quot;Cambria Math&quot;/&gt;&lt;w:i/&gt;&lt;/w:rPr&gt;&lt;m:t&gt;it&lt;/m:t&gt;&lt;/m:r&gt;&lt;/m:sub&gt;&lt;/m:sSub&gt;&lt;/m:e&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055865">
        <w:rPr>
          <w:rFonts w:ascii="Garamond" w:eastAsia="Times New Roman" w:hAnsi="Garamond"/>
          <w:iCs/>
          <w:sz w:val="19"/>
          <w:szCs w:val="19"/>
          <w:vertAlign w:val="subscript"/>
        </w:rPr>
        <w:fldChar w:fldCharType="end"/>
      </w:r>
      <w:r w:rsidRPr="00055865">
        <w:rPr>
          <w:rFonts w:ascii="Garamond" w:eastAsia="Times New Roman" w:hAnsi="Garamond"/>
          <w:iCs/>
          <w:sz w:val="19"/>
          <w:szCs w:val="19"/>
          <w:vertAlign w:val="subscript"/>
        </w:rPr>
        <w:t xml:space="preserve">Where </w:t>
      </w:r>
      <w:proofErr w:type="spellStart"/>
      <w:r w:rsidRPr="00055865">
        <w:rPr>
          <w:rFonts w:ascii="Garamond" w:eastAsia="Times New Roman" w:hAnsi="Garamond"/>
          <w:iCs/>
          <w:sz w:val="19"/>
          <w:szCs w:val="19"/>
          <w:vertAlign w:val="subscript"/>
        </w:rPr>
        <w:t>FPit</w:t>
      </w:r>
      <w:proofErr w:type="spellEnd"/>
      <w:r w:rsidRPr="00055865">
        <w:rPr>
          <w:rFonts w:ascii="Garamond" w:eastAsia="Times New Roman" w:hAnsi="Garamond"/>
          <w:iCs/>
          <w:sz w:val="19"/>
          <w:szCs w:val="19"/>
          <w:vertAlign w:val="subscript"/>
        </w:rPr>
        <w:t xml:space="preserve"> is the dependent variable which is measured using Tobin’s’ </w:t>
      </w:r>
      <w:r w:rsidRPr="00055865">
        <w:rPr>
          <w:rFonts w:ascii="Garamond" w:hAnsi="Garamond"/>
          <w:iCs/>
          <w:sz w:val="19"/>
          <w:szCs w:val="19"/>
          <w:vertAlign w:val="subscript"/>
        </w:rPr>
        <w:t xml:space="preserve">q. The independent variables are Energy, GHG, Waste, Compliance, Materials and Resource Efficiency and Stakeholder. Control variables indicated by Controls are firm size (Size), Liquidity, Gearing, Board Size, Number on non-executive directors (NEDs), CEO Remuneration (CEO Rem), Industry Effect and Year Effect. </w:t>
      </w:r>
      <w:r w:rsidRPr="00055865">
        <w:rPr>
          <w:rFonts w:ascii="Garamond" w:hAnsi="Garamond"/>
          <w:iCs/>
          <w:sz w:val="19"/>
          <w:szCs w:val="19"/>
        </w:rPr>
        <w:t>β</w:t>
      </w:r>
      <w:r w:rsidRPr="00055865">
        <w:rPr>
          <w:rFonts w:ascii="Garamond" w:hAnsi="Garamond"/>
          <w:iCs/>
          <w:sz w:val="19"/>
          <w:szCs w:val="19"/>
          <w:vertAlign w:val="subscript"/>
        </w:rPr>
        <w:t>1 and</w:t>
      </w:r>
      <w:r w:rsidRPr="00055865">
        <w:rPr>
          <w:rFonts w:ascii="Garamond" w:hAnsi="Garamond"/>
          <w:iCs/>
          <w:sz w:val="19"/>
          <w:szCs w:val="19"/>
        </w:rPr>
        <w:t xml:space="preserve"> β</w:t>
      </w:r>
      <w:r w:rsidRPr="00055865">
        <w:rPr>
          <w:rFonts w:ascii="Garamond" w:hAnsi="Garamond"/>
          <w:iCs/>
          <w:sz w:val="19"/>
          <w:szCs w:val="19"/>
          <w:vertAlign w:val="subscript"/>
        </w:rPr>
        <w:t xml:space="preserve">2 are the regression coefficients. The subscript </w:t>
      </w:r>
      <w:r w:rsidRPr="00055865">
        <w:rPr>
          <w:rFonts w:ascii="Garamond" w:hAnsi="Garamond"/>
          <w:iCs/>
          <w:noProof/>
          <w:sz w:val="19"/>
          <w:szCs w:val="19"/>
          <w:vertAlign w:val="subscript"/>
        </w:rPr>
        <w:t>i</w:t>
      </w:r>
      <w:r w:rsidRPr="00055865">
        <w:rPr>
          <w:rFonts w:ascii="Garamond" w:hAnsi="Garamond"/>
          <w:iCs/>
          <w:sz w:val="19"/>
          <w:szCs w:val="19"/>
          <w:vertAlign w:val="subscript"/>
        </w:rPr>
        <w:t xml:space="preserve"> denotes the nth company (</w:t>
      </w:r>
      <w:proofErr w:type="spellStart"/>
      <w:r w:rsidRPr="00055865">
        <w:rPr>
          <w:rFonts w:ascii="Garamond" w:hAnsi="Garamond"/>
          <w:iCs/>
          <w:sz w:val="19"/>
          <w:szCs w:val="19"/>
          <w:vertAlign w:val="subscript"/>
        </w:rPr>
        <w:t>i</w:t>
      </w:r>
      <w:proofErr w:type="spellEnd"/>
      <w:r w:rsidRPr="00055865">
        <w:rPr>
          <w:rFonts w:ascii="Garamond" w:hAnsi="Garamond"/>
          <w:iCs/>
          <w:sz w:val="19"/>
          <w:szCs w:val="19"/>
          <w:vertAlign w:val="subscript"/>
        </w:rPr>
        <w:t xml:space="preserve"> = 1... 201), and the subscript t denotes the year (t=</w:t>
      </w:r>
      <w:proofErr w:type="gramStart"/>
      <w:r w:rsidRPr="00055865">
        <w:rPr>
          <w:rFonts w:ascii="Garamond" w:hAnsi="Garamond"/>
          <w:iCs/>
          <w:sz w:val="19"/>
          <w:szCs w:val="19"/>
          <w:vertAlign w:val="subscript"/>
        </w:rPr>
        <w:t>1,..</w:t>
      </w:r>
      <w:proofErr w:type="gramEnd"/>
      <w:r w:rsidRPr="00055865">
        <w:rPr>
          <w:rFonts w:ascii="Garamond" w:hAnsi="Garamond"/>
          <w:iCs/>
          <w:sz w:val="19"/>
          <w:szCs w:val="19"/>
          <w:vertAlign w:val="subscript"/>
        </w:rPr>
        <w:t xml:space="preserve">6). </w:t>
      </w:r>
      <w:proofErr w:type="spellStart"/>
      <w:r w:rsidRPr="00055865">
        <w:rPr>
          <w:rFonts w:ascii="Garamond" w:hAnsi="Garamond"/>
          <w:iCs/>
          <w:sz w:val="19"/>
          <w:szCs w:val="19"/>
          <w:vertAlign w:val="subscript"/>
        </w:rPr>
        <w:t>μi</w:t>
      </w:r>
      <w:proofErr w:type="spellEnd"/>
      <w:r w:rsidRPr="00055865">
        <w:rPr>
          <w:rFonts w:ascii="Garamond" w:hAnsi="Garamond"/>
          <w:iCs/>
          <w:sz w:val="19"/>
          <w:szCs w:val="19"/>
          <w:vertAlign w:val="subscript"/>
        </w:rPr>
        <w:t xml:space="preserve"> is the unobservable heterogeneity (individual effects) which is specific for each firm, </w:t>
      </w:r>
      <w:proofErr w:type="spellStart"/>
      <w:r w:rsidRPr="00055865">
        <w:rPr>
          <w:rFonts w:ascii="Garamond" w:hAnsi="Garamond"/>
          <w:iCs/>
          <w:sz w:val="19"/>
          <w:szCs w:val="19"/>
          <w:vertAlign w:val="subscript"/>
        </w:rPr>
        <w:t>λt</w:t>
      </w:r>
      <w:proofErr w:type="spellEnd"/>
      <w:r w:rsidRPr="00055865">
        <w:rPr>
          <w:rFonts w:ascii="Garamond" w:hAnsi="Garamond"/>
          <w:iCs/>
          <w:sz w:val="19"/>
          <w:szCs w:val="19"/>
          <w:vertAlign w:val="subscript"/>
        </w:rPr>
        <w:t xml:space="preserve"> is the parameters of time dummy variables, and </w:t>
      </w:r>
      <w:proofErr w:type="spellStart"/>
      <w:r w:rsidRPr="00055865">
        <w:rPr>
          <w:rFonts w:ascii="Garamond" w:hAnsi="Garamond"/>
          <w:iCs/>
          <w:sz w:val="19"/>
          <w:szCs w:val="19"/>
          <w:vertAlign w:val="subscript"/>
        </w:rPr>
        <w:t>εit</w:t>
      </w:r>
      <w:proofErr w:type="spellEnd"/>
      <w:r w:rsidRPr="00055865">
        <w:rPr>
          <w:rFonts w:ascii="Garamond" w:hAnsi="Garamond"/>
          <w:iCs/>
          <w:sz w:val="19"/>
          <w:szCs w:val="19"/>
          <w:vertAlign w:val="subscript"/>
        </w:rPr>
        <w:t xml:space="preserve"> is the error term</w:t>
      </w:r>
      <w:r w:rsidRPr="00055865">
        <w:rPr>
          <w:rFonts w:ascii="Garamond" w:eastAsia="Times New Roman" w:hAnsi="Garamond"/>
          <w:iCs/>
          <w:sz w:val="19"/>
          <w:szCs w:val="19"/>
          <w:vertAlign w:val="subscript"/>
        </w:rPr>
        <w:t xml:space="preserve">. Regressions </w:t>
      </w:r>
      <w:r w:rsidRPr="00055865">
        <w:rPr>
          <w:rFonts w:ascii="Garamond" w:hAnsi="Garamond"/>
          <w:iCs/>
          <w:sz w:val="19"/>
          <w:szCs w:val="19"/>
          <w:vertAlign w:val="subscript"/>
        </w:rPr>
        <w:t>are estimated with robust fixed effects</w:t>
      </w:r>
    </w:p>
    <w:tbl>
      <w:tblPr>
        <w:tblW w:w="10587" w:type="dxa"/>
        <w:jc w:val="center"/>
        <w:tblLayout w:type="fixed"/>
        <w:tblCellMar>
          <w:left w:w="75" w:type="dxa"/>
          <w:right w:w="75" w:type="dxa"/>
        </w:tblCellMar>
        <w:tblLook w:val="0000" w:firstRow="0" w:lastRow="0" w:firstColumn="0" w:lastColumn="0" w:noHBand="0" w:noVBand="0"/>
      </w:tblPr>
      <w:tblGrid>
        <w:gridCol w:w="1947"/>
        <w:gridCol w:w="1440"/>
        <w:gridCol w:w="1440"/>
        <w:gridCol w:w="1440"/>
        <w:gridCol w:w="1440"/>
        <w:gridCol w:w="1440"/>
        <w:gridCol w:w="1440"/>
      </w:tblGrid>
      <w:tr w:rsidR="00334689" w:rsidRPr="00055865" w14:paraId="3648F4E9" w14:textId="77777777" w:rsidTr="005B6FD7">
        <w:trPr>
          <w:jc w:val="center"/>
        </w:trPr>
        <w:tc>
          <w:tcPr>
            <w:tcW w:w="1947" w:type="dxa"/>
            <w:tcBorders>
              <w:top w:val="single" w:sz="6" w:space="0" w:color="auto"/>
              <w:left w:val="nil"/>
              <w:bottom w:val="nil"/>
              <w:right w:val="nil"/>
            </w:tcBorders>
          </w:tcPr>
          <w:p w14:paraId="34EE2239"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20"/>
                <w:szCs w:val="20"/>
                <w:lang w:eastAsia="en-GB"/>
              </w:rPr>
            </w:pPr>
          </w:p>
        </w:tc>
        <w:tc>
          <w:tcPr>
            <w:tcW w:w="1440" w:type="dxa"/>
            <w:tcBorders>
              <w:top w:val="single" w:sz="6" w:space="0" w:color="auto"/>
              <w:left w:val="nil"/>
              <w:bottom w:val="nil"/>
              <w:right w:val="nil"/>
            </w:tcBorders>
          </w:tcPr>
          <w:p w14:paraId="2EA3C6C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20"/>
                <w:szCs w:val="20"/>
                <w:lang w:eastAsia="en-GB"/>
              </w:rPr>
            </w:pPr>
            <w:r w:rsidRPr="00055865">
              <w:rPr>
                <w:rFonts w:ascii="Garamond" w:eastAsia="Times New Roman" w:hAnsi="Garamond"/>
                <w:sz w:val="20"/>
                <w:szCs w:val="20"/>
                <w:lang w:eastAsia="en-GB"/>
              </w:rPr>
              <w:t>(1)</w:t>
            </w:r>
          </w:p>
        </w:tc>
        <w:tc>
          <w:tcPr>
            <w:tcW w:w="1440" w:type="dxa"/>
            <w:tcBorders>
              <w:top w:val="single" w:sz="6" w:space="0" w:color="auto"/>
              <w:left w:val="nil"/>
              <w:bottom w:val="nil"/>
              <w:right w:val="nil"/>
            </w:tcBorders>
          </w:tcPr>
          <w:p w14:paraId="5C0E044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20"/>
                <w:szCs w:val="20"/>
                <w:lang w:eastAsia="en-GB"/>
              </w:rPr>
            </w:pPr>
            <w:r w:rsidRPr="00055865">
              <w:rPr>
                <w:rFonts w:ascii="Garamond" w:eastAsia="Times New Roman" w:hAnsi="Garamond"/>
                <w:sz w:val="20"/>
                <w:szCs w:val="20"/>
                <w:lang w:eastAsia="en-GB"/>
              </w:rPr>
              <w:t>(2)</w:t>
            </w:r>
          </w:p>
        </w:tc>
        <w:tc>
          <w:tcPr>
            <w:tcW w:w="1440" w:type="dxa"/>
            <w:tcBorders>
              <w:top w:val="single" w:sz="6" w:space="0" w:color="auto"/>
              <w:left w:val="nil"/>
              <w:bottom w:val="nil"/>
              <w:right w:val="nil"/>
            </w:tcBorders>
          </w:tcPr>
          <w:p w14:paraId="20C804C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20"/>
                <w:szCs w:val="20"/>
                <w:lang w:eastAsia="en-GB"/>
              </w:rPr>
            </w:pPr>
            <w:r w:rsidRPr="00055865">
              <w:rPr>
                <w:rFonts w:ascii="Garamond" w:eastAsia="Times New Roman" w:hAnsi="Garamond"/>
                <w:sz w:val="20"/>
                <w:szCs w:val="20"/>
                <w:lang w:eastAsia="en-GB"/>
              </w:rPr>
              <w:t>(3)</w:t>
            </w:r>
          </w:p>
        </w:tc>
        <w:tc>
          <w:tcPr>
            <w:tcW w:w="1440" w:type="dxa"/>
            <w:tcBorders>
              <w:top w:val="single" w:sz="6" w:space="0" w:color="auto"/>
              <w:left w:val="nil"/>
              <w:bottom w:val="nil"/>
              <w:right w:val="nil"/>
            </w:tcBorders>
          </w:tcPr>
          <w:p w14:paraId="346BCAA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20"/>
                <w:szCs w:val="20"/>
                <w:lang w:eastAsia="en-GB"/>
              </w:rPr>
            </w:pPr>
            <w:r w:rsidRPr="00055865">
              <w:rPr>
                <w:rFonts w:ascii="Garamond" w:eastAsia="Times New Roman" w:hAnsi="Garamond"/>
                <w:sz w:val="20"/>
                <w:szCs w:val="20"/>
                <w:lang w:eastAsia="en-GB"/>
              </w:rPr>
              <w:t>(4)</w:t>
            </w:r>
          </w:p>
        </w:tc>
        <w:tc>
          <w:tcPr>
            <w:tcW w:w="1440" w:type="dxa"/>
            <w:tcBorders>
              <w:top w:val="single" w:sz="6" w:space="0" w:color="auto"/>
              <w:left w:val="nil"/>
              <w:bottom w:val="nil"/>
              <w:right w:val="nil"/>
            </w:tcBorders>
          </w:tcPr>
          <w:p w14:paraId="2649BD9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20"/>
                <w:szCs w:val="20"/>
                <w:lang w:eastAsia="en-GB"/>
              </w:rPr>
            </w:pPr>
            <w:r w:rsidRPr="00055865">
              <w:rPr>
                <w:rFonts w:ascii="Garamond" w:eastAsia="Times New Roman" w:hAnsi="Garamond"/>
                <w:sz w:val="20"/>
                <w:szCs w:val="20"/>
                <w:lang w:eastAsia="en-GB"/>
              </w:rPr>
              <w:t>(5)</w:t>
            </w:r>
          </w:p>
        </w:tc>
        <w:tc>
          <w:tcPr>
            <w:tcW w:w="1440" w:type="dxa"/>
            <w:tcBorders>
              <w:top w:val="single" w:sz="6" w:space="0" w:color="auto"/>
              <w:left w:val="nil"/>
              <w:bottom w:val="nil"/>
              <w:right w:val="nil"/>
            </w:tcBorders>
          </w:tcPr>
          <w:p w14:paraId="75FAEC5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20"/>
                <w:szCs w:val="20"/>
                <w:lang w:eastAsia="en-GB"/>
              </w:rPr>
            </w:pPr>
            <w:r w:rsidRPr="00055865">
              <w:rPr>
                <w:rFonts w:ascii="Garamond" w:eastAsia="Times New Roman" w:hAnsi="Garamond"/>
                <w:sz w:val="20"/>
                <w:szCs w:val="20"/>
                <w:lang w:eastAsia="en-GB"/>
              </w:rPr>
              <w:t>(6)</w:t>
            </w:r>
          </w:p>
        </w:tc>
      </w:tr>
      <w:tr w:rsidR="00334689" w:rsidRPr="00055865" w14:paraId="0CED463B" w14:textId="77777777" w:rsidTr="005B6FD7">
        <w:trPr>
          <w:jc w:val="center"/>
        </w:trPr>
        <w:tc>
          <w:tcPr>
            <w:tcW w:w="1947" w:type="dxa"/>
            <w:tcBorders>
              <w:top w:val="nil"/>
              <w:left w:val="nil"/>
              <w:bottom w:val="single" w:sz="6" w:space="0" w:color="auto"/>
              <w:right w:val="nil"/>
            </w:tcBorders>
          </w:tcPr>
          <w:p w14:paraId="27E85082"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VARIABLES</w:t>
            </w:r>
          </w:p>
        </w:tc>
        <w:tc>
          <w:tcPr>
            <w:tcW w:w="1440" w:type="dxa"/>
            <w:tcBorders>
              <w:top w:val="nil"/>
              <w:left w:val="nil"/>
              <w:bottom w:val="single" w:sz="6" w:space="0" w:color="auto"/>
              <w:right w:val="nil"/>
            </w:tcBorders>
          </w:tcPr>
          <w:p w14:paraId="1665581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Model</w:t>
            </w:r>
          </w:p>
        </w:tc>
        <w:tc>
          <w:tcPr>
            <w:tcW w:w="1440" w:type="dxa"/>
            <w:tcBorders>
              <w:top w:val="nil"/>
              <w:left w:val="nil"/>
              <w:bottom w:val="single" w:sz="6" w:space="0" w:color="auto"/>
              <w:right w:val="nil"/>
            </w:tcBorders>
          </w:tcPr>
          <w:p w14:paraId="48F1C53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Model</w:t>
            </w:r>
          </w:p>
        </w:tc>
        <w:tc>
          <w:tcPr>
            <w:tcW w:w="1440" w:type="dxa"/>
            <w:tcBorders>
              <w:top w:val="nil"/>
              <w:left w:val="nil"/>
              <w:bottom w:val="single" w:sz="6" w:space="0" w:color="auto"/>
              <w:right w:val="nil"/>
            </w:tcBorders>
          </w:tcPr>
          <w:p w14:paraId="7E27E52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Model</w:t>
            </w:r>
          </w:p>
        </w:tc>
        <w:tc>
          <w:tcPr>
            <w:tcW w:w="1440" w:type="dxa"/>
            <w:tcBorders>
              <w:top w:val="nil"/>
              <w:left w:val="nil"/>
              <w:bottom w:val="single" w:sz="6" w:space="0" w:color="auto"/>
              <w:right w:val="nil"/>
            </w:tcBorders>
          </w:tcPr>
          <w:p w14:paraId="5B8E49D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Model</w:t>
            </w:r>
          </w:p>
        </w:tc>
        <w:tc>
          <w:tcPr>
            <w:tcW w:w="1440" w:type="dxa"/>
            <w:tcBorders>
              <w:top w:val="nil"/>
              <w:left w:val="nil"/>
              <w:bottom w:val="single" w:sz="6" w:space="0" w:color="auto"/>
              <w:right w:val="nil"/>
            </w:tcBorders>
          </w:tcPr>
          <w:p w14:paraId="7CB41DD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Model</w:t>
            </w:r>
          </w:p>
        </w:tc>
        <w:tc>
          <w:tcPr>
            <w:tcW w:w="1440" w:type="dxa"/>
            <w:tcBorders>
              <w:top w:val="nil"/>
              <w:left w:val="nil"/>
              <w:bottom w:val="single" w:sz="6" w:space="0" w:color="auto"/>
              <w:right w:val="nil"/>
            </w:tcBorders>
          </w:tcPr>
          <w:p w14:paraId="24E8AAC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Model</w:t>
            </w:r>
          </w:p>
        </w:tc>
      </w:tr>
      <w:tr w:rsidR="00334689" w:rsidRPr="00055865" w14:paraId="46945CAD" w14:textId="77777777" w:rsidTr="005B6FD7">
        <w:trPr>
          <w:jc w:val="center"/>
        </w:trPr>
        <w:tc>
          <w:tcPr>
            <w:tcW w:w="1947" w:type="dxa"/>
            <w:tcBorders>
              <w:top w:val="nil"/>
              <w:left w:val="nil"/>
              <w:bottom w:val="nil"/>
              <w:right w:val="nil"/>
            </w:tcBorders>
          </w:tcPr>
          <w:p w14:paraId="05ABEB0D"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2F650C3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2937B0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7EE42AA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1244A0A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6DD4272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7EEF8A2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5F8BC5D8" w14:textId="77777777" w:rsidTr="005B6FD7">
        <w:trPr>
          <w:jc w:val="center"/>
        </w:trPr>
        <w:tc>
          <w:tcPr>
            <w:tcW w:w="1947" w:type="dxa"/>
            <w:tcBorders>
              <w:top w:val="nil"/>
              <w:left w:val="nil"/>
              <w:bottom w:val="nil"/>
              <w:right w:val="nil"/>
            </w:tcBorders>
          </w:tcPr>
          <w:p w14:paraId="44B43695"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Energy</w:t>
            </w:r>
          </w:p>
        </w:tc>
        <w:tc>
          <w:tcPr>
            <w:tcW w:w="1440" w:type="dxa"/>
            <w:tcBorders>
              <w:top w:val="nil"/>
              <w:left w:val="nil"/>
              <w:bottom w:val="nil"/>
              <w:right w:val="nil"/>
            </w:tcBorders>
          </w:tcPr>
          <w:p w14:paraId="509ED4E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-0.0330</w:t>
            </w:r>
          </w:p>
        </w:tc>
        <w:tc>
          <w:tcPr>
            <w:tcW w:w="1440" w:type="dxa"/>
            <w:tcBorders>
              <w:top w:val="nil"/>
              <w:left w:val="nil"/>
              <w:bottom w:val="nil"/>
              <w:right w:val="nil"/>
            </w:tcBorders>
          </w:tcPr>
          <w:p w14:paraId="7859CB5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7DC039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E823F9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5CDB91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6042037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353CD45A" w14:textId="77777777" w:rsidTr="005B6FD7">
        <w:trPr>
          <w:jc w:val="center"/>
        </w:trPr>
        <w:tc>
          <w:tcPr>
            <w:tcW w:w="1947" w:type="dxa"/>
            <w:tcBorders>
              <w:top w:val="nil"/>
              <w:left w:val="nil"/>
              <w:bottom w:val="nil"/>
              <w:right w:val="nil"/>
            </w:tcBorders>
          </w:tcPr>
          <w:p w14:paraId="1031D29A"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62691D5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(0.54)</w:t>
            </w:r>
          </w:p>
        </w:tc>
        <w:tc>
          <w:tcPr>
            <w:tcW w:w="1440" w:type="dxa"/>
            <w:tcBorders>
              <w:top w:val="nil"/>
              <w:left w:val="nil"/>
              <w:bottom w:val="nil"/>
              <w:right w:val="nil"/>
            </w:tcBorders>
          </w:tcPr>
          <w:p w14:paraId="7597395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457FBB4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040C2F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F83BF8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C57F41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648EE012" w14:textId="77777777" w:rsidTr="005B6FD7">
        <w:trPr>
          <w:jc w:val="center"/>
        </w:trPr>
        <w:tc>
          <w:tcPr>
            <w:tcW w:w="1947" w:type="dxa"/>
            <w:tcBorders>
              <w:top w:val="nil"/>
              <w:left w:val="nil"/>
              <w:bottom w:val="nil"/>
              <w:right w:val="nil"/>
            </w:tcBorders>
          </w:tcPr>
          <w:p w14:paraId="79AB5609"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vertAlign w:val="superscript"/>
                <w:lang w:eastAsia="en-GB"/>
              </w:rPr>
            </w:pPr>
            <w:r w:rsidRPr="00055865">
              <w:rPr>
                <w:rFonts w:ascii="Garamond" w:eastAsia="Times New Roman" w:hAnsi="Garamond"/>
                <w:sz w:val="18"/>
                <w:szCs w:val="18"/>
                <w:lang w:eastAsia="en-GB"/>
              </w:rPr>
              <w:t>Energy</w:t>
            </w:r>
            <w:r w:rsidRPr="00055865">
              <w:rPr>
                <w:rFonts w:ascii="Garamond" w:eastAsia="Times New Roman" w:hAnsi="Garamond"/>
                <w:sz w:val="18"/>
                <w:szCs w:val="18"/>
                <w:vertAlign w:val="superscript"/>
                <w:lang w:eastAsia="en-GB"/>
              </w:rPr>
              <w:t>2</w:t>
            </w:r>
          </w:p>
        </w:tc>
        <w:tc>
          <w:tcPr>
            <w:tcW w:w="1440" w:type="dxa"/>
            <w:tcBorders>
              <w:top w:val="nil"/>
              <w:left w:val="nil"/>
              <w:bottom w:val="nil"/>
              <w:right w:val="nil"/>
            </w:tcBorders>
          </w:tcPr>
          <w:p w14:paraId="3D10933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0.0161</w:t>
            </w:r>
          </w:p>
        </w:tc>
        <w:tc>
          <w:tcPr>
            <w:tcW w:w="1440" w:type="dxa"/>
            <w:tcBorders>
              <w:top w:val="nil"/>
              <w:left w:val="nil"/>
              <w:bottom w:val="nil"/>
              <w:right w:val="nil"/>
            </w:tcBorders>
          </w:tcPr>
          <w:p w14:paraId="3FEBF62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A4EFBD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320B13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83A53D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0AFD51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70AF6198" w14:textId="77777777" w:rsidTr="005B6FD7">
        <w:trPr>
          <w:jc w:val="center"/>
        </w:trPr>
        <w:tc>
          <w:tcPr>
            <w:tcW w:w="1947" w:type="dxa"/>
            <w:tcBorders>
              <w:top w:val="nil"/>
              <w:left w:val="nil"/>
              <w:bottom w:val="nil"/>
              <w:right w:val="nil"/>
            </w:tcBorders>
          </w:tcPr>
          <w:p w14:paraId="5836F10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4EC94EE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(1.16)</w:t>
            </w:r>
          </w:p>
        </w:tc>
        <w:tc>
          <w:tcPr>
            <w:tcW w:w="1440" w:type="dxa"/>
            <w:tcBorders>
              <w:top w:val="nil"/>
              <w:left w:val="nil"/>
              <w:bottom w:val="nil"/>
              <w:right w:val="nil"/>
            </w:tcBorders>
          </w:tcPr>
          <w:p w14:paraId="1BE4674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45A0E1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DDA79C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17E3B0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2AA774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1B688491" w14:textId="77777777" w:rsidTr="005B6FD7">
        <w:trPr>
          <w:jc w:val="center"/>
        </w:trPr>
        <w:tc>
          <w:tcPr>
            <w:tcW w:w="1947" w:type="dxa"/>
            <w:tcBorders>
              <w:top w:val="nil"/>
              <w:left w:val="nil"/>
              <w:bottom w:val="nil"/>
              <w:right w:val="nil"/>
            </w:tcBorders>
          </w:tcPr>
          <w:p w14:paraId="133FECE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166FDD9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C94BFD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191BBE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EE3853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97A23B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DB9C93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6D190F4E" w14:textId="77777777" w:rsidTr="005B6FD7">
        <w:trPr>
          <w:jc w:val="center"/>
        </w:trPr>
        <w:tc>
          <w:tcPr>
            <w:tcW w:w="1947" w:type="dxa"/>
            <w:tcBorders>
              <w:top w:val="nil"/>
              <w:left w:val="nil"/>
              <w:bottom w:val="nil"/>
              <w:right w:val="nil"/>
            </w:tcBorders>
          </w:tcPr>
          <w:p w14:paraId="13B27CC1"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Compliance</w:t>
            </w:r>
          </w:p>
        </w:tc>
        <w:tc>
          <w:tcPr>
            <w:tcW w:w="1440" w:type="dxa"/>
            <w:tcBorders>
              <w:top w:val="nil"/>
              <w:left w:val="nil"/>
              <w:bottom w:val="nil"/>
              <w:right w:val="nil"/>
            </w:tcBorders>
          </w:tcPr>
          <w:p w14:paraId="4168B5E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69183FA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0.0544</w:t>
            </w:r>
          </w:p>
        </w:tc>
        <w:tc>
          <w:tcPr>
            <w:tcW w:w="1440" w:type="dxa"/>
            <w:tcBorders>
              <w:top w:val="nil"/>
              <w:left w:val="nil"/>
              <w:bottom w:val="nil"/>
              <w:right w:val="nil"/>
            </w:tcBorders>
          </w:tcPr>
          <w:p w14:paraId="624FD65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BDEC98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1CE63EE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4807C4E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780BCA26" w14:textId="77777777" w:rsidTr="005B6FD7">
        <w:trPr>
          <w:jc w:val="center"/>
        </w:trPr>
        <w:tc>
          <w:tcPr>
            <w:tcW w:w="1947" w:type="dxa"/>
            <w:tcBorders>
              <w:top w:val="nil"/>
              <w:left w:val="nil"/>
              <w:bottom w:val="nil"/>
              <w:right w:val="nil"/>
            </w:tcBorders>
          </w:tcPr>
          <w:p w14:paraId="756D112E"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7438F6A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485ABED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(0.68)</w:t>
            </w:r>
          </w:p>
        </w:tc>
        <w:tc>
          <w:tcPr>
            <w:tcW w:w="1440" w:type="dxa"/>
            <w:tcBorders>
              <w:top w:val="nil"/>
              <w:left w:val="nil"/>
              <w:bottom w:val="nil"/>
              <w:right w:val="nil"/>
            </w:tcBorders>
          </w:tcPr>
          <w:p w14:paraId="5C57AF5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AEEA52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041948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0EEB684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72A41997" w14:textId="77777777" w:rsidTr="005B6FD7">
        <w:trPr>
          <w:jc w:val="center"/>
        </w:trPr>
        <w:tc>
          <w:tcPr>
            <w:tcW w:w="1947" w:type="dxa"/>
            <w:tcBorders>
              <w:top w:val="nil"/>
              <w:left w:val="nil"/>
              <w:bottom w:val="nil"/>
              <w:right w:val="nil"/>
            </w:tcBorders>
          </w:tcPr>
          <w:p w14:paraId="7756FEA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vertAlign w:val="superscript"/>
                <w:lang w:eastAsia="en-GB"/>
              </w:rPr>
            </w:pPr>
            <w:r w:rsidRPr="00055865">
              <w:rPr>
                <w:rFonts w:ascii="Garamond" w:eastAsia="Times New Roman" w:hAnsi="Garamond"/>
                <w:sz w:val="18"/>
                <w:szCs w:val="18"/>
                <w:lang w:eastAsia="en-GB"/>
              </w:rPr>
              <w:t>Compliance</w:t>
            </w:r>
            <w:r w:rsidRPr="00055865">
              <w:rPr>
                <w:rFonts w:ascii="Garamond" w:eastAsia="Times New Roman" w:hAnsi="Garamond"/>
                <w:sz w:val="18"/>
                <w:szCs w:val="18"/>
                <w:vertAlign w:val="superscript"/>
                <w:lang w:eastAsia="en-GB"/>
              </w:rPr>
              <w:t>2</w:t>
            </w:r>
          </w:p>
        </w:tc>
        <w:tc>
          <w:tcPr>
            <w:tcW w:w="1440" w:type="dxa"/>
            <w:tcBorders>
              <w:top w:val="nil"/>
              <w:left w:val="nil"/>
              <w:bottom w:val="nil"/>
              <w:right w:val="nil"/>
            </w:tcBorders>
          </w:tcPr>
          <w:p w14:paraId="5F74276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0618996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-0.0103</w:t>
            </w:r>
          </w:p>
        </w:tc>
        <w:tc>
          <w:tcPr>
            <w:tcW w:w="1440" w:type="dxa"/>
            <w:tcBorders>
              <w:top w:val="nil"/>
              <w:left w:val="nil"/>
              <w:bottom w:val="nil"/>
              <w:right w:val="nil"/>
            </w:tcBorders>
          </w:tcPr>
          <w:p w14:paraId="78C2998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C87B87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DBC758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1F5ED7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7516EC17" w14:textId="77777777" w:rsidTr="005B6FD7">
        <w:trPr>
          <w:jc w:val="center"/>
        </w:trPr>
        <w:tc>
          <w:tcPr>
            <w:tcW w:w="1947" w:type="dxa"/>
            <w:tcBorders>
              <w:top w:val="nil"/>
              <w:left w:val="nil"/>
              <w:bottom w:val="nil"/>
              <w:right w:val="nil"/>
            </w:tcBorders>
          </w:tcPr>
          <w:p w14:paraId="1C769F82"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0DD1F63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4ADED04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(-0.79)</w:t>
            </w:r>
          </w:p>
        </w:tc>
        <w:tc>
          <w:tcPr>
            <w:tcW w:w="1440" w:type="dxa"/>
            <w:tcBorders>
              <w:top w:val="nil"/>
              <w:left w:val="nil"/>
              <w:bottom w:val="nil"/>
              <w:right w:val="nil"/>
            </w:tcBorders>
          </w:tcPr>
          <w:p w14:paraId="60EA08A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0D5A604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F2C88C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4A88970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1C719BB1" w14:textId="77777777" w:rsidTr="005B6FD7">
        <w:trPr>
          <w:jc w:val="center"/>
        </w:trPr>
        <w:tc>
          <w:tcPr>
            <w:tcW w:w="1947" w:type="dxa"/>
            <w:tcBorders>
              <w:top w:val="nil"/>
              <w:left w:val="nil"/>
              <w:bottom w:val="nil"/>
              <w:right w:val="nil"/>
            </w:tcBorders>
          </w:tcPr>
          <w:p w14:paraId="0B6C1490"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Waste</w:t>
            </w:r>
          </w:p>
        </w:tc>
        <w:tc>
          <w:tcPr>
            <w:tcW w:w="1440" w:type="dxa"/>
            <w:tcBorders>
              <w:top w:val="nil"/>
              <w:left w:val="nil"/>
              <w:bottom w:val="nil"/>
              <w:right w:val="nil"/>
            </w:tcBorders>
          </w:tcPr>
          <w:p w14:paraId="4C5D827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A64261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F16260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0.1820***</w:t>
            </w:r>
          </w:p>
        </w:tc>
        <w:tc>
          <w:tcPr>
            <w:tcW w:w="1440" w:type="dxa"/>
            <w:tcBorders>
              <w:top w:val="nil"/>
              <w:left w:val="nil"/>
              <w:bottom w:val="nil"/>
              <w:right w:val="nil"/>
            </w:tcBorders>
          </w:tcPr>
          <w:p w14:paraId="7FBDED6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44962D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7E624EA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6FC72C47" w14:textId="77777777" w:rsidTr="005B6FD7">
        <w:trPr>
          <w:jc w:val="center"/>
        </w:trPr>
        <w:tc>
          <w:tcPr>
            <w:tcW w:w="1947" w:type="dxa"/>
            <w:tcBorders>
              <w:top w:val="nil"/>
              <w:left w:val="nil"/>
              <w:bottom w:val="nil"/>
              <w:right w:val="nil"/>
            </w:tcBorders>
          </w:tcPr>
          <w:p w14:paraId="4D6EA28D"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285EDF7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AB0268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2C2253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(2.84)</w:t>
            </w:r>
          </w:p>
        </w:tc>
        <w:tc>
          <w:tcPr>
            <w:tcW w:w="1440" w:type="dxa"/>
            <w:tcBorders>
              <w:top w:val="nil"/>
              <w:left w:val="nil"/>
              <w:bottom w:val="nil"/>
              <w:right w:val="nil"/>
            </w:tcBorders>
          </w:tcPr>
          <w:p w14:paraId="5D1B711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00CEA10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120548D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1780132A" w14:textId="77777777" w:rsidTr="005B6FD7">
        <w:trPr>
          <w:jc w:val="center"/>
        </w:trPr>
        <w:tc>
          <w:tcPr>
            <w:tcW w:w="1947" w:type="dxa"/>
            <w:tcBorders>
              <w:top w:val="nil"/>
              <w:left w:val="nil"/>
              <w:bottom w:val="nil"/>
              <w:right w:val="nil"/>
            </w:tcBorders>
          </w:tcPr>
          <w:p w14:paraId="46FA8788"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vertAlign w:val="superscript"/>
                <w:lang w:eastAsia="en-GB"/>
              </w:rPr>
            </w:pPr>
            <w:r w:rsidRPr="00055865">
              <w:rPr>
                <w:rFonts w:ascii="Garamond" w:eastAsia="Times New Roman" w:hAnsi="Garamond"/>
                <w:sz w:val="18"/>
                <w:szCs w:val="18"/>
                <w:lang w:eastAsia="en-GB"/>
              </w:rPr>
              <w:t>Waste</w:t>
            </w:r>
            <w:r w:rsidRPr="00055865">
              <w:rPr>
                <w:rFonts w:ascii="Garamond" w:eastAsia="Times New Roman" w:hAnsi="Garamond"/>
                <w:sz w:val="18"/>
                <w:szCs w:val="18"/>
                <w:vertAlign w:val="superscript"/>
                <w:lang w:eastAsia="en-GB"/>
              </w:rPr>
              <w:t>2</w:t>
            </w:r>
          </w:p>
        </w:tc>
        <w:tc>
          <w:tcPr>
            <w:tcW w:w="1440" w:type="dxa"/>
            <w:tcBorders>
              <w:top w:val="nil"/>
              <w:left w:val="nil"/>
              <w:bottom w:val="nil"/>
              <w:right w:val="nil"/>
            </w:tcBorders>
          </w:tcPr>
          <w:p w14:paraId="142E45A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4E32B19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09D3E83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-0.0379**</w:t>
            </w:r>
          </w:p>
        </w:tc>
        <w:tc>
          <w:tcPr>
            <w:tcW w:w="1440" w:type="dxa"/>
            <w:tcBorders>
              <w:top w:val="nil"/>
              <w:left w:val="nil"/>
              <w:bottom w:val="nil"/>
              <w:right w:val="nil"/>
            </w:tcBorders>
          </w:tcPr>
          <w:p w14:paraId="2180513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2B8462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02692A1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07EC987F" w14:textId="77777777" w:rsidTr="005B6FD7">
        <w:trPr>
          <w:jc w:val="center"/>
        </w:trPr>
        <w:tc>
          <w:tcPr>
            <w:tcW w:w="1947" w:type="dxa"/>
            <w:tcBorders>
              <w:top w:val="nil"/>
              <w:left w:val="nil"/>
              <w:bottom w:val="nil"/>
              <w:right w:val="nil"/>
            </w:tcBorders>
          </w:tcPr>
          <w:p w14:paraId="276BFA31"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746A02A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1F51DE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38A1C2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(-2.51)</w:t>
            </w:r>
          </w:p>
        </w:tc>
        <w:tc>
          <w:tcPr>
            <w:tcW w:w="1440" w:type="dxa"/>
            <w:tcBorders>
              <w:top w:val="nil"/>
              <w:left w:val="nil"/>
              <w:bottom w:val="nil"/>
              <w:right w:val="nil"/>
            </w:tcBorders>
          </w:tcPr>
          <w:p w14:paraId="74663B0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10F3BDA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71C0AE5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727D4C45" w14:textId="77777777" w:rsidTr="005B6FD7">
        <w:trPr>
          <w:jc w:val="center"/>
        </w:trPr>
        <w:tc>
          <w:tcPr>
            <w:tcW w:w="1947" w:type="dxa"/>
            <w:tcBorders>
              <w:top w:val="nil"/>
              <w:left w:val="nil"/>
              <w:bottom w:val="nil"/>
              <w:right w:val="nil"/>
            </w:tcBorders>
          </w:tcPr>
          <w:p w14:paraId="1AA2FACF"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GHG</w:t>
            </w:r>
          </w:p>
        </w:tc>
        <w:tc>
          <w:tcPr>
            <w:tcW w:w="1440" w:type="dxa"/>
            <w:tcBorders>
              <w:top w:val="nil"/>
              <w:left w:val="nil"/>
              <w:bottom w:val="nil"/>
              <w:right w:val="nil"/>
            </w:tcBorders>
          </w:tcPr>
          <w:p w14:paraId="797C934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B2B71A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0CB3B93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65D5002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0.0269</w:t>
            </w:r>
          </w:p>
        </w:tc>
        <w:tc>
          <w:tcPr>
            <w:tcW w:w="1440" w:type="dxa"/>
            <w:tcBorders>
              <w:top w:val="nil"/>
              <w:left w:val="nil"/>
              <w:bottom w:val="nil"/>
              <w:right w:val="nil"/>
            </w:tcBorders>
          </w:tcPr>
          <w:p w14:paraId="37744A4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0351C19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420506A4" w14:textId="77777777" w:rsidTr="005B6FD7">
        <w:trPr>
          <w:jc w:val="center"/>
        </w:trPr>
        <w:tc>
          <w:tcPr>
            <w:tcW w:w="1947" w:type="dxa"/>
            <w:tcBorders>
              <w:top w:val="nil"/>
              <w:left w:val="nil"/>
              <w:bottom w:val="nil"/>
              <w:right w:val="nil"/>
            </w:tcBorders>
          </w:tcPr>
          <w:p w14:paraId="4BE3E1AA"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0055053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8B5A2E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4B37AA9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199862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(0.47)</w:t>
            </w:r>
          </w:p>
        </w:tc>
        <w:tc>
          <w:tcPr>
            <w:tcW w:w="1440" w:type="dxa"/>
            <w:tcBorders>
              <w:top w:val="nil"/>
              <w:left w:val="nil"/>
              <w:bottom w:val="nil"/>
              <w:right w:val="nil"/>
            </w:tcBorders>
          </w:tcPr>
          <w:p w14:paraId="69BC71B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7D625FE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69578837" w14:textId="77777777" w:rsidTr="005B6FD7">
        <w:trPr>
          <w:jc w:val="center"/>
        </w:trPr>
        <w:tc>
          <w:tcPr>
            <w:tcW w:w="1947" w:type="dxa"/>
            <w:tcBorders>
              <w:top w:val="nil"/>
              <w:left w:val="nil"/>
              <w:bottom w:val="nil"/>
              <w:right w:val="nil"/>
            </w:tcBorders>
          </w:tcPr>
          <w:p w14:paraId="55DC9B91"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vertAlign w:val="superscript"/>
                <w:lang w:eastAsia="en-GB"/>
              </w:rPr>
            </w:pPr>
            <w:r w:rsidRPr="00055865">
              <w:rPr>
                <w:rFonts w:ascii="Garamond" w:eastAsia="Times New Roman" w:hAnsi="Garamond"/>
                <w:sz w:val="18"/>
                <w:szCs w:val="18"/>
                <w:lang w:eastAsia="en-GB"/>
              </w:rPr>
              <w:t>GHG</w:t>
            </w:r>
            <w:r w:rsidRPr="00055865">
              <w:rPr>
                <w:rFonts w:ascii="Garamond" w:eastAsia="Times New Roman" w:hAnsi="Garamond"/>
                <w:sz w:val="18"/>
                <w:szCs w:val="18"/>
                <w:vertAlign w:val="superscript"/>
                <w:lang w:eastAsia="en-GB"/>
              </w:rPr>
              <w:t>2</w:t>
            </w:r>
          </w:p>
        </w:tc>
        <w:tc>
          <w:tcPr>
            <w:tcW w:w="1440" w:type="dxa"/>
            <w:tcBorders>
              <w:top w:val="nil"/>
              <w:left w:val="nil"/>
              <w:bottom w:val="nil"/>
              <w:right w:val="nil"/>
            </w:tcBorders>
          </w:tcPr>
          <w:p w14:paraId="0B48E94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072A66A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00B17D1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418ECC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0.0103</w:t>
            </w:r>
          </w:p>
        </w:tc>
        <w:tc>
          <w:tcPr>
            <w:tcW w:w="1440" w:type="dxa"/>
            <w:tcBorders>
              <w:top w:val="nil"/>
              <w:left w:val="nil"/>
              <w:bottom w:val="nil"/>
              <w:right w:val="nil"/>
            </w:tcBorders>
          </w:tcPr>
          <w:p w14:paraId="3B40F0E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4565B18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309D58DE" w14:textId="77777777" w:rsidTr="005B6FD7">
        <w:trPr>
          <w:jc w:val="center"/>
        </w:trPr>
        <w:tc>
          <w:tcPr>
            <w:tcW w:w="1947" w:type="dxa"/>
            <w:tcBorders>
              <w:top w:val="nil"/>
              <w:left w:val="nil"/>
              <w:bottom w:val="nil"/>
              <w:right w:val="nil"/>
            </w:tcBorders>
          </w:tcPr>
          <w:p w14:paraId="5E118477"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6113A4F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49AB97F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6F2374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53F500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(0.79)</w:t>
            </w:r>
          </w:p>
        </w:tc>
        <w:tc>
          <w:tcPr>
            <w:tcW w:w="1440" w:type="dxa"/>
            <w:tcBorders>
              <w:top w:val="nil"/>
              <w:left w:val="nil"/>
              <w:bottom w:val="nil"/>
              <w:right w:val="nil"/>
            </w:tcBorders>
          </w:tcPr>
          <w:p w14:paraId="08EDB69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283AD5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6F9B7ECD" w14:textId="77777777" w:rsidTr="005B6FD7">
        <w:trPr>
          <w:jc w:val="center"/>
        </w:trPr>
        <w:tc>
          <w:tcPr>
            <w:tcW w:w="1947" w:type="dxa"/>
            <w:tcBorders>
              <w:top w:val="nil"/>
              <w:left w:val="nil"/>
              <w:bottom w:val="nil"/>
              <w:right w:val="nil"/>
            </w:tcBorders>
          </w:tcPr>
          <w:p w14:paraId="1F66FEF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Materials</w:t>
            </w:r>
          </w:p>
        </w:tc>
        <w:tc>
          <w:tcPr>
            <w:tcW w:w="1440" w:type="dxa"/>
            <w:tcBorders>
              <w:top w:val="nil"/>
              <w:left w:val="nil"/>
              <w:bottom w:val="nil"/>
              <w:right w:val="nil"/>
            </w:tcBorders>
          </w:tcPr>
          <w:p w14:paraId="4D4FF3B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0F449C5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62EF45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6261CBE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CD7821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0.0975*</w:t>
            </w:r>
          </w:p>
        </w:tc>
        <w:tc>
          <w:tcPr>
            <w:tcW w:w="1440" w:type="dxa"/>
            <w:tcBorders>
              <w:top w:val="nil"/>
              <w:left w:val="nil"/>
              <w:bottom w:val="nil"/>
              <w:right w:val="nil"/>
            </w:tcBorders>
          </w:tcPr>
          <w:p w14:paraId="52A719F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28F964C1" w14:textId="77777777" w:rsidTr="005B6FD7">
        <w:trPr>
          <w:jc w:val="center"/>
        </w:trPr>
        <w:tc>
          <w:tcPr>
            <w:tcW w:w="1947" w:type="dxa"/>
            <w:tcBorders>
              <w:top w:val="nil"/>
              <w:left w:val="nil"/>
              <w:bottom w:val="nil"/>
              <w:right w:val="nil"/>
            </w:tcBorders>
          </w:tcPr>
          <w:p w14:paraId="3B5C8485"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6754BA8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883DF0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610B6B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A3D43E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B63813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(1.66)</w:t>
            </w:r>
          </w:p>
        </w:tc>
        <w:tc>
          <w:tcPr>
            <w:tcW w:w="1440" w:type="dxa"/>
            <w:tcBorders>
              <w:top w:val="nil"/>
              <w:left w:val="nil"/>
              <w:bottom w:val="nil"/>
              <w:right w:val="nil"/>
            </w:tcBorders>
          </w:tcPr>
          <w:p w14:paraId="1361C61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4CDD51B9" w14:textId="77777777" w:rsidTr="005B6FD7">
        <w:trPr>
          <w:jc w:val="center"/>
        </w:trPr>
        <w:tc>
          <w:tcPr>
            <w:tcW w:w="1947" w:type="dxa"/>
            <w:tcBorders>
              <w:top w:val="nil"/>
              <w:left w:val="nil"/>
              <w:bottom w:val="nil"/>
              <w:right w:val="nil"/>
            </w:tcBorders>
          </w:tcPr>
          <w:p w14:paraId="029B1862"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vertAlign w:val="superscript"/>
                <w:lang w:eastAsia="en-GB"/>
              </w:rPr>
            </w:pPr>
            <w:r w:rsidRPr="00055865">
              <w:rPr>
                <w:rFonts w:ascii="Garamond" w:eastAsia="Times New Roman" w:hAnsi="Garamond"/>
                <w:sz w:val="18"/>
                <w:szCs w:val="18"/>
                <w:lang w:eastAsia="en-GB"/>
              </w:rPr>
              <w:t>Materials</w:t>
            </w:r>
            <w:r w:rsidRPr="00055865">
              <w:rPr>
                <w:rFonts w:ascii="Garamond" w:eastAsia="Times New Roman" w:hAnsi="Garamond"/>
                <w:sz w:val="18"/>
                <w:szCs w:val="18"/>
                <w:vertAlign w:val="superscript"/>
                <w:lang w:eastAsia="en-GB"/>
              </w:rPr>
              <w:t>2</w:t>
            </w:r>
          </w:p>
        </w:tc>
        <w:tc>
          <w:tcPr>
            <w:tcW w:w="1440" w:type="dxa"/>
            <w:tcBorders>
              <w:top w:val="nil"/>
              <w:left w:val="nil"/>
              <w:bottom w:val="nil"/>
              <w:right w:val="nil"/>
            </w:tcBorders>
          </w:tcPr>
          <w:p w14:paraId="13031A0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790A61B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1E54E01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926789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13ED6B0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-0.0140</w:t>
            </w:r>
          </w:p>
        </w:tc>
        <w:tc>
          <w:tcPr>
            <w:tcW w:w="1440" w:type="dxa"/>
            <w:tcBorders>
              <w:top w:val="nil"/>
              <w:left w:val="nil"/>
              <w:bottom w:val="nil"/>
              <w:right w:val="nil"/>
            </w:tcBorders>
          </w:tcPr>
          <w:p w14:paraId="16300FD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4426DE23" w14:textId="77777777" w:rsidTr="005B6FD7">
        <w:trPr>
          <w:jc w:val="center"/>
        </w:trPr>
        <w:tc>
          <w:tcPr>
            <w:tcW w:w="1947" w:type="dxa"/>
            <w:tcBorders>
              <w:top w:val="nil"/>
              <w:left w:val="nil"/>
              <w:bottom w:val="nil"/>
              <w:right w:val="nil"/>
            </w:tcBorders>
          </w:tcPr>
          <w:p w14:paraId="61950823"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2D66101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F831E7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43571B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159085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FA20A0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(-1.03)</w:t>
            </w:r>
          </w:p>
        </w:tc>
        <w:tc>
          <w:tcPr>
            <w:tcW w:w="1440" w:type="dxa"/>
            <w:tcBorders>
              <w:top w:val="nil"/>
              <w:left w:val="nil"/>
              <w:bottom w:val="nil"/>
              <w:right w:val="nil"/>
            </w:tcBorders>
          </w:tcPr>
          <w:p w14:paraId="4666DA1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p w14:paraId="72C9D61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30E7F0E9" w14:textId="77777777" w:rsidTr="005B6FD7">
        <w:trPr>
          <w:jc w:val="center"/>
        </w:trPr>
        <w:tc>
          <w:tcPr>
            <w:tcW w:w="1947" w:type="dxa"/>
            <w:tcBorders>
              <w:top w:val="nil"/>
              <w:left w:val="nil"/>
              <w:bottom w:val="nil"/>
              <w:right w:val="nil"/>
            </w:tcBorders>
          </w:tcPr>
          <w:p w14:paraId="2224BDF5"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Stake</w:t>
            </w:r>
          </w:p>
        </w:tc>
        <w:tc>
          <w:tcPr>
            <w:tcW w:w="1440" w:type="dxa"/>
            <w:tcBorders>
              <w:top w:val="nil"/>
              <w:left w:val="nil"/>
              <w:bottom w:val="nil"/>
              <w:right w:val="nil"/>
            </w:tcBorders>
          </w:tcPr>
          <w:p w14:paraId="7698204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451BB13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26B62D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7CBB278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2E8F91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EA9532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0.2570***</w:t>
            </w:r>
          </w:p>
        </w:tc>
      </w:tr>
      <w:tr w:rsidR="00334689" w:rsidRPr="00055865" w14:paraId="6100E898" w14:textId="77777777" w:rsidTr="005B6FD7">
        <w:trPr>
          <w:jc w:val="center"/>
        </w:trPr>
        <w:tc>
          <w:tcPr>
            <w:tcW w:w="1947" w:type="dxa"/>
            <w:tcBorders>
              <w:top w:val="nil"/>
              <w:left w:val="nil"/>
              <w:bottom w:val="nil"/>
              <w:right w:val="nil"/>
            </w:tcBorders>
          </w:tcPr>
          <w:p w14:paraId="4D11EA25"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43505C9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7CFBF95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6998A60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026B32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07B40A7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101E6D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(4.11)</w:t>
            </w:r>
          </w:p>
        </w:tc>
      </w:tr>
      <w:tr w:rsidR="00334689" w:rsidRPr="00055865" w14:paraId="68FA8638" w14:textId="77777777" w:rsidTr="005B6FD7">
        <w:trPr>
          <w:jc w:val="center"/>
        </w:trPr>
        <w:tc>
          <w:tcPr>
            <w:tcW w:w="1947" w:type="dxa"/>
            <w:tcBorders>
              <w:top w:val="nil"/>
              <w:left w:val="nil"/>
              <w:bottom w:val="nil"/>
              <w:right w:val="nil"/>
            </w:tcBorders>
          </w:tcPr>
          <w:p w14:paraId="7AE7F50B"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vertAlign w:val="superscript"/>
                <w:lang w:eastAsia="en-GB"/>
              </w:rPr>
            </w:pPr>
            <w:r w:rsidRPr="00055865">
              <w:rPr>
                <w:rFonts w:ascii="Garamond" w:eastAsia="Times New Roman" w:hAnsi="Garamond"/>
                <w:sz w:val="18"/>
                <w:szCs w:val="18"/>
                <w:lang w:eastAsia="en-GB"/>
              </w:rPr>
              <w:t>Stake</w:t>
            </w:r>
            <w:r w:rsidRPr="00055865">
              <w:rPr>
                <w:rFonts w:ascii="Garamond" w:eastAsia="Times New Roman" w:hAnsi="Garamond"/>
                <w:sz w:val="18"/>
                <w:szCs w:val="18"/>
                <w:vertAlign w:val="superscript"/>
                <w:lang w:eastAsia="en-GB"/>
              </w:rPr>
              <w:t>2</w:t>
            </w:r>
          </w:p>
        </w:tc>
        <w:tc>
          <w:tcPr>
            <w:tcW w:w="1440" w:type="dxa"/>
            <w:tcBorders>
              <w:top w:val="nil"/>
              <w:left w:val="nil"/>
              <w:bottom w:val="nil"/>
              <w:right w:val="nil"/>
            </w:tcBorders>
          </w:tcPr>
          <w:p w14:paraId="2FB0A16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62DCB4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45DD611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8E20BC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72EA2D5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1CD9C22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-0.0246*</w:t>
            </w:r>
          </w:p>
        </w:tc>
      </w:tr>
      <w:tr w:rsidR="00334689" w:rsidRPr="00055865" w14:paraId="772400B1" w14:textId="77777777" w:rsidTr="005B6FD7">
        <w:trPr>
          <w:jc w:val="center"/>
        </w:trPr>
        <w:tc>
          <w:tcPr>
            <w:tcW w:w="1947" w:type="dxa"/>
            <w:tcBorders>
              <w:top w:val="nil"/>
              <w:left w:val="nil"/>
              <w:bottom w:val="nil"/>
              <w:right w:val="nil"/>
            </w:tcBorders>
          </w:tcPr>
          <w:p w14:paraId="6DFBFEB0"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776698C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600DBD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59FED28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1FE01FF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7437687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0CB0D69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(-1.67)</w:t>
            </w:r>
          </w:p>
        </w:tc>
      </w:tr>
      <w:tr w:rsidR="00334689" w:rsidRPr="00055865" w14:paraId="448CFD42" w14:textId="77777777" w:rsidTr="005B6FD7">
        <w:trPr>
          <w:jc w:val="center"/>
        </w:trPr>
        <w:tc>
          <w:tcPr>
            <w:tcW w:w="1947" w:type="dxa"/>
            <w:tcBorders>
              <w:top w:val="nil"/>
              <w:left w:val="nil"/>
              <w:bottom w:val="nil"/>
              <w:right w:val="nil"/>
            </w:tcBorders>
          </w:tcPr>
          <w:p w14:paraId="3B3B70D9"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Size</w:t>
            </w:r>
          </w:p>
        </w:tc>
        <w:tc>
          <w:tcPr>
            <w:tcW w:w="1440" w:type="dxa"/>
            <w:tcBorders>
              <w:top w:val="nil"/>
              <w:left w:val="nil"/>
              <w:bottom w:val="nil"/>
              <w:right w:val="nil"/>
            </w:tcBorders>
          </w:tcPr>
          <w:p w14:paraId="72651A0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0.0054</w:t>
            </w:r>
          </w:p>
        </w:tc>
        <w:tc>
          <w:tcPr>
            <w:tcW w:w="1440" w:type="dxa"/>
            <w:tcBorders>
              <w:top w:val="nil"/>
              <w:left w:val="nil"/>
              <w:bottom w:val="nil"/>
              <w:right w:val="nil"/>
            </w:tcBorders>
          </w:tcPr>
          <w:p w14:paraId="2BA59A8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0.0125</w:t>
            </w:r>
          </w:p>
        </w:tc>
        <w:tc>
          <w:tcPr>
            <w:tcW w:w="1440" w:type="dxa"/>
            <w:tcBorders>
              <w:top w:val="nil"/>
              <w:left w:val="nil"/>
              <w:bottom w:val="nil"/>
              <w:right w:val="nil"/>
            </w:tcBorders>
          </w:tcPr>
          <w:p w14:paraId="0B24ED7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0.0001</w:t>
            </w:r>
          </w:p>
        </w:tc>
        <w:tc>
          <w:tcPr>
            <w:tcW w:w="1440" w:type="dxa"/>
            <w:tcBorders>
              <w:top w:val="nil"/>
              <w:left w:val="nil"/>
              <w:bottom w:val="nil"/>
              <w:right w:val="nil"/>
            </w:tcBorders>
          </w:tcPr>
          <w:p w14:paraId="22B6438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0.0017</w:t>
            </w:r>
          </w:p>
        </w:tc>
        <w:tc>
          <w:tcPr>
            <w:tcW w:w="1440" w:type="dxa"/>
            <w:tcBorders>
              <w:top w:val="nil"/>
              <w:left w:val="nil"/>
              <w:bottom w:val="nil"/>
              <w:right w:val="nil"/>
            </w:tcBorders>
          </w:tcPr>
          <w:p w14:paraId="454930F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0.0048</w:t>
            </w:r>
          </w:p>
        </w:tc>
        <w:tc>
          <w:tcPr>
            <w:tcW w:w="1440" w:type="dxa"/>
            <w:tcBorders>
              <w:top w:val="nil"/>
              <w:left w:val="nil"/>
              <w:bottom w:val="nil"/>
              <w:right w:val="nil"/>
            </w:tcBorders>
          </w:tcPr>
          <w:p w14:paraId="23E9346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-0.0064</w:t>
            </w:r>
          </w:p>
        </w:tc>
      </w:tr>
      <w:tr w:rsidR="00334689" w:rsidRPr="00055865" w14:paraId="08B7E422" w14:textId="77777777" w:rsidTr="005B6FD7">
        <w:trPr>
          <w:jc w:val="center"/>
        </w:trPr>
        <w:tc>
          <w:tcPr>
            <w:tcW w:w="1947" w:type="dxa"/>
            <w:tcBorders>
              <w:top w:val="nil"/>
              <w:left w:val="nil"/>
              <w:bottom w:val="nil"/>
              <w:right w:val="nil"/>
            </w:tcBorders>
          </w:tcPr>
          <w:p w14:paraId="6FDCA7A3"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7F18102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(0.22)</w:t>
            </w:r>
          </w:p>
        </w:tc>
        <w:tc>
          <w:tcPr>
            <w:tcW w:w="1440" w:type="dxa"/>
            <w:tcBorders>
              <w:top w:val="nil"/>
              <w:left w:val="nil"/>
              <w:bottom w:val="nil"/>
              <w:right w:val="nil"/>
            </w:tcBorders>
          </w:tcPr>
          <w:p w14:paraId="593160D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(0.49)</w:t>
            </w:r>
          </w:p>
        </w:tc>
        <w:tc>
          <w:tcPr>
            <w:tcW w:w="1440" w:type="dxa"/>
            <w:tcBorders>
              <w:top w:val="nil"/>
              <w:left w:val="nil"/>
              <w:bottom w:val="nil"/>
              <w:right w:val="nil"/>
            </w:tcBorders>
          </w:tcPr>
          <w:p w14:paraId="565D17D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(0.01)</w:t>
            </w:r>
          </w:p>
        </w:tc>
        <w:tc>
          <w:tcPr>
            <w:tcW w:w="1440" w:type="dxa"/>
            <w:tcBorders>
              <w:top w:val="nil"/>
              <w:left w:val="nil"/>
              <w:bottom w:val="nil"/>
              <w:right w:val="nil"/>
            </w:tcBorders>
          </w:tcPr>
          <w:p w14:paraId="4C69212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(0.07)</w:t>
            </w:r>
          </w:p>
        </w:tc>
        <w:tc>
          <w:tcPr>
            <w:tcW w:w="1440" w:type="dxa"/>
            <w:tcBorders>
              <w:top w:val="nil"/>
              <w:left w:val="nil"/>
              <w:bottom w:val="nil"/>
              <w:right w:val="nil"/>
            </w:tcBorders>
          </w:tcPr>
          <w:p w14:paraId="78297A8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(0.20)</w:t>
            </w:r>
          </w:p>
        </w:tc>
        <w:tc>
          <w:tcPr>
            <w:tcW w:w="1440" w:type="dxa"/>
            <w:tcBorders>
              <w:top w:val="nil"/>
              <w:left w:val="nil"/>
              <w:bottom w:val="nil"/>
              <w:right w:val="nil"/>
            </w:tcBorders>
          </w:tcPr>
          <w:p w14:paraId="6A4F8BE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(-0.27)</w:t>
            </w:r>
          </w:p>
        </w:tc>
      </w:tr>
      <w:tr w:rsidR="00334689" w:rsidRPr="00055865" w14:paraId="0E5D63F5" w14:textId="77777777" w:rsidTr="005B6FD7">
        <w:trPr>
          <w:jc w:val="center"/>
        </w:trPr>
        <w:tc>
          <w:tcPr>
            <w:tcW w:w="1947" w:type="dxa"/>
            <w:tcBorders>
              <w:top w:val="nil"/>
              <w:left w:val="nil"/>
              <w:bottom w:val="nil"/>
              <w:right w:val="nil"/>
            </w:tcBorders>
          </w:tcPr>
          <w:p w14:paraId="11B7A872"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Liquidity</w:t>
            </w:r>
          </w:p>
        </w:tc>
        <w:tc>
          <w:tcPr>
            <w:tcW w:w="1440" w:type="dxa"/>
            <w:tcBorders>
              <w:top w:val="nil"/>
              <w:left w:val="nil"/>
              <w:bottom w:val="nil"/>
              <w:right w:val="nil"/>
            </w:tcBorders>
          </w:tcPr>
          <w:p w14:paraId="4DC5EAD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0.1550***</w:t>
            </w:r>
          </w:p>
        </w:tc>
        <w:tc>
          <w:tcPr>
            <w:tcW w:w="1440" w:type="dxa"/>
            <w:tcBorders>
              <w:top w:val="nil"/>
              <w:left w:val="nil"/>
              <w:bottom w:val="nil"/>
              <w:right w:val="nil"/>
            </w:tcBorders>
          </w:tcPr>
          <w:p w14:paraId="3CCE1FC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0.1430***</w:t>
            </w:r>
          </w:p>
        </w:tc>
        <w:tc>
          <w:tcPr>
            <w:tcW w:w="1440" w:type="dxa"/>
            <w:tcBorders>
              <w:top w:val="nil"/>
              <w:left w:val="nil"/>
              <w:bottom w:val="nil"/>
              <w:right w:val="nil"/>
            </w:tcBorders>
          </w:tcPr>
          <w:p w14:paraId="4AA5020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0.151***</w:t>
            </w:r>
          </w:p>
        </w:tc>
        <w:tc>
          <w:tcPr>
            <w:tcW w:w="1440" w:type="dxa"/>
            <w:tcBorders>
              <w:top w:val="nil"/>
              <w:left w:val="nil"/>
              <w:bottom w:val="nil"/>
              <w:right w:val="nil"/>
            </w:tcBorders>
          </w:tcPr>
          <w:p w14:paraId="374CD63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0.1580***</w:t>
            </w:r>
          </w:p>
        </w:tc>
        <w:tc>
          <w:tcPr>
            <w:tcW w:w="1440" w:type="dxa"/>
            <w:tcBorders>
              <w:top w:val="nil"/>
              <w:left w:val="nil"/>
              <w:bottom w:val="nil"/>
              <w:right w:val="nil"/>
            </w:tcBorders>
          </w:tcPr>
          <w:p w14:paraId="19C2AA8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0.150***</w:t>
            </w:r>
          </w:p>
        </w:tc>
        <w:tc>
          <w:tcPr>
            <w:tcW w:w="1440" w:type="dxa"/>
            <w:tcBorders>
              <w:top w:val="nil"/>
              <w:left w:val="nil"/>
              <w:bottom w:val="nil"/>
              <w:right w:val="nil"/>
            </w:tcBorders>
          </w:tcPr>
          <w:p w14:paraId="5C1435B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0.1560***</w:t>
            </w:r>
          </w:p>
        </w:tc>
      </w:tr>
      <w:tr w:rsidR="00334689" w:rsidRPr="00055865" w14:paraId="7290AE9F" w14:textId="77777777" w:rsidTr="005B6FD7">
        <w:trPr>
          <w:jc w:val="center"/>
        </w:trPr>
        <w:tc>
          <w:tcPr>
            <w:tcW w:w="1947" w:type="dxa"/>
            <w:tcBorders>
              <w:top w:val="nil"/>
              <w:left w:val="nil"/>
              <w:bottom w:val="nil"/>
              <w:right w:val="nil"/>
            </w:tcBorders>
          </w:tcPr>
          <w:p w14:paraId="2FD06381"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688619D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(4.37)</w:t>
            </w:r>
          </w:p>
        </w:tc>
        <w:tc>
          <w:tcPr>
            <w:tcW w:w="1440" w:type="dxa"/>
            <w:tcBorders>
              <w:top w:val="nil"/>
              <w:left w:val="nil"/>
              <w:bottom w:val="nil"/>
              <w:right w:val="nil"/>
            </w:tcBorders>
          </w:tcPr>
          <w:p w14:paraId="7B9B107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(4.01)</w:t>
            </w:r>
          </w:p>
        </w:tc>
        <w:tc>
          <w:tcPr>
            <w:tcW w:w="1440" w:type="dxa"/>
            <w:tcBorders>
              <w:top w:val="nil"/>
              <w:left w:val="nil"/>
              <w:bottom w:val="nil"/>
              <w:right w:val="nil"/>
            </w:tcBorders>
          </w:tcPr>
          <w:p w14:paraId="06D4B07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(4.27)</w:t>
            </w:r>
          </w:p>
        </w:tc>
        <w:tc>
          <w:tcPr>
            <w:tcW w:w="1440" w:type="dxa"/>
            <w:tcBorders>
              <w:top w:val="nil"/>
              <w:left w:val="nil"/>
              <w:bottom w:val="nil"/>
              <w:right w:val="nil"/>
            </w:tcBorders>
          </w:tcPr>
          <w:p w14:paraId="2883182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(4.53)</w:t>
            </w:r>
          </w:p>
        </w:tc>
        <w:tc>
          <w:tcPr>
            <w:tcW w:w="1440" w:type="dxa"/>
            <w:tcBorders>
              <w:top w:val="nil"/>
              <w:left w:val="nil"/>
              <w:bottom w:val="nil"/>
              <w:right w:val="nil"/>
            </w:tcBorders>
          </w:tcPr>
          <w:p w14:paraId="4842763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(4.27)</w:t>
            </w:r>
          </w:p>
        </w:tc>
        <w:tc>
          <w:tcPr>
            <w:tcW w:w="1440" w:type="dxa"/>
            <w:tcBorders>
              <w:top w:val="nil"/>
              <w:left w:val="nil"/>
              <w:bottom w:val="nil"/>
              <w:right w:val="nil"/>
            </w:tcBorders>
          </w:tcPr>
          <w:p w14:paraId="38BE2B5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(4.50)</w:t>
            </w:r>
          </w:p>
        </w:tc>
      </w:tr>
      <w:tr w:rsidR="00334689" w:rsidRPr="00055865" w14:paraId="14BA9EE0" w14:textId="77777777" w:rsidTr="005B6FD7">
        <w:trPr>
          <w:jc w:val="center"/>
        </w:trPr>
        <w:tc>
          <w:tcPr>
            <w:tcW w:w="1947" w:type="dxa"/>
            <w:tcBorders>
              <w:top w:val="nil"/>
              <w:left w:val="nil"/>
              <w:bottom w:val="nil"/>
              <w:right w:val="nil"/>
            </w:tcBorders>
          </w:tcPr>
          <w:p w14:paraId="3387EEB1"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Gearing</w:t>
            </w:r>
          </w:p>
        </w:tc>
        <w:tc>
          <w:tcPr>
            <w:tcW w:w="1440" w:type="dxa"/>
            <w:tcBorders>
              <w:top w:val="nil"/>
              <w:left w:val="nil"/>
              <w:bottom w:val="nil"/>
              <w:right w:val="nil"/>
            </w:tcBorders>
          </w:tcPr>
          <w:p w14:paraId="00DCC98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-0.0582**</w:t>
            </w:r>
          </w:p>
        </w:tc>
        <w:tc>
          <w:tcPr>
            <w:tcW w:w="1440" w:type="dxa"/>
            <w:tcBorders>
              <w:top w:val="nil"/>
              <w:left w:val="nil"/>
              <w:bottom w:val="nil"/>
              <w:right w:val="nil"/>
            </w:tcBorders>
          </w:tcPr>
          <w:p w14:paraId="312D0A7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-0.0597**</w:t>
            </w:r>
          </w:p>
        </w:tc>
        <w:tc>
          <w:tcPr>
            <w:tcW w:w="1440" w:type="dxa"/>
            <w:tcBorders>
              <w:top w:val="nil"/>
              <w:left w:val="nil"/>
              <w:bottom w:val="nil"/>
              <w:right w:val="nil"/>
            </w:tcBorders>
          </w:tcPr>
          <w:p w14:paraId="27F7C58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-0.0522**</w:t>
            </w:r>
          </w:p>
        </w:tc>
        <w:tc>
          <w:tcPr>
            <w:tcW w:w="1440" w:type="dxa"/>
            <w:tcBorders>
              <w:top w:val="nil"/>
              <w:left w:val="nil"/>
              <w:bottom w:val="nil"/>
              <w:right w:val="nil"/>
            </w:tcBorders>
          </w:tcPr>
          <w:p w14:paraId="6760F3B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-0.0549**</w:t>
            </w:r>
          </w:p>
        </w:tc>
        <w:tc>
          <w:tcPr>
            <w:tcW w:w="1440" w:type="dxa"/>
            <w:tcBorders>
              <w:top w:val="nil"/>
              <w:left w:val="nil"/>
              <w:bottom w:val="nil"/>
              <w:right w:val="nil"/>
            </w:tcBorders>
          </w:tcPr>
          <w:p w14:paraId="0D73844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-0.0570**</w:t>
            </w:r>
          </w:p>
        </w:tc>
        <w:tc>
          <w:tcPr>
            <w:tcW w:w="1440" w:type="dxa"/>
            <w:tcBorders>
              <w:top w:val="nil"/>
              <w:left w:val="nil"/>
              <w:bottom w:val="nil"/>
              <w:right w:val="nil"/>
            </w:tcBorders>
          </w:tcPr>
          <w:p w14:paraId="23A53A4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-0.0490**</w:t>
            </w:r>
          </w:p>
        </w:tc>
      </w:tr>
      <w:tr w:rsidR="00334689" w:rsidRPr="00055865" w14:paraId="16E24573" w14:textId="77777777" w:rsidTr="005B6FD7">
        <w:trPr>
          <w:jc w:val="center"/>
        </w:trPr>
        <w:tc>
          <w:tcPr>
            <w:tcW w:w="1947" w:type="dxa"/>
            <w:tcBorders>
              <w:top w:val="nil"/>
              <w:left w:val="nil"/>
              <w:bottom w:val="nil"/>
              <w:right w:val="nil"/>
            </w:tcBorders>
          </w:tcPr>
          <w:p w14:paraId="566DB75D"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4A20494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(-2.46)</w:t>
            </w:r>
          </w:p>
        </w:tc>
        <w:tc>
          <w:tcPr>
            <w:tcW w:w="1440" w:type="dxa"/>
            <w:tcBorders>
              <w:top w:val="nil"/>
              <w:left w:val="nil"/>
              <w:bottom w:val="nil"/>
              <w:right w:val="nil"/>
            </w:tcBorders>
          </w:tcPr>
          <w:p w14:paraId="53A7B7C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(-2.50)</w:t>
            </w:r>
          </w:p>
        </w:tc>
        <w:tc>
          <w:tcPr>
            <w:tcW w:w="1440" w:type="dxa"/>
            <w:tcBorders>
              <w:top w:val="nil"/>
              <w:left w:val="nil"/>
              <w:bottom w:val="nil"/>
              <w:right w:val="nil"/>
            </w:tcBorders>
          </w:tcPr>
          <w:p w14:paraId="644233B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(-2.25)</w:t>
            </w:r>
          </w:p>
        </w:tc>
        <w:tc>
          <w:tcPr>
            <w:tcW w:w="1440" w:type="dxa"/>
            <w:tcBorders>
              <w:top w:val="nil"/>
              <w:left w:val="nil"/>
              <w:bottom w:val="nil"/>
              <w:right w:val="nil"/>
            </w:tcBorders>
          </w:tcPr>
          <w:p w14:paraId="5AC6FF4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(-2.34)</w:t>
            </w:r>
          </w:p>
        </w:tc>
        <w:tc>
          <w:tcPr>
            <w:tcW w:w="1440" w:type="dxa"/>
            <w:tcBorders>
              <w:top w:val="nil"/>
              <w:left w:val="nil"/>
              <w:bottom w:val="nil"/>
              <w:right w:val="nil"/>
            </w:tcBorders>
          </w:tcPr>
          <w:p w14:paraId="1F3CDE3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(-2.40)</w:t>
            </w:r>
          </w:p>
        </w:tc>
        <w:tc>
          <w:tcPr>
            <w:tcW w:w="1440" w:type="dxa"/>
            <w:tcBorders>
              <w:top w:val="nil"/>
              <w:left w:val="nil"/>
              <w:bottom w:val="nil"/>
              <w:right w:val="nil"/>
            </w:tcBorders>
          </w:tcPr>
          <w:p w14:paraId="7D25315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(-2.07)</w:t>
            </w:r>
          </w:p>
        </w:tc>
      </w:tr>
      <w:tr w:rsidR="00334689" w:rsidRPr="00055865" w14:paraId="181C7934" w14:textId="77777777" w:rsidTr="005B6FD7">
        <w:trPr>
          <w:jc w:val="center"/>
        </w:trPr>
        <w:tc>
          <w:tcPr>
            <w:tcW w:w="1947" w:type="dxa"/>
            <w:tcBorders>
              <w:top w:val="nil"/>
              <w:left w:val="nil"/>
              <w:bottom w:val="nil"/>
              <w:right w:val="nil"/>
            </w:tcBorders>
          </w:tcPr>
          <w:p w14:paraId="018F0FD8"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Board Size</w:t>
            </w:r>
          </w:p>
        </w:tc>
        <w:tc>
          <w:tcPr>
            <w:tcW w:w="1440" w:type="dxa"/>
            <w:tcBorders>
              <w:top w:val="nil"/>
              <w:left w:val="nil"/>
              <w:bottom w:val="nil"/>
              <w:right w:val="nil"/>
            </w:tcBorders>
          </w:tcPr>
          <w:p w14:paraId="685F746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-0.0390</w:t>
            </w:r>
          </w:p>
        </w:tc>
        <w:tc>
          <w:tcPr>
            <w:tcW w:w="1440" w:type="dxa"/>
            <w:tcBorders>
              <w:top w:val="nil"/>
              <w:left w:val="nil"/>
              <w:bottom w:val="nil"/>
              <w:right w:val="nil"/>
            </w:tcBorders>
          </w:tcPr>
          <w:p w14:paraId="3100C62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-0.0360</w:t>
            </w:r>
          </w:p>
        </w:tc>
        <w:tc>
          <w:tcPr>
            <w:tcW w:w="1440" w:type="dxa"/>
            <w:tcBorders>
              <w:top w:val="nil"/>
              <w:left w:val="nil"/>
              <w:bottom w:val="nil"/>
              <w:right w:val="nil"/>
            </w:tcBorders>
          </w:tcPr>
          <w:p w14:paraId="05BF3A8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-0.0277</w:t>
            </w:r>
          </w:p>
        </w:tc>
        <w:tc>
          <w:tcPr>
            <w:tcW w:w="1440" w:type="dxa"/>
            <w:tcBorders>
              <w:top w:val="nil"/>
              <w:left w:val="nil"/>
              <w:bottom w:val="nil"/>
              <w:right w:val="nil"/>
            </w:tcBorders>
          </w:tcPr>
          <w:p w14:paraId="143473B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-0.0473*</w:t>
            </w:r>
          </w:p>
        </w:tc>
        <w:tc>
          <w:tcPr>
            <w:tcW w:w="1440" w:type="dxa"/>
            <w:tcBorders>
              <w:top w:val="nil"/>
              <w:left w:val="nil"/>
              <w:bottom w:val="nil"/>
              <w:right w:val="nil"/>
            </w:tcBorders>
          </w:tcPr>
          <w:p w14:paraId="3B4892F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-0.0296</w:t>
            </w:r>
          </w:p>
        </w:tc>
        <w:tc>
          <w:tcPr>
            <w:tcW w:w="1440" w:type="dxa"/>
            <w:tcBorders>
              <w:top w:val="nil"/>
              <w:left w:val="nil"/>
              <w:bottom w:val="nil"/>
              <w:right w:val="nil"/>
            </w:tcBorders>
          </w:tcPr>
          <w:p w14:paraId="6A3BEDB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-0.0438</w:t>
            </w:r>
          </w:p>
        </w:tc>
      </w:tr>
      <w:tr w:rsidR="00334689" w:rsidRPr="00055865" w14:paraId="4659DA6D" w14:textId="77777777" w:rsidTr="005B6FD7">
        <w:trPr>
          <w:jc w:val="center"/>
        </w:trPr>
        <w:tc>
          <w:tcPr>
            <w:tcW w:w="1947" w:type="dxa"/>
            <w:tcBorders>
              <w:top w:val="nil"/>
              <w:left w:val="nil"/>
              <w:bottom w:val="nil"/>
              <w:right w:val="nil"/>
            </w:tcBorders>
          </w:tcPr>
          <w:p w14:paraId="176277F1"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37A006E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(-1.42)</w:t>
            </w:r>
          </w:p>
        </w:tc>
        <w:tc>
          <w:tcPr>
            <w:tcW w:w="1440" w:type="dxa"/>
            <w:tcBorders>
              <w:top w:val="nil"/>
              <w:left w:val="nil"/>
              <w:bottom w:val="nil"/>
              <w:right w:val="nil"/>
            </w:tcBorders>
          </w:tcPr>
          <w:p w14:paraId="1136C30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(-1.30)</w:t>
            </w:r>
          </w:p>
        </w:tc>
        <w:tc>
          <w:tcPr>
            <w:tcW w:w="1440" w:type="dxa"/>
            <w:tcBorders>
              <w:top w:val="nil"/>
              <w:left w:val="nil"/>
              <w:bottom w:val="nil"/>
              <w:right w:val="nil"/>
            </w:tcBorders>
          </w:tcPr>
          <w:p w14:paraId="7CE408C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(-0.98)</w:t>
            </w:r>
          </w:p>
        </w:tc>
        <w:tc>
          <w:tcPr>
            <w:tcW w:w="1440" w:type="dxa"/>
            <w:tcBorders>
              <w:top w:val="nil"/>
              <w:left w:val="nil"/>
              <w:bottom w:val="nil"/>
              <w:right w:val="nil"/>
            </w:tcBorders>
          </w:tcPr>
          <w:p w14:paraId="5332A1F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(-1.67)</w:t>
            </w:r>
          </w:p>
        </w:tc>
        <w:tc>
          <w:tcPr>
            <w:tcW w:w="1440" w:type="dxa"/>
            <w:tcBorders>
              <w:top w:val="nil"/>
              <w:left w:val="nil"/>
              <w:bottom w:val="nil"/>
              <w:right w:val="nil"/>
            </w:tcBorders>
          </w:tcPr>
          <w:p w14:paraId="587BBC5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(-1.05)</w:t>
            </w:r>
          </w:p>
        </w:tc>
        <w:tc>
          <w:tcPr>
            <w:tcW w:w="1440" w:type="dxa"/>
            <w:tcBorders>
              <w:top w:val="nil"/>
              <w:left w:val="nil"/>
              <w:bottom w:val="nil"/>
              <w:right w:val="nil"/>
            </w:tcBorders>
          </w:tcPr>
          <w:p w14:paraId="1DF475D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(-1.60)</w:t>
            </w:r>
          </w:p>
        </w:tc>
      </w:tr>
      <w:tr w:rsidR="00334689" w:rsidRPr="00055865" w14:paraId="2753F9C2" w14:textId="77777777" w:rsidTr="005B6FD7">
        <w:trPr>
          <w:jc w:val="center"/>
        </w:trPr>
        <w:tc>
          <w:tcPr>
            <w:tcW w:w="1947" w:type="dxa"/>
            <w:tcBorders>
              <w:top w:val="nil"/>
              <w:left w:val="nil"/>
              <w:bottom w:val="nil"/>
              <w:right w:val="nil"/>
            </w:tcBorders>
          </w:tcPr>
          <w:p w14:paraId="001D6437"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NEDS</w:t>
            </w:r>
          </w:p>
        </w:tc>
        <w:tc>
          <w:tcPr>
            <w:tcW w:w="1440" w:type="dxa"/>
            <w:tcBorders>
              <w:top w:val="nil"/>
              <w:left w:val="nil"/>
              <w:bottom w:val="nil"/>
              <w:right w:val="nil"/>
            </w:tcBorders>
          </w:tcPr>
          <w:p w14:paraId="029A329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0.0381</w:t>
            </w:r>
          </w:p>
        </w:tc>
        <w:tc>
          <w:tcPr>
            <w:tcW w:w="1440" w:type="dxa"/>
            <w:tcBorders>
              <w:top w:val="nil"/>
              <w:left w:val="nil"/>
              <w:bottom w:val="nil"/>
              <w:right w:val="nil"/>
            </w:tcBorders>
          </w:tcPr>
          <w:p w14:paraId="70930BC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0.0356</w:t>
            </w:r>
          </w:p>
        </w:tc>
        <w:tc>
          <w:tcPr>
            <w:tcW w:w="1440" w:type="dxa"/>
            <w:tcBorders>
              <w:top w:val="nil"/>
              <w:left w:val="nil"/>
              <w:bottom w:val="nil"/>
              <w:right w:val="nil"/>
            </w:tcBorders>
          </w:tcPr>
          <w:p w14:paraId="543748A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0.0250</w:t>
            </w:r>
          </w:p>
        </w:tc>
        <w:tc>
          <w:tcPr>
            <w:tcW w:w="1440" w:type="dxa"/>
            <w:tcBorders>
              <w:top w:val="nil"/>
              <w:left w:val="nil"/>
              <w:bottom w:val="nil"/>
              <w:right w:val="nil"/>
            </w:tcBorders>
          </w:tcPr>
          <w:p w14:paraId="67EB801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0.0467</w:t>
            </w:r>
          </w:p>
        </w:tc>
        <w:tc>
          <w:tcPr>
            <w:tcW w:w="1440" w:type="dxa"/>
            <w:tcBorders>
              <w:top w:val="nil"/>
              <w:left w:val="nil"/>
              <w:bottom w:val="nil"/>
              <w:right w:val="nil"/>
            </w:tcBorders>
          </w:tcPr>
          <w:p w14:paraId="509DE67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0.0276</w:t>
            </w:r>
          </w:p>
        </w:tc>
        <w:tc>
          <w:tcPr>
            <w:tcW w:w="1440" w:type="dxa"/>
            <w:tcBorders>
              <w:top w:val="nil"/>
              <w:left w:val="nil"/>
              <w:bottom w:val="nil"/>
              <w:right w:val="nil"/>
            </w:tcBorders>
          </w:tcPr>
          <w:p w14:paraId="54A05E7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0.0412</w:t>
            </w:r>
          </w:p>
        </w:tc>
      </w:tr>
      <w:tr w:rsidR="00334689" w:rsidRPr="00055865" w14:paraId="5F8CF464" w14:textId="77777777" w:rsidTr="005B6FD7">
        <w:trPr>
          <w:jc w:val="center"/>
        </w:trPr>
        <w:tc>
          <w:tcPr>
            <w:tcW w:w="1947" w:type="dxa"/>
            <w:tcBorders>
              <w:top w:val="nil"/>
              <w:left w:val="nil"/>
              <w:bottom w:val="nil"/>
              <w:right w:val="nil"/>
            </w:tcBorders>
          </w:tcPr>
          <w:p w14:paraId="5BA13FBF"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54176C0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(1.20)</w:t>
            </w:r>
          </w:p>
        </w:tc>
        <w:tc>
          <w:tcPr>
            <w:tcW w:w="1440" w:type="dxa"/>
            <w:tcBorders>
              <w:top w:val="nil"/>
              <w:left w:val="nil"/>
              <w:bottom w:val="nil"/>
              <w:right w:val="nil"/>
            </w:tcBorders>
          </w:tcPr>
          <w:p w14:paraId="2198737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(1.09)</w:t>
            </w:r>
          </w:p>
        </w:tc>
        <w:tc>
          <w:tcPr>
            <w:tcW w:w="1440" w:type="dxa"/>
            <w:tcBorders>
              <w:top w:val="nil"/>
              <w:left w:val="nil"/>
              <w:bottom w:val="nil"/>
              <w:right w:val="nil"/>
            </w:tcBorders>
          </w:tcPr>
          <w:p w14:paraId="70920F5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(0.79)</w:t>
            </w:r>
          </w:p>
        </w:tc>
        <w:tc>
          <w:tcPr>
            <w:tcW w:w="1440" w:type="dxa"/>
            <w:tcBorders>
              <w:top w:val="nil"/>
              <w:left w:val="nil"/>
              <w:bottom w:val="nil"/>
              <w:right w:val="nil"/>
            </w:tcBorders>
          </w:tcPr>
          <w:p w14:paraId="2E63738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(1.41)</w:t>
            </w:r>
          </w:p>
        </w:tc>
        <w:tc>
          <w:tcPr>
            <w:tcW w:w="1440" w:type="dxa"/>
            <w:tcBorders>
              <w:top w:val="nil"/>
              <w:left w:val="nil"/>
              <w:bottom w:val="nil"/>
              <w:right w:val="nil"/>
            </w:tcBorders>
          </w:tcPr>
          <w:p w14:paraId="385372F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(0.87)</w:t>
            </w:r>
          </w:p>
        </w:tc>
        <w:tc>
          <w:tcPr>
            <w:tcW w:w="1440" w:type="dxa"/>
            <w:tcBorders>
              <w:top w:val="nil"/>
              <w:left w:val="nil"/>
              <w:bottom w:val="nil"/>
              <w:right w:val="nil"/>
            </w:tcBorders>
          </w:tcPr>
          <w:p w14:paraId="746EF3D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(1.32)</w:t>
            </w:r>
          </w:p>
        </w:tc>
      </w:tr>
      <w:tr w:rsidR="00334689" w:rsidRPr="00055865" w14:paraId="1DC98D57" w14:textId="77777777" w:rsidTr="005B6FD7">
        <w:trPr>
          <w:jc w:val="center"/>
        </w:trPr>
        <w:tc>
          <w:tcPr>
            <w:tcW w:w="1947" w:type="dxa"/>
            <w:tcBorders>
              <w:top w:val="nil"/>
              <w:left w:val="nil"/>
              <w:bottom w:val="nil"/>
              <w:right w:val="nil"/>
            </w:tcBorders>
          </w:tcPr>
          <w:p w14:paraId="3D887B37"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CEO Rem</w:t>
            </w:r>
          </w:p>
        </w:tc>
        <w:tc>
          <w:tcPr>
            <w:tcW w:w="1440" w:type="dxa"/>
            <w:tcBorders>
              <w:top w:val="nil"/>
              <w:left w:val="nil"/>
              <w:bottom w:val="nil"/>
              <w:right w:val="nil"/>
            </w:tcBorders>
          </w:tcPr>
          <w:p w14:paraId="37EBD37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0.0593</w:t>
            </w:r>
          </w:p>
        </w:tc>
        <w:tc>
          <w:tcPr>
            <w:tcW w:w="1440" w:type="dxa"/>
            <w:tcBorders>
              <w:top w:val="nil"/>
              <w:left w:val="nil"/>
              <w:bottom w:val="nil"/>
              <w:right w:val="nil"/>
            </w:tcBorders>
          </w:tcPr>
          <w:p w14:paraId="6D1D021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0.0628</w:t>
            </w:r>
          </w:p>
        </w:tc>
        <w:tc>
          <w:tcPr>
            <w:tcW w:w="1440" w:type="dxa"/>
            <w:tcBorders>
              <w:top w:val="nil"/>
              <w:left w:val="nil"/>
              <w:bottom w:val="nil"/>
              <w:right w:val="nil"/>
            </w:tcBorders>
          </w:tcPr>
          <w:p w14:paraId="0CE6994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0.0493</w:t>
            </w:r>
          </w:p>
        </w:tc>
        <w:tc>
          <w:tcPr>
            <w:tcW w:w="1440" w:type="dxa"/>
            <w:tcBorders>
              <w:top w:val="nil"/>
              <w:left w:val="nil"/>
              <w:bottom w:val="nil"/>
              <w:right w:val="nil"/>
            </w:tcBorders>
          </w:tcPr>
          <w:p w14:paraId="0593201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0.0426</w:t>
            </w:r>
          </w:p>
        </w:tc>
        <w:tc>
          <w:tcPr>
            <w:tcW w:w="1440" w:type="dxa"/>
            <w:tcBorders>
              <w:top w:val="nil"/>
              <w:left w:val="nil"/>
              <w:bottom w:val="nil"/>
              <w:right w:val="nil"/>
            </w:tcBorders>
          </w:tcPr>
          <w:p w14:paraId="78440B3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0.0474</w:t>
            </w:r>
          </w:p>
        </w:tc>
        <w:tc>
          <w:tcPr>
            <w:tcW w:w="1440" w:type="dxa"/>
            <w:tcBorders>
              <w:top w:val="nil"/>
              <w:left w:val="nil"/>
              <w:bottom w:val="nil"/>
              <w:right w:val="nil"/>
            </w:tcBorders>
          </w:tcPr>
          <w:p w14:paraId="65703C6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0.0628</w:t>
            </w:r>
          </w:p>
        </w:tc>
      </w:tr>
      <w:tr w:rsidR="00334689" w:rsidRPr="00055865" w14:paraId="6BBF7DAB" w14:textId="77777777" w:rsidTr="005B6FD7">
        <w:trPr>
          <w:jc w:val="center"/>
        </w:trPr>
        <w:tc>
          <w:tcPr>
            <w:tcW w:w="1947" w:type="dxa"/>
            <w:tcBorders>
              <w:top w:val="nil"/>
              <w:left w:val="nil"/>
              <w:bottom w:val="nil"/>
              <w:right w:val="nil"/>
            </w:tcBorders>
          </w:tcPr>
          <w:p w14:paraId="5840013F"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2A7CA20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(1.18)</w:t>
            </w:r>
          </w:p>
        </w:tc>
        <w:tc>
          <w:tcPr>
            <w:tcW w:w="1440" w:type="dxa"/>
            <w:tcBorders>
              <w:top w:val="nil"/>
              <w:left w:val="nil"/>
              <w:bottom w:val="nil"/>
              <w:right w:val="nil"/>
            </w:tcBorders>
          </w:tcPr>
          <w:p w14:paraId="0A60E613"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(1.247)</w:t>
            </w:r>
          </w:p>
        </w:tc>
        <w:tc>
          <w:tcPr>
            <w:tcW w:w="1440" w:type="dxa"/>
            <w:tcBorders>
              <w:top w:val="nil"/>
              <w:left w:val="nil"/>
              <w:bottom w:val="nil"/>
              <w:right w:val="nil"/>
            </w:tcBorders>
          </w:tcPr>
          <w:p w14:paraId="4267203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(0.98)</w:t>
            </w:r>
          </w:p>
        </w:tc>
        <w:tc>
          <w:tcPr>
            <w:tcW w:w="1440" w:type="dxa"/>
            <w:tcBorders>
              <w:top w:val="nil"/>
              <w:left w:val="nil"/>
              <w:bottom w:val="nil"/>
              <w:right w:val="nil"/>
            </w:tcBorders>
          </w:tcPr>
          <w:p w14:paraId="094C02D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(0.86)</w:t>
            </w:r>
          </w:p>
        </w:tc>
        <w:tc>
          <w:tcPr>
            <w:tcW w:w="1440" w:type="dxa"/>
            <w:tcBorders>
              <w:top w:val="nil"/>
              <w:left w:val="nil"/>
              <w:bottom w:val="nil"/>
              <w:right w:val="nil"/>
            </w:tcBorders>
          </w:tcPr>
          <w:p w14:paraId="4415238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(0.94)</w:t>
            </w:r>
          </w:p>
        </w:tc>
        <w:tc>
          <w:tcPr>
            <w:tcW w:w="1440" w:type="dxa"/>
            <w:tcBorders>
              <w:top w:val="nil"/>
              <w:left w:val="nil"/>
              <w:bottom w:val="nil"/>
              <w:right w:val="nil"/>
            </w:tcBorders>
          </w:tcPr>
          <w:p w14:paraId="79FFF74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(1.36)</w:t>
            </w:r>
          </w:p>
        </w:tc>
      </w:tr>
      <w:tr w:rsidR="00334689" w:rsidRPr="00055865" w14:paraId="77A65225" w14:textId="77777777" w:rsidTr="005B6FD7">
        <w:trPr>
          <w:jc w:val="center"/>
        </w:trPr>
        <w:tc>
          <w:tcPr>
            <w:tcW w:w="1947" w:type="dxa"/>
            <w:tcBorders>
              <w:top w:val="nil"/>
              <w:left w:val="nil"/>
              <w:bottom w:val="nil"/>
              <w:right w:val="nil"/>
            </w:tcBorders>
          </w:tcPr>
          <w:p w14:paraId="2C44FF9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Industry Effect</w:t>
            </w:r>
          </w:p>
        </w:tc>
        <w:tc>
          <w:tcPr>
            <w:tcW w:w="1440" w:type="dxa"/>
            <w:tcBorders>
              <w:top w:val="nil"/>
              <w:left w:val="nil"/>
              <w:bottom w:val="nil"/>
              <w:right w:val="nil"/>
            </w:tcBorders>
          </w:tcPr>
          <w:p w14:paraId="6E0DD7B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440" w:type="dxa"/>
            <w:tcBorders>
              <w:top w:val="nil"/>
              <w:left w:val="nil"/>
              <w:bottom w:val="nil"/>
              <w:right w:val="nil"/>
            </w:tcBorders>
          </w:tcPr>
          <w:p w14:paraId="2419402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440" w:type="dxa"/>
            <w:tcBorders>
              <w:top w:val="nil"/>
              <w:left w:val="nil"/>
              <w:bottom w:val="nil"/>
              <w:right w:val="nil"/>
            </w:tcBorders>
          </w:tcPr>
          <w:p w14:paraId="77BDF1C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440" w:type="dxa"/>
            <w:tcBorders>
              <w:top w:val="nil"/>
              <w:left w:val="nil"/>
              <w:bottom w:val="nil"/>
              <w:right w:val="nil"/>
            </w:tcBorders>
          </w:tcPr>
          <w:p w14:paraId="4CF042B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440" w:type="dxa"/>
            <w:tcBorders>
              <w:top w:val="nil"/>
              <w:left w:val="nil"/>
              <w:bottom w:val="nil"/>
              <w:right w:val="nil"/>
            </w:tcBorders>
          </w:tcPr>
          <w:p w14:paraId="383B6887"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440" w:type="dxa"/>
            <w:tcBorders>
              <w:top w:val="nil"/>
              <w:left w:val="nil"/>
              <w:bottom w:val="nil"/>
              <w:right w:val="nil"/>
            </w:tcBorders>
          </w:tcPr>
          <w:p w14:paraId="5A25CFE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r>
      <w:tr w:rsidR="00334689" w:rsidRPr="00055865" w14:paraId="6B6E30C7" w14:textId="77777777" w:rsidTr="005B6FD7">
        <w:trPr>
          <w:jc w:val="center"/>
        </w:trPr>
        <w:tc>
          <w:tcPr>
            <w:tcW w:w="1947" w:type="dxa"/>
            <w:tcBorders>
              <w:top w:val="nil"/>
              <w:left w:val="nil"/>
              <w:bottom w:val="nil"/>
              <w:right w:val="nil"/>
            </w:tcBorders>
          </w:tcPr>
          <w:p w14:paraId="42AA453C"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Year Effect </w:t>
            </w:r>
          </w:p>
        </w:tc>
        <w:tc>
          <w:tcPr>
            <w:tcW w:w="1440" w:type="dxa"/>
            <w:tcBorders>
              <w:top w:val="nil"/>
              <w:left w:val="nil"/>
              <w:bottom w:val="nil"/>
              <w:right w:val="nil"/>
            </w:tcBorders>
          </w:tcPr>
          <w:p w14:paraId="192EE8F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440" w:type="dxa"/>
            <w:tcBorders>
              <w:top w:val="nil"/>
              <w:left w:val="nil"/>
              <w:bottom w:val="nil"/>
              <w:right w:val="nil"/>
            </w:tcBorders>
          </w:tcPr>
          <w:p w14:paraId="37AB065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440" w:type="dxa"/>
            <w:tcBorders>
              <w:top w:val="nil"/>
              <w:left w:val="nil"/>
              <w:bottom w:val="nil"/>
              <w:right w:val="nil"/>
            </w:tcBorders>
          </w:tcPr>
          <w:p w14:paraId="3720336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440" w:type="dxa"/>
            <w:tcBorders>
              <w:top w:val="nil"/>
              <w:left w:val="nil"/>
              <w:bottom w:val="nil"/>
              <w:right w:val="nil"/>
            </w:tcBorders>
          </w:tcPr>
          <w:p w14:paraId="69615F9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440" w:type="dxa"/>
            <w:tcBorders>
              <w:top w:val="nil"/>
              <w:left w:val="nil"/>
              <w:bottom w:val="nil"/>
              <w:right w:val="nil"/>
            </w:tcBorders>
          </w:tcPr>
          <w:p w14:paraId="579D2E3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c>
          <w:tcPr>
            <w:tcW w:w="1440" w:type="dxa"/>
            <w:tcBorders>
              <w:top w:val="nil"/>
              <w:left w:val="nil"/>
              <w:bottom w:val="nil"/>
              <w:right w:val="nil"/>
            </w:tcBorders>
          </w:tcPr>
          <w:p w14:paraId="4404138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Yes</w:t>
            </w:r>
          </w:p>
        </w:tc>
      </w:tr>
      <w:tr w:rsidR="00334689" w:rsidRPr="00055865" w14:paraId="212D47A0" w14:textId="77777777" w:rsidTr="005B6FD7">
        <w:trPr>
          <w:jc w:val="center"/>
        </w:trPr>
        <w:tc>
          <w:tcPr>
            <w:tcW w:w="1947" w:type="dxa"/>
            <w:tcBorders>
              <w:top w:val="nil"/>
              <w:left w:val="nil"/>
              <w:bottom w:val="nil"/>
              <w:right w:val="nil"/>
            </w:tcBorders>
          </w:tcPr>
          <w:p w14:paraId="7D524377"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Observation</w:t>
            </w:r>
          </w:p>
        </w:tc>
        <w:tc>
          <w:tcPr>
            <w:tcW w:w="1440" w:type="dxa"/>
            <w:tcBorders>
              <w:top w:val="nil"/>
              <w:left w:val="nil"/>
              <w:bottom w:val="nil"/>
              <w:right w:val="nil"/>
            </w:tcBorders>
          </w:tcPr>
          <w:p w14:paraId="57F33220"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720</w:t>
            </w:r>
          </w:p>
        </w:tc>
        <w:tc>
          <w:tcPr>
            <w:tcW w:w="1440" w:type="dxa"/>
            <w:tcBorders>
              <w:top w:val="nil"/>
              <w:left w:val="nil"/>
              <w:bottom w:val="nil"/>
              <w:right w:val="nil"/>
            </w:tcBorders>
          </w:tcPr>
          <w:p w14:paraId="27D6E63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720</w:t>
            </w:r>
          </w:p>
        </w:tc>
        <w:tc>
          <w:tcPr>
            <w:tcW w:w="1440" w:type="dxa"/>
            <w:tcBorders>
              <w:top w:val="nil"/>
              <w:left w:val="nil"/>
              <w:bottom w:val="nil"/>
              <w:right w:val="nil"/>
            </w:tcBorders>
          </w:tcPr>
          <w:p w14:paraId="7A4BB29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719</w:t>
            </w:r>
          </w:p>
        </w:tc>
        <w:tc>
          <w:tcPr>
            <w:tcW w:w="1440" w:type="dxa"/>
            <w:tcBorders>
              <w:top w:val="nil"/>
              <w:left w:val="nil"/>
              <w:bottom w:val="nil"/>
              <w:right w:val="nil"/>
            </w:tcBorders>
          </w:tcPr>
          <w:p w14:paraId="450F0B1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719</w:t>
            </w:r>
          </w:p>
        </w:tc>
        <w:tc>
          <w:tcPr>
            <w:tcW w:w="1440" w:type="dxa"/>
            <w:tcBorders>
              <w:top w:val="nil"/>
              <w:left w:val="nil"/>
              <w:bottom w:val="nil"/>
              <w:right w:val="nil"/>
            </w:tcBorders>
          </w:tcPr>
          <w:p w14:paraId="6D287EA3"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720</w:t>
            </w:r>
          </w:p>
        </w:tc>
        <w:tc>
          <w:tcPr>
            <w:tcW w:w="1440" w:type="dxa"/>
            <w:tcBorders>
              <w:top w:val="nil"/>
              <w:left w:val="nil"/>
              <w:bottom w:val="nil"/>
              <w:right w:val="nil"/>
            </w:tcBorders>
          </w:tcPr>
          <w:p w14:paraId="458F2FE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719</w:t>
            </w:r>
          </w:p>
        </w:tc>
      </w:tr>
      <w:tr w:rsidR="00334689" w:rsidRPr="00055865" w14:paraId="325CBDC8" w14:textId="77777777" w:rsidTr="005B6FD7">
        <w:trPr>
          <w:jc w:val="center"/>
        </w:trPr>
        <w:tc>
          <w:tcPr>
            <w:tcW w:w="1947" w:type="dxa"/>
            <w:tcBorders>
              <w:top w:val="nil"/>
              <w:left w:val="nil"/>
              <w:bottom w:val="nil"/>
              <w:right w:val="nil"/>
            </w:tcBorders>
          </w:tcPr>
          <w:p w14:paraId="61217A0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Adjusted R Squared</w:t>
            </w:r>
          </w:p>
        </w:tc>
        <w:tc>
          <w:tcPr>
            <w:tcW w:w="1440" w:type="dxa"/>
            <w:tcBorders>
              <w:top w:val="nil"/>
              <w:left w:val="nil"/>
              <w:bottom w:val="nil"/>
              <w:right w:val="nil"/>
            </w:tcBorders>
          </w:tcPr>
          <w:p w14:paraId="5C531B2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0.0651</w:t>
            </w:r>
          </w:p>
        </w:tc>
        <w:tc>
          <w:tcPr>
            <w:tcW w:w="1440" w:type="dxa"/>
            <w:tcBorders>
              <w:top w:val="nil"/>
              <w:left w:val="nil"/>
              <w:bottom w:val="nil"/>
              <w:right w:val="nil"/>
            </w:tcBorders>
          </w:tcPr>
          <w:p w14:paraId="7B45CBB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0.0641</w:t>
            </w:r>
          </w:p>
        </w:tc>
        <w:tc>
          <w:tcPr>
            <w:tcW w:w="1440" w:type="dxa"/>
            <w:tcBorders>
              <w:top w:val="nil"/>
              <w:left w:val="nil"/>
              <w:bottom w:val="nil"/>
              <w:right w:val="nil"/>
            </w:tcBorders>
          </w:tcPr>
          <w:p w14:paraId="3FA4DA7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0.0720</w:t>
            </w:r>
          </w:p>
        </w:tc>
        <w:tc>
          <w:tcPr>
            <w:tcW w:w="1440" w:type="dxa"/>
            <w:tcBorders>
              <w:top w:val="nil"/>
              <w:left w:val="nil"/>
              <w:bottom w:val="nil"/>
              <w:right w:val="nil"/>
            </w:tcBorders>
          </w:tcPr>
          <w:p w14:paraId="325DB683"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0.0751</w:t>
            </w:r>
          </w:p>
        </w:tc>
        <w:tc>
          <w:tcPr>
            <w:tcW w:w="1440" w:type="dxa"/>
            <w:tcBorders>
              <w:top w:val="nil"/>
              <w:left w:val="nil"/>
              <w:bottom w:val="nil"/>
              <w:right w:val="nil"/>
            </w:tcBorders>
          </w:tcPr>
          <w:p w14:paraId="502F8AA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0.0682</w:t>
            </w:r>
          </w:p>
        </w:tc>
        <w:tc>
          <w:tcPr>
            <w:tcW w:w="1440" w:type="dxa"/>
            <w:tcBorders>
              <w:top w:val="nil"/>
              <w:left w:val="nil"/>
              <w:bottom w:val="nil"/>
              <w:right w:val="nil"/>
            </w:tcBorders>
          </w:tcPr>
          <w:p w14:paraId="4AE79C1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0.169</w:t>
            </w:r>
          </w:p>
        </w:tc>
      </w:tr>
      <w:tr w:rsidR="00334689" w:rsidRPr="00055865" w14:paraId="7F9924D1" w14:textId="77777777" w:rsidTr="005B6FD7">
        <w:trPr>
          <w:jc w:val="center"/>
        </w:trPr>
        <w:tc>
          <w:tcPr>
            <w:tcW w:w="1947" w:type="dxa"/>
            <w:tcBorders>
              <w:top w:val="nil"/>
              <w:left w:val="nil"/>
              <w:bottom w:val="nil"/>
              <w:right w:val="nil"/>
            </w:tcBorders>
          </w:tcPr>
          <w:p w14:paraId="2AE972CE"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F Statistics</w:t>
            </w:r>
          </w:p>
        </w:tc>
        <w:tc>
          <w:tcPr>
            <w:tcW w:w="1440" w:type="dxa"/>
            <w:tcBorders>
              <w:top w:val="nil"/>
              <w:left w:val="nil"/>
              <w:bottom w:val="nil"/>
              <w:right w:val="nil"/>
            </w:tcBorders>
          </w:tcPr>
          <w:p w14:paraId="58E617C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3.89</w:t>
            </w:r>
          </w:p>
        </w:tc>
        <w:tc>
          <w:tcPr>
            <w:tcW w:w="1440" w:type="dxa"/>
            <w:tcBorders>
              <w:top w:val="nil"/>
              <w:left w:val="nil"/>
              <w:bottom w:val="nil"/>
              <w:right w:val="nil"/>
            </w:tcBorders>
          </w:tcPr>
          <w:p w14:paraId="0E2C4B46"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 xml:space="preserve">          3.80</w:t>
            </w:r>
          </w:p>
        </w:tc>
        <w:tc>
          <w:tcPr>
            <w:tcW w:w="1440" w:type="dxa"/>
            <w:tcBorders>
              <w:top w:val="nil"/>
              <w:left w:val="nil"/>
              <w:bottom w:val="nil"/>
              <w:right w:val="nil"/>
            </w:tcBorders>
          </w:tcPr>
          <w:p w14:paraId="5450858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3.99</w:t>
            </w:r>
          </w:p>
        </w:tc>
        <w:tc>
          <w:tcPr>
            <w:tcW w:w="1440" w:type="dxa"/>
            <w:tcBorders>
              <w:top w:val="nil"/>
              <w:left w:val="nil"/>
              <w:bottom w:val="nil"/>
              <w:right w:val="nil"/>
            </w:tcBorders>
          </w:tcPr>
          <w:p w14:paraId="3020A394"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4.43</w:t>
            </w:r>
          </w:p>
        </w:tc>
        <w:tc>
          <w:tcPr>
            <w:tcW w:w="1440" w:type="dxa"/>
            <w:tcBorders>
              <w:top w:val="nil"/>
              <w:left w:val="nil"/>
              <w:bottom w:val="nil"/>
              <w:right w:val="nil"/>
            </w:tcBorders>
          </w:tcPr>
          <w:p w14:paraId="6F303C6E"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3.75</w:t>
            </w:r>
          </w:p>
        </w:tc>
        <w:tc>
          <w:tcPr>
            <w:tcW w:w="1440" w:type="dxa"/>
            <w:tcBorders>
              <w:top w:val="nil"/>
              <w:left w:val="nil"/>
              <w:bottom w:val="nil"/>
              <w:right w:val="nil"/>
            </w:tcBorders>
          </w:tcPr>
          <w:p w14:paraId="288B35B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6.67</w:t>
            </w:r>
          </w:p>
        </w:tc>
      </w:tr>
      <w:tr w:rsidR="00334689" w:rsidRPr="00055865" w14:paraId="08CF1F2A" w14:textId="77777777" w:rsidTr="005B6FD7">
        <w:trPr>
          <w:jc w:val="center"/>
        </w:trPr>
        <w:tc>
          <w:tcPr>
            <w:tcW w:w="1947" w:type="dxa"/>
            <w:tcBorders>
              <w:top w:val="nil"/>
              <w:left w:val="nil"/>
              <w:bottom w:val="single" w:sz="6" w:space="0" w:color="auto"/>
              <w:right w:val="nil"/>
            </w:tcBorders>
          </w:tcPr>
          <w:p w14:paraId="3126569F"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r w:rsidRPr="00055865">
              <w:rPr>
                <w:rFonts w:ascii="Garamond" w:eastAsia="Times New Roman" w:hAnsi="Garamond"/>
                <w:sz w:val="18"/>
                <w:szCs w:val="18"/>
                <w:lang w:eastAsia="en-GB"/>
              </w:rPr>
              <w:t>P Value</w:t>
            </w:r>
          </w:p>
        </w:tc>
        <w:tc>
          <w:tcPr>
            <w:tcW w:w="1440" w:type="dxa"/>
            <w:tcBorders>
              <w:top w:val="nil"/>
              <w:left w:val="nil"/>
              <w:bottom w:val="single" w:sz="6" w:space="0" w:color="auto"/>
              <w:right w:val="nil"/>
            </w:tcBorders>
          </w:tcPr>
          <w:p w14:paraId="26D5CC6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0.240</w:t>
            </w:r>
          </w:p>
        </w:tc>
        <w:tc>
          <w:tcPr>
            <w:tcW w:w="1440" w:type="dxa"/>
            <w:tcBorders>
              <w:top w:val="nil"/>
              <w:left w:val="nil"/>
              <w:bottom w:val="single" w:sz="6" w:space="0" w:color="auto"/>
              <w:right w:val="nil"/>
            </w:tcBorders>
          </w:tcPr>
          <w:p w14:paraId="73107A6A"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0.170</w:t>
            </w:r>
          </w:p>
          <w:p w14:paraId="5A35284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single" w:sz="6" w:space="0" w:color="auto"/>
              <w:right w:val="nil"/>
            </w:tcBorders>
          </w:tcPr>
          <w:p w14:paraId="4456D155"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0.257</w:t>
            </w:r>
          </w:p>
          <w:p w14:paraId="51A983C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single" w:sz="6" w:space="0" w:color="auto"/>
              <w:right w:val="nil"/>
            </w:tcBorders>
          </w:tcPr>
          <w:p w14:paraId="6F31DB62"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0.437</w:t>
            </w:r>
          </w:p>
          <w:p w14:paraId="66BA3A3B"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single" w:sz="6" w:space="0" w:color="auto"/>
              <w:right w:val="nil"/>
            </w:tcBorders>
          </w:tcPr>
          <w:p w14:paraId="1158DE8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0.7867</w:t>
            </w:r>
          </w:p>
          <w:p w14:paraId="195E7708"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single" w:sz="6" w:space="0" w:color="auto"/>
              <w:right w:val="nil"/>
            </w:tcBorders>
          </w:tcPr>
          <w:p w14:paraId="58091D09"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0.174</w:t>
            </w:r>
          </w:p>
          <w:p w14:paraId="70ABC5C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r w:rsidR="00334689" w:rsidRPr="00055865" w14:paraId="6CAF8499" w14:textId="77777777" w:rsidTr="005B6FD7">
        <w:trPr>
          <w:jc w:val="center"/>
        </w:trPr>
        <w:tc>
          <w:tcPr>
            <w:tcW w:w="1947" w:type="dxa"/>
            <w:tcBorders>
              <w:top w:val="nil"/>
              <w:left w:val="nil"/>
              <w:bottom w:val="nil"/>
              <w:right w:val="nil"/>
            </w:tcBorders>
          </w:tcPr>
          <w:p w14:paraId="0CEB46D5" w14:textId="77777777" w:rsidR="00334689" w:rsidRPr="00055865" w:rsidRDefault="00334689" w:rsidP="005B6FD7">
            <w:pPr>
              <w:widowControl w:val="0"/>
              <w:autoSpaceDE w:val="0"/>
              <w:autoSpaceDN w:val="0"/>
              <w:adjustRightInd w:val="0"/>
              <w:spacing w:after="0" w:line="480" w:lineRule="auto"/>
              <w:contextualSpacing/>
              <w:rPr>
                <w:rFonts w:ascii="Garamond" w:eastAsia="Times New Roman" w:hAnsi="Garamond"/>
                <w:sz w:val="18"/>
                <w:szCs w:val="18"/>
                <w:lang w:eastAsia="en-GB"/>
              </w:rPr>
            </w:pPr>
          </w:p>
        </w:tc>
        <w:tc>
          <w:tcPr>
            <w:tcW w:w="1440" w:type="dxa"/>
            <w:tcBorders>
              <w:top w:val="nil"/>
              <w:left w:val="nil"/>
              <w:bottom w:val="nil"/>
              <w:right w:val="nil"/>
            </w:tcBorders>
          </w:tcPr>
          <w:p w14:paraId="3909122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2C0B160D"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4059B20F"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4C10D246"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C5FA5B1"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c>
          <w:tcPr>
            <w:tcW w:w="1440" w:type="dxa"/>
            <w:tcBorders>
              <w:top w:val="nil"/>
              <w:left w:val="nil"/>
              <w:bottom w:val="nil"/>
              <w:right w:val="nil"/>
            </w:tcBorders>
          </w:tcPr>
          <w:p w14:paraId="3C643E1C" w14:textId="77777777" w:rsidR="00334689" w:rsidRPr="00055865" w:rsidRDefault="00334689" w:rsidP="005B6FD7">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p>
        </w:tc>
      </w:tr>
    </w:tbl>
    <w:p w14:paraId="247EC5EA" w14:textId="77777777" w:rsidR="00334689" w:rsidRPr="00055865" w:rsidRDefault="00334689" w:rsidP="00334689">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Robust t test in parentheses</w:t>
      </w:r>
    </w:p>
    <w:p w14:paraId="2E7B5DE0" w14:textId="77777777" w:rsidR="00334689" w:rsidRPr="00055865" w:rsidRDefault="00334689" w:rsidP="00334689">
      <w:pPr>
        <w:widowControl w:val="0"/>
        <w:autoSpaceDE w:val="0"/>
        <w:autoSpaceDN w:val="0"/>
        <w:adjustRightInd w:val="0"/>
        <w:spacing w:after="0" w:line="480" w:lineRule="auto"/>
        <w:contextualSpacing/>
        <w:jc w:val="center"/>
        <w:rPr>
          <w:rFonts w:ascii="Garamond" w:eastAsia="Times New Roman" w:hAnsi="Garamond"/>
          <w:sz w:val="18"/>
          <w:szCs w:val="18"/>
          <w:lang w:eastAsia="en-GB"/>
        </w:rPr>
      </w:pPr>
      <w:r w:rsidRPr="00055865">
        <w:rPr>
          <w:rFonts w:ascii="Garamond" w:eastAsia="Times New Roman" w:hAnsi="Garamond"/>
          <w:sz w:val="18"/>
          <w:szCs w:val="18"/>
          <w:lang w:eastAsia="en-GB"/>
        </w:rPr>
        <w:t>*** p&lt;0.01, ** p&lt;0.05, * p&lt;0.1</w:t>
      </w:r>
    </w:p>
    <w:bookmarkEnd w:id="11"/>
    <w:p w14:paraId="54A6577D" w14:textId="38F5C9E3" w:rsidR="00164C8B" w:rsidRPr="00055865" w:rsidRDefault="00164C8B" w:rsidP="005D6CE4">
      <w:pPr>
        <w:spacing w:after="0" w:line="480" w:lineRule="auto"/>
        <w:contextualSpacing/>
        <w:jc w:val="both"/>
        <w:rPr>
          <w:rFonts w:ascii="Garamond" w:hAnsi="Garamond"/>
          <w:b/>
          <w:sz w:val="24"/>
          <w:szCs w:val="24"/>
        </w:rPr>
      </w:pPr>
    </w:p>
    <w:p w14:paraId="5C35462F" w14:textId="38A46A4B" w:rsidR="00D83C90" w:rsidRPr="002D294B" w:rsidRDefault="00660AB8" w:rsidP="005D6CE4">
      <w:pPr>
        <w:spacing w:after="0" w:line="480" w:lineRule="auto"/>
        <w:contextualSpacing/>
        <w:jc w:val="both"/>
        <w:rPr>
          <w:rFonts w:ascii="Garamond" w:hAnsi="Garamond"/>
          <w:b/>
          <w:sz w:val="24"/>
          <w:szCs w:val="24"/>
        </w:rPr>
      </w:pPr>
      <w:r>
        <w:rPr>
          <w:rFonts w:ascii="Garamond" w:hAnsi="Garamond"/>
          <w:b/>
          <w:sz w:val="24"/>
          <w:szCs w:val="24"/>
        </w:rPr>
        <w:t>5</w:t>
      </w:r>
      <w:r w:rsidR="00C3429E" w:rsidRPr="00055865">
        <w:rPr>
          <w:rFonts w:ascii="Garamond" w:hAnsi="Garamond"/>
          <w:b/>
          <w:sz w:val="24"/>
          <w:szCs w:val="24"/>
        </w:rPr>
        <w:t xml:space="preserve">.0 </w:t>
      </w:r>
      <w:r w:rsidR="00152810" w:rsidRPr="00152810">
        <w:rPr>
          <w:rFonts w:ascii="Garamond" w:hAnsi="Garamond"/>
          <w:b/>
          <w:sz w:val="24"/>
          <w:szCs w:val="24"/>
        </w:rPr>
        <w:t>Conclusion</w:t>
      </w:r>
      <w:r w:rsidR="005B6FD7">
        <w:rPr>
          <w:rFonts w:ascii="Garamond" w:hAnsi="Garamond"/>
          <w:b/>
          <w:sz w:val="24"/>
          <w:szCs w:val="24"/>
        </w:rPr>
        <w:t xml:space="preserve">, </w:t>
      </w:r>
      <w:r w:rsidR="00AF657E">
        <w:rPr>
          <w:rFonts w:ascii="Garamond" w:hAnsi="Garamond"/>
          <w:b/>
          <w:sz w:val="24"/>
          <w:szCs w:val="24"/>
        </w:rPr>
        <w:t>Implications</w:t>
      </w:r>
      <w:r w:rsidR="005B6FD7">
        <w:rPr>
          <w:rFonts w:ascii="Garamond" w:hAnsi="Garamond"/>
          <w:b/>
          <w:sz w:val="24"/>
          <w:szCs w:val="24"/>
        </w:rPr>
        <w:t xml:space="preserve"> and Limitations</w:t>
      </w:r>
    </w:p>
    <w:p w14:paraId="3C2703D6" w14:textId="2F74E5F4" w:rsidR="00F57B8C" w:rsidRPr="005121CA" w:rsidRDefault="00C3429E" w:rsidP="005121CA">
      <w:pPr>
        <w:spacing w:after="0" w:line="480" w:lineRule="auto"/>
        <w:ind w:firstLine="720"/>
        <w:contextualSpacing/>
        <w:jc w:val="both"/>
        <w:rPr>
          <w:rFonts w:ascii="Garamond" w:hAnsi="Garamond"/>
          <w:sz w:val="24"/>
          <w:szCs w:val="24"/>
        </w:rPr>
      </w:pPr>
      <w:r w:rsidRPr="00055865">
        <w:rPr>
          <w:rFonts w:ascii="Garamond" w:hAnsi="Garamond"/>
          <w:sz w:val="24"/>
          <w:szCs w:val="24"/>
          <w:lang w:val="en-US"/>
        </w:rPr>
        <w:t xml:space="preserve">The analysis of </w:t>
      </w:r>
      <w:r w:rsidRPr="00055865">
        <w:rPr>
          <w:rFonts w:ascii="Garamond" w:hAnsi="Garamond"/>
          <w:sz w:val="24"/>
          <w:szCs w:val="24"/>
        </w:rPr>
        <w:t>sustainable environmental p</w:t>
      </w:r>
      <w:r w:rsidR="005C7A76" w:rsidRPr="00055865">
        <w:rPr>
          <w:rFonts w:ascii="Garamond" w:hAnsi="Garamond"/>
          <w:sz w:val="24"/>
          <w:szCs w:val="24"/>
        </w:rPr>
        <w:t>ractices</w:t>
      </w:r>
      <w:r w:rsidRPr="00055865">
        <w:rPr>
          <w:rFonts w:ascii="Garamond" w:hAnsi="Garamond"/>
          <w:sz w:val="24"/>
          <w:szCs w:val="24"/>
        </w:rPr>
        <w:t>: energy efficiency practices, pollution prevention and control, waste management, compliance to environmental regulations, materials and resource efficiency</w:t>
      </w:r>
      <w:r w:rsidR="00BF1466">
        <w:rPr>
          <w:rFonts w:ascii="Garamond" w:hAnsi="Garamond"/>
          <w:sz w:val="24"/>
          <w:szCs w:val="24"/>
        </w:rPr>
        <w:t>,</w:t>
      </w:r>
      <w:r w:rsidRPr="00055865">
        <w:rPr>
          <w:rFonts w:ascii="Garamond" w:hAnsi="Garamond"/>
          <w:sz w:val="24"/>
          <w:szCs w:val="24"/>
        </w:rPr>
        <w:t xml:space="preserve"> and stakeholder engagement and their impact on fi</w:t>
      </w:r>
      <w:r w:rsidR="00BF1466">
        <w:rPr>
          <w:rFonts w:ascii="Garamond" w:hAnsi="Garamond"/>
          <w:sz w:val="24"/>
          <w:szCs w:val="24"/>
        </w:rPr>
        <w:t xml:space="preserve">nancial performance, </w:t>
      </w:r>
      <w:r w:rsidR="00A51BDE" w:rsidRPr="00055865">
        <w:rPr>
          <w:rFonts w:ascii="Garamond" w:hAnsi="Garamond"/>
          <w:sz w:val="24"/>
          <w:szCs w:val="24"/>
        </w:rPr>
        <w:t>indicate</w:t>
      </w:r>
      <w:r w:rsidR="00BF1466">
        <w:rPr>
          <w:rFonts w:ascii="Garamond" w:hAnsi="Garamond"/>
          <w:sz w:val="24"/>
          <w:szCs w:val="24"/>
        </w:rPr>
        <w:t>s</w:t>
      </w:r>
      <w:r w:rsidRPr="00055865">
        <w:rPr>
          <w:rFonts w:ascii="Garamond" w:hAnsi="Garamond"/>
          <w:sz w:val="24"/>
          <w:szCs w:val="24"/>
        </w:rPr>
        <w:t xml:space="preserve"> that all the sustainable environmental p</w:t>
      </w:r>
      <w:r w:rsidR="005C7A76" w:rsidRPr="00055865">
        <w:rPr>
          <w:rFonts w:ascii="Garamond" w:hAnsi="Garamond"/>
          <w:sz w:val="24"/>
          <w:szCs w:val="24"/>
        </w:rPr>
        <w:t>ractices</w:t>
      </w:r>
      <w:r w:rsidRPr="00055865">
        <w:rPr>
          <w:rFonts w:ascii="Garamond" w:hAnsi="Garamond"/>
          <w:sz w:val="24"/>
          <w:szCs w:val="24"/>
        </w:rPr>
        <w:t xml:space="preserve"> have </w:t>
      </w:r>
      <w:r w:rsidR="00C04A23" w:rsidRPr="00055865">
        <w:rPr>
          <w:rFonts w:ascii="Garamond" w:hAnsi="Garamond"/>
          <w:sz w:val="24"/>
          <w:szCs w:val="24"/>
        </w:rPr>
        <w:t xml:space="preserve">a </w:t>
      </w:r>
      <w:r w:rsidRPr="00055865">
        <w:rPr>
          <w:rFonts w:ascii="Garamond" w:hAnsi="Garamond"/>
          <w:sz w:val="24"/>
          <w:szCs w:val="24"/>
        </w:rPr>
        <w:t>significant positive association with internal measures of performance (ROA)</w:t>
      </w:r>
      <w:r w:rsidR="00BF1466">
        <w:rPr>
          <w:rFonts w:ascii="Garamond" w:hAnsi="Garamond"/>
          <w:sz w:val="24"/>
          <w:szCs w:val="24"/>
        </w:rPr>
        <w:t>,</w:t>
      </w:r>
      <w:r w:rsidRPr="00055865">
        <w:rPr>
          <w:rFonts w:ascii="Garamond" w:hAnsi="Garamond"/>
          <w:sz w:val="24"/>
          <w:szCs w:val="24"/>
        </w:rPr>
        <w:t xml:space="preserve"> except environmental compliance. However, regarding</w:t>
      </w:r>
      <w:r w:rsidR="00C04A23" w:rsidRPr="00055865">
        <w:rPr>
          <w:rFonts w:ascii="Garamond" w:hAnsi="Garamond"/>
          <w:sz w:val="24"/>
          <w:szCs w:val="24"/>
        </w:rPr>
        <w:t xml:space="preserve"> </w:t>
      </w:r>
      <w:r w:rsidRPr="00055865">
        <w:rPr>
          <w:rFonts w:ascii="Garamond" w:hAnsi="Garamond"/>
          <w:sz w:val="24"/>
          <w:szCs w:val="24"/>
        </w:rPr>
        <w:lastRenderedPageBreak/>
        <w:t xml:space="preserve">the market-based measure of </w:t>
      </w:r>
      <w:r w:rsidR="00C04A23" w:rsidRPr="00055865">
        <w:rPr>
          <w:rFonts w:ascii="Garamond" w:hAnsi="Garamond"/>
          <w:sz w:val="24"/>
          <w:szCs w:val="24"/>
        </w:rPr>
        <w:t xml:space="preserve">financial </w:t>
      </w:r>
      <w:r w:rsidRPr="00055865">
        <w:rPr>
          <w:rFonts w:ascii="Garamond" w:hAnsi="Garamond"/>
          <w:noProof/>
          <w:sz w:val="24"/>
          <w:szCs w:val="24"/>
        </w:rPr>
        <w:t>performance,</w:t>
      </w:r>
      <w:r w:rsidRPr="00055865">
        <w:rPr>
          <w:rFonts w:ascii="Garamond" w:hAnsi="Garamond"/>
          <w:sz w:val="24"/>
          <w:szCs w:val="24"/>
        </w:rPr>
        <w:t xml:space="preserve"> whil</w:t>
      </w:r>
      <w:r w:rsidR="00C04A23" w:rsidRPr="00055865">
        <w:rPr>
          <w:rFonts w:ascii="Garamond" w:hAnsi="Garamond"/>
          <w:sz w:val="24"/>
          <w:szCs w:val="24"/>
        </w:rPr>
        <w:t>e</w:t>
      </w:r>
      <w:r w:rsidRPr="00055865">
        <w:rPr>
          <w:rFonts w:ascii="Garamond" w:hAnsi="Garamond"/>
          <w:sz w:val="24"/>
          <w:szCs w:val="24"/>
        </w:rPr>
        <w:t xml:space="preserve"> waste </w:t>
      </w:r>
      <w:r w:rsidR="00A51BDE" w:rsidRPr="00055865">
        <w:rPr>
          <w:rFonts w:ascii="Garamond" w:hAnsi="Garamond"/>
          <w:sz w:val="24"/>
          <w:szCs w:val="24"/>
        </w:rPr>
        <w:t>management</w:t>
      </w:r>
      <w:r w:rsidRPr="00055865">
        <w:rPr>
          <w:rFonts w:ascii="Garamond" w:hAnsi="Garamond"/>
          <w:sz w:val="24"/>
          <w:szCs w:val="24"/>
        </w:rPr>
        <w:t xml:space="preserve">, material and resource efficiency and stakeholder engagement </w:t>
      </w:r>
      <w:r w:rsidR="00BF1466">
        <w:rPr>
          <w:rFonts w:ascii="Garamond" w:hAnsi="Garamond"/>
          <w:sz w:val="24"/>
          <w:szCs w:val="24"/>
        </w:rPr>
        <w:t>on environmental issues reveal</w:t>
      </w:r>
      <w:r w:rsidRPr="00055865">
        <w:rPr>
          <w:rFonts w:ascii="Garamond" w:hAnsi="Garamond"/>
          <w:sz w:val="24"/>
          <w:szCs w:val="24"/>
        </w:rPr>
        <w:t xml:space="preserve"> a significant positive relationship with the market-based measure of performance, the other sustainable environmental policies did not </w:t>
      </w:r>
      <w:r w:rsidR="00A8246A" w:rsidRPr="00055865">
        <w:rPr>
          <w:rFonts w:ascii="Garamond" w:hAnsi="Garamond"/>
          <w:sz w:val="24"/>
          <w:szCs w:val="24"/>
        </w:rPr>
        <w:t>show</w:t>
      </w:r>
      <w:r w:rsidRPr="00055865">
        <w:rPr>
          <w:rFonts w:ascii="Garamond" w:hAnsi="Garamond"/>
          <w:sz w:val="24"/>
          <w:szCs w:val="24"/>
        </w:rPr>
        <w:t xml:space="preserve"> any significant relationship. Th</w:t>
      </w:r>
      <w:r w:rsidR="00C04A23" w:rsidRPr="00055865">
        <w:rPr>
          <w:rFonts w:ascii="Garamond" w:hAnsi="Garamond"/>
          <w:sz w:val="24"/>
          <w:szCs w:val="24"/>
        </w:rPr>
        <w:t xml:space="preserve">e </w:t>
      </w:r>
      <w:r w:rsidR="000C2421" w:rsidRPr="00055865">
        <w:rPr>
          <w:rFonts w:ascii="Garamond" w:hAnsi="Garamond"/>
          <w:sz w:val="24"/>
          <w:szCs w:val="24"/>
        </w:rPr>
        <w:t xml:space="preserve">trend </w:t>
      </w:r>
      <w:r w:rsidR="00D249E6" w:rsidRPr="00055865">
        <w:rPr>
          <w:rFonts w:ascii="Garamond" w:hAnsi="Garamond"/>
          <w:sz w:val="24"/>
          <w:szCs w:val="24"/>
        </w:rPr>
        <w:t>of relationships for accounting and market-based measures of financial performance</w:t>
      </w:r>
      <w:r w:rsidRPr="00055865">
        <w:rPr>
          <w:rFonts w:ascii="Garamond" w:hAnsi="Garamond"/>
          <w:sz w:val="24"/>
          <w:szCs w:val="24"/>
        </w:rPr>
        <w:t xml:space="preserve"> suggest</w:t>
      </w:r>
      <w:r w:rsidR="005B6FD7">
        <w:rPr>
          <w:rFonts w:ascii="Garamond" w:hAnsi="Garamond"/>
          <w:sz w:val="24"/>
          <w:szCs w:val="24"/>
        </w:rPr>
        <w:t>s</w:t>
      </w:r>
      <w:r w:rsidRPr="00055865">
        <w:rPr>
          <w:rFonts w:ascii="Garamond" w:hAnsi="Garamond"/>
          <w:sz w:val="24"/>
          <w:szCs w:val="24"/>
        </w:rPr>
        <w:t xml:space="preserve"> that sustainable environmental policies for listed </w:t>
      </w:r>
      <w:r w:rsidR="00794D8F" w:rsidRPr="00055865">
        <w:rPr>
          <w:rFonts w:ascii="Garamond" w:hAnsi="Garamond"/>
          <w:sz w:val="24"/>
          <w:szCs w:val="24"/>
        </w:rPr>
        <w:t>SMEs</w:t>
      </w:r>
      <w:r w:rsidRPr="00055865">
        <w:rPr>
          <w:rFonts w:ascii="Garamond" w:hAnsi="Garamond"/>
          <w:sz w:val="24"/>
          <w:szCs w:val="24"/>
        </w:rPr>
        <w:t xml:space="preserve"> are more effective towards improving internal measures of performance than market-based measures of performance. Th</w:t>
      </w:r>
      <w:r w:rsidR="00C04A23" w:rsidRPr="00055865">
        <w:rPr>
          <w:rFonts w:ascii="Garamond" w:hAnsi="Garamond"/>
          <w:sz w:val="24"/>
          <w:szCs w:val="24"/>
        </w:rPr>
        <w:t>e findings</w:t>
      </w:r>
      <w:r w:rsidRPr="00055865">
        <w:rPr>
          <w:rFonts w:ascii="Garamond" w:hAnsi="Garamond"/>
          <w:sz w:val="24"/>
          <w:szCs w:val="24"/>
        </w:rPr>
        <w:t xml:space="preserve"> also point to the fact that shareholders and investors are more interested in product-driven environmental initiatives which directly enhance profitability, rather than process-based initiatives to attract envi</w:t>
      </w:r>
      <w:r w:rsidR="00F57B8C">
        <w:rPr>
          <w:rFonts w:ascii="Garamond" w:hAnsi="Garamond"/>
          <w:sz w:val="24"/>
          <w:szCs w:val="24"/>
        </w:rPr>
        <w:t>ronmentally conscious investors.</w:t>
      </w:r>
    </w:p>
    <w:p w14:paraId="7B917A59" w14:textId="18AB683F" w:rsidR="00C3429E" w:rsidRPr="00055865" w:rsidRDefault="00C3429E" w:rsidP="005D6CE4">
      <w:pPr>
        <w:spacing w:after="0" w:line="480" w:lineRule="auto"/>
        <w:ind w:firstLine="720"/>
        <w:contextualSpacing/>
        <w:jc w:val="both"/>
        <w:rPr>
          <w:rFonts w:ascii="Garamond" w:hAnsi="Garamond"/>
          <w:sz w:val="24"/>
          <w:szCs w:val="24"/>
        </w:rPr>
      </w:pPr>
      <w:r w:rsidRPr="00055865">
        <w:rPr>
          <w:rFonts w:ascii="Garamond" w:hAnsi="Garamond"/>
          <w:sz w:val="24"/>
          <w:szCs w:val="24"/>
          <w:lang w:val="en-US"/>
        </w:rPr>
        <w:t xml:space="preserve">The study offers several practical implications for managers. First, as suggested by </w:t>
      </w:r>
      <w:r w:rsidR="00C473B9" w:rsidRPr="00055865">
        <w:rPr>
          <w:rFonts w:ascii="Garamond" w:hAnsi="Garamond"/>
          <w:sz w:val="24"/>
          <w:szCs w:val="24"/>
          <w:lang w:val="en-US"/>
        </w:rPr>
        <w:t xml:space="preserve"> </w:t>
      </w:r>
      <w:r w:rsidR="00C473B9" w:rsidRPr="00055865">
        <w:rPr>
          <w:rFonts w:ascii="Garamond" w:hAnsi="Garamond"/>
          <w:sz w:val="24"/>
          <w:szCs w:val="24"/>
          <w:lang w:val="en-US"/>
        </w:rPr>
        <w:fldChar w:fldCharType="begin" w:fldLock="1"/>
      </w:r>
      <w:r w:rsidR="00C473B9" w:rsidRPr="00055865">
        <w:rPr>
          <w:rFonts w:ascii="Garamond" w:hAnsi="Garamond"/>
          <w:sz w:val="24"/>
          <w:szCs w:val="24"/>
          <w:lang w:val="en-US"/>
        </w:rPr>
        <w:instrText>ADDIN CSL_CITATION {"citationItems":[{"id":"ITEM-1","itemData":{"DOI":"10.1016/j.ijpe.2015.09.040","ISBN":"09255273","ISSN":"09255273","abstract":"This study investigates how various aspects of environmental management practices EMPs (operational, strategic, and tactical) undertaken by firms influence their environmental technology portfolios ETPs (pollution control and pollution prevention). It also explores the role of environmental commitment of firms on the influence of EMPs on ETPs. This study uses data from content analysis of annual reports, and corporate social responsibility reports available from corporate websites of 76 UK manufacturing firms from eight different industrial sectors across two years using a time lag (2010-2012). We have controlled for industry type, economic performance and firm size in all our analyses. The findings of our study show that operational and tactical practices influence both the ETPs significantly but strategic practices influence only pollution prevention activities of firms. Further, we have found that environmental commitment positively moderates the influence of operational and tactical practices on pollution prevention but not on pollution control activities. There is no such moderating role on the influence of strategic practices on either pollution prevention or pollution control. Our finding generally highlight the short-term pollution control view; manufacturers focus on cost saving, operational efficiency, and being compliant with the environmental regulations rather than having a long-term strategy perspective. The use of strategic practices tends to have stronger influence on long-term pollution prevention activities. Once firms improve their level of environmental commitment, their involvement in long-term pollution prevention activities improve.","author":[{"dropping-particle":"","family":"Nath","given":"Prithwiraj","non-dropping-particle":"","parse-names":false,"suffix":""},{"dropping-particle":"","family":"Ramanathan","given":"Ramakrishnan","non-dropping-particle":"","parse-names":false,"suffix":""}],"container-title":"International Journal of Production Economics","id":"ITEM-1","issued":{"date-parts":[["2016"]]},"page":"427-437","title":"Environmental management practices, environmental technology portfolio, and environmental commitment: A content analytic approach for UK manufacturing firms","type":"article-journal","volume":"171"},"uris":["http://www.mendeley.com/documents/?uuid=895a381b-1258-4643-a5e5-ac8db0b34ea5"]}],"mendeley":{"formattedCitation":"(Nath &amp; Ramanathan, 2016)","manualFormatting":"Nath &amp; Ramanathan(2016)","plainTextFormattedCitation":"(Nath &amp; Ramanathan, 2016)","previouslyFormattedCitation":"(Nath &amp; Ramanathan, 2016)"},"properties":{"noteIndex":0},"schema":"https://github.com/citation-style-language/schema/raw/master/csl-citation.json"}</w:instrText>
      </w:r>
      <w:r w:rsidR="00C473B9" w:rsidRPr="00055865">
        <w:rPr>
          <w:rFonts w:ascii="Garamond" w:hAnsi="Garamond"/>
          <w:sz w:val="24"/>
          <w:szCs w:val="24"/>
          <w:lang w:val="en-US"/>
        </w:rPr>
        <w:fldChar w:fldCharType="separate"/>
      </w:r>
      <w:r w:rsidR="00C473B9" w:rsidRPr="00055865">
        <w:rPr>
          <w:rFonts w:ascii="Garamond" w:hAnsi="Garamond"/>
          <w:noProof/>
          <w:sz w:val="24"/>
          <w:szCs w:val="24"/>
          <w:lang w:val="en-US"/>
        </w:rPr>
        <w:t>Nath &amp; Ramanathan(2016)</w:t>
      </w:r>
      <w:r w:rsidR="00C473B9" w:rsidRPr="00055865">
        <w:rPr>
          <w:rFonts w:ascii="Garamond" w:hAnsi="Garamond"/>
          <w:sz w:val="24"/>
          <w:szCs w:val="24"/>
          <w:lang w:val="en-US"/>
        </w:rPr>
        <w:fldChar w:fldCharType="end"/>
      </w:r>
      <w:r w:rsidR="00BF1466">
        <w:rPr>
          <w:rFonts w:ascii="Garamond" w:hAnsi="Garamond"/>
          <w:sz w:val="24"/>
          <w:szCs w:val="24"/>
          <w:lang w:val="en-US"/>
        </w:rPr>
        <w:t>,</w:t>
      </w:r>
      <w:r w:rsidR="00C473B9" w:rsidRPr="00055865">
        <w:rPr>
          <w:rFonts w:ascii="Garamond" w:hAnsi="Garamond"/>
          <w:sz w:val="24"/>
          <w:szCs w:val="24"/>
          <w:lang w:val="en-US"/>
        </w:rPr>
        <w:t xml:space="preserve"> </w:t>
      </w:r>
      <w:r w:rsidRPr="00055865">
        <w:rPr>
          <w:rFonts w:ascii="Garamond" w:hAnsi="Garamond"/>
          <w:sz w:val="24"/>
          <w:szCs w:val="24"/>
          <w:lang w:val="en-US"/>
        </w:rPr>
        <w:t>firms are often in</w:t>
      </w:r>
      <w:r w:rsidR="00C04A23" w:rsidRPr="00055865">
        <w:rPr>
          <w:rFonts w:ascii="Garamond" w:hAnsi="Garamond"/>
          <w:sz w:val="24"/>
          <w:szCs w:val="24"/>
          <w:lang w:val="en-US"/>
        </w:rPr>
        <w:t xml:space="preserve"> a</w:t>
      </w:r>
      <w:r w:rsidRPr="00055865">
        <w:rPr>
          <w:rFonts w:ascii="Garamond" w:hAnsi="Garamond"/>
          <w:sz w:val="24"/>
          <w:szCs w:val="24"/>
          <w:lang w:val="en-US"/>
        </w:rPr>
        <w:t xml:space="preserve"> dilemma as to which sustainable environmental p</w:t>
      </w:r>
      <w:r w:rsidR="0074707D" w:rsidRPr="00055865">
        <w:rPr>
          <w:rFonts w:ascii="Garamond" w:hAnsi="Garamond"/>
          <w:sz w:val="24"/>
          <w:szCs w:val="24"/>
          <w:lang w:val="en-US"/>
        </w:rPr>
        <w:t>ractices</w:t>
      </w:r>
      <w:r w:rsidR="00AB0051">
        <w:rPr>
          <w:rFonts w:ascii="Garamond" w:hAnsi="Garamond"/>
          <w:sz w:val="24"/>
          <w:szCs w:val="24"/>
          <w:lang w:val="en-US"/>
        </w:rPr>
        <w:t xml:space="preserve"> </w:t>
      </w:r>
      <w:r w:rsidRPr="00055865">
        <w:rPr>
          <w:rFonts w:ascii="Garamond" w:hAnsi="Garamond"/>
          <w:sz w:val="24"/>
          <w:szCs w:val="24"/>
          <w:lang w:val="en-US"/>
        </w:rPr>
        <w:t>to adopt to improve their financial performance</w:t>
      </w:r>
      <w:r w:rsidR="00AB0051">
        <w:rPr>
          <w:rFonts w:ascii="Garamond" w:hAnsi="Garamond"/>
          <w:sz w:val="24"/>
          <w:szCs w:val="24"/>
          <w:lang w:val="en-US"/>
        </w:rPr>
        <w:t xml:space="preserve">. Most managers are also not sure </w:t>
      </w:r>
      <w:r w:rsidRPr="00055865">
        <w:rPr>
          <w:rFonts w:ascii="Garamond" w:hAnsi="Garamond"/>
          <w:sz w:val="24"/>
          <w:szCs w:val="24"/>
          <w:lang w:val="en-US"/>
        </w:rPr>
        <w:t>as</w:t>
      </w:r>
      <w:r w:rsidR="00AB0051">
        <w:rPr>
          <w:rFonts w:ascii="Garamond" w:hAnsi="Garamond"/>
          <w:sz w:val="24"/>
          <w:szCs w:val="24"/>
          <w:lang w:val="en-US"/>
        </w:rPr>
        <w:t xml:space="preserve"> to</w:t>
      </w:r>
      <w:r w:rsidRPr="00055865">
        <w:rPr>
          <w:rFonts w:ascii="Garamond" w:hAnsi="Garamond"/>
          <w:sz w:val="24"/>
          <w:szCs w:val="24"/>
          <w:lang w:val="en-US"/>
        </w:rPr>
        <w:t xml:space="preserve"> </w:t>
      </w:r>
      <w:r w:rsidR="00D83C90">
        <w:rPr>
          <w:rFonts w:ascii="Garamond" w:hAnsi="Garamond"/>
          <w:sz w:val="24"/>
          <w:szCs w:val="24"/>
          <w:lang w:val="en-US"/>
        </w:rPr>
        <w:t xml:space="preserve">the </w:t>
      </w:r>
      <w:r w:rsidRPr="00055865">
        <w:rPr>
          <w:rFonts w:ascii="Garamond" w:hAnsi="Garamond"/>
          <w:sz w:val="24"/>
          <w:szCs w:val="24"/>
          <w:lang w:val="en-US"/>
        </w:rPr>
        <w:t>areas of financial performance that could be improved with the adoption of sustainable environmental practices. The result from the study show</w:t>
      </w:r>
      <w:r w:rsidR="00C04A23" w:rsidRPr="00055865">
        <w:rPr>
          <w:rFonts w:ascii="Garamond" w:hAnsi="Garamond"/>
          <w:sz w:val="24"/>
          <w:szCs w:val="24"/>
          <w:lang w:val="en-US"/>
        </w:rPr>
        <w:t>s</w:t>
      </w:r>
      <w:r w:rsidRPr="00055865">
        <w:rPr>
          <w:rFonts w:ascii="Garamond" w:hAnsi="Garamond"/>
          <w:sz w:val="24"/>
          <w:szCs w:val="24"/>
          <w:lang w:val="en-US"/>
        </w:rPr>
        <w:t xml:space="preserve"> that whereas sustainable environmental p</w:t>
      </w:r>
      <w:r w:rsidR="0074707D" w:rsidRPr="00055865">
        <w:rPr>
          <w:rFonts w:ascii="Garamond" w:hAnsi="Garamond"/>
          <w:sz w:val="24"/>
          <w:szCs w:val="24"/>
          <w:lang w:val="en-US"/>
        </w:rPr>
        <w:t>ractices</w:t>
      </w:r>
      <w:r w:rsidR="000C2421" w:rsidRPr="00055865">
        <w:rPr>
          <w:rFonts w:ascii="Garamond" w:hAnsi="Garamond"/>
          <w:sz w:val="24"/>
          <w:szCs w:val="24"/>
          <w:lang w:val="en-US"/>
        </w:rPr>
        <w:t>;</w:t>
      </w:r>
      <w:r w:rsidRPr="00055865">
        <w:rPr>
          <w:rFonts w:ascii="Garamond" w:hAnsi="Garamond"/>
          <w:sz w:val="24"/>
          <w:szCs w:val="24"/>
          <w:lang w:val="en-US"/>
        </w:rPr>
        <w:t xml:space="preserve"> energy</w:t>
      </w:r>
      <w:r w:rsidR="00A8246A" w:rsidRPr="00055865">
        <w:rPr>
          <w:rFonts w:ascii="Garamond" w:hAnsi="Garamond"/>
          <w:sz w:val="24"/>
          <w:szCs w:val="24"/>
          <w:lang w:val="en-US"/>
        </w:rPr>
        <w:t>-</w:t>
      </w:r>
      <w:r w:rsidRPr="00055865">
        <w:rPr>
          <w:rFonts w:ascii="Garamond" w:hAnsi="Garamond"/>
          <w:sz w:val="24"/>
          <w:szCs w:val="24"/>
          <w:lang w:val="en-US"/>
        </w:rPr>
        <w:t>efficient practices, pollution abatement (GHG), waste management, material and resource efficiency</w:t>
      </w:r>
      <w:r w:rsidR="000C2421" w:rsidRPr="00055865">
        <w:rPr>
          <w:rFonts w:ascii="Garamond" w:hAnsi="Garamond"/>
          <w:sz w:val="24"/>
          <w:szCs w:val="24"/>
          <w:lang w:val="en-US"/>
        </w:rPr>
        <w:t xml:space="preserve"> </w:t>
      </w:r>
      <w:r w:rsidRPr="00055865">
        <w:rPr>
          <w:rFonts w:ascii="Garamond" w:hAnsi="Garamond"/>
          <w:sz w:val="24"/>
          <w:szCs w:val="24"/>
          <w:lang w:val="en-US"/>
        </w:rPr>
        <w:t>as well as stakeholder engagement significantly improve profitability, only waste, materials</w:t>
      </w:r>
      <w:r w:rsidR="00AB0051">
        <w:rPr>
          <w:rFonts w:ascii="Garamond" w:hAnsi="Garamond"/>
          <w:sz w:val="24"/>
          <w:szCs w:val="24"/>
          <w:lang w:val="en-US"/>
        </w:rPr>
        <w:t>,</w:t>
      </w:r>
      <w:r w:rsidRPr="00055865">
        <w:rPr>
          <w:rFonts w:ascii="Garamond" w:hAnsi="Garamond"/>
          <w:sz w:val="24"/>
          <w:szCs w:val="24"/>
          <w:lang w:val="en-US"/>
        </w:rPr>
        <w:t xml:space="preserve"> and stakeholder engagement have a significant impact on the market values. This suggests that whereas operational environmental practices directed towards improving profitability is effective, a similar approach to enhance the market value is not effective</w:t>
      </w:r>
      <w:r w:rsidR="00C04A23" w:rsidRPr="00055865">
        <w:rPr>
          <w:rFonts w:ascii="Garamond" w:hAnsi="Garamond"/>
          <w:sz w:val="24"/>
          <w:szCs w:val="24"/>
          <w:lang w:val="en-US"/>
        </w:rPr>
        <w:t>.</w:t>
      </w:r>
      <w:r w:rsidRPr="00055865">
        <w:rPr>
          <w:rFonts w:ascii="Garamond" w:hAnsi="Garamond"/>
          <w:sz w:val="24"/>
          <w:szCs w:val="24"/>
          <w:lang w:val="en-US"/>
        </w:rPr>
        <w:t xml:space="preserve"> </w:t>
      </w:r>
      <w:r w:rsidR="00C04A23" w:rsidRPr="00055865">
        <w:rPr>
          <w:rFonts w:ascii="Garamond" w:hAnsi="Garamond"/>
          <w:sz w:val="24"/>
          <w:szCs w:val="24"/>
          <w:lang w:val="en-US"/>
        </w:rPr>
        <w:t>T</w:t>
      </w:r>
      <w:r w:rsidRPr="00055865">
        <w:rPr>
          <w:rFonts w:ascii="Garamond" w:hAnsi="Garamond"/>
          <w:sz w:val="24"/>
          <w:szCs w:val="24"/>
          <w:lang w:val="en-US"/>
        </w:rPr>
        <w:t>herefore</w:t>
      </w:r>
      <w:r w:rsidR="00C04A23" w:rsidRPr="00055865">
        <w:rPr>
          <w:rFonts w:ascii="Garamond" w:hAnsi="Garamond"/>
          <w:sz w:val="24"/>
          <w:szCs w:val="24"/>
          <w:lang w:val="en-US"/>
        </w:rPr>
        <w:t>,</w:t>
      </w:r>
      <w:r w:rsidRPr="00055865">
        <w:rPr>
          <w:rFonts w:ascii="Garamond" w:hAnsi="Garamond"/>
          <w:sz w:val="24"/>
          <w:szCs w:val="24"/>
          <w:lang w:val="en-US"/>
        </w:rPr>
        <w:t xml:space="preserve"> it is recommended that managers of listed SMEs focus on environmental practices that </w:t>
      </w:r>
      <w:r w:rsidR="00C04A23" w:rsidRPr="00055865">
        <w:rPr>
          <w:rFonts w:ascii="Garamond" w:hAnsi="Garamond"/>
          <w:sz w:val="24"/>
          <w:szCs w:val="24"/>
          <w:lang w:val="en-US"/>
        </w:rPr>
        <w:t>improv</w:t>
      </w:r>
      <w:r w:rsidRPr="00055865">
        <w:rPr>
          <w:rFonts w:ascii="Garamond" w:hAnsi="Garamond"/>
          <w:sz w:val="24"/>
          <w:szCs w:val="24"/>
          <w:lang w:val="en-US"/>
        </w:rPr>
        <w:t xml:space="preserve">e profitability rather than attempting to attract investors through enhanced environmental practices. </w:t>
      </w:r>
      <w:r w:rsidR="00AB0051">
        <w:rPr>
          <w:rFonts w:ascii="Garamond" w:hAnsi="Garamond"/>
          <w:sz w:val="24"/>
          <w:szCs w:val="24"/>
        </w:rPr>
        <w:t>Similarly, the study</w:t>
      </w:r>
      <w:r w:rsidRPr="00055865">
        <w:rPr>
          <w:rFonts w:ascii="Garamond" w:hAnsi="Garamond"/>
          <w:sz w:val="24"/>
          <w:szCs w:val="24"/>
        </w:rPr>
        <w:t xml:space="preserve"> points to the fact that shareholders and investors are more interested in product-driven environmental initiatives which directly enhance profitability, rather than process-based initiatives to attract environmentally conscious investors.</w:t>
      </w:r>
    </w:p>
    <w:p w14:paraId="1AA4656D" w14:textId="21A2DE93" w:rsidR="00AC5EDB" w:rsidRPr="005121CA" w:rsidRDefault="00C3429E" w:rsidP="005D6CE4">
      <w:pPr>
        <w:tabs>
          <w:tab w:val="left" w:pos="2550"/>
        </w:tabs>
        <w:spacing w:after="0" w:line="480" w:lineRule="auto"/>
        <w:contextualSpacing/>
        <w:jc w:val="both"/>
        <w:rPr>
          <w:rFonts w:ascii="Garamond" w:hAnsi="Garamond"/>
          <w:sz w:val="24"/>
          <w:szCs w:val="24"/>
          <w:lang w:val="en-US"/>
        </w:rPr>
      </w:pPr>
      <w:r w:rsidRPr="00055865">
        <w:rPr>
          <w:rFonts w:ascii="Garamond" w:hAnsi="Garamond"/>
          <w:sz w:val="24"/>
          <w:szCs w:val="24"/>
          <w:lang w:val="en-US"/>
        </w:rPr>
        <w:lastRenderedPageBreak/>
        <w:t xml:space="preserve">          The study also shows the level of environmental engage</w:t>
      </w:r>
      <w:r w:rsidR="00BB32E0">
        <w:rPr>
          <w:rFonts w:ascii="Garamond" w:hAnsi="Garamond"/>
          <w:sz w:val="24"/>
          <w:szCs w:val="24"/>
          <w:lang w:val="en-US"/>
        </w:rPr>
        <w:t>ment that is expected to lead to</w:t>
      </w:r>
      <w:r w:rsidRPr="00055865">
        <w:rPr>
          <w:rFonts w:ascii="Garamond" w:hAnsi="Garamond"/>
          <w:sz w:val="24"/>
          <w:szCs w:val="24"/>
          <w:lang w:val="en-US"/>
        </w:rPr>
        <w:t xml:space="preserve"> optimal financial benefit. The inverted U-shaped relationship recorded between energy efficiency and FP, GHG</w:t>
      </w:r>
      <w:r w:rsidR="00BB32E0">
        <w:rPr>
          <w:rFonts w:ascii="Garamond" w:hAnsi="Garamond"/>
          <w:sz w:val="24"/>
          <w:szCs w:val="24"/>
          <w:lang w:val="en-US"/>
        </w:rPr>
        <w:t>,</w:t>
      </w:r>
      <w:r w:rsidRPr="00055865">
        <w:rPr>
          <w:rFonts w:ascii="Garamond" w:hAnsi="Garamond"/>
          <w:sz w:val="24"/>
          <w:szCs w:val="24"/>
          <w:lang w:val="en-US"/>
        </w:rPr>
        <w:t xml:space="preserve"> and FP</w:t>
      </w:r>
      <w:r w:rsidR="00BB32E0">
        <w:rPr>
          <w:rFonts w:ascii="Garamond" w:hAnsi="Garamond"/>
          <w:sz w:val="24"/>
          <w:szCs w:val="24"/>
          <w:lang w:val="en-US"/>
        </w:rPr>
        <w:t>,</w:t>
      </w:r>
      <w:r w:rsidRPr="00055865">
        <w:rPr>
          <w:rFonts w:ascii="Garamond" w:hAnsi="Garamond"/>
          <w:sz w:val="24"/>
          <w:szCs w:val="24"/>
          <w:lang w:val="en-US"/>
        </w:rPr>
        <w:t xml:space="preserve"> as we</w:t>
      </w:r>
      <w:r w:rsidR="00794D8F" w:rsidRPr="00055865">
        <w:rPr>
          <w:rFonts w:ascii="Garamond" w:hAnsi="Garamond"/>
          <w:sz w:val="24"/>
          <w:szCs w:val="24"/>
          <w:lang w:val="en-US"/>
        </w:rPr>
        <w:t>ll as</w:t>
      </w:r>
      <w:r w:rsidRPr="00055865">
        <w:rPr>
          <w:rFonts w:ascii="Garamond" w:hAnsi="Garamond"/>
          <w:sz w:val="24"/>
          <w:szCs w:val="24"/>
          <w:lang w:val="en-US"/>
        </w:rPr>
        <w:t xml:space="preserve"> material and resource efficiency and FP</w:t>
      </w:r>
      <w:r w:rsidR="005B6FD7">
        <w:rPr>
          <w:rFonts w:ascii="Garamond" w:hAnsi="Garamond"/>
          <w:sz w:val="24"/>
          <w:szCs w:val="24"/>
          <w:lang w:val="en-US"/>
        </w:rPr>
        <w:t>,</w:t>
      </w:r>
      <w:r w:rsidRPr="00055865">
        <w:rPr>
          <w:rFonts w:ascii="Garamond" w:hAnsi="Garamond"/>
          <w:sz w:val="24"/>
          <w:szCs w:val="24"/>
          <w:lang w:val="en-US"/>
        </w:rPr>
        <w:t xml:space="preserve"> implies that </w:t>
      </w:r>
      <w:r w:rsidR="00BB32E0">
        <w:rPr>
          <w:rFonts w:ascii="Garamond" w:hAnsi="Garamond"/>
          <w:sz w:val="24"/>
          <w:szCs w:val="24"/>
          <w:lang w:val="en-US"/>
        </w:rPr>
        <w:t xml:space="preserve">a </w:t>
      </w:r>
      <w:r w:rsidRPr="00055865">
        <w:rPr>
          <w:rFonts w:ascii="Garamond" w:hAnsi="Garamond"/>
          <w:sz w:val="24"/>
          <w:szCs w:val="24"/>
          <w:lang w:val="en-US"/>
        </w:rPr>
        <w:t>moderate level of environmental engagement is required to establish optimum financial benefits in those areas. Therefore, exces</w:t>
      </w:r>
      <w:r w:rsidR="005B6FD7">
        <w:rPr>
          <w:rFonts w:ascii="Garamond" w:hAnsi="Garamond"/>
          <w:sz w:val="24"/>
          <w:szCs w:val="24"/>
          <w:lang w:val="en-US"/>
        </w:rPr>
        <w:t>sive</w:t>
      </w:r>
      <w:r w:rsidRPr="00055865">
        <w:rPr>
          <w:rFonts w:ascii="Garamond" w:hAnsi="Garamond"/>
          <w:sz w:val="24"/>
          <w:szCs w:val="24"/>
          <w:lang w:val="en-US"/>
        </w:rPr>
        <w:t xml:space="preserve"> allocation of resources to become the most sustainable firm in the area of energy efficiency, GHG</w:t>
      </w:r>
      <w:r w:rsidR="00BB32E0">
        <w:rPr>
          <w:rFonts w:ascii="Garamond" w:hAnsi="Garamond"/>
          <w:sz w:val="24"/>
          <w:szCs w:val="24"/>
          <w:lang w:val="en-US"/>
        </w:rPr>
        <w:t>,</w:t>
      </w:r>
      <w:r w:rsidRPr="00055865">
        <w:rPr>
          <w:rFonts w:ascii="Garamond" w:hAnsi="Garamond"/>
          <w:sz w:val="24"/>
          <w:szCs w:val="24"/>
          <w:lang w:val="en-US"/>
        </w:rPr>
        <w:t xml:space="preserve"> and material and resource efficiency may not yield the expected financial benefits. As suggested by </w:t>
      </w:r>
      <w:r w:rsidR="00C473B9" w:rsidRPr="00055865">
        <w:rPr>
          <w:rFonts w:ascii="Garamond" w:hAnsi="Garamond"/>
          <w:sz w:val="24"/>
          <w:szCs w:val="24"/>
          <w:lang w:val="en-US"/>
        </w:rPr>
        <w:fldChar w:fldCharType="begin" w:fldLock="1"/>
      </w:r>
      <w:r w:rsidR="00C473B9" w:rsidRPr="00055865">
        <w:rPr>
          <w:rFonts w:ascii="Garamond" w:hAnsi="Garamond"/>
          <w:sz w:val="24"/>
          <w:szCs w:val="24"/>
          <w:lang w:val="en-US"/>
        </w:rPr>
        <w:instrText>ADDIN CSL_CITATION {"citationItems":[{"id":"ITEM-1","itemData":{"abstract":"This paper focuses on the relationship between environmental sustainability and the financial performance of SMEs in terms of profit development and revenue development. The analysis uses a unique dataset of 337 Dutch and Chinese firms. The results suggest a significant positive association between environmental sustainability and firm performance. It appears, however, that different indicators of environmental sustainability display a distinct relationship with the two performance measures. When firms have a policy on the re-usage of materials they perform significantly better in terms of profit development and when firms have a policy on the reduction of pollution they perform significantly better in terms of revenue development. Furthermore, we also find that firms that communicate to their employees about their sustainability efforts perform better in terms of profit development. Finally, weak support is found for a moderating effect of communication to employees on the positive relationship between sustainability and profit development.","author":[{"dropping-particle":"","family":"Vijfvinkel","given":"Sjoerd","non-dropping-particle":"","parse-names":false,"suffix":""},{"dropping-particle":"","family":"Bouman","given":"Nasser","non-dropping-particle":"","parse-names":false,"suffix":""},{"dropping-particle":"","family":"Hessels","given":"Jolanda","non-dropping-particle":"","parse-names":false,"suffix":""}],"container-title":"Analysis","id":"ITEM-1","issue":"January","issued":{"date-parts":[["2011"]]},"title":"Environmental sustainability and financial performance of SMEs","type":"article-journal"},"uris":["http://www.mendeley.com/documents/?uuid=11444708-0529-4d95-8954-e54804c9b887"]}],"mendeley":{"formattedCitation":"(Vijfvinkel et al., 2011)","manualFormatting":"Vijfvinkel et al. (2011)","plainTextFormattedCitation":"(Vijfvinkel et al., 2011)","previouslyFormattedCitation":"(Vijfvinkel et al., 2011)"},"properties":{"noteIndex":0},"schema":"https://github.com/citation-style-language/schema/raw/master/csl-citation.json"}</w:instrText>
      </w:r>
      <w:r w:rsidR="00C473B9" w:rsidRPr="00055865">
        <w:rPr>
          <w:rFonts w:ascii="Garamond" w:hAnsi="Garamond"/>
          <w:sz w:val="24"/>
          <w:szCs w:val="24"/>
          <w:lang w:val="en-US"/>
        </w:rPr>
        <w:fldChar w:fldCharType="separate"/>
      </w:r>
      <w:r w:rsidR="00C473B9" w:rsidRPr="00055865">
        <w:rPr>
          <w:rFonts w:ascii="Garamond" w:hAnsi="Garamond"/>
          <w:noProof/>
          <w:sz w:val="24"/>
          <w:szCs w:val="24"/>
          <w:lang w:val="en-US"/>
        </w:rPr>
        <w:t>Vijfvinkel et al. (2011)</w:t>
      </w:r>
      <w:r w:rsidR="00C473B9" w:rsidRPr="00055865">
        <w:rPr>
          <w:rFonts w:ascii="Garamond" w:hAnsi="Garamond"/>
          <w:sz w:val="24"/>
          <w:szCs w:val="24"/>
          <w:lang w:val="en-US"/>
        </w:rPr>
        <w:fldChar w:fldCharType="end"/>
      </w:r>
      <w:r w:rsidRPr="00055865">
        <w:rPr>
          <w:rFonts w:ascii="Garamond" w:hAnsi="Garamond"/>
          <w:sz w:val="24"/>
          <w:szCs w:val="24"/>
          <w:lang w:val="en-US"/>
        </w:rPr>
        <w:t xml:space="preserve">, the existence of a market for sustainable firms does not imply that the most sustainable firms will be better off financially. </w:t>
      </w:r>
      <w:r w:rsidR="00BB32E0">
        <w:rPr>
          <w:rFonts w:ascii="Garamond" w:hAnsi="Garamond"/>
          <w:sz w:val="24"/>
          <w:szCs w:val="24"/>
          <w:lang w:val="en-US"/>
        </w:rPr>
        <w:t xml:space="preserve">The findings of </w:t>
      </w:r>
      <w:r w:rsidRPr="00055865">
        <w:rPr>
          <w:rFonts w:ascii="Garamond" w:hAnsi="Garamond"/>
          <w:sz w:val="24"/>
          <w:szCs w:val="24"/>
          <w:lang w:val="en-US"/>
        </w:rPr>
        <w:t>Ramanathan (2016)</w:t>
      </w:r>
      <w:r w:rsidR="00BB32E0">
        <w:rPr>
          <w:rFonts w:ascii="Garamond" w:hAnsi="Garamond"/>
          <w:sz w:val="24"/>
          <w:szCs w:val="24"/>
          <w:lang w:val="en-US"/>
        </w:rPr>
        <w:t>,</w:t>
      </w:r>
      <w:r w:rsidRPr="00055865">
        <w:rPr>
          <w:rFonts w:ascii="Garamond" w:hAnsi="Garamond"/>
          <w:sz w:val="24"/>
          <w:szCs w:val="24"/>
          <w:lang w:val="en-US"/>
        </w:rPr>
        <w:t xml:space="preserve"> in line with </w:t>
      </w:r>
      <w:r w:rsidR="00BB32E0">
        <w:rPr>
          <w:rFonts w:ascii="Garamond" w:hAnsi="Garamond"/>
          <w:sz w:val="24"/>
          <w:szCs w:val="24"/>
          <w:lang w:val="en-US"/>
        </w:rPr>
        <w:t>that of Hart (1995) also pointed out</w:t>
      </w:r>
      <w:r w:rsidRPr="00055865">
        <w:rPr>
          <w:rFonts w:ascii="Garamond" w:hAnsi="Garamond"/>
          <w:sz w:val="24"/>
          <w:szCs w:val="24"/>
          <w:lang w:val="en-US"/>
        </w:rPr>
        <w:t xml:space="preserve"> that pollution prevention measures that necessitate redesigning of the manufacturing operation m</w:t>
      </w:r>
      <w:r w:rsidR="00C04A23" w:rsidRPr="00055865">
        <w:rPr>
          <w:rFonts w:ascii="Garamond" w:hAnsi="Garamond"/>
          <w:sz w:val="24"/>
          <w:szCs w:val="24"/>
          <w:lang w:val="en-US"/>
        </w:rPr>
        <w:t>ight</w:t>
      </w:r>
      <w:r w:rsidRPr="00055865">
        <w:rPr>
          <w:rFonts w:ascii="Garamond" w:hAnsi="Garamond"/>
          <w:sz w:val="24"/>
          <w:szCs w:val="24"/>
          <w:lang w:val="en-US"/>
        </w:rPr>
        <w:t xml:space="preserve"> involve less consumption o</w:t>
      </w:r>
      <w:r w:rsidR="00BB32E0">
        <w:rPr>
          <w:rFonts w:ascii="Garamond" w:hAnsi="Garamond"/>
          <w:sz w:val="24"/>
          <w:szCs w:val="24"/>
          <w:lang w:val="en-US"/>
        </w:rPr>
        <w:t>f raw materials and energy and this</w:t>
      </w:r>
      <w:r w:rsidRPr="00055865">
        <w:rPr>
          <w:rFonts w:ascii="Garamond" w:hAnsi="Garamond"/>
          <w:sz w:val="24"/>
          <w:szCs w:val="24"/>
          <w:lang w:val="en-US"/>
        </w:rPr>
        <w:t xml:space="preserve"> is likely to have a significan</w:t>
      </w:r>
      <w:r w:rsidR="00BB32E0">
        <w:rPr>
          <w:rFonts w:ascii="Garamond" w:hAnsi="Garamond"/>
          <w:sz w:val="24"/>
          <w:szCs w:val="24"/>
          <w:lang w:val="en-US"/>
        </w:rPr>
        <w:t>t financial impact than a simple</w:t>
      </w:r>
      <w:r w:rsidRPr="00055865">
        <w:rPr>
          <w:rFonts w:ascii="Garamond" w:hAnsi="Garamond"/>
          <w:sz w:val="24"/>
          <w:szCs w:val="24"/>
          <w:lang w:val="en-US"/>
        </w:rPr>
        <w:t>-end-of-pipes strategy which is also available to third parties. Similarly,</w:t>
      </w:r>
      <w:r w:rsidR="00C473B9" w:rsidRPr="00055865">
        <w:rPr>
          <w:rFonts w:ascii="Garamond" w:hAnsi="Garamond"/>
          <w:sz w:val="24"/>
          <w:szCs w:val="24"/>
          <w:lang w:val="en-US"/>
        </w:rPr>
        <w:t xml:space="preserve"> </w:t>
      </w:r>
      <w:r w:rsidR="00C473B9" w:rsidRPr="00055865">
        <w:rPr>
          <w:rFonts w:ascii="Garamond" w:hAnsi="Garamond"/>
          <w:sz w:val="24"/>
          <w:szCs w:val="24"/>
          <w:lang w:val="en-US"/>
        </w:rPr>
        <w:fldChar w:fldCharType="begin" w:fldLock="1"/>
      </w:r>
      <w:r w:rsidR="00217D30" w:rsidRPr="00055865">
        <w:rPr>
          <w:rFonts w:ascii="Garamond" w:hAnsi="Garamond"/>
          <w:sz w:val="24"/>
          <w:szCs w:val="24"/>
          <w:lang w:val="en-US"/>
        </w:rPr>
        <w:instrText>ADDIN CSL_CITATION {"citationItems":[{"id":"ITEM-1","itemData":{"DOI":"10.1016/j.emj.2013.12.004","ISSN":"02632373","author":[{"dropping-particle":"","family":"Endrikat","given":"Jan","non-dropping-particle":"","parse-names":false,"suffix":""},{"dropping-particle":"","family":"Guenther","given":"Edeltraud","non-dropping-particle":"","parse-names":false,"suffix":""},{"dropping-particle":"","family":"Hoppe","given":"Holger","non-dropping-particle":"","parse-names":false,"suffix":""}],"container-title":"European Management Journal","id":"ITEM-1","issue":"5","issued":{"date-parts":[["2014"]]},"page":"735-751","publisher":"Elsevier Ltd","title":"Making sense of conflicting empirical findings: A meta-analytic review of the relationship between corporate environmental and financial performance","type":"article-journal","volume":"32"},"uris":["http://www.mendeley.com/documents/?uuid=1f034eb8-2059-43af-aa4e-05aef06fa484"]}],"mendeley":{"formattedCitation":"(Endrikat et al., 2014)","manualFormatting":" Endrikat, Guenther, &amp; Hoppe 92014)","plainTextFormattedCitation":"(Endrikat et al., 2014)","previouslyFormattedCitation":"(Endrikat et al., 2014)"},"properties":{"noteIndex":0},"schema":"https://github.com/citation-style-language/schema/raw/master/csl-citation.json"}</w:instrText>
      </w:r>
      <w:r w:rsidR="00C473B9" w:rsidRPr="00055865">
        <w:rPr>
          <w:rFonts w:ascii="Garamond" w:hAnsi="Garamond"/>
          <w:sz w:val="24"/>
          <w:szCs w:val="24"/>
          <w:lang w:val="en-US"/>
        </w:rPr>
        <w:fldChar w:fldCharType="separate"/>
      </w:r>
      <w:r w:rsidR="00C473B9" w:rsidRPr="00055865">
        <w:rPr>
          <w:rFonts w:ascii="Garamond" w:hAnsi="Garamond"/>
          <w:noProof/>
          <w:sz w:val="24"/>
          <w:szCs w:val="24"/>
          <w:lang w:val="en-US"/>
        </w:rPr>
        <w:t xml:space="preserve"> Endrikat, Guenther, &amp; Hoppe </w:t>
      </w:r>
      <w:r w:rsidR="00794D8F" w:rsidRPr="00055865">
        <w:rPr>
          <w:rFonts w:ascii="Garamond" w:hAnsi="Garamond"/>
          <w:noProof/>
          <w:sz w:val="24"/>
          <w:szCs w:val="24"/>
          <w:lang w:val="en-US"/>
        </w:rPr>
        <w:t>(</w:t>
      </w:r>
      <w:r w:rsidR="00C473B9" w:rsidRPr="00055865">
        <w:rPr>
          <w:rFonts w:ascii="Garamond" w:hAnsi="Garamond"/>
          <w:noProof/>
          <w:sz w:val="24"/>
          <w:szCs w:val="24"/>
          <w:lang w:val="en-US"/>
        </w:rPr>
        <w:t>2014)</w:t>
      </w:r>
      <w:r w:rsidR="00C473B9" w:rsidRPr="00055865">
        <w:rPr>
          <w:rFonts w:ascii="Garamond" w:hAnsi="Garamond"/>
          <w:sz w:val="24"/>
          <w:szCs w:val="24"/>
          <w:lang w:val="en-US"/>
        </w:rPr>
        <w:fldChar w:fldCharType="end"/>
      </w:r>
      <w:r w:rsidRPr="00055865">
        <w:rPr>
          <w:rFonts w:ascii="Garamond" w:hAnsi="Garamond"/>
          <w:sz w:val="24"/>
          <w:szCs w:val="24"/>
          <w:lang w:val="en-US"/>
        </w:rPr>
        <w:t xml:space="preserve"> explained that a strategic approach to environmental management practices is more closely linked with superior financial performance. Therefore, in terms of </w:t>
      </w:r>
      <w:r w:rsidR="00BB32E0">
        <w:rPr>
          <w:rFonts w:ascii="Garamond" w:hAnsi="Garamond"/>
          <w:sz w:val="24"/>
          <w:szCs w:val="24"/>
          <w:lang w:val="en-US"/>
        </w:rPr>
        <w:t>resource</w:t>
      </w:r>
      <w:r w:rsidRPr="00055865">
        <w:rPr>
          <w:rFonts w:ascii="Garamond" w:hAnsi="Garamond"/>
          <w:sz w:val="24"/>
          <w:szCs w:val="24"/>
          <w:lang w:val="en-US"/>
        </w:rPr>
        <w:t xml:space="preserve"> allocation, the study offer</w:t>
      </w:r>
      <w:r w:rsidR="00794D8F" w:rsidRPr="00055865">
        <w:rPr>
          <w:rFonts w:ascii="Garamond" w:hAnsi="Garamond"/>
          <w:sz w:val="24"/>
          <w:szCs w:val="24"/>
          <w:lang w:val="en-US"/>
        </w:rPr>
        <w:t>s</w:t>
      </w:r>
      <w:r w:rsidRPr="00055865">
        <w:rPr>
          <w:rFonts w:ascii="Garamond" w:hAnsi="Garamond"/>
          <w:sz w:val="24"/>
          <w:szCs w:val="24"/>
          <w:lang w:val="en-US"/>
        </w:rPr>
        <w:t xml:space="preserve"> guidance on the extent to which resources should be allocated to environmental management practices to derive optimum financial benefits</w:t>
      </w:r>
      <w:r w:rsidR="005121CA">
        <w:rPr>
          <w:rFonts w:ascii="Garamond" w:hAnsi="Garamond"/>
          <w:sz w:val="24"/>
          <w:szCs w:val="24"/>
          <w:lang w:val="en-US"/>
        </w:rPr>
        <w:t>.</w:t>
      </w:r>
    </w:p>
    <w:p w14:paraId="69F6C3C3" w14:textId="6690E90A" w:rsidR="0003318B" w:rsidRPr="00055865" w:rsidRDefault="00C3429E" w:rsidP="005D6CE4">
      <w:pPr>
        <w:tabs>
          <w:tab w:val="left" w:pos="2550"/>
        </w:tabs>
        <w:spacing w:after="0" w:line="480" w:lineRule="auto"/>
        <w:contextualSpacing/>
        <w:jc w:val="both"/>
        <w:rPr>
          <w:rFonts w:ascii="Garamond" w:hAnsi="Garamond"/>
          <w:sz w:val="24"/>
          <w:szCs w:val="24"/>
        </w:rPr>
      </w:pPr>
      <w:r w:rsidRPr="00055865">
        <w:rPr>
          <w:rFonts w:ascii="Garamond" w:hAnsi="Garamond"/>
          <w:sz w:val="24"/>
          <w:szCs w:val="24"/>
        </w:rPr>
        <w:t xml:space="preserve">              However, the study is only limited to content analysis of annual reports and other sustainability reports that are disclosed on the companies’ websites. This implies that </w:t>
      </w:r>
      <w:r w:rsidR="00C04A23" w:rsidRPr="00055865">
        <w:rPr>
          <w:rFonts w:ascii="Garamond" w:hAnsi="Garamond"/>
          <w:sz w:val="24"/>
          <w:szCs w:val="24"/>
        </w:rPr>
        <w:t xml:space="preserve">the study did not capture other sustainable environmental </w:t>
      </w:r>
      <w:r w:rsidR="001D2D28" w:rsidRPr="00055865">
        <w:rPr>
          <w:rFonts w:ascii="Garamond" w:hAnsi="Garamond"/>
          <w:sz w:val="24"/>
          <w:szCs w:val="24"/>
        </w:rPr>
        <w:t>policies that</w:t>
      </w:r>
      <w:r w:rsidR="00C04A23" w:rsidRPr="00055865">
        <w:rPr>
          <w:rFonts w:ascii="Garamond" w:hAnsi="Garamond"/>
          <w:sz w:val="24"/>
          <w:szCs w:val="24"/>
        </w:rPr>
        <w:t xml:space="preserve"> are not contained in the annual report</w:t>
      </w:r>
      <w:r w:rsidR="00BB32E0">
        <w:rPr>
          <w:rFonts w:ascii="Garamond" w:hAnsi="Garamond"/>
          <w:sz w:val="24"/>
          <w:szCs w:val="24"/>
        </w:rPr>
        <w:t>s</w:t>
      </w:r>
      <w:r w:rsidR="00C04A23" w:rsidRPr="00055865">
        <w:rPr>
          <w:rFonts w:ascii="Garamond" w:hAnsi="Garamond"/>
          <w:sz w:val="24"/>
          <w:szCs w:val="24"/>
        </w:rPr>
        <w:t xml:space="preserve"> or the companies’ website</w:t>
      </w:r>
      <w:r w:rsidRPr="00055865">
        <w:rPr>
          <w:rFonts w:ascii="Garamond" w:hAnsi="Garamond"/>
          <w:sz w:val="24"/>
          <w:szCs w:val="24"/>
        </w:rPr>
        <w:t>.</w:t>
      </w:r>
      <w:r w:rsidR="00EF4B6B" w:rsidRPr="00055865">
        <w:rPr>
          <w:rFonts w:ascii="Garamond" w:hAnsi="Garamond"/>
          <w:sz w:val="24"/>
          <w:szCs w:val="24"/>
        </w:rPr>
        <w:t xml:space="preserve"> </w:t>
      </w:r>
      <w:r w:rsidR="00EF4B6B" w:rsidRPr="00055865">
        <w:rPr>
          <w:rFonts w:ascii="Garamond" w:hAnsi="Garamond"/>
          <w:sz w:val="24"/>
          <w:szCs w:val="24"/>
        </w:rPr>
        <w:fldChar w:fldCharType="begin" w:fldLock="1"/>
      </w:r>
      <w:r w:rsidR="00EF4B6B" w:rsidRPr="00055865">
        <w:rPr>
          <w:rFonts w:ascii="Garamond" w:hAnsi="Garamond"/>
          <w:sz w:val="24"/>
          <w:szCs w:val="24"/>
        </w:rPr>
        <w:instrText>ADDIN CSL_CITATION {"citationItems":[{"id":"ITEM-1","itemData":{"DOI":"10.1108/09513579010136343","ISBN":"0951357891","ISSN":"09513574","PMID":"42012058","abstract":"This study examines the social responsibility information disclosed through mass media vehicles by Canadian companies operating in the banking and petroleum industries. The analysis compares disclosures, made through mass media vehicles such as magazine, radio and television advertisements and company brochures, with those made through the company′s annual reports. Results indicated that the mass media vehicles were used extensively, but that they provided less information in the quantitative and monetary form than did the annual reports. In addition, information provided through the mass media vehicles dealt with only a few information categories. Comparison across the firms by industry indicated that there was a large interfirm difference in the usage of these media for making social disclosure. It is, therefore, felt that annual reports alone perhaps do not adequately represent the information disclosure activities of a firm or an industry.","author":[{"dropping-particle":"","family":"Zéghal","given":"Daniel","non-dropping-particle":"","parse-names":false,"suffix":""},{"dropping-particle":"","family":"Ahmed","given":"Sadrudin A.","non-dropping-particle":"","parse-names":false,"suffix":""}],"container-title":"Accounting, Auditing &amp; Accountability Journal","id":"ITEM-1","issue":"1","issued":{"date-parts":[["1990"]]},"page":"38-53","title":"Comparison of social responsibility information disclosure media used by Canadian firms","type":"article-journal","volume":"3"},"uris":["http://www.mendeley.com/documents/?uuid=c8c1850c-a73a-49dc-bf96-5187ba1e6e29"]}],"mendeley":{"formattedCitation":"(Zéghal &amp; Ahmed, 1990)","manualFormatting":"Zéghal &amp; Ahmed (1990)","plainTextFormattedCitation":"(Zéghal &amp; Ahmed, 1990)","previouslyFormattedCitation":"(Zéghal &amp; Ahmed, 1990)"},"properties":{"noteIndex":0},"schema":"https://github.com/citation-style-language/schema/raw/master/csl-citation.json"}</w:instrText>
      </w:r>
      <w:r w:rsidR="00EF4B6B" w:rsidRPr="00055865">
        <w:rPr>
          <w:rFonts w:ascii="Garamond" w:hAnsi="Garamond"/>
          <w:sz w:val="24"/>
          <w:szCs w:val="24"/>
        </w:rPr>
        <w:fldChar w:fldCharType="separate"/>
      </w:r>
      <w:r w:rsidR="00EF4B6B" w:rsidRPr="00055865">
        <w:rPr>
          <w:rFonts w:ascii="Garamond" w:hAnsi="Garamond"/>
          <w:noProof/>
          <w:sz w:val="24"/>
          <w:szCs w:val="24"/>
        </w:rPr>
        <w:t>Zéghal &amp; Ahmed (1990)</w:t>
      </w:r>
      <w:r w:rsidR="00EF4B6B" w:rsidRPr="00055865">
        <w:rPr>
          <w:rFonts w:ascii="Garamond" w:hAnsi="Garamond"/>
          <w:sz w:val="24"/>
          <w:szCs w:val="24"/>
        </w:rPr>
        <w:fldChar w:fldCharType="end"/>
      </w:r>
      <w:r w:rsidR="00EF4B6B" w:rsidRPr="00055865">
        <w:rPr>
          <w:rFonts w:ascii="Garamond" w:hAnsi="Garamond"/>
          <w:sz w:val="24"/>
          <w:szCs w:val="24"/>
        </w:rPr>
        <w:t xml:space="preserve"> </w:t>
      </w:r>
      <w:r w:rsidRPr="00055865">
        <w:rPr>
          <w:rFonts w:ascii="Garamond" w:hAnsi="Garamond"/>
          <w:sz w:val="24"/>
          <w:szCs w:val="24"/>
        </w:rPr>
        <w:t xml:space="preserve"> also indicated that exclusive use of annual reports results in an incomplete representation of </w:t>
      </w:r>
      <w:r w:rsidR="00C04A23" w:rsidRPr="00055865">
        <w:rPr>
          <w:rFonts w:ascii="Garamond" w:hAnsi="Garamond"/>
          <w:sz w:val="24"/>
          <w:szCs w:val="24"/>
        </w:rPr>
        <w:t xml:space="preserve">the </w:t>
      </w:r>
      <w:r w:rsidRPr="00055865">
        <w:rPr>
          <w:rFonts w:ascii="Garamond" w:hAnsi="Garamond"/>
          <w:sz w:val="24"/>
          <w:szCs w:val="24"/>
        </w:rPr>
        <w:t>quantum of environmental practices</w:t>
      </w:r>
      <w:r w:rsidR="00AF657E">
        <w:rPr>
          <w:rFonts w:ascii="Garamond" w:hAnsi="Garamond"/>
          <w:sz w:val="24"/>
          <w:szCs w:val="24"/>
        </w:rPr>
        <w:t xml:space="preserve"> and there the need to consider other sources as well</w:t>
      </w:r>
      <w:r w:rsidRPr="00055865">
        <w:rPr>
          <w:rFonts w:ascii="Garamond" w:hAnsi="Garamond"/>
          <w:sz w:val="24"/>
          <w:szCs w:val="24"/>
        </w:rPr>
        <w:t xml:space="preserve">. However, </w:t>
      </w:r>
      <w:r w:rsidRPr="00055865">
        <w:rPr>
          <w:rFonts w:ascii="Garamond" w:hAnsi="Garamond"/>
          <w:sz w:val="24"/>
          <w:szCs w:val="24"/>
        </w:rPr>
        <w:fldChar w:fldCharType="begin" w:fldLock="1"/>
      </w:r>
      <w:r w:rsidRPr="00055865">
        <w:rPr>
          <w:rFonts w:ascii="Garamond" w:hAnsi="Garamond"/>
          <w:sz w:val="24"/>
          <w:szCs w:val="24"/>
        </w:rPr>
        <w:instrText>ADDIN CSL_CITATION {"citationItems":[{"id":"ITEM-1","itemData":{"author":[{"dropping-particle":"","family":"Ntim","given":"Collins.","non-dropping-particle":"","parse-names":false,"suffix":""}],"id":"ITEM-1","issued":{"date-parts":[["2009"]]},"publisher":"University of Glasgow","title":"Internal Corporate Governance Structures and Firm Financial Performance: Evidence from South African Listed Firms","type":"thesis"},"uris":["http://www.mendeley.com/documents/?uuid=568ed07e-5624-4f0f-a209-f66e0d4ec6bc"]}],"mendeley":{"formattedCitation":"(Ntim, 2009)","manualFormatting":"Ntim (2009)","plainTextFormattedCitation":"(Ntim, 2009)","previouslyFormattedCitation":"(Ntim, 2009)"},"properties":{"noteIndex":0},"schema":"https://github.com/citation-style-language/schema/raw/master/csl-citation.json"}</w:instrText>
      </w:r>
      <w:r w:rsidRPr="00055865">
        <w:rPr>
          <w:rFonts w:ascii="Garamond" w:hAnsi="Garamond"/>
          <w:sz w:val="24"/>
          <w:szCs w:val="24"/>
        </w:rPr>
        <w:fldChar w:fldCharType="separate"/>
      </w:r>
      <w:r w:rsidRPr="00055865">
        <w:rPr>
          <w:rFonts w:ascii="Garamond" w:hAnsi="Garamond"/>
          <w:noProof/>
          <w:sz w:val="24"/>
          <w:szCs w:val="24"/>
        </w:rPr>
        <w:t>Ntim (2009)</w:t>
      </w:r>
      <w:r w:rsidRPr="00055865">
        <w:rPr>
          <w:rFonts w:ascii="Garamond" w:hAnsi="Garamond"/>
          <w:sz w:val="24"/>
          <w:szCs w:val="24"/>
        </w:rPr>
        <w:fldChar w:fldCharType="end"/>
      </w:r>
      <w:r w:rsidRPr="00055865">
        <w:rPr>
          <w:rFonts w:ascii="Garamond" w:hAnsi="Garamond"/>
          <w:sz w:val="24"/>
          <w:szCs w:val="24"/>
        </w:rPr>
        <w:t xml:space="preserve"> strongly argued why the annual reports should be relied upon. </w:t>
      </w:r>
      <w:proofErr w:type="spellStart"/>
      <w:r w:rsidR="00AF657E">
        <w:rPr>
          <w:rFonts w:ascii="Garamond" w:hAnsi="Garamond"/>
          <w:sz w:val="24"/>
          <w:szCs w:val="24"/>
        </w:rPr>
        <w:t>Ntim</w:t>
      </w:r>
      <w:proofErr w:type="spellEnd"/>
      <w:r w:rsidR="00AF657E">
        <w:rPr>
          <w:rFonts w:ascii="Garamond" w:hAnsi="Garamond"/>
          <w:sz w:val="24"/>
          <w:szCs w:val="24"/>
        </w:rPr>
        <w:t xml:space="preserve"> (2009)</w:t>
      </w:r>
      <w:r w:rsidRPr="00055865">
        <w:rPr>
          <w:rFonts w:ascii="Garamond" w:hAnsi="Garamond"/>
          <w:sz w:val="24"/>
          <w:szCs w:val="24"/>
        </w:rPr>
        <w:t xml:space="preserve"> explained that aside </w:t>
      </w:r>
      <w:r w:rsidR="00AF657E">
        <w:rPr>
          <w:rFonts w:ascii="Garamond" w:hAnsi="Garamond"/>
          <w:sz w:val="24"/>
          <w:szCs w:val="24"/>
        </w:rPr>
        <w:t xml:space="preserve">the exclusive use of </w:t>
      </w:r>
      <w:r w:rsidR="005B6FD7">
        <w:rPr>
          <w:rFonts w:ascii="Garamond" w:hAnsi="Garamond"/>
          <w:sz w:val="24"/>
          <w:szCs w:val="24"/>
        </w:rPr>
        <w:t xml:space="preserve">the </w:t>
      </w:r>
      <w:r w:rsidR="00AF657E">
        <w:rPr>
          <w:rFonts w:ascii="Garamond" w:hAnsi="Garamond"/>
          <w:sz w:val="24"/>
          <w:szCs w:val="24"/>
        </w:rPr>
        <w:t xml:space="preserve">annual report </w:t>
      </w:r>
      <w:r w:rsidR="005B6FD7">
        <w:rPr>
          <w:rFonts w:ascii="Garamond" w:hAnsi="Garamond"/>
          <w:sz w:val="24"/>
          <w:szCs w:val="24"/>
        </w:rPr>
        <w:t>is</w:t>
      </w:r>
      <w:r w:rsidRPr="00055865">
        <w:rPr>
          <w:rFonts w:ascii="Garamond" w:hAnsi="Garamond"/>
          <w:sz w:val="24"/>
          <w:szCs w:val="24"/>
        </w:rPr>
        <w:t xml:space="preserve"> consistent with the prior studies and therefore offer a direct comparison, only company annual reports </w:t>
      </w:r>
      <w:r w:rsidR="00AF657E">
        <w:rPr>
          <w:rFonts w:ascii="Garamond" w:hAnsi="Garamond"/>
          <w:sz w:val="24"/>
          <w:szCs w:val="24"/>
        </w:rPr>
        <w:t xml:space="preserve">are </w:t>
      </w:r>
      <w:r w:rsidRPr="00055865">
        <w:rPr>
          <w:rFonts w:ascii="Garamond" w:hAnsi="Garamond"/>
          <w:sz w:val="24"/>
          <w:szCs w:val="24"/>
        </w:rPr>
        <w:t>consistently available where information could be drawn. Besides</w:t>
      </w:r>
      <w:r w:rsidR="00EF4B6B" w:rsidRPr="00055865">
        <w:rPr>
          <w:rFonts w:ascii="Garamond" w:hAnsi="Garamond"/>
          <w:sz w:val="24"/>
          <w:szCs w:val="24"/>
        </w:rPr>
        <w:t xml:space="preserve">, </w:t>
      </w:r>
      <w:r w:rsidR="00EF4B6B" w:rsidRPr="00055865">
        <w:rPr>
          <w:rFonts w:ascii="Garamond" w:hAnsi="Garamond"/>
          <w:sz w:val="24"/>
          <w:szCs w:val="24"/>
        </w:rPr>
        <w:fldChar w:fldCharType="begin" w:fldLock="1"/>
      </w:r>
      <w:r w:rsidR="003342EC" w:rsidRPr="00055865">
        <w:rPr>
          <w:rFonts w:ascii="Garamond" w:hAnsi="Garamond"/>
          <w:sz w:val="24"/>
          <w:szCs w:val="24"/>
        </w:rPr>
        <w:instrText>ADDIN CSL_CITATION {"citationItems":[{"id":"ITEM-1","itemData":{"DOI":"10.1016/j.accfor.2007.10.001","ISBN":"0155-9982","ISSN":"01559982","PMID":"30018817","abstract":"Regulators and other industry associations have recognised the importance of considering the industry setting when determining social and environmental (SE) policy and reporting requirements. However, social and environmental impacts vary greatly from industry to industry. The generalised nature of many SE disclosure instruments is a limitation on the accuracy of the results of empirical studies which only focus on annual report disclosure and size. This paper attempts to address this limitation by developing an industry-specific reporting framework to examine SE performance, based on an empirical analysis of the issues that apply within the chosen industry. Also, it assesses corporate SE reporting against intra-industry issues, as well as more universal reporting requirements, the latter derived from widely accepted and utilised reporting frameworks in the literature. This paper finds that the sample companies reported more on industry-specific issues than general SE issues. This finding also highlights the need for researchers examining SE disclosures to consider incorporating industry-specific items into their disclosure instruments. The study also finds that the companies tended to utilise corporate websites for their SE reporting more so than annual reports, indicating the need for researchers to consider alternative media. © 2007 Elsevier Ltd. All rights reserved.","author":[{"dropping-particle":"","family":"Guthrie","given":"James","non-dropping-particle":"","parse-names":false,"suffix":""},{"dropping-particle":"","family":"Cuganesan","given":"Suresh","non-dropping-particle":"","parse-names":false,"suffix":""},{"dropping-particle":"","family":"Ward","given":"Leanne","non-dropping-particle":"","parse-names":false,"suffix":""}],"container-title":"Accounting Forum","id":"ITEM-1","issue":"1","issued":{"date-parts":[["2008"]]},"page":"1-15","title":"Industry specific social and environmental reporting: The Australian Food and Beverage Industry","type":"article-journal","volume":"32"},"uris":["http://www.mendeley.com/documents/?uuid=5924a078-4bff-46da-ab7a-85446e348431"]}],"mendeley":{"formattedCitation":"(Guthrie, Cuganesan, &amp; Ward, 2008)","manualFormatting":"Guthrie, Cuganesan, &amp; Ward (2008)","plainTextFormattedCitation":"(Guthrie, Cuganesan, &amp; Ward, 2008)","previouslyFormattedCitation":"(Guthrie, Cuganesan, &amp; Ward, 2008)"},"properties":{"noteIndex":0},"schema":"https://github.com/citation-style-language/schema/raw/master/csl-citation.json"}</w:instrText>
      </w:r>
      <w:r w:rsidR="00EF4B6B" w:rsidRPr="00055865">
        <w:rPr>
          <w:rFonts w:ascii="Garamond" w:hAnsi="Garamond"/>
          <w:sz w:val="24"/>
          <w:szCs w:val="24"/>
        </w:rPr>
        <w:fldChar w:fldCharType="separate"/>
      </w:r>
      <w:r w:rsidR="00EF4B6B" w:rsidRPr="00055865">
        <w:rPr>
          <w:rFonts w:ascii="Garamond" w:hAnsi="Garamond"/>
          <w:noProof/>
          <w:sz w:val="24"/>
          <w:szCs w:val="24"/>
        </w:rPr>
        <w:t>Guthrie, Cuganesan, &amp; Ward (2008)</w:t>
      </w:r>
      <w:r w:rsidR="00EF4B6B" w:rsidRPr="00055865">
        <w:rPr>
          <w:rFonts w:ascii="Garamond" w:hAnsi="Garamond"/>
          <w:sz w:val="24"/>
          <w:szCs w:val="24"/>
        </w:rPr>
        <w:fldChar w:fldCharType="end"/>
      </w:r>
      <w:r w:rsidR="009A15DB">
        <w:rPr>
          <w:rFonts w:ascii="Garamond" w:hAnsi="Garamond"/>
          <w:sz w:val="24"/>
          <w:szCs w:val="24"/>
        </w:rPr>
        <w:t xml:space="preserve"> point out</w:t>
      </w:r>
      <w:r w:rsidRPr="00055865">
        <w:rPr>
          <w:rFonts w:ascii="Garamond" w:hAnsi="Garamond"/>
          <w:sz w:val="24"/>
          <w:szCs w:val="24"/>
        </w:rPr>
        <w:t xml:space="preserve"> that it is impossible to identify all sustainable </w:t>
      </w:r>
      <w:r w:rsidRPr="00055865">
        <w:rPr>
          <w:rFonts w:ascii="Garamond" w:hAnsi="Garamond"/>
          <w:sz w:val="24"/>
          <w:szCs w:val="24"/>
        </w:rPr>
        <w:lastRenderedPageBreak/>
        <w:t>environmental activities of an organisation under one study and therefore, it is reasonable to use annual reports. Nevertheless, to ensure consistency with other environmental data, it will be appropriate if future studies are directed to include all other environmental information or projects that the firms are involved</w:t>
      </w:r>
      <w:r w:rsidR="009A15DB">
        <w:rPr>
          <w:rFonts w:ascii="Garamond" w:hAnsi="Garamond"/>
          <w:sz w:val="24"/>
          <w:szCs w:val="24"/>
        </w:rPr>
        <w:t xml:space="preserve"> in</w:t>
      </w:r>
      <w:r w:rsidRPr="00055865">
        <w:rPr>
          <w:rFonts w:ascii="Garamond" w:hAnsi="Garamond"/>
          <w:sz w:val="24"/>
          <w:szCs w:val="24"/>
        </w:rPr>
        <w:t xml:space="preserve"> so that other useful lessons could be drawn.</w:t>
      </w:r>
    </w:p>
    <w:p w14:paraId="3EBDA5A9" w14:textId="77777777" w:rsidR="009A15DB" w:rsidRDefault="009A15DB" w:rsidP="005D6CE4">
      <w:pPr>
        <w:tabs>
          <w:tab w:val="left" w:pos="2550"/>
        </w:tabs>
        <w:spacing w:after="0" w:line="480" w:lineRule="auto"/>
        <w:contextualSpacing/>
        <w:jc w:val="both"/>
        <w:rPr>
          <w:rFonts w:ascii="Garamond" w:hAnsi="Garamond" w:cs="Times New Roman"/>
          <w:sz w:val="24"/>
          <w:szCs w:val="24"/>
        </w:rPr>
      </w:pPr>
      <w:r>
        <w:rPr>
          <w:rFonts w:ascii="Garamond" w:hAnsi="Garamond" w:cs="Times New Roman"/>
          <w:sz w:val="24"/>
          <w:szCs w:val="24"/>
        </w:rPr>
        <w:t xml:space="preserve">                Again</w:t>
      </w:r>
      <w:r w:rsidR="00F44D9F" w:rsidRPr="00055865">
        <w:rPr>
          <w:rFonts w:ascii="Garamond" w:hAnsi="Garamond" w:cs="Times New Roman"/>
          <w:sz w:val="24"/>
          <w:szCs w:val="24"/>
        </w:rPr>
        <w:t>, the study concentrated on only AIM</w:t>
      </w:r>
      <w:r w:rsidR="00C04A23" w:rsidRPr="00055865">
        <w:rPr>
          <w:rFonts w:ascii="Garamond" w:hAnsi="Garamond" w:cs="Times New Roman"/>
          <w:sz w:val="24"/>
          <w:szCs w:val="24"/>
        </w:rPr>
        <w:t>-</w:t>
      </w:r>
      <w:r w:rsidR="00F44D9F" w:rsidRPr="00055865">
        <w:rPr>
          <w:rFonts w:ascii="Garamond" w:hAnsi="Garamond" w:cs="Times New Roman"/>
          <w:sz w:val="24"/>
          <w:szCs w:val="24"/>
        </w:rPr>
        <w:t xml:space="preserve">listed firms in the UK. The reliability of the </w:t>
      </w:r>
      <w:r w:rsidR="00C04A23" w:rsidRPr="00055865">
        <w:rPr>
          <w:rFonts w:ascii="Garamond" w:hAnsi="Garamond" w:cs="Times New Roman"/>
          <w:sz w:val="24"/>
          <w:szCs w:val="24"/>
        </w:rPr>
        <w:t>research</w:t>
      </w:r>
      <w:r w:rsidR="00F44D9F" w:rsidRPr="00055865">
        <w:rPr>
          <w:rFonts w:ascii="Garamond" w:hAnsi="Garamond" w:cs="Times New Roman"/>
          <w:sz w:val="24"/>
          <w:szCs w:val="24"/>
        </w:rPr>
        <w:t xml:space="preserve"> in </w:t>
      </w:r>
      <w:r w:rsidR="00C04A23" w:rsidRPr="00055865">
        <w:rPr>
          <w:rFonts w:ascii="Garamond" w:hAnsi="Garamond" w:cs="Times New Roman"/>
          <w:sz w:val="24"/>
          <w:szCs w:val="24"/>
        </w:rPr>
        <w:t>generalising</w:t>
      </w:r>
      <w:r w:rsidR="00F44D9F" w:rsidRPr="00055865">
        <w:rPr>
          <w:rFonts w:ascii="Garamond" w:hAnsi="Garamond" w:cs="Times New Roman"/>
          <w:sz w:val="24"/>
          <w:szCs w:val="24"/>
        </w:rPr>
        <w:t xml:space="preserve"> the effect of su</w:t>
      </w:r>
      <w:r w:rsidR="00C04A23" w:rsidRPr="00055865">
        <w:rPr>
          <w:rFonts w:ascii="Garamond" w:hAnsi="Garamond" w:cs="Times New Roman"/>
          <w:sz w:val="24"/>
          <w:szCs w:val="24"/>
        </w:rPr>
        <w:t>s</w:t>
      </w:r>
      <w:r w:rsidR="00F44D9F" w:rsidRPr="00055865">
        <w:rPr>
          <w:rFonts w:ascii="Garamond" w:hAnsi="Garamond" w:cs="Times New Roman"/>
          <w:sz w:val="24"/>
          <w:szCs w:val="24"/>
        </w:rPr>
        <w:t xml:space="preserve">tainable environmental practices and financial performance could be enhanced if </w:t>
      </w:r>
      <w:r w:rsidR="00C04A23" w:rsidRPr="00055865">
        <w:rPr>
          <w:rFonts w:ascii="Garamond" w:hAnsi="Garamond" w:cs="Times New Roman"/>
          <w:sz w:val="24"/>
          <w:szCs w:val="24"/>
        </w:rPr>
        <w:t xml:space="preserve">a </w:t>
      </w:r>
      <w:r w:rsidR="00F44D9F" w:rsidRPr="00055865">
        <w:rPr>
          <w:rFonts w:ascii="Garamond" w:hAnsi="Garamond" w:cs="Times New Roman"/>
          <w:sz w:val="24"/>
          <w:szCs w:val="24"/>
        </w:rPr>
        <w:t xml:space="preserve">comparative analysis </w:t>
      </w:r>
      <w:r w:rsidR="00C04A23" w:rsidRPr="00055865">
        <w:rPr>
          <w:rFonts w:ascii="Garamond" w:hAnsi="Garamond" w:cs="Times New Roman"/>
          <w:sz w:val="24"/>
          <w:szCs w:val="24"/>
        </w:rPr>
        <w:t>could be</w:t>
      </w:r>
      <w:r w:rsidR="00F44D9F" w:rsidRPr="00055865">
        <w:rPr>
          <w:rFonts w:ascii="Garamond" w:hAnsi="Garamond" w:cs="Times New Roman"/>
          <w:sz w:val="24"/>
          <w:szCs w:val="24"/>
        </w:rPr>
        <w:t xml:space="preserve"> drawn with other AIM</w:t>
      </w:r>
      <w:r w:rsidR="00C04A23" w:rsidRPr="00055865">
        <w:rPr>
          <w:rFonts w:ascii="Garamond" w:hAnsi="Garamond" w:cs="Times New Roman"/>
          <w:sz w:val="24"/>
          <w:szCs w:val="24"/>
        </w:rPr>
        <w:t>-</w:t>
      </w:r>
      <w:r w:rsidR="00F44D9F" w:rsidRPr="00055865">
        <w:rPr>
          <w:rFonts w:ascii="Garamond" w:hAnsi="Garamond" w:cs="Times New Roman"/>
          <w:sz w:val="24"/>
          <w:szCs w:val="24"/>
        </w:rPr>
        <w:t xml:space="preserve">listed firms outside the UK. Such initiative may be significant as it is argued that although environmental pollution is a global challenge, different experiences may be encountered by different countries </w:t>
      </w:r>
      <w:r w:rsidR="00F44D9F" w:rsidRPr="00055865">
        <w:rPr>
          <w:rFonts w:ascii="Garamond" w:hAnsi="Garamond" w:cs="Times New Roman"/>
          <w:sz w:val="24"/>
          <w:szCs w:val="24"/>
        </w:rPr>
        <w:fldChar w:fldCharType="begin" w:fldLock="1"/>
      </w:r>
      <w:r w:rsidR="00B7236C" w:rsidRPr="00055865">
        <w:rPr>
          <w:rFonts w:ascii="Garamond" w:hAnsi="Garamond" w:cs="Times New Roman"/>
          <w:sz w:val="24"/>
          <w:szCs w:val="24"/>
        </w:rPr>
        <w:instrText>ADDIN CSL_CITATION {"citationItems":[{"id":"ITEM-1","itemData":{"DOI":"10.1002/csr.196","ISBN":"15353958\\r15353966","ISSN":"15353958","PMID":"828","abstract":"In recent years, not only has attention to corporate governance increased but also the notion has broadened considerably, and started to cover some aspects traditionally seen as being part of corporate social responsibility (CSR). CSR, corporate governance and their interlink seem particularly relevant for multinational enterprises (MNEs), which, due to their activities in multiple contexts around the world and concomitant visibility, generally face higher demands to be transparent and disclose information about such issues. Insights into whether and in which cases disclosures on the two topics actually merge has been very limited, however. This paper analyses to what extent corporate governance has become integrated in MNEs' disclosure practices on CSR. Based on an analysis of CSR reporting of Fortune Global 250 companies, findings show that more than half of them have a separate corporate governance section in their CSR report and/or explicitly link corporate governance and CSR issues. We also found that MNEs that disclose information on a wider variety of social and environmental issues and frame CSR with a focus on internal issues are more inclined to integrate corporate governance into their CSR reporting. This integration seems to be a global phenomenon that cuts across countries and sectors.","author":[{"dropping-particle":"","family":"Kolk","given":"Ans","non-dropping-particle":"","parse-names":false,"suffix":""},{"dropping-particle":"","family":"Pinkse","given":"Jonatan","non-dropping-particle":"","parse-names":false,"suffix":""}],"container-title":"Corporate Social Responsibility and Environmental Management","id":"ITEM-1","issue":"1","issued":{"date-parts":[["2010"]]},"page":"15-26","title":"The integration of corporate governance in corporate social responsibility disclosures","type":"article-journal","volume":"17"},"uris":["http://www.mendeley.com/documents/?uuid=f8aaa1fa-e042-4633-b2b6-4174031397fa"]},{"id":"ITEM-2","itemData":{"DOI":"10.1007/s10551-010-0515-0","ISBN":"01674544","ISSN":"01674544","abstract":"In today's world, the corporate image of the largest companies is closely linked to their perfor-mance in the field of corporate social responsibility and the disclosure of information on that topic, specifically, on climate change. Since the Board of Directors is the body responsible for this process, the aim of this article is to show the role that companies' Boards of Directors play in the accountability process vis-à-vis stakeholders in relation to one specific aspect which has enormous sig-nificance in environmental information: practices used to monitor greenhouse gas emissions. In order to achieve this, we shall verify certain business characteristics, in addition to the size and activity of the Board of Directors, and we shall take different dependence models into consideration. These models will include variables related to the level of independence and diversity of the Board of Directors, which interact with dummy variables repre-senting the company's litigation risks regarding environ-mental behavior and the institutional macro-context of the organization's country of origin. The results make it clear that Boards of Directors are basically focused on the traditional responsibility of creating economic value, instead of dealing with today's broader business world concepts, which include social responsibility. This focus, therefore, does not favor the accountability process before other stakeholders, if this makes it more difficult to pro-tect the interests of shareholders.","author":[{"dropping-particle":"","family":"Prado-Lorenzo","given":"Jose-Manuel","non-dropping-particle":"","parse-names":false,"suffix":""},{"dropping-particle":"","family":"Garcia-Sanchez","given":"Isabel-Maria","non-dropping-particle":"","parse-names":false,"suffix":""}],"container-title":"Journal of Business Ethics","id":"ITEM-2","issued":{"date-parts":[["2010"]]},"page":"391-424","title":"The Role of the Board of Directors in Disseminating Relevant Information on Greenhouse Gases","type":"article-journal","volume":"97"},"uris":["http://www.mendeley.com/documents/?uuid=46670bf8-1dc8-4006-b43a-5def30ed2297"]},{"id":"ITEM-3","itemData":{"author":[{"dropping-particle":"","family":"Chithambo","given":"Lython","non-dropping-particle":"","parse-names":false,"suffix":""}],"id":"ITEM-3","issued":{"date-parts":[["2013"]]},"publisher":"Bournemouth University","title":"The Extent and Determinants of Greenhouse Gas Reporting in the United Kingdom","type":"thesis"},"uris":["http://www.mendeley.com/documents/?uuid=c08f5536-f429-474f-ab9b-6baa6ae250b6"]}],"mendeley":{"formattedCitation":"(Chithambo, 2013; Kolk &amp; Pinkse, 2010; Prado-Lorenzo &amp; Garcia-Sanchez, 2010)","plainTextFormattedCitation":"(Chithambo, 2013; Kolk &amp; Pinkse, 2010; Prado-Lorenzo &amp; Garcia-Sanchez, 2010)","previouslyFormattedCitation":"(Chithambo, 2013; Kolk &amp; Pinkse, 2010; Prado-Lorenzo &amp; Garcia-Sanchez, 2010)"},"properties":{"noteIndex":0},"schema":"https://github.com/citation-style-language/schema/raw/master/csl-citation.json"}</w:instrText>
      </w:r>
      <w:r w:rsidR="00F44D9F" w:rsidRPr="00055865">
        <w:rPr>
          <w:rFonts w:ascii="Garamond" w:hAnsi="Garamond" w:cs="Times New Roman"/>
          <w:sz w:val="24"/>
          <w:szCs w:val="24"/>
        </w:rPr>
        <w:fldChar w:fldCharType="separate"/>
      </w:r>
      <w:r w:rsidR="00F44D9F" w:rsidRPr="00055865">
        <w:rPr>
          <w:rFonts w:ascii="Garamond" w:hAnsi="Garamond" w:cs="Times New Roman"/>
          <w:noProof/>
          <w:sz w:val="24"/>
          <w:szCs w:val="24"/>
        </w:rPr>
        <w:t>(Chithambo, 2013; Kolk &amp; Pinkse, 2010; Prado-Lorenzo &amp; Garcia-Sanchez, 2010)</w:t>
      </w:r>
      <w:r w:rsidR="00F44D9F" w:rsidRPr="00055865">
        <w:rPr>
          <w:rFonts w:ascii="Garamond" w:hAnsi="Garamond" w:cs="Times New Roman"/>
          <w:sz w:val="24"/>
          <w:szCs w:val="24"/>
        </w:rPr>
        <w:fldChar w:fldCharType="end"/>
      </w:r>
      <w:r w:rsidR="00F44D9F" w:rsidRPr="00055865">
        <w:rPr>
          <w:rFonts w:ascii="Garamond" w:hAnsi="Garamond" w:cs="Times New Roman"/>
          <w:sz w:val="24"/>
          <w:szCs w:val="24"/>
        </w:rPr>
        <w:t xml:space="preserve">. Thus, in future, similar studies that will draw </w:t>
      </w:r>
      <w:r w:rsidR="00C04A23" w:rsidRPr="00055865">
        <w:rPr>
          <w:rFonts w:ascii="Garamond" w:hAnsi="Garamond" w:cs="Times New Roman"/>
          <w:sz w:val="24"/>
          <w:szCs w:val="24"/>
        </w:rPr>
        <w:t xml:space="preserve">a </w:t>
      </w:r>
      <w:r w:rsidR="00F44D9F" w:rsidRPr="00055865">
        <w:rPr>
          <w:rFonts w:ascii="Garamond" w:hAnsi="Garamond" w:cs="Times New Roman"/>
          <w:sz w:val="24"/>
          <w:szCs w:val="24"/>
        </w:rPr>
        <w:t>comparison from different countries rather than concentrating on only one country</w:t>
      </w:r>
      <w:r w:rsidR="00E26C8A" w:rsidRPr="00055865">
        <w:rPr>
          <w:rFonts w:ascii="Garamond" w:hAnsi="Garamond" w:cs="Times New Roman"/>
          <w:sz w:val="24"/>
          <w:szCs w:val="24"/>
        </w:rPr>
        <w:t xml:space="preserve"> can improve reliability and generalisation of the study results. </w:t>
      </w:r>
    </w:p>
    <w:p w14:paraId="27EA7E8B" w14:textId="1DA5165F" w:rsidR="00F44D9F" w:rsidRPr="00055865" w:rsidRDefault="009A15DB" w:rsidP="005D6CE4">
      <w:pPr>
        <w:tabs>
          <w:tab w:val="left" w:pos="2550"/>
        </w:tabs>
        <w:spacing w:after="0" w:line="480" w:lineRule="auto"/>
        <w:contextualSpacing/>
        <w:jc w:val="both"/>
        <w:rPr>
          <w:rFonts w:ascii="Garamond" w:hAnsi="Garamond"/>
          <w:sz w:val="24"/>
          <w:szCs w:val="24"/>
        </w:rPr>
      </w:pPr>
      <w:r>
        <w:rPr>
          <w:rFonts w:ascii="Garamond" w:hAnsi="Garamond" w:cs="Times New Roman"/>
          <w:sz w:val="24"/>
          <w:szCs w:val="24"/>
        </w:rPr>
        <w:t xml:space="preserve">           </w:t>
      </w:r>
      <w:r w:rsidR="00E26C8A" w:rsidRPr="00055865">
        <w:rPr>
          <w:rFonts w:ascii="Garamond" w:hAnsi="Garamond" w:cs="Times New Roman"/>
          <w:sz w:val="24"/>
          <w:szCs w:val="24"/>
        </w:rPr>
        <w:t>Finally, the study relied on six-year panel data due to lack of information. However, for more robust results, it is expected</w:t>
      </w:r>
      <w:r w:rsidR="002B33A2" w:rsidRPr="00055865">
        <w:rPr>
          <w:rFonts w:ascii="Garamond" w:hAnsi="Garamond" w:cs="Times New Roman"/>
          <w:sz w:val="24"/>
          <w:szCs w:val="24"/>
        </w:rPr>
        <w:t xml:space="preserve"> that</w:t>
      </w:r>
      <w:r w:rsidR="00E26C8A" w:rsidRPr="00055865">
        <w:rPr>
          <w:rFonts w:ascii="Garamond" w:hAnsi="Garamond" w:cs="Times New Roman"/>
          <w:sz w:val="24"/>
          <w:szCs w:val="24"/>
        </w:rPr>
        <w:t xml:space="preserve"> future studies can extend the panel period beyond the six years.</w:t>
      </w:r>
    </w:p>
    <w:p w14:paraId="3926766B" w14:textId="77777777" w:rsidR="004E350A" w:rsidRPr="00055865" w:rsidRDefault="004E350A" w:rsidP="005D6CE4">
      <w:pPr>
        <w:tabs>
          <w:tab w:val="left" w:pos="2550"/>
        </w:tabs>
        <w:spacing w:after="0" w:line="480" w:lineRule="auto"/>
        <w:contextualSpacing/>
        <w:jc w:val="both"/>
        <w:rPr>
          <w:rFonts w:ascii="Garamond" w:hAnsi="Garamond"/>
          <w:sz w:val="24"/>
          <w:szCs w:val="24"/>
          <w:lang w:val="en-US"/>
        </w:rPr>
      </w:pPr>
    </w:p>
    <w:p w14:paraId="1EB21BA5" w14:textId="77777777" w:rsidR="00E20DB1" w:rsidRPr="00055865" w:rsidRDefault="00E20DB1" w:rsidP="005D6CE4">
      <w:pPr>
        <w:tabs>
          <w:tab w:val="left" w:pos="2550"/>
        </w:tabs>
        <w:spacing w:after="0" w:line="480" w:lineRule="auto"/>
        <w:contextualSpacing/>
        <w:jc w:val="both"/>
        <w:rPr>
          <w:rFonts w:ascii="Garamond" w:hAnsi="Garamond"/>
          <w:b/>
          <w:sz w:val="24"/>
          <w:szCs w:val="24"/>
          <w:lang w:val="en-US"/>
        </w:rPr>
      </w:pPr>
      <w:r w:rsidRPr="00055865">
        <w:rPr>
          <w:rFonts w:ascii="Garamond" w:hAnsi="Garamond"/>
          <w:b/>
          <w:sz w:val="24"/>
          <w:szCs w:val="24"/>
          <w:lang w:val="en-US"/>
        </w:rPr>
        <w:t>References</w:t>
      </w:r>
    </w:p>
    <w:p w14:paraId="31DB4E07"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noProof/>
          <w:sz w:val="24"/>
          <w:szCs w:val="24"/>
        </w:rPr>
        <w:t>Afagachie, C., 2013. The relationship between corporate environmental performance and corporate financial performance – using the framework of corporate environmental policy implementation. [online]. University of Bristol.</w:t>
      </w:r>
      <w:r w:rsidRPr="00055865">
        <w:rPr>
          <w:rFonts w:ascii="Garamond" w:hAnsi="Garamond" w:cs="Times New Roman"/>
          <w:noProof/>
          <w:sz w:val="24"/>
          <w:szCs w:val="24"/>
        </w:rPr>
        <w:t xml:space="preserve"> (Accessed: 15 January 2018).</w:t>
      </w:r>
      <w:r w:rsidRPr="00055865">
        <w:rPr>
          <w:rFonts w:ascii="Garamond" w:hAnsi="Garamond"/>
          <w:sz w:val="24"/>
          <w:szCs w:val="24"/>
          <w:lang w:val="en-US"/>
        </w:rPr>
        <w:fldChar w:fldCharType="begin" w:fldLock="1"/>
      </w:r>
      <w:r w:rsidRPr="00055865">
        <w:rPr>
          <w:rFonts w:ascii="Garamond" w:hAnsi="Garamond"/>
          <w:sz w:val="24"/>
          <w:szCs w:val="24"/>
          <w:lang w:val="en-US"/>
        </w:rPr>
        <w:instrText xml:space="preserve">ADDIN Mendeley Bibliography CSL_BIBLIOGRAPHY </w:instrText>
      </w:r>
      <w:r w:rsidRPr="00055865">
        <w:rPr>
          <w:rFonts w:ascii="Garamond" w:hAnsi="Garamond"/>
          <w:sz w:val="24"/>
          <w:szCs w:val="24"/>
          <w:lang w:val="en-US"/>
        </w:rPr>
        <w:fldChar w:fldCharType="separate"/>
      </w:r>
    </w:p>
    <w:p w14:paraId="454D2827"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Afrifa, G. A. (2013). </w:t>
      </w:r>
      <w:r w:rsidRPr="00055865">
        <w:rPr>
          <w:rFonts w:ascii="Garamond" w:hAnsi="Garamond" w:cs="Times New Roman"/>
          <w:i/>
          <w:iCs/>
          <w:noProof/>
          <w:sz w:val="24"/>
          <w:szCs w:val="24"/>
        </w:rPr>
        <w:t>Working Capital and Listed SMEs Profitability: A Mixed Research Method Approach</w:t>
      </w:r>
      <w:r w:rsidRPr="00055865">
        <w:rPr>
          <w:rFonts w:ascii="Garamond" w:hAnsi="Garamond" w:cs="Times New Roman"/>
          <w:noProof/>
          <w:sz w:val="24"/>
          <w:szCs w:val="24"/>
        </w:rPr>
        <w:t>. Bournemouth.</w:t>
      </w:r>
    </w:p>
    <w:p w14:paraId="3C0A3031"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Afrifa, G. A., &amp; Tauringana, V. (2015). Corporate governance and performance of UK listed small and medium enterprises. </w:t>
      </w:r>
      <w:r w:rsidRPr="00055865">
        <w:rPr>
          <w:rFonts w:ascii="Garamond" w:hAnsi="Garamond" w:cs="Times New Roman"/>
          <w:i/>
          <w:iCs/>
          <w:noProof/>
          <w:sz w:val="24"/>
          <w:szCs w:val="24"/>
        </w:rPr>
        <w:t>Corporate Governance: The International Journal of Business in Society</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15</w:t>
      </w:r>
      <w:r w:rsidRPr="00055865">
        <w:rPr>
          <w:rFonts w:ascii="Garamond" w:hAnsi="Garamond" w:cs="Times New Roman"/>
          <w:noProof/>
          <w:sz w:val="24"/>
          <w:szCs w:val="24"/>
        </w:rPr>
        <w:t xml:space="preserve">(5), 719–733. </w:t>
      </w:r>
    </w:p>
    <w:p w14:paraId="6DE7A156"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Aiyub, K., Arifin, Ka., Awang, A., &amp; Jahi, J. (2009). environmental performance in SMEs </w:t>
      </w:r>
      <w:r w:rsidRPr="00055865">
        <w:rPr>
          <w:rFonts w:ascii="Garamond" w:hAnsi="Garamond" w:cs="Times New Roman"/>
          <w:noProof/>
          <w:sz w:val="24"/>
          <w:szCs w:val="24"/>
        </w:rPr>
        <w:lastRenderedPageBreak/>
        <w:t>certified to ISO14001 in the UK.pdf.</w:t>
      </w:r>
    </w:p>
    <w:p w14:paraId="6A2562C4"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Albertini, E. (2013). Does Environmental Management Improve Financial Performance? A Meta-Analytical Review. </w:t>
      </w:r>
      <w:r w:rsidRPr="00055865">
        <w:rPr>
          <w:rFonts w:ascii="Garamond" w:hAnsi="Garamond" w:cs="Times New Roman"/>
          <w:i/>
          <w:iCs/>
          <w:noProof/>
          <w:sz w:val="24"/>
          <w:szCs w:val="24"/>
        </w:rPr>
        <w:t>Organization &amp; Environment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26</w:t>
      </w:r>
      <w:r w:rsidRPr="00055865">
        <w:rPr>
          <w:rFonts w:ascii="Garamond" w:hAnsi="Garamond" w:cs="Times New Roman"/>
          <w:noProof/>
          <w:sz w:val="24"/>
          <w:szCs w:val="24"/>
        </w:rPr>
        <w:t xml:space="preserve">(4), 431–457. </w:t>
      </w:r>
    </w:p>
    <w:p w14:paraId="374AE33A"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Amankwah-Amoah, J., &amp; Syllias, J. (2020). Can adopting ambitious environmental sustainability initiatives lead to business failures? An analytical framework. </w:t>
      </w:r>
      <w:r w:rsidRPr="00055865">
        <w:rPr>
          <w:rFonts w:ascii="Garamond" w:hAnsi="Garamond" w:cs="Times New Roman"/>
          <w:i/>
          <w:iCs/>
          <w:noProof/>
          <w:sz w:val="24"/>
          <w:szCs w:val="24"/>
        </w:rPr>
        <w:t>Business Strategy and the Environment</w:t>
      </w:r>
      <w:r w:rsidRPr="00055865">
        <w:rPr>
          <w:rFonts w:ascii="Garamond" w:hAnsi="Garamond" w:cs="Times New Roman"/>
          <w:noProof/>
          <w:sz w:val="24"/>
          <w:szCs w:val="24"/>
        </w:rPr>
        <w:t>. https://doi.org/10.1002/bse.2361</w:t>
      </w:r>
    </w:p>
    <w:p w14:paraId="4EFC02BC"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Aragón-Correa, J. A., Hurtado-Torres, N., Sharma, S., &amp; García-Morales, V. J. (2008). Environmental strategy and performance in small firms: A resource-based perspective. </w:t>
      </w:r>
      <w:r w:rsidRPr="00055865">
        <w:rPr>
          <w:rFonts w:ascii="Garamond" w:hAnsi="Garamond" w:cs="Times New Roman"/>
          <w:i/>
          <w:iCs/>
          <w:noProof/>
          <w:sz w:val="24"/>
          <w:szCs w:val="24"/>
        </w:rPr>
        <w:t>Journal of Environmental Management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86</w:t>
      </w:r>
      <w:r w:rsidRPr="00055865">
        <w:rPr>
          <w:rFonts w:ascii="Garamond" w:hAnsi="Garamond" w:cs="Times New Roman"/>
          <w:noProof/>
          <w:sz w:val="24"/>
          <w:szCs w:val="24"/>
        </w:rPr>
        <w:t xml:space="preserve">(1), 88–103. </w:t>
      </w:r>
    </w:p>
    <w:p w14:paraId="3501B7E5"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Arfaoui, N. (2017). Eco-innovation and regulatory push/pull effect in the case of REACH regulation: empirical evidence based on survey data. </w:t>
      </w:r>
      <w:r w:rsidRPr="00055865">
        <w:rPr>
          <w:rFonts w:ascii="Garamond" w:hAnsi="Garamond" w:cs="Times New Roman"/>
          <w:i/>
          <w:iCs/>
          <w:noProof/>
          <w:sz w:val="24"/>
          <w:szCs w:val="24"/>
        </w:rPr>
        <w:t>Applied Economics</w:t>
      </w:r>
      <w:r w:rsidRPr="00055865">
        <w:rPr>
          <w:rFonts w:ascii="Garamond" w:hAnsi="Garamond" w:cs="Times New Roman"/>
          <w:noProof/>
          <w:sz w:val="24"/>
          <w:szCs w:val="24"/>
        </w:rPr>
        <w:t xml:space="preserve">, pp. 1–19. </w:t>
      </w:r>
    </w:p>
    <w:p w14:paraId="1DF89E9D"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Bartolacci, F., &amp; Zigiotti, E. (2015). Environmental and Economic-Financial Performance in Waste Management Firms. </w:t>
      </w:r>
      <w:r w:rsidRPr="00055865">
        <w:rPr>
          <w:rFonts w:ascii="Garamond" w:hAnsi="Garamond" w:cs="Times New Roman"/>
          <w:i/>
          <w:iCs/>
          <w:noProof/>
          <w:sz w:val="24"/>
          <w:szCs w:val="24"/>
        </w:rPr>
        <w:t>Management International Conference</w:t>
      </w:r>
      <w:r w:rsidRPr="00055865">
        <w:rPr>
          <w:rFonts w:ascii="Garamond" w:hAnsi="Garamond" w:cs="Times New Roman"/>
          <w:noProof/>
          <w:sz w:val="24"/>
          <w:szCs w:val="24"/>
        </w:rPr>
        <w:t>, 389–401.</w:t>
      </w:r>
    </w:p>
    <w:p w14:paraId="65E9BF61"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Berthelot, S., Cormier, D., &amp; Magnan, M. (2003). Environmental Disclosure Research: Review and Synthesis. </w:t>
      </w:r>
      <w:r w:rsidRPr="00055865">
        <w:rPr>
          <w:rFonts w:ascii="Garamond" w:hAnsi="Garamond" w:cs="Times New Roman"/>
          <w:i/>
          <w:iCs/>
          <w:noProof/>
          <w:sz w:val="24"/>
          <w:szCs w:val="24"/>
        </w:rPr>
        <w:t>Journal of Accounting Literature</w:t>
      </w:r>
      <w:r w:rsidRPr="00055865">
        <w:rPr>
          <w:rFonts w:ascii="Garamond" w:hAnsi="Garamond" w:cs="Times New Roman"/>
          <w:noProof/>
          <w:sz w:val="24"/>
          <w:szCs w:val="24"/>
        </w:rPr>
        <w:t>.</w:t>
      </w:r>
    </w:p>
    <w:p w14:paraId="535FDDFB"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Brammer, S., &amp; Millington, A. (2004). Stakeholder Pressure, Organizational Size, and the Allocation of Departmental Responsibility for the Management of Corporate Charitable Giving. </w:t>
      </w:r>
      <w:r w:rsidRPr="00055865">
        <w:rPr>
          <w:rFonts w:ascii="Garamond" w:hAnsi="Garamond" w:cs="Times New Roman"/>
          <w:i/>
          <w:iCs/>
          <w:noProof/>
          <w:sz w:val="24"/>
          <w:szCs w:val="24"/>
        </w:rPr>
        <w:t>Business &amp; Society</w:t>
      </w:r>
      <w:r w:rsidRPr="00055865">
        <w:rPr>
          <w:rFonts w:ascii="Garamond" w:hAnsi="Garamond" w:cs="Times New Roman"/>
          <w:noProof/>
          <w:sz w:val="24"/>
          <w:szCs w:val="24"/>
        </w:rPr>
        <w:t xml:space="preserve">. </w:t>
      </w:r>
    </w:p>
    <w:p w14:paraId="1FD3B5AF" w14:textId="1C152F5D"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Busch, T., &amp; Hoffmann, V. H. (2011). How Hot Is Your Bottom Line? Linking Carbon and Financial Performance. </w:t>
      </w:r>
      <w:r w:rsidRPr="00055865">
        <w:rPr>
          <w:rFonts w:ascii="Garamond" w:hAnsi="Garamond" w:cs="Times New Roman"/>
          <w:i/>
          <w:iCs/>
          <w:noProof/>
          <w:sz w:val="24"/>
          <w:szCs w:val="24"/>
        </w:rPr>
        <w:t>Business &amp; Society</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50</w:t>
      </w:r>
      <w:r w:rsidRPr="00055865">
        <w:rPr>
          <w:rFonts w:ascii="Garamond" w:hAnsi="Garamond" w:cs="Times New Roman"/>
          <w:noProof/>
          <w:sz w:val="24"/>
          <w:szCs w:val="24"/>
        </w:rPr>
        <w:t xml:space="preserve">(2), 233–265. </w:t>
      </w:r>
    </w:p>
    <w:p w14:paraId="73C6B223" w14:textId="604916D2" w:rsidR="005735D1" w:rsidRPr="00055865" w:rsidRDefault="005735D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lang w:val="en-US"/>
        </w:rPr>
        <w:t xml:space="preserve">Cagno, E &amp; Trianni, A. (2013). Exploring drivers for energy efficiency within small- and medium-sized enterprises: First evidence from Italian manufacturing enterprises, </w:t>
      </w:r>
      <w:r w:rsidRPr="00055865">
        <w:rPr>
          <w:rFonts w:ascii="Garamond" w:hAnsi="Garamond" w:cs="Times New Roman"/>
          <w:i/>
          <w:iCs/>
          <w:noProof/>
          <w:sz w:val="24"/>
          <w:szCs w:val="24"/>
          <w:lang w:val="en-US"/>
        </w:rPr>
        <w:t>Applied Energy 104</w:t>
      </w:r>
      <w:r w:rsidRPr="00055865">
        <w:rPr>
          <w:rFonts w:ascii="Garamond" w:hAnsi="Garamond" w:cs="Times New Roman"/>
          <w:noProof/>
          <w:sz w:val="24"/>
          <w:szCs w:val="24"/>
          <w:lang w:val="en-US"/>
        </w:rPr>
        <w:t>, 276–285</w:t>
      </w:r>
    </w:p>
    <w:p w14:paraId="17EDC9B4" w14:textId="09A8AEB0"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Cajias, M., &amp; Piazolo, D. (2013). Green performs better: Energy efficiency and financial return on buildings. </w:t>
      </w:r>
      <w:r w:rsidRPr="00055865">
        <w:rPr>
          <w:rFonts w:ascii="Garamond" w:hAnsi="Garamond" w:cs="Times New Roman"/>
          <w:i/>
          <w:iCs/>
          <w:noProof/>
          <w:sz w:val="24"/>
          <w:szCs w:val="24"/>
        </w:rPr>
        <w:t>Journal of Corporate Real Estate</w:t>
      </w:r>
      <w:r w:rsidRPr="00055865">
        <w:rPr>
          <w:rFonts w:ascii="Garamond" w:hAnsi="Garamond" w:cs="Times New Roman"/>
          <w:noProof/>
          <w:sz w:val="24"/>
          <w:szCs w:val="24"/>
        </w:rPr>
        <w:t xml:space="preserve">. </w:t>
      </w:r>
    </w:p>
    <w:p w14:paraId="27424837" w14:textId="62B80352" w:rsidR="005735D1" w:rsidRPr="00055865" w:rsidRDefault="005735D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Capkun, V., Hameri, A.-P., &amp; Weiss, L. A. (2009). On the relationship between inventory and</w:t>
      </w:r>
      <w:r w:rsidRPr="00055865">
        <w:rPr>
          <w:rFonts w:ascii="Garamond" w:hAnsi="Garamond" w:cs="Times New Roman"/>
          <w:noProof/>
          <w:sz w:val="24"/>
          <w:szCs w:val="24"/>
        </w:rPr>
        <w:lastRenderedPageBreak/>
        <w:tab/>
        <w:t xml:space="preserve">financial performance in manufacturing companies. </w:t>
      </w:r>
      <w:r w:rsidRPr="00055865">
        <w:rPr>
          <w:rFonts w:ascii="Garamond" w:hAnsi="Garamond" w:cs="Times New Roman"/>
          <w:i/>
          <w:iCs/>
          <w:noProof/>
          <w:sz w:val="24"/>
          <w:szCs w:val="24"/>
        </w:rPr>
        <w:t>International Journal of Operations</w:t>
      </w:r>
      <w:r w:rsidRPr="00055865">
        <w:rPr>
          <w:rFonts w:ascii="Garamond" w:hAnsi="Garamond" w:cs="Times New Roman"/>
          <w:i/>
          <w:iCs/>
          <w:noProof/>
          <w:sz w:val="24"/>
          <w:szCs w:val="24"/>
        </w:rPr>
        <w:tab/>
        <w:t>and Production Management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29</w:t>
      </w:r>
      <w:r w:rsidRPr="00055865">
        <w:rPr>
          <w:rFonts w:ascii="Garamond" w:hAnsi="Garamond" w:cs="Times New Roman"/>
          <w:noProof/>
          <w:sz w:val="24"/>
          <w:szCs w:val="24"/>
        </w:rPr>
        <w:t xml:space="preserve"> (8), 789–806.</w:t>
      </w:r>
    </w:p>
    <w:p w14:paraId="185FAAAD"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Carter, C. R., Kale, R., &amp; Grimm, C. M. (2000). Environmental purchasing and firm performance: An empirical investigation. </w:t>
      </w:r>
      <w:r w:rsidRPr="00055865">
        <w:rPr>
          <w:rFonts w:ascii="Garamond" w:hAnsi="Garamond" w:cs="Times New Roman"/>
          <w:i/>
          <w:iCs/>
          <w:noProof/>
          <w:sz w:val="24"/>
          <w:szCs w:val="24"/>
        </w:rPr>
        <w:t>Transportation Research Part E: Logistics and Transportation Review</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36</w:t>
      </w:r>
      <w:r w:rsidRPr="00055865">
        <w:rPr>
          <w:rFonts w:ascii="Garamond" w:hAnsi="Garamond" w:cs="Times New Roman"/>
          <w:noProof/>
          <w:sz w:val="24"/>
          <w:szCs w:val="24"/>
        </w:rPr>
        <w:t xml:space="preserve">(3), 219–228. </w:t>
      </w:r>
    </w:p>
    <w:p w14:paraId="29236FBD"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Chithambo, L. (2013). </w:t>
      </w:r>
      <w:r w:rsidRPr="00055865">
        <w:rPr>
          <w:rFonts w:ascii="Garamond" w:hAnsi="Garamond" w:cs="Times New Roman"/>
          <w:i/>
          <w:iCs/>
          <w:noProof/>
          <w:sz w:val="24"/>
          <w:szCs w:val="24"/>
        </w:rPr>
        <w:t>The Extent and Determinants of Greenhouse Gas Reporting in the United Kingdom</w:t>
      </w:r>
      <w:r w:rsidRPr="00055865">
        <w:rPr>
          <w:rFonts w:ascii="Garamond" w:hAnsi="Garamond" w:cs="Times New Roman"/>
          <w:noProof/>
          <w:sz w:val="24"/>
          <w:szCs w:val="24"/>
        </w:rPr>
        <w:t>. Bournemouth University.</w:t>
      </w:r>
    </w:p>
    <w:p w14:paraId="4F8264AD"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Christmann, P. (2000). Effects of “best practices” of environmental management on cost advantage: The role of complementary assets. </w:t>
      </w:r>
      <w:r w:rsidRPr="00055865">
        <w:rPr>
          <w:rFonts w:ascii="Garamond" w:hAnsi="Garamond" w:cs="Times New Roman"/>
          <w:i/>
          <w:iCs/>
          <w:noProof/>
          <w:sz w:val="24"/>
          <w:szCs w:val="24"/>
        </w:rPr>
        <w:t>Academy of Management Journal</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43</w:t>
      </w:r>
      <w:r w:rsidRPr="00055865">
        <w:rPr>
          <w:rFonts w:ascii="Garamond" w:hAnsi="Garamond" w:cs="Times New Roman"/>
          <w:noProof/>
          <w:sz w:val="24"/>
          <w:szCs w:val="24"/>
        </w:rPr>
        <w:t xml:space="preserve">(4), 663–680. </w:t>
      </w:r>
    </w:p>
    <w:p w14:paraId="585D1178"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Cochran, P. L., &amp; Wood, R. A. (1984). Corporate Social Responsibility and Financial Performance. </w:t>
      </w:r>
      <w:r w:rsidRPr="00055865">
        <w:rPr>
          <w:rFonts w:ascii="Garamond" w:hAnsi="Garamond" w:cs="Times New Roman"/>
          <w:i/>
          <w:iCs/>
          <w:noProof/>
          <w:sz w:val="24"/>
          <w:szCs w:val="24"/>
        </w:rPr>
        <w:t>Academy of Management Journal</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27</w:t>
      </w:r>
      <w:r w:rsidRPr="00055865">
        <w:rPr>
          <w:rFonts w:ascii="Garamond" w:hAnsi="Garamond" w:cs="Times New Roman"/>
          <w:noProof/>
          <w:sz w:val="24"/>
          <w:szCs w:val="24"/>
        </w:rPr>
        <w:t xml:space="preserve">(1), 42–56. </w:t>
      </w:r>
    </w:p>
    <w:p w14:paraId="05741385"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Conlon, E., &amp; Glavas, A. (2012). The Relationship Between CSR and Firm Financial Performance. </w:t>
      </w:r>
      <w:r w:rsidRPr="00055865">
        <w:rPr>
          <w:rFonts w:ascii="Garamond" w:hAnsi="Garamond" w:cs="Times New Roman"/>
          <w:i/>
          <w:iCs/>
          <w:noProof/>
          <w:sz w:val="24"/>
          <w:szCs w:val="24"/>
        </w:rPr>
        <w:t>AOM</w:t>
      </w:r>
      <w:r w:rsidRPr="00055865">
        <w:rPr>
          <w:rFonts w:ascii="Garamond" w:hAnsi="Garamond" w:cs="Times New Roman"/>
          <w:noProof/>
          <w:sz w:val="24"/>
          <w:szCs w:val="24"/>
        </w:rPr>
        <w:t>, 1–28. Retrieved from https://fortunedotcom.files.wordpress.com/2012/04/conlon_and_glavas_2012.pdf</w:t>
      </w:r>
    </w:p>
    <w:p w14:paraId="511D9082"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Cordeiro, J. J., &amp; Sarkis, J. (1997). Environmental proactivism and firm performance: evidence from security analyst earnings forecasts. </w:t>
      </w:r>
      <w:r w:rsidRPr="00055865">
        <w:rPr>
          <w:rFonts w:ascii="Garamond" w:hAnsi="Garamond" w:cs="Times New Roman"/>
          <w:i/>
          <w:iCs/>
          <w:noProof/>
          <w:sz w:val="24"/>
          <w:szCs w:val="24"/>
        </w:rPr>
        <w:t>Business Strategy and the Environment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6</w:t>
      </w:r>
      <w:r w:rsidRPr="00055865">
        <w:rPr>
          <w:rFonts w:ascii="Garamond" w:hAnsi="Garamond" w:cs="Times New Roman"/>
          <w:noProof/>
          <w:sz w:val="24"/>
          <w:szCs w:val="24"/>
        </w:rPr>
        <w:t xml:space="preserve">(2), 104–114. </w:t>
      </w:r>
    </w:p>
    <w:p w14:paraId="763DB818"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Cucchiella, F., D’Adamo, I., &amp; Gastaldi, M. (2014). Sustainable management of waste-to-energy facilities. </w:t>
      </w:r>
      <w:r w:rsidRPr="00055865">
        <w:rPr>
          <w:rFonts w:ascii="Garamond" w:hAnsi="Garamond" w:cs="Times New Roman"/>
          <w:i/>
          <w:iCs/>
          <w:noProof/>
          <w:sz w:val="24"/>
          <w:szCs w:val="24"/>
        </w:rPr>
        <w:t>Renewable and Sustainable Energy Reviews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33</w:t>
      </w:r>
      <w:r w:rsidRPr="00055865">
        <w:rPr>
          <w:rFonts w:ascii="Garamond" w:hAnsi="Garamond" w:cs="Times New Roman"/>
          <w:noProof/>
          <w:sz w:val="24"/>
          <w:szCs w:val="24"/>
        </w:rPr>
        <w:t>, 719–728.</w:t>
      </w:r>
    </w:p>
    <w:p w14:paraId="38CC6E00"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Darnall, N., Henriques, I., &amp; Sadorsky, P. (2010). Adopting proactive environmental strategy: The influence of stakeholders and firm size. </w:t>
      </w:r>
      <w:r w:rsidRPr="00055865">
        <w:rPr>
          <w:rFonts w:ascii="Garamond" w:hAnsi="Garamond" w:cs="Times New Roman"/>
          <w:i/>
          <w:iCs/>
          <w:noProof/>
          <w:sz w:val="24"/>
          <w:szCs w:val="24"/>
        </w:rPr>
        <w:t>Journal of Management Studies</w:t>
      </w:r>
      <w:r w:rsidRPr="00055865">
        <w:rPr>
          <w:rFonts w:ascii="Garamond" w:hAnsi="Garamond" w:cs="Times New Roman"/>
          <w:noProof/>
          <w:sz w:val="24"/>
          <w:szCs w:val="24"/>
        </w:rPr>
        <w:t xml:space="preserve">. </w:t>
      </w:r>
    </w:p>
    <w:p w14:paraId="15A4C474"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Davis, K. (1973). The case for and against business assumption of social responsibilities. </w:t>
      </w:r>
      <w:r w:rsidRPr="00055865">
        <w:rPr>
          <w:rFonts w:ascii="Garamond" w:hAnsi="Garamond" w:cs="Times New Roman"/>
          <w:i/>
          <w:iCs/>
          <w:noProof/>
          <w:sz w:val="24"/>
          <w:szCs w:val="24"/>
        </w:rPr>
        <w:t>Business, Society and Environment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16</w:t>
      </w:r>
      <w:r w:rsidRPr="00055865">
        <w:rPr>
          <w:rFonts w:ascii="Garamond" w:hAnsi="Garamond" w:cs="Times New Roman"/>
          <w:noProof/>
          <w:sz w:val="24"/>
          <w:szCs w:val="24"/>
        </w:rPr>
        <w:t>(2), 312–322.</w:t>
      </w:r>
    </w:p>
    <w:p w14:paraId="6D11506F"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De Groot, H. L. F., Verhoef, E. T., &amp; Nijkamp, P. (2001). Energy saving by firms: Decision-making, barriers and policies. </w:t>
      </w:r>
      <w:r w:rsidRPr="00055865">
        <w:rPr>
          <w:rFonts w:ascii="Garamond" w:hAnsi="Garamond" w:cs="Times New Roman"/>
          <w:i/>
          <w:iCs/>
          <w:noProof/>
          <w:sz w:val="24"/>
          <w:szCs w:val="24"/>
        </w:rPr>
        <w:t>Energy Economics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23</w:t>
      </w:r>
      <w:r w:rsidRPr="00055865">
        <w:rPr>
          <w:rFonts w:ascii="Garamond" w:hAnsi="Garamond" w:cs="Times New Roman"/>
          <w:noProof/>
          <w:sz w:val="24"/>
          <w:szCs w:val="24"/>
        </w:rPr>
        <w:t xml:space="preserve">(6), 717–740. </w:t>
      </w:r>
    </w:p>
    <w:p w14:paraId="4C47984D"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Department for Farming and Rural Affairs. (2010). </w:t>
      </w:r>
      <w:r w:rsidRPr="00055865">
        <w:rPr>
          <w:rFonts w:ascii="Garamond" w:hAnsi="Garamond" w:cs="Times New Roman"/>
          <w:i/>
          <w:iCs/>
          <w:noProof/>
          <w:sz w:val="24"/>
          <w:szCs w:val="24"/>
        </w:rPr>
        <w:t>Defra’s Climate Change Plan 2010</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Integrated Assessment</w:t>
      </w:r>
      <w:r w:rsidRPr="00055865">
        <w:rPr>
          <w:rFonts w:ascii="Garamond" w:hAnsi="Garamond" w:cs="Times New Roman"/>
          <w:noProof/>
          <w:sz w:val="24"/>
          <w:szCs w:val="24"/>
        </w:rPr>
        <w:t>.</w:t>
      </w:r>
    </w:p>
    <w:p w14:paraId="71AAA40D"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lastRenderedPageBreak/>
        <w:t xml:space="preserve">DEFRA, 2013. Conversion Factors for Company Reporting: Methodology Paper for Emission Factors. </w:t>
      </w:r>
      <w:r w:rsidRPr="00055865">
        <w:rPr>
          <w:rFonts w:ascii="Garamond" w:hAnsi="Garamond" w:cs="Times New Roman"/>
          <w:i/>
          <w:iCs/>
          <w:noProof/>
          <w:sz w:val="24"/>
          <w:szCs w:val="24"/>
        </w:rPr>
        <w:t>Defra</w:t>
      </w:r>
      <w:r w:rsidRPr="00055865">
        <w:rPr>
          <w:rFonts w:ascii="Garamond" w:hAnsi="Garamond" w:cs="Times New Roman"/>
          <w:noProof/>
          <w:sz w:val="24"/>
          <w:szCs w:val="24"/>
        </w:rPr>
        <w:t xml:space="preserve"> [online]</w:t>
      </w:r>
    </w:p>
    <w:p w14:paraId="3A647E02"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Earnhart, D., &amp; Lizal, L. (2007). Effect of pollution control on corporate financial performance in a transition economy. </w:t>
      </w:r>
      <w:r w:rsidRPr="00055865">
        <w:rPr>
          <w:rFonts w:ascii="Garamond" w:hAnsi="Garamond" w:cs="Times New Roman"/>
          <w:i/>
          <w:iCs/>
          <w:noProof/>
          <w:sz w:val="24"/>
          <w:szCs w:val="24"/>
        </w:rPr>
        <w:t>European Environment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266</w:t>
      </w:r>
      <w:r w:rsidRPr="00055865">
        <w:rPr>
          <w:rFonts w:ascii="Garamond" w:hAnsi="Garamond" w:cs="Times New Roman"/>
          <w:noProof/>
          <w:sz w:val="24"/>
          <w:szCs w:val="24"/>
        </w:rPr>
        <w:t xml:space="preserve">, 247–266. </w:t>
      </w:r>
    </w:p>
    <w:p w14:paraId="3C42F329"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Earnhart, D. and Lizal, L. (2010) ‘The Effect of Corporate Environmental Performance on Financial Outcomes – Profits , Revenues , and Costs</w:t>
      </w:r>
      <w:r w:rsidRPr="00055865">
        <w:rPr>
          <w:rFonts w:ascii="Times New Roman" w:hAnsi="Times New Roman" w:cs="Times New Roman"/>
          <w:noProof/>
          <w:sz w:val="24"/>
          <w:szCs w:val="24"/>
        </w:rPr>
        <w:t> </w:t>
      </w:r>
      <w:r w:rsidRPr="00055865">
        <w:rPr>
          <w:rFonts w:ascii="Garamond" w:hAnsi="Garamond" w:cs="Times New Roman"/>
          <w:noProof/>
          <w:sz w:val="24"/>
          <w:szCs w:val="24"/>
        </w:rPr>
        <w:t xml:space="preserve">: Evidence from the Czech Transition Economy, </w:t>
      </w:r>
      <w:r w:rsidRPr="00055865">
        <w:rPr>
          <w:rFonts w:ascii="Garamond" w:hAnsi="Garamond" w:cs="Times New Roman"/>
          <w:i/>
          <w:iCs/>
          <w:noProof/>
          <w:sz w:val="24"/>
          <w:szCs w:val="24"/>
        </w:rPr>
        <w:t>Environmental &amp; Resource Economics, European Association of Environmental and Resource Economists</w:t>
      </w:r>
      <w:r w:rsidRPr="00055865">
        <w:rPr>
          <w:rFonts w:ascii="Garamond" w:hAnsi="Garamond" w:cs="Times New Roman"/>
          <w:noProof/>
          <w:sz w:val="24"/>
          <w:szCs w:val="24"/>
        </w:rPr>
        <w:t>, 46(3), pp. 1–44.</w:t>
      </w:r>
    </w:p>
    <w:p w14:paraId="6F773CF7"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Elsayed, K., &amp; Paton, D. (2009). The impact of financial performance on environmental policy: Does firm life cycle matter? </w:t>
      </w:r>
      <w:r w:rsidRPr="00055865">
        <w:rPr>
          <w:rFonts w:ascii="Garamond" w:hAnsi="Garamond" w:cs="Times New Roman"/>
          <w:i/>
          <w:iCs/>
          <w:noProof/>
          <w:sz w:val="24"/>
          <w:szCs w:val="24"/>
        </w:rPr>
        <w:t>Business Strategy and the Environment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18</w:t>
      </w:r>
      <w:r w:rsidRPr="00055865">
        <w:rPr>
          <w:rFonts w:ascii="Garamond" w:hAnsi="Garamond" w:cs="Times New Roman"/>
          <w:noProof/>
          <w:sz w:val="24"/>
          <w:szCs w:val="24"/>
        </w:rPr>
        <w:t>(6), 397–413. https://doi.org/10.1002/bse.608</w:t>
      </w:r>
    </w:p>
    <w:p w14:paraId="4C6ABE19"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Endrikat, J., Guenther, E., &amp; Hoppe, H. (2014). Making sense of conflicting empirical findings: A meta-analytic review of the relationship between corporate environmental and financial performance. </w:t>
      </w:r>
      <w:r w:rsidRPr="00055865">
        <w:rPr>
          <w:rFonts w:ascii="Garamond" w:hAnsi="Garamond" w:cs="Times New Roman"/>
          <w:i/>
          <w:iCs/>
          <w:noProof/>
          <w:sz w:val="24"/>
          <w:szCs w:val="24"/>
        </w:rPr>
        <w:t>European Management Journal</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32</w:t>
      </w:r>
      <w:r w:rsidRPr="00055865">
        <w:rPr>
          <w:rFonts w:ascii="Garamond" w:hAnsi="Garamond" w:cs="Times New Roman"/>
          <w:noProof/>
          <w:sz w:val="24"/>
          <w:szCs w:val="24"/>
        </w:rPr>
        <w:t xml:space="preserve">(5), 735–751. </w:t>
      </w:r>
    </w:p>
    <w:p w14:paraId="360BB45A"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European Commision. (2015). </w:t>
      </w:r>
      <w:r w:rsidRPr="00055865">
        <w:rPr>
          <w:rFonts w:ascii="Garamond" w:hAnsi="Garamond" w:cs="Times New Roman"/>
          <w:i/>
          <w:iCs/>
          <w:noProof/>
          <w:sz w:val="24"/>
          <w:szCs w:val="24"/>
        </w:rPr>
        <w:t>User guide to the SME Definition</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User guide to the SME Definition</w:t>
      </w:r>
      <w:r w:rsidRPr="00055865">
        <w:rPr>
          <w:rFonts w:ascii="Garamond" w:hAnsi="Garamond" w:cs="Times New Roman"/>
          <w:noProof/>
          <w:sz w:val="24"/>
          <w:szCs w:val="24"/>
        </w:rPr>
        <w:t>. https://doi.org/10.2873/782201</w:t>
      </w:r>
    </w:p>
    <w:p w14:paraId="7A12B06A"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Field, A. (2013). Discovering Statistics using IBM SPSS Statistics. </w:t>
      </w:r>
      <w:r w:rsidRPr="00055865">
        <w:rPr>
          <w:rFonts w:ascii="Garamond" w:hAnsi="Garamond" w:cs="Times New Roman"/>
          <w:i/>
          <w:iCs/>
          <w:noProof/>
          <w:sz w:val="24"/>
          <w:szCs w:val="24"/>
        </w:rPr>
        <w:t>Discovering Statistics Using IBM SPSS Statistics</w:t>
      </w:r>
      <w:r w:rsidRPr="00055865">
        <w:rPr>
          <w:rFonts w:ascii="Garamond" w:hAnsi="Garamond" w:cs="Times New Roman"/>
          <w:noProof/>
          <w:sz w:val="24"/>
          <w:szCs w:val="24"/>
        </w:rPr>
        <w:t>, 297–321. https://doi.org/10.1016/B978-012691360-6/50012-4</w:t>
      </w:r>
    </w:p>
    <w:p w14:paraId="3A06DCE7"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Figge, F., &amp; Hahn, T. (2004). Sustainable Value Added - Measuring corporate contributions to sustainability beyond eco-efficiency. </w:t>
      </w:r>
      <w:r w:rsidRPr="00055865">
        <w:rPr>
          <w:rFonts w:ascii="Garamond" w:hAnsi="Garamond" w:cs="Times New Roman"/>
          <w:i/>
          <w:iCs/>
          <w:noProof/>
          <w:sz w:val="24"/>
          <w:szCs w:val="24"/>
        </w:rPr>
        <w:t>Ecological Economics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48</w:t>
      </w:r>
      <w:r w:rsidRPr="00055865">
        <w:rPr>
          <w:rFonts w:ascii="Garamond" w:hAnsi="Garamond" w:cs="Times New Roman"/>
          <w:noProof/>
          <w:sz w:val="24"/>
          <w:szCs w:val="24"/>
        </w:rPr>
        <w:t xml:space="preserve">(2), 173–187. </w:t>
      </w:r>
    </w:p>
    <w:p w14:paraId="34555047"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Filbeck, G., &amp; Gorman, R. F. (2004). The relationship between the environmental and financial performance of public utilities. </w:t>
      </w:r>
      <w:r w:rsidRPr="00055865">
        <w:rPr>
          <w:rFonts w:ascii="Garamond" w:hAnsi="Garamond" w:cs="Times New Roman"/>
          <w:i/>
          <w:iCs/>
          <w:noProof/>
          <w:sz w:val="24"/>
          <w:szCs w:val="24"/>
        </w:rPr>
        <w:t>Environmental &amp; Resource Economics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29</w:t>
      </w:r>
      <w:r w:rsidRPr="00055865">
        <w:rPr>
          <w:rFonts w:ascii="Garamond" w:hAnsi="Garamond" w:cs="Times New Roman"/>
          <w:noProof/>
          <w:sz w:val="24"/>
          <w:szCs w:val="24"/>
        </w:rPr>
        <w:t>(2), 137–157.</w:t>
      </w:r>
    </w:p>
    <w:p w14:paraId="47F57CC6"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Fogler, H., &amp; Nutt, F. (1975). A note on social responsibility and stock valuation. </w:t>
      </w:r>
      <w:r w:rsidRPr="00055865">
        <w:rPr>
          <w:rFonts w:ascii="Garamond" w:hAnsi="Garamond" w:cs="Times New Roman"/>
          <w:i/>
          <w:iCs/>
          <w:noProof/>
          <w:sz w:val="24"/>
          <w:szCs w:val="24"/>
        </w:rPr>
        <w:t>Academy of Management Journal</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18</w:t>
      </w:r>
      <w:r w:rsidRPr="00055865">
        <w:rPr>
          <w:rFonts w:ascii="Garamond" w:hAnsi="Garamond" w:cs="Times New Roman"/>
          <w:noProof/>
          <w:sz w:val="24"/>
          <w:szCs w:val="24"/>
        </w:rPr>
        <w:t>(1), 155–160.</w:t>
      </w:r>
    </w:p>
    <w:p w14:paraId="2FC08E9F"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Freeman, E. R. (1984). Strategic Management: A Stakeholder Approach. Boston, MA: Pitman/Ballinger.</w:t>
      </w:r>
    </w:p>
    <w:p w14:paraId="092C49AC"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lastRenderedPageBreak/>
        <w:t xml:space="preserve">Ghobadian, A., &amp; Gallear, D. N. (1996). Total quality management in SMEs. </w:t>
      </w:r>
      <w:r w:rsidRPr="00055865">
        <w:rPr>
          <w:rFonts w:ascii="Garamond" w:hAnsi="Garamond" w:cs="Times New Roman"/>
          <w:i/>
          <w:iCs/>
          <w:noProof/>
          <w:sz w:val="24"/>
          <w:szCs w:val="24"/>
        </w:rPr>
        <w:t>Omega</w:t>
      </w:r>
      <w:r w:rsidRPr="00055865">
        <w:rPr>
          <w:rFonts w:ascii="Garamond" w:hAnsi="Garamond" w:cs="Times New Roman"/>
          <w:noProof/>
          <w:sz w:val="24"/>
          <w:szCs w:val="24"/>
        </w:rPr>
        <w:t>. https://doi.org/10.1016/0305-0483(95)00055-0</w:t>
      </w:r>
    </w:p>
    <w:p w14:paraId="03131225"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Gilley, K. M., Worrell, D. L., Davidson, W. N., &amp; El–Jelly, A. (2000). Corporate Environmental Initiatives and Anticipated Firm Performance: The Differential Effects of Process-Driven Versus Product-Driven Greening Initiatives. </w:t>
      </w:r>
      <w:r w:rsidRPr="00055865">
        <w:rPr>
          <w:rFonts w:ascii="Garamond" w:hAnsi="Garamond" w:cs="Times New Roman"/>
          <w:i/>
          <w:iCs/>
          <w:noProof/>
          <w:sz w:val="24"/>
          <w:szCs w:val="24"/>
        </w:rPr>
        <w:t>Journal of Management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26</w:t>
      </w:r>
      <w:r w:rsidRPr="00055865">
        <w:rPr>
          <w:rFonts w:ascii="Garamond" w:hAnsi="Garamond" w:cs="Times New Roman"/>
          <w:noProof/>
          <w:sz w:val="24"/>
          <w:szCs w:val="24"/>
        </w:rPr>
        <w:t xml:space="preserve">(6), 1199–1216. </w:t>
      </w:r>
    </w:p>
    <w:p w14:paraId="0DABD3EF"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Gómez-Bezares, F., Przychodzen, W., &amp; Przychodzen, J. (2017). Bridging the gap: How sustainable development can help companies create shareholder value and improve financial performance. </w:t>
      </w:r>
      <w:r w:rsidRPr="00055865">
        <w:rPr>
          <w:rFonts w:ascii="Garamond" w:hAnsi="Garamond" w:cs="Times New Roman"/>
          <w:i/>
          <w:iCs/>
          <w:noProof/>
          <w:sz w:val="24"/>
          <w:szCs w:val="24"/>
        </w:rPr>
        <w:t>Business Ethics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26</w:t>
      </w:r>
      <w:r w:rsidRPr="00055865">
        <w:rPr>
          <w:rFonts w:ascii="Garamond" w:hAnsi="Garamond" w:cs="Times New Roman"/>
          <w:noProof/>
          <w:sz w:val="24"/>
          <w:szCs w:val="24"/>
        </w:rPr>
        <w:t xml:space="preserve">(1), 1–17. </w:t>
      </w:r>
    </w:p>
    <w:p w14:paraId="13EE3E0A" w14:textId="115712C3"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Gonenc, H., &amp; Scholtens, B. (2017). Environmental and Financial Performance of Fossil Fuel Firms: A Closer Inspection of their Interaction. </w:t>
      </w:r>
      <w:r w:rsidRPr="00055865">
        <w:rPr>
          <w:rFonts w:ascii="Garamond" w:hAnsi="Garamond" w:cs="Times New Roman"/>
          <w:i/>
          <w:iCs/>
          <w:noProof/>
          <w:sz w:val="24"/>
          <w:szCs w:val="24"/>
        </w:rPr>
        <w:t>Ecological Economics</w:t>
      </w:r>
      <w:r w:rsidRPr="00055865">
        <w:rPr>
          <w:rFonts w:ascii="Garamond" w:hAnsi="Garamond" w:cs="Times New Roman"/>
          <w:noProof/>
          <w:sz w:val="24"/>
          <w:szCs w:val="24"/>
        </w:rPr>
        <w:t xml:space="preserve">. </w:t>
      </w:r>
    </w:p>
    <w:p w14:paraId="54776FB9" w14:textId="6D86D75B" w:rsidR="008E610A" w:rsidRPr="00055865" w:rsidRDefault="008E610A"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González-Benito, J. and González-Benito, Ó. (2005). Environmental proactivity and business</w:t>
      </w:r>
      <w:r w:rsidRPr="00055865">
        <w:rPr>
          <w:rFonts w:ascii="Garamond" w:hAnsi="Garamond" w:cs="Times New Roman"/>
          <w:noProof/>
          <w:sz w:val="24"/>
          <w:szCs w:val="24"/>
        </w:rPr>
        <w:tab/>
        <w:t xml:space="preserve">performance: An empirical analysis. </w:t>
      </w:r>
      <w:r w:rsidRPr="00055865">
        <w:rPr>
          <w:rFonts w:ascii="Garamond" w:hAnsi="Garamond" w:cs="Times New Roman"/>
          <w:i/>
          <w:iCs/>
          <w:noProof/>
          <w:sz w:val="24"/>
          <w:szCs w:val="24"/>
        </w:rPr>
        <w:t>Omega</w:t>
      </w:r>
      <w:r w:rsidRPr="00055865">
        <w:rPr>
          <w:rFonts w:ascii="Garamond" w:hAnsi="Garamond" w:cs="Times New Roman"/>
          <w:noProof/>
          <w:sz w:val="24"/>
          <w:szCs w:val="24"/>
        </w:rPr>
        <w:t xml:space="preserve">, 33 (1), 1–15. </w:t>
      </w:r>
    </w:p>
    <w:p w14:paraId="35CEB151"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Gray, V., &amp; Guthrie, J. (1990). Ethical Issues of Environmentally Friendly Packaging. </w:t>
      </w:r>
      <w:r w:rsidRPr="00055865">
        <w:rPr>
          <w:rFonts w:ascii="Garamond" w:hAnsi="Garamond" w:cs="Times New Roman"/>
          <w:i/>
          <w:iCs/>
          <w:noProof/>
          <w:sz w:val="24"/>
          <w:szCs w:val="24"/>
        </w:rPr>
        <w:t>International Journal of Physical Distribution &amp; Logistics Management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20</w:t>
      </w:r>
      <w:r w:rsidRPr="00055865">
        <w:rPr>
          <w:rFonts w:ascii="Garamond" w:hAnsi="Garamond" w:cs="Times New Roman"/>
          <w:noProof/>
          <w:sz w:val="24"/>
          <w:szCs w:val="24"/>
        </w:rPr>
        <w:t xml:space="preserve">(8), 31–36. </w:t>
      </w:r>
    </w:p>
    <w:p w14:paraId="5575464B"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Guthrie, J., Cuganesan, S., &amp; Ward, L. (2008). Industry specific social and environmental reporting: The Australian Food and Beverage Industry. </w:t>
      </w:r>
      <w:r w:rsidRPr="00055865">
        <w:rPr>
          <w:rFonts w:ascii="Garamond" w:hAnsi="Garamond" w:cs="Times New Roman"/>
          <w:i/>
          <w:iCs/>
          <w:noProof/>
          <w:sz w:val="24"/>
          <w:szCs w:val="24"/>
        </w:rPr>
        <w:t>Accounting Forum</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32</w:t>
      </w:r>
      <w:r w:rsidRPr="00055865">
        <w:rPr>
          <w:rFonts w:ascii="Garamond" w:hAnsi="Garamond" w:cs="Times New Roman"/>
          <w:noProof/>
          <w:sz w:val="24"/>
          <w:szCs w:val="24"/>
        </w:rPr>
        <w:t>(1), 1–15.</w:t>
      </w:r>
    </w:p>
    <w:p w14:paraId="0F168B3C"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Hagel, J., Brown, J. S., Samoylova, T., &amp; Lui, M. (2013). Success or struggle</w:t>
      </w:r>
      <w:r w:rsidRPr="00055865">
        <w:rPr>
          <w:rFonts w:ascii="Times New Roman" w:hAnsi="Times New Roman" w:cs="Times New Roman"/>
          <w:noProof/>
          <w:sz w:val="24"/>
          <w:szCs w:val="24"/>
        </w:rPr>
        <w:t> </w:t>
      </w:r>
      <w:r w:rsidRPr="00055865">
        <w:rPr>
          <w:rFonts w:ascii="Garamond" w:hAnsi="Garamond" w:cs="Times New Roman"/>
          <w:noProof/>
          <w:sz w:val="24"/>
          <w:szCs w:val="24"/>
        </w:rPr>
        <w:t xml:space="preserve">: ROA as a true measure of business performance. </w:t>
      </w:r>
      <w:r w:rsidRPr="00055865">
        <w:rPr>
          <w:rFonts w:ascii="Garamond" w:hAnsi="Garamond" w:cs="Times New Roman"/>
          <w:i/>
          <w:iCs/>
          <w:noProof/>
          <w:sz w:val="24"/>
          <w:szCs w:val="24"/>
        </w:rPr>
        <w:t>Deloitte University Press</w:t>
      </w:r>
      <w:r w:rsidRPr="00055865">
        <w:rPr>
          <w:rFonts w:ascii="Garamond" w:hAnsi="Garamond" w:cs="Times New Roman"/>
          <w:noProof/>
          <w:sz w:val="24"/>
          <w:szCs w:val="24"/>
        </w:rPr>
        <w:t>, 4–18.</w:t>
      </w:r>
    </w:p>
    <w:p w14:paraId="6EE8240F"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Hart, S. L. (1995). A natural – resource-based view of the firm. </w:t>
      </w:r>
      <w:r w:rsidRPr="00055865">
        <w:rPr>
          <w:rFonts w:ascii="Garamond" w:hAnsi="Garamond" w:cs="Times New Roman"/>
          <w:i/>
          <w:iCs/>
          <w:noProof/>
          <w:sz w:val="24"/>
          <w:szCs w:val="24"/>
        </w:rPr>
        <w:t>Academy Management Review</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20</w:t>
      </w:r>
      <w:r w:rsidRPr="00055865">
        <w:rPr>
          <w:rFonts w:ascii="Garamond" w:hAnsi="Garamond" w:cs="Times New Roman"/>
          <w:noProof/>
          <w:sz w:val="24"/>
          <w:szCs w:val="24"/>
        </w:rPr>
        <w:t>(4), 966–1014.</w:t>
      </w:r>
    </w:p>
    <w:p w14:paraId="5ABC342E"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Hart, S. L, &amp; Ahuja, G. (1996). Does it pay to be green? An empirical examination of the relationship between emission reduction and firm performance. </w:t>
      </w:r>
      <w:r w:rsidRPr="00055865">
        <w:rPr>
          <w:rFonts w:ascii="Garamond" w:hAnsi="Garamond" w:cs="Times New Roman"/>
          <w:i/>
          <w:iCs/>
          <w:noProof/>
          <w:sz w:val="24"/>
          <w:szCs w:val="24"/>
        </w:rPr>
        <w:t>Business Strategy and the Environment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5</w:t>
      </w:r>
      <w:r w:rsidRPr="00055865">
        <w:rPr>
          <w:rFonts w:ascii="Garamond" w:hAnsi="Garamond" w:cs="Times New Roman"/>
          <w:noProof/>
          <w:sz w:val="24"/>
          <w:szCs w:val="24"/>
        </w:rPr>
        <w:t xml:space="preserve">(1), 30–37. </w:t>
      </w:r>
    </w:p>
    <w:p w14:paraId="012AB5BC"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Hart, Stuart, L., &amp; Dowell, G. (2011). A natural-resource-based view of the firm: Fifteen years after. </w:t>
      </w:r>
      <w:r w:rsidRPr="00055865">
        <w:rPr>
          <w:rFonts w:ascii="Garamond" w:hAnsi="Garamond" w:cs="Times New Roman"/>
          <w:i/>
          <w:iCs/>
          <w:noProof/>
          <w:sz w:val="24"/>
          <w:szCs w:val="24"/>
        </w:rPr>
        <w:t>Journal of Management</w:t>
      </w:r>
      <w:r w:rsidRPr="00055865">
        <w:rPr>
          <w:rFonts w:ascii="Garamond" w:hAnsi="Garamond" w:cs="Times New Roman"/>
          <w:noProof/>
          <w:sz w:val="24"/>
          <w:szCs w:val="24"/>
        </w:rPr>
        <w:t xml:space="preserve">. </w:t>
      </w:r>
    </w:p>
    <w:p w14:paraId="5E8AABC9"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Hassel, L., Nilsson, H., &amp; Nyquist, S. I. V. (2005). The Value Relevance of Environmental </w:t>
      </w:r>
      <w:r w:rsidRPr="00055865">
        <w:rPr>
          <w:rFonts w:ascii="Garamond" w:hAnsi="Garamond" w:cs="Times New Roman"/>
          <w:noProof/>
          <w:sz w:val="24"/>
          <w:szCs w:val="24"/>
        </w:rPr>
        <w:lastRenderedPageBreak/>
        <w:t xml:space="preserve">Performance, </w:t>
      </w:r>
      <w:r w:rsidRPr="00055865">
        <w:rPr>
          <w:rFonts w:ascii="Garamond" w:hAnsi="Garamond" w:cs="Times New Roman"/>
          <w:i/>
          <w:iCs/>
          <w:noProof/>
          <w:sz w:val="24"/>
          <w:szCs w:val="24"/>
        </w:rPr>
        <w:t>14</w:t>
      </w:r>
      <w:r w:rsidRPr="00055865">
        <w:rPr>
          <w:rFonts w:ascii="Garamond" w:hAnsi="Garamond" w:cs="Times New Roman"/>
          <w:noProof/>
          <w:sz w:val="24"/>
          <w:szCs w:val="24"/>
        </w:rPr>
        <w:t>(1), 41–61.</w:t>
      </w:r>
    </w:p>
    <w:p w14:paraId="08ED2A98"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Hayward, R., Lee, J., Keeble, J., McNamara, R., Hall, C., Cruse, S., … Robinson, E. (2013). The UN Global Compact-Accenture CEO Study on Sustainability 2013. </w:t>
      </w:r>
      <w:r w:rsidRPr="00055865">
        <w:rPr>
          <w:rFonts w:ascii="Garamond" w:hAnsi="Garamond" w:cs="Times New Roman"/>
          <w:i/>
          <w:iCs/>
          <w:noProof/>
          <w:sz w:val="24"/>
          <w:szCs w:val="24"/>
        </w:rPr>
        <w:t>UN Global Compact Reports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5</w:t>
      </w:r>
      <w:r w:rsidRPr="00055865">
        <w:rPr>
          <w:rFonts w:ascii="Garamond" w:hAnsi="Garamond" w:cs="Times New Roman"/>
          <w:noProof/>
          <w:sz w:val="24"/>
          <w:szCs w:val="24"/>
        </w:rPr>
        <w:t xml:space="preserve">(3), 1–60. </w:t>
      </w:r>
    </w:p>
    <w:p w14:paraId="0D87CFBB"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Henriques, I., &amp; Sadorsky, P. (1996). The determinants of an environmentally responsive firm: An empirical approach. </w:t>
      </w:r>
      <w:r w:rsidRPr="00055865">
        <w:rPr>
          <w:rFonts w:ascii="Garamond" w:hAnsi="Garamond" w:cs="Times New Roman"/>
          <w:i/>
          <w:iCs/>
          <w:noProof/>
          <w:sz w:val="24"/>
          <w:szCs w:val="24"/>
        </w:rPr>
        <w:t>Journal of Environmental Economics and Management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30</w:t>
      </w:r>
      <w:r w:rsidRPr="00055865">
        <w:rPr>
          <w:rFonts w:ascii="Garamond" w:hAnsi="Garamond" w:cs="Times New Roman"/>
          <w:noProof/>
          <w:sz w:val="24"/>
          <w:szCs w:val="24"/>
        </w:rPr>
        <w:t xml:space="preserve">(3), 381–395. </w:t>
      </w:r>
    </w:p>
    <w:p w14:paraId="2E38E97D"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Hillary, R., &amp; Burr, P. (2011). Evidence-based Study into the Benefits of EMSs for SMEs (EV0440). </w:t>
      </w:r>
      <w:r w:rsidRPr="00055865">
        <w:rPr>
          <w:rFonts w:ascii="Garamond" w:hAnsi="Garamond" w:cs="Times New Roman"/>
          <w:i/>
          <w:iCs/>
          <w:noProof/>
          <w:sz w:val="24"/>
          <w:szCs w:val="24"/>
        </w:rPr>
        <w:t>Final Report to the Department for Environment, Food and Rural Affairs</w:t>
      </w:r>
      <w:r w:rsidRPr="00055865">
        <w:rPr>
          <w:rFonts w:ascii="Garamond" w:hAnsi="Garamond" w:cs="Times New Roman"/>
          <w:noProof/>
          <w:sz w:val="24"/>
          <w:szCs w:val="24"/>
        </w:rPr>
        <w:t>, (September), 1–145.</w:t>
      </w:r>
    </w:p>
    <w:p w14:paraId="58622EDC"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Hoejmose, S., Brammer, S., &amp; Millington, A. (2012). “Green” supply chain management: The role of trust and top management in B2B and B2C markets. </w:t>
      </w:r>
      <w:r w:rsidRPr="00055865">
        <w:rPr>
          <w:rFonts w:ascii="Garamond" w:hAnsi="Garamond" w:cs="Times New Roman"/>
          <w:i/>
          <w:iCs/>
          <w:noProof/>
          <w:sz w:val="24"/>
          <w:szCs w:val="24"/>
        </w:rPr>
        <w:t>Industrial Marketing Management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41</w:t>
      </w:r>
      <w:r w:rsidRPr="00055865">
        <w:rPr>
          <w:rFonts w:ascii="Garamond" w:hAnsi="Garamond" w:cs="Times New Roman"/>
          <w:noProof/>
          <w:sz w:val="24"/>
          <w:szCs w:val="24"/>
        </w:rPr>
        <w:t>(4), 609–620. https://doi.org/10.1016/j.indmarman.2012.04.008</w:t>
      </w:r>
    </w:p>
    <w:p w14:paraId="49AC8E94"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Horváthová, E. (2012). The impact of environmental performance on firm performance: Short-term costs and long-term benefits? </w:t>
      </w:r>
      <w:r w:rsidRPr="00055865">
        <w:rPr>
          <w:rFonts w:ascii="Garamond" w:hAnsi="Garamond" w:cs="Times New Roman"/>
          <w:i/>
          <w:iCs/>
          <w:noProof/>
          <w:sz w:val="24"/>
          <w:szCs w:val="24"/>
        </w:rPr>
        <w:t>Ecological Economics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84</w:t>
      </w:r>
      <w:r w:rsidRPr="00055865">
        <w:rPr>
          <w:rFonts w:ascii="Garamond" w:hAnsi="Garamond" w:cs="Times New Roman"/>
          <w:noProof/>
          <w:sz w:val="24"/>
          <w:szCs w:val="24"/>
        </w:rPr>
        <w:t>, 91–97. https://doi.org/10.1016/j.ecolecon.2012.10.001</w:t>
      </w:r>
    </w:p>
    <w:p w14:paraId="7BE6A9BD"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Ilinitch, A. Y., Soderstrom, N. S., &amp; Thomas, T. E. (1998). Measuring corporate environmental performance. </w:t>
      </w:r>
      <w:r w:rsidRPr="00055865">
        <w:rPr>
          <w:rFonts w:ascii="Garamond" w:hAnsi="Garamond" w:cs="Times New Roman"/>
          <w:i/>
          <w:iCs/>
          <w:noProof/>
          <w:sz w:val="24"/>
          <w:szCs w:val="24"/>
        </w:rPr>
        <w:t>Journal of Accounting and Public Policy</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17</w:t>
      </w:r>
      <w:r w:rsidRPr="00055865">
        <w:rPr>
          <w:rFonts w:ascii="Garamond" w:hAnsi="Garamond" w:cs="Times New Roman"/>
          <w:noProof/>
          <w:sz w:val="24"/>
          <w:szCs w:val="24"/>
        </w:rPr>
        <w:t xml:space="preserve">, 383–408. </w:t>
      </w:r>
    </w:p>
    <w:p w14:paraId="5B0AC007"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Iwata, H., &amp; Okada, K. (2011). How does environmental performance affect financial performance? Evidence from Japanese manufacturing firms. </w:t>
      </w:r>
      <w:r w:rsidRPr="00055865">
        <w:rPr>
          <w:rFonts w:ascii="Garamond" w:hAnsi="Garamond" w:cs="Times New Roman"/>
          <w:i/>
          <w:iCs/>
          <w:noProof/>
          <w:sz w:val="24"/>
          <w:szCs w:val="24"/>
        </w:rPr>
        <w:t>Ecological Economics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70</w:t>
      </w:r>
      <w:r w:rsidRPr="00055865">
        <w:rPr>
          <w:rFonts w:ascii="Garamond" w:hAnsi="Garamond" w:cs="Times New Roman"/>
          <w:noProof/>
          <w:sz w:val="24"/>
          <w:szCs w:val="24"/>
        </w:rPr>
        <w:t xml:space="preserve">(9), 1691–1700. </w:t>
      </w:r>
    </w:p>
    <w:p w14:paraId="4675BCDC"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King, A., &amp; Lenox, M. (2002). Exploring the Locus of Profitable Pollution Reduction. </w:t>
      </w:r>
      <w:r w:rsidRPr="00055865">
        <w:rPr>
          <w:rFonts w:ascii="Garamond" w:hAnsi="Garamond" w:cs="Times New Roman"/>
          <w:i/>
          <w:iCs/>
          <w:noProof/>
          <w:sz w:val="24"/>
          <w:szCs w:val="24"/>
        </w:rPr>
        <w:t>Management Science</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48</w:t>
      </w:r>
      <w:r w:rsidRPr="00055865">
        <w:rPr>
          <w:rFonts w:ascii="Garamond" w:hAnsi="Garamond" w:cs="Times New Roman"/>
          <w:noProof/>
          <w:sz w:val="24"/>
          <w:szCs w:val="24"/>
        </w:rPr>
        <w:t xml:space="preserve">(2), 289–299. </w:t>
      </w:r>
    </w:p>
    <w:p w14:paraId="2DDB287A"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Klassen, R. D., &amp; McLaughlin, C. P. (1996). The Impact of Environmental Management on Firm Performance. </w:t>
      </w:r>
      <w:r w:rsidRPr="00055865">
        <w:rPr>
          <w:rFonts w:ascii="Garamond" w:hAnsi="Garamond" w:cs="Times New Roman"/>
          <w:i/>
          <w:iCs/>
          <w:noProof/>
          <w:sz w:val="24"/>
          <w:szCs w:val="24"/>
        </w:rPr>
        <w:t>Management Science</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42</w:t>
      </w:r>
      <w:r w:rsidRPr="00055865">
        <w:rPr>
          <w:rFonts w:ascii="Garamond" w:hAnsi="Garamond" w:cs="Times New Roman"/>
          <w:noProof/>
          <w:sz w:val="24"/>
          <w:szCs w:val="24"/>
        </w:rPr>
        <w:t xml:space="preserve">(8), 1199–1214. </w:t>
      </w:r>
    </w:p>
    <w:p w14:paraId="4BACA105"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Klassen, R. D., &amp; Whybark, D. C. (1999). The Impact of Environmental Technologies on Manufacturing Performance. </w:t>
      </w:r>
      <w:r w:rsidRPr="00055865">
        <w:rPr>
          <w:rFonts w:ascii="Garamond" w:hAnsi="Garamond" w:cs="Times New Roman"/>
          <w:i/>
          <w:iCs/>
          <w:noProof/>
          <w:sz w:val="24"/>
          <w:szCs w:val="24"/>
        </w:rPr>
        <w:t>The Academy of Management Journal</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42</w:t>
      </w:r>
      <w:r w:rsidRPr="00055865">
        <w:rPr>
          <w:rFonts w:ascii="Garamond" w:hAnsi="Garamond" w:cs="Times New Roman"/>
          <w:noProof/>
          <w:sz w:val="24"/>
          <w:szCs w:val="24"/>
        </w:rPr>
        <w:t xml:space="preserve">(6), 599–615. </w:t>
      </w:r>
    </w:p>
    <w:p w14:paraId="38AA0858"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lastRenderedPageBreak/>
        <w:t xml:space="preserve">Kolk, A., &amp; Pinkse, J. (2010). The integration of corporate governance in corporate social responsibility disclosures. </w:t>
      </w:r>
      <w:r w:rsidRPr="00055865">
        <w:rPr>
          <w:rFonts w:ascii="Garamond" w:hAnsi="Garamond" w:cs="Times New Roman"/>
          <w:i/>
          <w:iCs/>
          <w:noProof/>
          <w:sz w:val="24"/>
          <w:szCs w:val="24"/>
        </w:rPr>
        <w:t>Corporate Social Responsibility and Environmental Management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17</w:t>
      </w:r>
      <w:r w:rsidRPr="00055865">
        <w:rPr>
          <w:rFonts w:ascii="Garamond" w:hAnsi="Garamond" w:cs="Times New Roman"/>
          <w:noProof/>
          <w:sz w:val="24"/>
          <w:szCs w:val="24"/>
        </w:rPr>
        <w:t xml:space="preserve">(1), 15–26. </w:t>
      </w:r>
    </w:p>
    <w:p w14:paraId="6E0EF567"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Konar, S., &amp; Cohen, M. A. (2001). Does the Market Value Environmental Performance? </w:t>
      </w:r>
      <w:r w:rsidRPr="00055865">
        <w:rPr>
          <w:rFonts w:ascii="Garamond" w:hAnsi="Garamond" w:cs="Times New Roman"/>
          <w:i/>
          <w:iCs/>
          <w:noProof/>
          <w:sz w:val="24"/>
          <w:szCs w:val="24"/>
        </w:rPr>
        <w:t>Review of Economics and Statistics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83</w:t>
      </w:r>
      <w:r w:rsidRPr="00055865">
        <w:rPr>
          <w:rFonts w:ascii="Garamond" w:hAnsi="Garamond" w:cs="Times New Roman"/>
          <w:noProof/>
          <w:sz w:val="24"/>
          <w:szCs w:val="24"/>
        </w:rPr>
        <w:t>(2), 281–289.</w:t>
      </w:r>
    </w:p>
    <w:p w14:paraId="4EE95DAA"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Kumar, M., Khurshid, K. K., &amp; Waddell, D. (2014). Status of Quality Management practices in manufacturing SMEs: A comparative study between Australia and the UK. </w:t>
      </w:r>
      <w:r w:rsidRPr="00055865">
        <w:rPr>
          <w:rFonts w:ascii="Garamond" w:hAnsi="Garamond" w:cs="Times New Roman"/>
          <w:i/>
          <w:iCs/>
          <w:noProof/>
          <w:sz w:val="24"/>
          <w:szCs w:val="24"/>
        </w:rPr>
        <w:t>International Journal of Production Research</w:t>
      </w:r>
      <w:r w:rsidRPr="00055865">
        <w:rPr>
          <w:rFonts w:ascii="Garamond" w:hAnsi="Garamond" w:cs="Times New Roman"/>
          <w:noProof/>
          <w:sz w:val="24"/>
          <w:szCs w:val="24"/>
        </w:rPr>
        <w:t xml:space="preserve">. </w:t>
      </w:r>
    </w:p>
    <w:p w14:paraId="69BB164D"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Lartey, T., Yirenkyi, D. O., Adomako, S., Danso, A., Amankwah-Amoah, J., &amp; Alam, A. (2020). Going green, going clean: Lean-green sustainability strategy and firm growth. </w:t>
      </w:r>
      <w:r w:rsidRPr="00055865">
        <w:rPr>
          <w:rFonts w:ascii="Garamond" w:hAnsi="Garamond" w:cs="Times New Roman"/>
          <w:i/>
          <w:iCs/>
          <w:noProof/>
          <w:sz w:val="24"/>
          <w:szCs w:val="24"/>
        </w:rPr>
        <w:t>Business Strategy and the Environment</w:t>
      </w:r>
      <w:r w:rsidRPr="00055865">
        <w:rPr>
          <w:rFonts w:ascii="Garamond" w:hAnsi="Garamond" w:cs="Times New Roman"/>
          <w:noProof/>
          <w:sz w:val="24"/>
          <w:szCs w:val="24"/>
        </w:rPr>
        <w:t xml:space="preserve">. </w:t>
      </w:r>
    </w:p>
    <w:p w14:paraId="4953761E"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Lee, S., Liao, C., Song, G. J., Ra, K., Kannan, K., &amp; Moon, H. B. (2015). Emission of bisphenol analogues including bisphenol A and bisphenol F from wastewater treatment plants in Korea. </w:t>
      </w:r>
    </w:p>
    <w:p w14:paraId="21E73730"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López-Gamero, M. D., Molina-Azorín, J. F., &amp; Claver-Cortés, E. (2009). The whole relationship between environmental variables and firm performance: Competitive advantage and firm resources as mediator variables. </w:t>
      </w:r>
      <w:r w:rsidRPr="00055865">
        <w:rPr>
          <w:rFonts w:ascii="Garamond" w:hAnsi="Garamond" w:cs="Times New Roman"/>
          <w:i/>
          <w:iCs/>
          <w:noProof/>
          <w:sz w:val="24"/>
          <w:szCs w:val="24"/>
        </w:rPr>
        <w:t>Journal of Environmental Management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90</w:t>
      </w:r>
      <w:r w:rsidRPr="00055865">
        <w:rPr>
          <w:rFonts w:ascii="Garamond" w:hAnsi="Garamond" w:cs="Times New Roman"/>
          <w:noProof/>
          <w:sz w:val="24"/>
          <w:szCs w:val="24"/>
        </w:rPr>
        <w:t xml:space="preserve">(10), 3110–3121. </w:t>
      </w:r>
    </w:p>
    <w:p w14:paraId="3E3D018E"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Martínez-Ferrero, J., &amp; García-Sánchez, I. M. (2017). Sustainability assurance and cost of capital: Does assurance impact on credibility of corporate social responsibility information? </w:t>
      </w:r>
      <w:r w:rsidRPr="00055865">
        <w:rPr>
          <w:rFonts w:ascii="Garamond" w:hAnsi="Garamond" w:cs="Times New Roman"/>
          <w:i/>
          <w:iCs/>
          <w:noProof/>
          <w:sz w:val="24"/>
          <w:szCs w:val="24"/>
        </w:rPr>
        <w:t>Business Ethics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26</w:t>
      </w:r>
      <w:r w:rsidRPr="00055865">
        <w:rPr>
          <w:rFonts w:ascii="Garamond" w:hAnsi="Garamond" w:cs="Times New Roman"/>
          <w:noProof/>
          <w:sz w:val="24"/>
          <w:szCs w:val="24"/>
        </w:rPr>
        <w:t xml:space="preserve">(3), 223–239. </w:t>
      </w:r>
    </w:p>
    <w:p w14:paraId="45718B9D"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Mcguire, J. B., Sundgren, A., &amp; Schneeweis, T. (1988). Corporate Social Responsibility and Firm Financial Performance. </w:t>
      </w:r>
      <w:r w:rsidRPr="00055865">
        <w:rPr>
          <w:rFonts w:ascii="Garamond" w:hAnsi="Garamond" w:cs="Times New Roman"/>
          <w:i/>
          <w:iCs/>
          <w:noProof/>
          <w:sz w:val="24"/>
          <w:szCs w:val="24"/>
        </w:rPr>
        <w:t>Academy of Management Journal</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31</w:t>
      </w:r>
      <w:r w:rsidRPr="00055865">
        <w:rPr>
          <w:rFonts w:ascii="Garamond" w:hAnsi="Garamond" w:cs="Times New Roman"/>
          <w:noProof/>
          <w:sz w:val="24"/>
          <w:szCs w:val="24"/>
        </w:rPr>
        <w:t xml:space="preserve">(4), 854–872. </w:t>
      </w:r>
    </w:p>
    <w:p w14:paraId="3005D682"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Mensah, I. (2014). Different shades of green: Environmental management in hotels in Accra. </w:t>
      </w:r>
      <w:r w:rsidRPr="00055865">
        <w:rPr>
          <w:rFonts w:ascii="Garamond" w:hAnsi="Garamond" w:cs="Times New Roman"/>
          <w:i/>
          <w:iCs/>
          <w:noProof/>
          <w:sz w:val="24"/>
          <w:szCs w:val="24"/>
        </w:rPr>
        <w:t>International Journal of Tourism Research</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16</w:t>
      </w:r>
      <w:r w:rsidRPr="00055865">
        <w:rPr>
          <w:rFonts w:ascii="Garamond" w:hAnsi="Garamond" w:cs="Times New Roman"/>
          <w:noProof/>
          <w:sz w:val="24"/>
          <w:szCs w:val="24"/>
        </w:rPr>
        <w:t xml:space="preserve">(5), 450–461. </w:t>
      </w:r>
    </w:p>
    <w:p w14:paraId="6B031636"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Miroshnychenko, I., Barontini, R., &amp; Testa, F. (2017). Green practices and financial performance: A global outlook. </w:t>
      </w:r>
      <w:r w:rsidRPr="00055865">
        <w:rPr>
          <w:rFonts w:ascii="Garamond" w:hAnsi="Garamond" w:cs="Times New Roman"/>
          <w:i/>
          <w:iCs/>
          <w:noProof/>
          <w:sz w:val="24"/>
          <w:szCs w:val="24"/>
        </w:rPr>
        <w:t>Journal of Cleaner Production</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147</w:t>
      </w:r>
      <w:r w:rsidRPr="00055865">
        <w:rPr>
          <w:rFonts w:ascii="Garamond" w:hAnsi="Garamond" w:cs="Times New Roman"/>
          <w:noProof/>
          <w:sz w:val="24"/>
          <w:szCs w:val="24"/>
        </w:rPr>
        <w:t xml:space="preserve">, 340–351. </w:t>
      </w:r>
    </w:p>
    <w:p w14:paraId="7077FF6A"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lastRenderedPageBreak/>
        <w:t xml:space="preserve">Modi, S. B., &amp; Mishra, S. (2011). What drives financial performance-resource efficiency or resource slack?: Evidence from U.S. based manufacturing firms from 1991 to 2006. </w:t>
      </w:r>
      <w:r w:rsidRPr="00055865">
        <w:rPr>
          <w:rFonts w:ascii="Garamond" w:hAnsi="Garamond" w:cs="Times New Roman"/>
          <w:i/>
          <w:iCs/>
          <w:noProof/>
          <w:sz w:val="24"/>
          <w:szCs w:val="24"/>
        </w:rPr>
        <w:t>Journal of Operations Management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29</w:t>
      </w:r>
      <w:r w:rsidRPr="00055865">
        <w:rPr>
          <w:rFonts w:ascii="Garamond" w:hAnsi="Garamond" w:cs="Times New Roman"/>
          <w:noProof/>
          <w:sz w:val="24"/>
          <w:szCs w:val="24"/>
        </w:rPr>
        <w:t xml:space="preserve">(3), 254–273. </w:t>
      </w:r>
    </w:p>
    <w:p w14:paraId="468E71A1"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Moneva, J. M., &amp; Ortas, E. (2010). Corporate environmental and financial performance: a multivariate approach. </w:t>
      </w:r>
      <w:r w:rsidRPr="00055865">
        <w:rPr>
          <w:rFonts w:ascii="Garamond" w:hAnsi="Garamond" w:cs="Times New Roman"/>
          <w:i/>
          <w:iCs/>
          <w:noProof/>
          <w:sz w:val="24"/>
          <w:szCs w:val="24"/>
        </w:rPr>
        <w:t>Industrial Management &amp; Data Systems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110</w:t>
      </w:r>
      <w:r w:rsidRPr="00055865">
        <w:rPr>
          <w:rFonts w:ascii="Garamond" w:hAnsi="Garamond" w:cs="Times New Roman"/>
          <w:noProof/>
          <w:sz w:val="24"/>
          <w:szCs w:val="24"/>
        </w:rPr>
        <w:t xml:space="preserve">(2), 193–210. </w:t>
      </w:r>
    </w:p>
    <w:p w14:paraId="61AA0B86"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Mura, R. (2007). Firm performance: Do non-executive directors have minds of their own? Evidence from UK panel data. </w:t>
      </w:r>
      <w:r w:rsidRPr="00055865">
        <w:rPr>
          <w:rFonts w:ascii="Garamond" w:hAnsi="Garamond" w:cs="Times New Roman"/>
          <w:i/>
          <w:iCs/>
          <w:noProof/>
          <w:sz w:val="24"/>
          <w:szCs w:val="24"/>
        </w:rPr>
        <w:t>Financial Management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36</w:t>
      </w:r>
      <w:r w:rsidRPr="00055865">
        <w:rPr>
          <w:rFonts w:ascii="Garamond" w:hAnsi="Garamond" w:cs="Times New Roman"/>
          <w:noProof/>
          <w:sz w:val="24"/>
          <w:szCs w:val="24"/>
        </w:rPr>
        <w:t xml:space="preserve">(3), 81–112. </w:t>
      </w:r>
    </w:p>
    <w:p w14:paraId="5388EBF2"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Naila, D. L. (2013). The Effect of Environmental Regulations on Financial Performance in Tanzania: A Survey of Manufacturing Companies Quoted on the Dar EsSalaam Stock Exchange. </w:t>
      </w:r>
      <w:r w:rsidRPr="00055865">
        <w:rPr>
          <w:rFonts w:ascii="Garamond" w:hAnsi="Garamond" w:cs="Times New Roman"/>
          <w:i/>
          <w:iCs/>
          <w:noProof/>
          <w:sz w:val="24"/>
          <w:szCs w:val="24"/>
        </w:rPr>
        <w:t>International Journal of Economics and Financial Issues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3</w:t>
      </w:r>
      <w:r w:rsidRPr="00055865">
        <w:rPr>
          <w:rFonts w:ascii="Garamond" w:hAnsi="Garamond" w:cs="Times New Roman"/>
          <w:noProof/>
          <w:sz w:val="24"/>
          <w:szCs w:val="24"/>
        </w:rPr>
        <w:t>(1), 99–112.</w:t>
      </w:r>
    </w:p>
    <w:p w14:paraId="46D07BB4"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Nath, P., &amp; Ramanathan, R. (2016). Environmental management practices, environmental technology portfolio, and environmental commitment: A content analytic approach for UK manufacturing firms. </w:t>
      </w:r>
      <w:r w:rsidRPr="00055865">
        <w:rPr>
          <w:rFonts w:ascii="Garamond" w:hAnsi="Garamond" w:cs="Times New Roman"/>
          <w:i/>
          <w:iCs/>
          <w:noProof/>
          <w:sz w:val="24"/>
          <w:szCs w:val="24"/>
        </w:rPr>
        <w:t>International Journal of Production Economics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171</w:t>
      </w:r>
      <w:r w:rsidRPr="00055865">
        <w:rPr>
          <w:rFonts w:ascii="Garamond" w:hAnsi="Garamond" w:cs="Times New Roman"/>
          <w:noProof/>
          <w:sz w:val="24"/>
          <w:szCs w:val="24"/>
        </w:rPr>
        <w:t xml:space="preserve">, 427–437. </w:t>
      </w:r>
    </w:p>
    <w:p w14:paraId="47268B98"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Nollet, J., Filis, G., &amp; Mitrokostas, E. (2015). Corporate social responsibility and financial performance: A non-linear and disaggregated approach. </w:t>
      </w:r>
      <w:r w:rsidRPr="00055865">
        <w:rPr>
          <w:rFonts w:ascii="Garamond" w:hAnsi="Garamond" w:cs="Times New Roman"/>
          <w:i/>
          <w:iCs/>
          <w:noProof/>
          <w:sz w:val="24"/>
          <w:szCs w:val="24"/>
        </w:rPr>
        <w:t>Economic Modelling</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52</w:t>
      </w:r>
      <w:r w:rsidRPr="00055865">
        <w:rPr>
          <w:rFonts w:ascii="Garamond" w:hAnsi="Garamond" w:cs="Times New Roman"/>
          <w:noProof/>
          <w:sz w:val="24"/>
          <w:szCs w:val="24"/>
        </w:rPr>
        <w:t xml:space="preserve">(0), 400–407. </w:t>
      </w:r>
    </w:p>
    <w:p w14:paraId="2CC632F1"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Ntim, C.; Soobaroyen, T. (2013). Corporate Governance and Performance in Socially Responsible Corporations: New Empirical Insights from a Neo-Institutional Framework. </w:t>
      </w:r>
      <w:r w:rsidRPr="00055865">
        <w:rPr>
          <w:rFonts w:ascii="Garamond" w:hAnsi="Garamond" w:cs="Times New Roman"/>
          <w:i/>
          <w:iCs/>
          <w:noProof/>
          <w:sz w:val="24"/>
          <w:szCs w:val="24"/>
        </w:rPr>
        <w:t>Corporate Social Responsibility</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21</w:t>
      </w:r>
      <w:r w:rsidRPr="00055865">
        <w:rPr>
          <w:rFonts w:ascii="Garamond" w:hAnsi="Garamond" w:cs="Times New Roman"/>
          <w:noProof/>
          <w:sz w:val="24"/>
          <w:szCs w:val="24"/>
        </w:rPr>
        <w:t>(5), 468–494.</w:t>
      </w:r>
    </w:p>
    <w:p w14:paraId="4A9D1088"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Ntim, C. (2009). </w:t>
      </w:r>
      <w:r w:rsidRPr="00055865">
        <w:rPr>
          <w:rFonts w:ascii="Garamond" w:hAnsi="Garamond" w:cs="Times New Roman"/>
          <w:i/>
          <w:iCs/>
          <w:noProof/>
          <w:sz w:val="24"/>
          <w:szCs w:val="24"/>
        </w:rPr>
        <w:t>Internal Corporate Governance Structures and Firm Financial Performance: Evidence from South African Listed Firms</w:t>
      </w:r>
      <w:r w:rsidRPr="00055865">
        <w:rPr>
          <w:rFonts w:ascii="Garamond" w:hAnsi="Garamond" w:cs="Times New Roman"/>
          <w:noProof/>
          <w:sz w:val="24"/>
          <w:szCs w:val="24"/>
        </w:rPr>
        <w:t>. University of Glasgow.</w:t>
      </w:r>
    </w:p>
    <w:p w14:paraId="0690081A"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Ochiri, G., Wario, G., Odhiambo, R., &amp; Arasa, R. (2015). Effects of Waste Reduction Strategy on Firm Performance: a Survey of Publishing Firms in Kenya. </w:t>
      </w:r>
      <w:r w:rsidRPr="00055865">
        <w:rPr>
          <w:rFonts w:ascii="Garamond" w:hAnsi="Garamond" w:cs="Times New Roman"/>
          <w:i/>
          <w:iCs/>
          <w:noProof/>
          <w:sz w:val="24"/>
          <w:szCs w:val="24"/>
        </w:rPr>
        <w:t>International Journal of Economics, Commerce and Management United Kingdom</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III</w:t>
      </w:r>
      <w:r w:rsidRPr="00055865">
        <w:rPr>
          <w:rFonts w:ascii="Garamond" w:hAnsi="Garamond" w:cs="Times New Roman"/>
          <w:noProof/>
          <w:sz w:val="24"/>
          <w:szCs w:val="24"/>
        </w:rPr>
        <w:t xml:space="preserve">(5), 1228–1241. </w:t>
      </w:r>
    </w:p>
    <w:p w14:paraId="5E9386FD"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Pane Haden, S. S., Oyler, J. D., &amp; Humphreys, J. H. (2009). Historical, practical, and theoretical perspectives on green management. </w:t>
      </w:r>
      <w:r w:rsidRPr="00055865">
        <w:rPr>
          <w:rFonts w:ascii="Garamond" w:hAnsi="Garamond" w:cs="Times New Roman"/>
          <w:i/>
          <w:iCs/>
          <w:noProof/>
          <w:sz w:val="24"/>
          <w:szCs w:val="24"/>
        </w:rPr>
        <w:t>Management Decision</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47</w:t>
      </w:r>
      <w:r w:rsidRPr="00055865">
        <w:rPr>
          <w:rFonts w:ascii="Garamond" w:hAnsi="Garamond" w:cs="Times New Roman"/>
          <w:noProof/>
          <w:sz w:val="24"/>
          <w:szCs w:val="24"/>
        </w:rPr>
        <w:t xml:space="preserve">(7), 1041–1055. </w:t>
      </w:r>
    </w:p>
    <w:p w14:paraId="5CAE84EE"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Patten, D. M. (1992). Intra-industry environmental disclosures in response to the Alaskan oil </w:t>
      </w:r>
      <w:r w:rsidRPr="00055865">
        <w:rPr>
          <w:rFonts w:ascii="Garamond" w:hAnsi="Garamond" w:cs="Times New Roman"/>
          <w:noProof/>
          <w:sz w:val="24"/>
          <w:szCs w:val="24"/>
        </w:rPr>
        <w:lastRenderedPageBreak/>
        <w:t xml:space="preserve">spill: A note on legitimacy theory. </w:t>
      </w:r>
      <w:r w:rsidRPr="00055865">
        <w:rPr>
          <w:rFonts w:ascii="Garamond" w:hAnsi="Garamond" w:cs="Times New Roman"/>
          <w:i/>
          <w:iCs/>
          <w:noProof/>
          <w:sz w:val="24"/>
          <w:szCs w:val="24"/>
        </w:rPr>
        <w:t>Accounting, Organizations and Society</w:t>
      </w:r>
      <w:r w:rsidRPr="00055865">
        <w:rPr>
          <w:rFonts w:ascii="Garamond" w:hAnsi="Garamond" w:cs="Times New Roman"/>
          <w:noProof/>
          <w:sz w:val="24"/>
          <w:szCs w:val="24"/>
        </w:rPr>
        <w:t>.</w:t>
      </w:r>
    </w:p>
    <w:p w14:paraId="2E2E8351" w14:textId="70E228C4" w:rsidR="00E20DB1"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Pavlinovic, S. (2013). Motives for Voluntary Environmental Investments. </w:t>
      </w:r>
      <w:r w:rsidRPr="00055865">
        <w:rPr>
          <w:rFonts w:ascii="Garamond" w:hAnsi="Garamond" w:cs="Times New Roman"/>
          <w:i/>
          <w:iCs/>
          <w:noProof/>
          <w:sz w:val="24"/>
          <w:szCs w:val="24"/>
        </w:rPr>
        <w:t>Advance Research in Scientific Areas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w:t>
      </w:r>
      <w:r w:rsidRPr="00055865">
        <w:rPr>
          <w:rFonts w:ascii="Garamond" w:hAnsi="Garamond" w:cs="Times New Roman"/>
          <w:noProof/>
          <w:sz w:val="24"/>
          <w:szCs w:val="24"/>
        </w:rPr>
        <w:t>(6), 149–152.</w:t>
      </w:r>
    </w:p>
    <w:p w14:paraId="2F42E276" w14:textId="4FE2DC74" w:rsidR="00F34C8E" w:rsidRPr="00055865" w:rsidRDefault="00F34C8E" w:rsidP="00F34C8E">
      <w:pPr>
        <w:widowControl w:val="0"/>
        <w:autoSpaceDE w:val="0"/>
        <w:autoSpaceDN w:val="0"/>
        <w:adjustRightInd w:val="0"/>
        <w:spacing w:after="100" w:line="480" w:lineRule="auto"/>
        <w:ind w:left="480" w:hanging="480"/>
        <w:rPr>
          <w:rFonts w:ascii="Garamond" w:hAnsi="Garamond" w:cs="Times New Roman"/>
          <w:noProof/>
          <w:sz w:val="24"/>
          <w:szCs w:val="24"/>
        </w:rPr>
      </w:pPr>
      <w:r w:rsidRPr="007E6F46">
        <w:rPr>
          <w:rFonts w:ascii="Garamond" w:hAnsi="Garamond"/>
          <w:color w:val="1D2228"/>
          <w:sz w:val="24"/>
          <w:szCs w:val="24"/>
          <w:shd w:val="clear" w:color="auto" w:fill="FFFFFF"/>
        </w:rPr>
        <w:t>Pham, T. H. H., 2015. Energy management systems and market value: Is there a link?  Economic Modelling, 46, 70–78</w:t>
      </w:r>
    </w:p>
    <w:p w14:paraId="497080A2"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Pindado, J., &amp; Requejo, I. (2015). Panel Data: A Methodology for Model Specification and Testing. In </w:t>
      </w:r>
      <w:r w:rsidRPr="00055865">
        <w:rPr>
          <w:rFonts w:ascii="Garamond" w:hAnsi="Garamond" w:cs="Times New Roman"/>
          <w:i/>
          <w:iCs/>
          <w:noProof/>
          <w:sz w:val="24"/>
          <w:szCs w:val="24"/>
        </w:rPr>
        <w:t>Wiley Encyclopedia of Management</w:t>
      </w:r>
      <w:r w:rsidRPr="00055865">
        <w:rPr>
          <w:rFonts w:ascii="Garamond" w:hAnsi="Garamond" w:cs="Times New Roman"/>
          <w:noProof/>
          <w:sz w:val="24"/>
          <w:szCs w:val="24"/>
        </w:rPr>
        <w:t xml:space="preserve"> (pp. 1–8). </w:t>
      </w:r>
    </w:p>
    <w:p w14:paraId="7C03A841"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Porter, M. E., &amp; Linde, C. van der. (1995). Toward a New Conception of the Environment-Competitiveness Relationship. </w:t>
      </w:r>
      <w:r w:rsidRPr="00055865">
        <w:rPr>
          <w:rFonts w:ascii="Garamond" w:hAnsi="Garamond" w:cs="Times New Roman"/>
          <w:i/>
          <w:iCs/>
          <w:noProof/>
          <w:sz w:val="24"/>
          <w:szCs w:val="24"/>
        </w:rPr>
        <w:t>Journal of Economic Perspectives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9</w:t>
      </w:r>
      <w:r w:rsidRPr="00055865">
        <w:rPr>
          <w:rFonts w:ascii="Garamond" w:hAnsi="Garamond" w:cs="Times New Roman"/>
          <w:noProof/>
          <w:sz w:val="24"/>
          <w:szCs w:val="24"/>
        </w:rPr>
        <w:t xml:space="preserve">(4), 97–118. </w:t>
      </w:r>
    </w:p>
    <w:p w14:paraId="335ACAE9" w14:textId="21ED5E88"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Prado-Lorenzo, J.-M., &amp; Garcia-Sanchez, I.-M. (2010). The Role of the Board of Directors in Disseminating Relevant Information on Greenhouse Gases. </w:t>
      </w:r>
      <w:r w:rsidRPr="00055865">
        <w:rPr>
          <w:rFonts w:ascii="Garamond" w:hAnsi="Garamond" w:cs="Times New Roman"/>
          <w:i/>
          <w:iCs/>
          <w:noProof/>
          <w:sz w:val="24"/>
          <w:szCs w:val="24"/>
        </w:rPr>
        <w:t>Journal of Business Ethics</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97</w:t>
      </w:r>
      <w:r w:rsidRPr="00055865">
        <w:rPr>
          <w:rFonts w:ascii="Garamond" w:hAnsi="Garamond" w:cs="Times New Roman"/>
          <w:noProof/>
          <w:sz w:val="24"/>
          <w:szCs w:val="24"/>
        </w:rPr>
        <w:t>, 391–424. https:</w:t>
      </w:r>
    </w:p>
    <w:p w14:paraId="13E9CF64" w14:textId="33D87300" w:rsidR="008E610A" w:rsidRPr="00055865" w:rsidRDefault="008E610A"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Qian, W. and Xing, K. (2016). Linking environmental and financial performance for privately</w:t>
      </w:r>
      <w:r w:rsidRPr="00055865">
        <w:rPr>
          <w:rFonts w:ascii="Garamond" w:hAnsi="Garamond" w:cs="Times New Roman"/>
          <w:noProof/>
          <w:sz w:val="24"/>
          <w:szCs w:val="24"/>
        </w:rPr>
        <w:tab/>
        <w:t xml:space="preserve">owned firms: Some evidence from Australia. </w:t>
      </w:r>
      <w:r w:rsidRPr="00055865">
        <w:rPr>
          <w:rFonts w:ascii="Garamond" w:hAnsi="Garamond" w:cs="Times New Roman"/>
          <w:i/>
          <w:iCs/>
          <w:noProof/>
          <w:sz w:val="24"/>
          <w:szCs w:val="24"/>
        </w:rPr>
        <w:t>Journal of Small Business Management</w:t>
      </w:r>
      <w:r w:rsidRPr="00055865">
        <w:rPr>
          <w:rFonts w:ascii="Garamond" w:hAnsi="Garamond" w:cs="Times New Roman"/>
          <w:noProof/>
          <w:sz w:val="24"/>
          <w:szCs w:val="24"/>
        </w:rPr>
        <w:t>,</w:t>
      </w:r>
    </w:p>
    <w:p w14:paraId="2A5052C9" w14:textId="77777777" w:rsidR="008E610A" w:rsidRPr="00055865" w:rsidRDefault="008E610A" w:rsidP="005D6CE4">
      <w:pPr>
        <w:widowControl w:val="0"/>
        <w:autoSpaceDE w:val="0"/>
        <w:autoSpaceDN w:val="0"/>
        <w:adjustRightInd w:val="0"/>
        <w:spacing w:after="0" w:line="480" w:lineRule="auto"/>
        <w:ind w:left="480" w:hanging="480"/>
        <w:rPr>
          <w:rFonts w:ascii="Garamond" w:hAnsi="Garamond" w:cs="Times New Roman"/>
          <w:noProof/>
          <w:sz w:val="24"/>
          <w:szCs w:val="24"/>
        </w:rPr>
      </w:pPr>
    </w:p>
    <w:p w14:paraId="3D272BE1"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Ramanathan, R. (2016). Understanding Complexity: the Curvilinear Relationship Between Environmental Performance and Firm Performance. </w:t>
      </w:r>
      <w:r w:rsidRPr="00055865">
        <w:rPr>
          <w:rFonts w:ascii="Garamond" w:hAnsi="Garamond" w:cs="Times New Roman"/>
          <w:i/>
          <w:iCs/>
          <w:noProof/>
          <w:sz w:val="24"/>
          <w:szCs w:val="24"/>
        </w:rPr>
        <w:t>Journal of Business Ethics</w:t>
      </w:r>
      <w:r w:rsidRPr="00055865">
        <w:rPr>
          <w:rFonts w:ascii="Garamond" w:hAnsi="Garamond" w:cs="Times New Roman"/>
          <w:noProof/>
          <w:sz w:val="24"/>
          <w:szCs w:val="24"/>
        </w:rPr>
        <w:t>, (2008), 1–11. https://doi.org/10.1007/s10551-016-3088-8</w:t>
      </w:r>
    </w:p>
    <w:p w14:paraId="22CB2B69"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Ramanathan, R., Ramanathan, U., &amp; Bentley, Y. (2018). The debate on flexibility of environmental regulations, innovation capabilities and financial performance – A novel use of DEA. </w:t>
      </w:r>
      <w:r w:rsidRPr="00055865">
        <w:rPr>
          <w:rFonts w:ascii="Garamond" w:hAnsi="Garamond" w:cs="Times New Roman"/>
          <w:i/>
          <w:iCs/>
          <w:noProof/>
          <w:sz w:val="24"/>
          <w:szCs w:val="24"/>
        </w:rPr>
        <w:t>Omega (United Kingdom)</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75</w:t>
      </w:r>
      <w:r w:rsidRPr="00055865">
        <w:rPr>
          <w:rFonts w:ascii="Garamond" w:hAnsi="Garamond" w:cs="Times New Roman"/>
          <w:noProof/>
          <w:sz w:val="24"/>
          <w:szCs w:val="24"/>
        </w:rPr>
        <w:t xml:space="preserve">, 131–138. </w:t>
      </w:r>
    </w:p>
    <w:p w14:paraId="674D185C"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Revell, A., &amp; Blackburn, R. (2007). The business case for sustainability? An examination of small firms in the UK’s construction and restaurant sectors. </w:t>
      </w:r>
      <w:r w:rsidRPr="00055865">
        <w:rPr>
          <w:rFonts w:ascii="Garamond" w:hAnsi="Garamond" w:cs="Times New Roman"/>
          <w:i/>
          <w:iCs/>
          <w:noProof/>
          <w:sz w:val="24"/>
          <w:szCs w:val="24"/>
        </w:rPr>
        <w:t>Business Strategy and the Environment</w:t>
      </w:r>
      <w:r w:rsidRPr="00055865">
        <w:rPr>
          <w:rFonts w:ascii="Garamond" w:hAnsi="Garamond" w:cs="Times New Roman"/>
          <w:noProof/>
          <w:sz w:val="24"/>
          <w:szCs w:val="24"/>
        </w:rPr>
        <w:t xml:space="preserve">. </w:t>
      </w:r>
    </w:p>
    <w:p w14:paraId="13AC6AA0"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Russo, V. M., &amp; Fouts, A. P. (1997). A resource-based perspective on corporate environmental performance and profitability, </w:t>
      </w:r>
      <w:r w:rsidRPr="00055865">
        <w:rPr>
          <w:rFonts w:ascii="Garamond" w:hAnsi="Garamond" w:cs="Times New Roman"/>
          <w:i/>
          <w:iCs/>
          <w:noProof/>
          <w:sz w:val="24"/>
          <w:szCs w:val="24"/>
        </w:rPr>
        <w:t>40</w:t>
      </w:r>
      <w:r w:rsidRPr="00055865">
        <w:rPr>
          <w:rFonts w:ascii="Garamond" w:hAnsi="Garamond" w:cs="Times New Roman"/>
          <w:noProof/>
          <w:sz w:val="24"/>
          <w:szCs w:val="24"/>
        </w:rPr>
        <w:t>(3), 534–559.</w:t>
      </w:r>
    </w:p>
    <w:p w14:paraId="58833080"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Sahu, S. K., &amp; Sharma, H. (2016). Determinants of Energy and Co2 Emission Intensities: a </w:t>
      </w:r>
      <w:r w:rsidRPr="00055865">
        <w:rPr>
          <w:rFonts w:ascii="Garamond" w:hAnsi="Garamond" w:cs="Times New Roman"/>
          <w:noProof/>
          <w:sz w:val="24"/>
          <w:szCs w:val="24"/>
        </w:rPr>
        <w:lastRenderedPageBreak/>
        <w:t xml:space="preserve">Study of Manufacturing Firms in India. </w:t>
      </w:r>
      <w:r w:rsidRPr="00055865">
        <w:rPr>
          <w:rFonts w:ascii="Garamond" w:hAnsi="Garamond" w:cs="Times New Roman"/>
          <w:i/>
          <w:iCs/>
          <w:noProof/>
          <w:sz w:val="24"/>
          <w:szCs w:val="24"/>
        </w:rPr>
        <w:t>Journal of Quantitative Economics</w:t>
      </w:r>
      <w:r w:rsidRPr="00055865">
        <w:rPr>
          <w:rFonts w:ascii="Garamond" w:hAnsi="Garamond" w:cs="Times New Roman"/>
          <w:noProof/>
          <w:sz w:val="24"/>
          <w:szCs w:val="24"/>
        </w:rPr>
        <w:t xml:space="preserve">, (August). </w:t>
      </w:r>
    </w:p>
    <w:p w14:paraId="3BE87711"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Sarkis, J., &amp; Cordeiro, J. J. (2001). An empirical evaluation of environmental e </w:t>
      </w:r>
      <w:r w:rsidRPr="00055865">
        <w:rPr>
          <w:rFonts w:ascii="Garamond" w:hAnsi="Garamond" w:cs="Garamond"/>
          <w:noProof/>
          <w:sz w:val="24"/>
          <w:szCs w:val="24"/>
        </w:rPr>
        <w:t></w:t>
      </w:r>
      <w:r w:rsidRPr="00055865">
        <w:rPr>
          <w:rFonts w:ascii="Garamond" w:hAnsi="Garamond" w:cs="Times New Roman"/>
          <w:noProof/>
          <w:sz w:val="24"/>
          <w:szCs w:val="24"/>
        </w:rPr>
        <w:t xml:space="preserve"> ciencies and firm performance</w:t>
      </w:r>
      <w:r w:rsidRPr="00055865">
        <w:rPr>
          <w:rFonts w:ascii="Times New Roman" w:hAnsi="Times New Roman" w:cs="Times New Roman"/>
          <w:noProof/>
          <w:sz w:val="24"/>
          <w:szCs w:val="24"/>
        </w:rPr>
        <w:t> </w:t>
      </w:r>
      <w:r w:rsidRPr="00055865">
        <w:rPr>
          <w:rFonts w:ascii="Garamond" w:hAnsi="Garamond" w:cs="Times New Roman"/>
          <w:noProof/>
          <w:sz w:val="24"/>
          <w:szCs w:val="24"/>
        </w:rPr>
        <w:t xml:space="preserve">: Pollution prevention versus end-of-pipe practice q. </w:t>
      </w:r>
      <w:r w:rsidRPr="00055865">
        <w:rPr>
          <w:rFonts w:ascii="Garamond" w:hAnsi="Garamond" w:cs="Times New Roman"/>
          <w:i/>
          <w:iCs/>
          <w:noProof/>
          <w:sz w:val="24"/>
          <w:szCs w:val="24"/>
        </w:rPr>
        <w:t>European Journal of Operational Research</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135</w:t>
      </w:r>
      <w:r w:rsidRPr="00055865">
        <w:rPr>
          <w:rFonts w:ascii="Garamond" w:hAnsi="Garamond" w:cs="Times New Roman"/>
          <w:noProof/>
          <w:sz w:val="24"/>
          <w:szCs w:val="24"/>
        </w:rPr>
        <w:t xml:space="preserve">, 102–113. </w:t>
      </w:r>
    </w:p>
    <w:p w14:paraId="5932B9BE" w14:textId="77777777" w:rsidR="00A34320"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Shakir, R. (2008). Board Size, Board Composition and Property Firm Performance. </w:t>
      </w:r>
      <w:r w:rsidRPr="00055865">
        <w:rPr>
          <w:rFonts w:ascii="Garamond" w:hAnsi="Garamond" w:cs="Times New Roman"/>
          <w:i/>
          <w:iCs/>
          <w:noProof/>
          <w:sz w:val="24"/>
          <w:szCs w:val="24"/>
        </w:rPr>
        <w:t>Pacific Rim Property Research Journal</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14</w:t>
      </w:r>
      <w:r w:rsidRPr="00055865">
        <w:rPr>
          <w:rFonts w:ascii="Garamond" w:hAnsi="Garamond" w:cs="Times New Roman"/>
          <w:noProof/>
          <w:sz w:val="24"/>
          <w:szCs w:val="24"/>
        </w:rPr>
        <w:t>(1), 1–16.</w:t>
      </w:r>
    </w:p>
    <w:p w14:paraId="0080E12C" w14:textId="77777777" w:rsidR="008E610A" w:rsidRPr="00055865" w:rsidRDefault="00A34320"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Strandberg, C, &amp; Robinson, A. (2009). Small and Medium-sized Environmetal Road Map. Available at: </w:t>
      </w:r>
      <w:hyperlink r:id="rId15" w:history="1">
        <w:r w:rsidRPr="00055865">
          <w:rPr>
            <w:rFonts w:ascii="Garamond" w:hAnsi="Garamond"/>
            <w:sz w:val="24"/>
            <w:szCs w:val="24"/>
            <w:u w:val="single"/>
          </w:rPr>
          <w:t>https://corostrandberg.com/wp-content/uploads/2009/12/small-medium-sized-business-environmental-roadmap.pdf</w:t>
        </w:r>
      </w:hyperlink>
      <w:r w:rsidRPr="00055865">
        <w:rPr>
          <w:rFonts w:ascii="Garamond" w:hAnsi="Garamond"/>
          <w:sz w:val="24"/>
          <w:szCs w:val="24"/>
        </w:rPr>
        <w:t>. Accessed on 26/03/2020.</w:t>
      </w:r>
    </w:p>
    <w:p w14:paraId="3928C1B0" w14:textId="0902EA27" w:rsidR="008E610A" w:rsidRPr="00055865" w:rsidRDefault="008E610A"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Smale, R., Hartley, M., Hepburn, C., Ward, J., and Grubb, M. (2006). The impact of emissions</w:t>
      </w:r>
      <w:r w:rsidRPr="00055865">
        <w:rPr>
          <w:rFonts w:ascii="Garamond" w:hAnsi="Garamond" w:cs="Times New Roman"/>
          <w:noProof/>
          <w:sz w:val="24"/>
          <w:szCs w:val="24"/>
        </w:rPr>
        <w:tab/>
        <w:t xml:space="preserve">trading on firm profits and market prices. </w:t>
      </w:r>
      <w:r w:rsidRPr="00055865">
        <w:rPr>
          <w:rFonts w:ascii="Garamond" w:hAnsi="Garamond" w:cs="Times New Roman"/>
          <w:i/>
          <w:iCs/>
          <w:noProof/>
          <w:sz w:val="24"/>
          <w:szCs w:val="24"/>
        </w:rPr>
        <w:t>Climate Policy, 6</w:t>
      </w:r>
      <w:r w:rsidRPr="00055865">
        <w:rPr>
          <w:rFonts w:ascii="Garamond" w:hAnsi="Garamond" w:cs="Times New Roman"/>
          <w:noProof/>
          <w:sz w:val="24"/>
          <w:szCs w:val="24"/>
        </w:rPr>
        <w:t xml:space="preserve"> (1), 31–48</w:t>
      </w:r>
    </w:p>
    <w:p w14:paraId="296F3C0B" w14:textId="6B4B0C6E"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Sroufe, R. (2003). Effects of Environmental Management Systems on Environmental Management Practices and Operations. </w:t>
      </w:r>
      <w:r w:rsidRPr="00055865">
        <w:rPr>
          <w:rFonts w:ascii="Garamond" w:hAnsi="Garamond" w:cs="Times New Roman"/>
          <w:i/>
          <w:iCs/>
          <w:noProof/>
          <w:sz w:val="24"/>
          <w:szCs w:val="24"/>
        </w:rPr>
        <w:t>Production and Operations Management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12</w:t>
      </w:r>
      <w:r w:rsidRPr="00055865">
        <w:rPr>
          <w:rFonts w:ascii="Garamond" w:hAnsi="Garamond" w:cs="Times New Roman"/>
          <w:noProof/>
          <w:sz w:val="24"/>
          <w:szCs w:val="24"/>
        </w:rPr>
        <w:t xml:space="preserve">(3), 416–431. </w:t>
      </w:r>
    </w:p>
    <w:p w14:paraId="2B5F39DB"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Testa, F., Boiral, O., &amp; Iraldo, F. (2015). Internalization of Environmental Practices and Institutional Complexity: Can Stakeholders Pressures Encourage Greenwashing? </w:t>
      </w:r>
      <w:r w:rsidRPr="00055865">
        <w:rPr>
          <w:rFonts w:ascii="Garamond" w:hAnsi="Garamond" w:cs="Times New Roman"/>
          <w:i/>
          <w:iCs/>
          <w:noProof/>
          <w:sz w:val="24"/>
          <w:szCs w:val="24"/>
        </w:rPr>
        <w:t>Journal of Business Ethics</w:t>
      </w:r>
      <w:r w:rsidRPr="00055865">
        <w:rPr>
          <w:rFonts w:ascii="Garamond" w:hAnsi="Garamond" w:cs="Times New Roman"/>
          <w:noProof/>
          <w:sz w:val="24"/>
          <w:szCs w:val="24"/>
        </w:rPr>
        <w:t>, pp. 1–21.</w:t>
      </w:r>
    </w:p>
    <w:p w14:paraId="7F3B4173"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Trianni, A., Cagno, E., &amp; Farnè, S. (2014). An empirical investigation of barriers, drivers and practices for energy efficiency in primary metals manufacturing SMEs. </w:t>
      </w:r>
      <w:r w:rsidRPr="00055865">
        <w:rPr>
          <w:rFonts w:ascii="Garamond" w:hAnsi="Garamond" w:cs="Times New Roman"/>
          <w:i/>
          <w:iCs/>
          <w:noProof/>
          <w:sz w:val="24"/>
          <w:szCs w:val="24"/>
        </w:rPr>
        <w:t>Energy Procedia</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61</w:t>
      </w:r>
      <w:r w:rsidRPr="00055865">
        <w:rPr>
          <w:rFonts w:ascii="Garamond" w:hAnsi="Garamond" w:cs="Times New Roman"/>
          <w:noProof/>
          <w:sz w:val="24"/>
          <w:szCs w:val="24"/>
        </w:rPr>
        <w:t xml:space="preserve">, 1252–1255. </w:t>
      </w:r>
    </w:p>
    <w:p w14:paraId="1F4AD024"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Trumpp, C., &amp; Guenther, T. (2017). Too Little or too much? Exploring U-shaped Relationships between Corporate Environmental Performance and Corporate Financial Performance. </w:t>
      </w:r>
      <w:r w:rsidRPr="00055865">
        <w:rPr>
          <w:rFonts w:ascii="Garamond" w:hAnsi="Garamond" w:cs="Times New Roman"/>
          <w:i/>
          <w:iCs/>
          <w:noProof/>
          <w:sz w:val="24"/>
          <w:szCs w:val="24"/>
        </w:rPr>
        <w:t>Business Strategy and the Environment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26</w:t>
      </w:r>
      <w:r w:rsidRPr="00055865">
        <w:rPr>
          <w:rFonts w:ascii="Garamond" w:hAnsi="Garamond" w:cs="Times New Roman"/>
          <w:noProof/>
          <w:sz w:val="24"/>
          <w:szCs w:val="24"/>
        </w:rPr>
        <w:t xml:space="preserve">(1), 49–68. </w:t>
      </w:r>
    </w:p>
    <w:p w14:paraId="141FB632"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US Department of Energy. (2015). Energy Efficiency and Financial Performance: A Review in the Markets. Waypoint Building Group.</w:t>
      </w:r>
    </w:p>
    <w:p w14:paraId="1F9D49B9"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Vijfvinkel, S., Bouman, N., &amp; Hessels, J. (2011). Environmental sustainability and financial performance of SMEs. </w:t>
      </w:r>
      <w:r w:rsidRPr="00055865">
        <w:rPr>
          <w:rFonts w:ascii="Garamond" w:hAnsi="Garamond" w:cs="Times New Roman"/>
          <w:i/>
          <w:iCs/>
          <w:noProof/>
          <w:sz w:val="24"/>
          <w:szCs w:val="24"/>
        </w:rPr>
        <w:t>Analysis</w:t>
      </w:r>
      <w:r w:rsidRPr="00055865">
        <w:rPr>
          <w:rFonts w:ascii="Garamond" w:hAnsi="Garamond" w:cs="Times New Roman"/>
          <w:noProof/>
          <w:sz w:val="24"/>
          <w:szCs w:val="24"/>
        </w:rPr>
        <w:t>, (January).</w:t>
      </w:r>
    </w:p>
    <w:p w14:paraId="70220277"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lastRenderedPageBreak/>
        <w:t xml:space="preserve">Walker, J. (2010). The use of performance-based remuneration: High versus low-growth firms. </w:t>
      </w:r>
      <w:r w:rsidRPr="00055865">
        <w:rPr>
          <w:rFonts w:ascii="Garamond" w:hAnsi="Garamond" w:cs="Times New Roman"/>
          <w:i/>
          <w:iCs/>
          <w:noProof/>
          <w:sz w:val="24"/>
          <w:szCs w:val="24"/>
        </w:rPr>
        <w:t>Australian Accounting Review</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20</w:t>
      </w:r>
      <w:r w:rsidRPr="00055865">
        <w:rPr>
          <w:rFonts w:ascii="Garamond" w:hAnsi="Garamond" w:cs="Times New Roman"/>
          <w:noProof/>
          <w:sz w:val="24"/>
          <w:szCs w:val="24"/>
        </w:rPr>
        <w:t>(3), 256–264.</w:t>
      </w:r>
    </w:p>
    <w:p w14:paraId="63C57B46"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Woo, C., Chung, Y., Chun, D., &amp; Seo, H. (2014). Exploring the Impact of Complementary Assets on the Environmental Performance in Manufacturing SMEs. </w:t>
      </w:r>
      <w:r w:rsidRPr="00055865">
        <w:rPr>
          <w:rFonts w:ascii="Garamond" w:hAnsi="Garamond" w:cs="Times New Roman"/>
          <w:i/>
          <w:iCs/>
          <w:noProof/>
          <w:sz w:val="24"/>
          <w:szCs w:val="24"/>
        </w:rPr>
        <w:t>Sustainability</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6</w:t>
      </w:r>
      <w:r w:rsidRPr="00055865">
        <w:rPr>
          <w:rFonts w:ascii="Garamond" w:hAnsi="Garamond" w:cs="Times New Roman"/>
          <w:noProof/>
          <w:sz w:val="24"/>
          <w:szCs w:val="24"/>
        </w:rPr>
        <w:t xml:space="preserve">(10), 7412–7432. </w:t>
      </w:r>
    </w:p>
    <w:p w14:paraId="2A1729F0"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Wooldridge, J. M. (2010). Econometric Analysis of Cross Section and Panel Data. </w:t>
      </w:r>
      <w:r w:rsidRPr="00055865">
        <w:rPr>
          <w:rFonts w:ascii="Garamond" w:hAnsi="Garamond" w:cs="Times New Roman"/>
          <w:i/>
          <w:iCs/>
          <w:noProof/>
          <w:sz w:val="24"/>
          <w:szCs w:val="24"/>
        </w:rPr>
        <w:t>MIT Press</w:t>
      </w:r>
      <w:r w:rsidRPr="00055865">
        <w:rPr>
          <w:rFonts w:ascii="Garamond" w:hAnsi="Garamond" w:cs="Times New Roman"/>
          <w:noProof/>
          <w:sz w:val="24"/>
          <w:szCs w:val="24"/>
        </w:rPr>
        <w:t>. https://doi.org/10.1515/humr.2003.021</w:t>
      </w:r>
    </w:p>
    <w:p w14:paraId="55B0992E"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Zaman, A. U., &amp; Lehmann, S. (2013). The zero waste index: A performance measurement tool for waste management systems in a “zero waste city.” </w:t>
      </w:r>
      <w:r w:rsidRPr="00055865">
        <w:rPr>
          <w:rFonts w:ascii="Garamond" w:hAnsi="Garamond" w:cs="Times New Roman"/>
          <w:i/>
          <w:iCs/>
          <w:noProof/>
          <w:sz w:val="24"/>
          <w:szCs w:val="24"/>
        </w:rPr>
        <w:t>Journal of Cleaner Production</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50</w:t>
      </w:r>
      <w:r w:rsidRPr="00055865">
        <w:rPr>
          <w:rFonts w:ascii="Garamond" w:hAnsi="Garamond" w:cs="Times New Roman"/>
          <w:noProof/>
          <w:sz w:val="24"/>
          <w:szCs w:val="24"/>
        </w:rPr>
        <w:t xml:space="preserve">, 123–132. </w:t>
      </w:r>
    </w:p>
    <w:p w14:paraId="72F14E01"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cs="Times New Roman"/>
          <w:noProof/>
          <w:sz w:val="24"/>
          <w:szCs w:val="24"/>
        </w:rPr>
      </w:pPr>
      <w:r w:rsidRPr="00055865">
        <w:rPr>
          <w:rFonts w:ascii="Garamond" w:hAnsi="Garamond" w:cs="Times New Roman"/>
          <w:noProof/>
          <w:sz w:val="24"/>
          <w:szCs w:val="24"/>
        </w:rPr>
        <w:t xml:space="preserve">Zéghal, D., &amp; Ahmed, S. A. (1990). Comparison of social responsibility information disclosure media used by Canadian firms. </w:t>
      </w:r>
      <w:r w:rsidRPr="00055865">
        <w:rPr>
          <w:rFonts w:ascii="Garamond" w:hAnsi="Garamond" w:cs="Times New Roman"/>
          <w:i/>
          <w:iCs/>
          <w:noProof/>
          <w:sz w:val="24"/>
          <w:szCs w:val="24"/>
        </w:rPr>
        <w:t>Accounting, Auditing &amp; Accountability Journal</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3</w:t>
      </w:r>
      <w:r w:rsidRPr="00055865">
        <w:rPr>
          <w:rFonts w:ascii="Garamond" w:hAnsi="Garamond" w:cs="Times New Roman"/>
          <w:noProof/>
          <w:sz w:val="24"/>
          <w:szCs w:val="24"/>
        </w:rPr>
        <w:t xml:space="preserve">(1), 38–53. </w:t>
      </w:r>
    </w:p>
    <w:p w14:paraId="2E4A6377" w14:textId="77777777" w:rsidR="00E20DB1" w:rsidRPr="00055865" w:rsidRDefault="00E20DB1" w:rsidP="005D6CE4">
      <w:pPr>
        <w:widowControl w:val="0"/>
        <w:autoSpaceDE w:val="0"/>
        <w:autoSpaceDN w:val="0"/>
        <w:adjustRightInd w:val="0"/>
        <w:spacing w:after="0" w:line="480" w:lineRule="auto"/>
        <w:ind w:left="480" w:hanging="480"/>
        <w:rPr>
          <w:rFonts w:ascii="Garamond" w:hAnsi="Garamond"/>
          <w:noProof/>
          <w:sz w:val="24"/>
          <w:szCs w:val="24"/>
        </w:rPr>
      </w:pPr>
      <w:r w:rsidRPr="00055865">
        <w:rPr>
          <w:rFonts w:ascii="Garamond" w:hAnsi="Garamond" w:cs="Times New Roman"/>
          <w:noProof/>
          <w:sz w:val="24"/>
          <w:szCs w:val="24"/>
        </w:rPr>
        <w:t xml:space="preserve">Zhu, Q., Sarkis, J., Lai, K., &amp; Geng, Y. (2008). The Role of Organizational Size in the Adoption of Green Supply Chain Management Practices. </w:t>
      </w:r>
      <w:r w:rsidRPr="00055865">
        <w:rPr>
          <w:rFonts w:ascii="Garamond" w:hAnsi="Garamond" w:cs="Times New Roman"/>
          <w:i/>
          <w:iCs/>
          <w:noProof/>
          <w:sz w:val="24"/>
          <w:szCs w:val="24"/>
        </w:rPr>
        <w:t>Corporate Social Responsibility and Environmental Management</w:t>
      </w:r>
      <w:r w:rsidRPr="00055865">
        <w:rPr>
          <w:rFonts w:ascii="Garamond" w:hAnsi="Garamond" w:cs="Times New Roman"/>
          <w:noProof/>
          <w:sz w:val="24"/>
          <w:szCs w:val="24"/>
        </w:rPr>
        <w:t xml:space="preserve">, </w:t>
      </w:r>
      <w:r w:rsidRPr="00055865">
        <w:rPr>
          <w:rFonts w:ascii="Garamond" w:hAnsi="Garamond" w:cs="Times New Roman"/>
          <w:i/>
          <w:iCs/>
          <w:noProof/>
          <w:sz w:val="24"/>
          <w:szCs w:val="24"/>
        </w:rPr>
        <w:t>337</w:t>
      </w:r>
      <w:r w:rsidRPr="00055865">
        <w:rPr>
          <w:rFonts w:ascii="Garamond" w:hAnsi="Garamond" w:cs="Times New Roman"/>
          <w:noProof/>
          <w:sz w:val="24"/>
          <w:szCs w:val="24"/>
        </w:rPr>
        <w:t xml:space="preserve">(6), 322–337. </w:t>
      </w:r>
    </w:p>
    <w:p w14:paraId="4C5EC6B5" w14:textId="26CF1978" w:rsidR="00C3429E" w:rsidRPr="00055865" w:rsidRDefault="00E20DB1" w:rsidP="005D6CE4">
      <w:pPr>
        <w:tabs>
          <w:tab w:val="left" w:pos="2550"/>
        </w:tabs>
        <w:spacing w:after="0" w:line="480" w:lineRule="auto"/>
        <w:ind w:hanging="720"/>
        <w:contextualSpacing/>
        <w:jc w:val="both"/>
        <w:rPr>
          <w:rFonts w:ascii="Garamond" w:hAnsi="Garamond"/>
          <w:b/>
          <w:sz w:val="24"/>
          <w:szCs w:val="24"/>
          <w:lang w:val="en-US"/>
        </w:rPr>
        <w:sectPr w:rsidR="00C3429E" w:rsidRPr="00055865" w:rsidSect="0060274A">
          <w:pgSz w:w="11906" w:h="16838" w:code="9"/>
          <w:pgMar w:top="1440" w:right="1440" w:bottom="1440" w:left="1440" w:header="708" w:footer="708" w:gutter="0"/>
          <w:cols w:space="708"/>
          <w:docGrid w:linePitch="360"/>
        </w:sectPr>
      </w:pPr>
      <w:r w:rsidRPr="00055865">
        <w:rPr>
          <w:rFonts w:ascii="Garamond" w:hAnsi="Garamond"/>
          <w:sz w:val="24"/>
          <w:szCs w:val="24"/>
          <w:lang w:val="en-US"/>
        </w:rPr>
        <w:fldChar w:fldCharType="end"/>
      </w:r>
    </w:p>
    <w:p w14:paraId="6AF9E591" w14:textId="77777777" w:rsidR="00C3429E" w:rsidRPr="00055865" w:rsidRDefault="00C3429E" w:rsidP="005D6CE4">
      <w:pPr>
        <w:tabs>
          <w:tab w:val="left" w:pos="222"/>
        </w:tabs>
        <w:spacing w:after="0" w:line="480" w:lineRule="auto"/>
        <w:contextualSpacing/>
        <w:jc w:val="both"/>
        <w:rPr>
          <w:rFonts w:ascii="Garamond" w:hAnsi="Garamond"/>
          <w:b/>
          <w:sz w:val="20"/>
          <w:szCs w:val="20"/>
        </w:rPr>
      </w:pPr>
      <w:r w:rsidRPr="00055865">
        <w:rPr>
          <w:rFonts w:ascii="Garamond" w:hAnsi="Garamond"/>
          <w:b/>
          <w:sz w:val="20"/>
          <w:szCs w:val="20"/>
        </w:rPr>
        <w:lastRenderedPageBreak/>
        <w:t>Appendix</w:t>
      </w:r>
    </w:p>
    <w:p w14:paraId="0FE8E763" w14:textId="34CAF981" w:rsidR="00C3429E" w:rsidRPr="00055865" w:rsidRDefault="00C3429E" w:rsidP="005D6CE4">
      <w:pPr>
        <w:pStyle w:val="Caption"/>
        <w:keepNext/>
        <w:spacing w:after="0" w:line="480" w:lineRule="auto"/>
        <w:contextualSpacing/>
        <w:jc w:val="both"/>
        <w:rPr>
          <w:rFonts w:ascii="Garamond" w:hAnsi="Garamond"/>
          <w:b/>
          <w:color w:val="auto"/>
          <w:sz w:val="24"/>
          <w:szCs w:val="24"/>
        </w:rPr>
      </w:pPr>
      <w:bookmarkStart w:id="12" w:name="_Toc519584464"/>
      <w:r w:rsidRPr="00055865">
        <w:rPr>
          <w:rFonts w:ascii="Garamond" w:hAnsi="Garamond"/>
          <w:b/>
          <w:color w:val="auto"/>
          <w:sz w:val="24"/>
          <w:szCs w:val="24"/>
        </w:rPr>
        <w:t xml:space="preserve">Summary </w:t>
      </w:r>
      <w:r w:rsidR="00C04A23" w:rsidRPr="00055865">
        <w:rPr>
          <w:rFonts w:ascii="Garamond" w:hAnsi="Garamond"/>
          <w:b/>
          <w:color w:val="auto"/>
          <w:sz w:val="24"/>
          <w:szCs w:val="24"/>
        </w:rPr>
        <w:t>of Sustainable Environmental</w:t>
      </w:r>
      <w:r w:rsidRPr="00055865">
        <w:rPr>
          <w:rFonts w:ascii="Garamond" w:hAnsi="Garamond"/>
          <w:b/>
          <w:color w:val="auto"/>
          <w:sz w:val="24"/>
          <w:szCs w:val="24"/>
        </w:rPr>
        <w:t xml:space="preserve"> Practices for one AIM</w:t>
      </w:r>
      <w:r w:rsidR="00C04A23" w:rsidRPr="00055865">
        <w:rPr>
          <w:rFonts w:ascii="Garamond" w:hAnsi="Garamond"/>
          <w:b/>
          <w:color w:val="auto"/>
          <w:sz w:val="24"/>
          <w:szCs w:val="24"/>
        </w:rPr>
        <w:t>-</w:t>
      </w:r>
      <w:r w:rsidRPr="00055865">
        <w:rPr>
          <w:rFonts w:ascii="Garamond" w:hAnsi="Garamond"/>
          <w:b/>
          <w:color w:val="auto"/>
          <w:sz w:val="24"/>
          <w:szCs w:val="24"/>
        </w:rPr>
        <w:t>listed firm</w:t>
      </w:r>
      <w:bookmarkEnd w:id="12"/>
    </w:p>
    <w:tbl>
      <w:tblPr>
        <w:tblW w:w="10314" w:type="dxa"/>
        <w:tblLook w:val="04A0" w:firstRow="1" w:lastRow="0" w:firstColumn="1" w:lastColumn="0" w:noHBand="0" w:noVBand="1"/>
      </w:tblPr>
      <w:tblGrid>
        <w:gridCol w:w="3663"/>
        <w:gridCol w:w="663"/>
        <w:gridCol w:w="663"/>
        <w:gridCol w:w="663"/>
        <w:gridCol w:w="663"/>
        <w:gridCol w:w="663"/>
        <w:gridCol w:w="663"/>
        <w:gridCol w:w="2673"/>
      </w:tblGrid>
      <w:tr w:rsidR="00C3429E" w:rsidRPr="00055865" w14:paraId="0A549346" w14:textId="77777777" w:rsidTr="00A424E3">
        <w:trPr>
          <w:trHeight w:val="300"/>
        </w:trPr>
        <w:tc>
          <w:tcPr>
            <w:tcW w:w="3663" w:type="dxa"/>
            <w:tcBorders>
              <w:top w:val="nil"/>
              <w:left w:val="nil"/>
              <w:bottom w:val="nil"/>
              <w:right w:val="nil"/>
            </w:tcBorders>
            <w:shd w:val="clear" w:color="auto" w:fill="auto"/>
            <w:noWrap/>
            <w:vAlign w:val="bottom"/>
            <w:hideMark/>
          </w:tcPr>
          <w:p w14:paraId="7501703E" w14:textId="77777777" w:rsidR="00C3429E" w:rsidRPr="00055865" w:rsidRDefault="00C3429E" w:rsidP="005D6CE4">
            <w:pPr>
              <w:spacing w:after="0" w:line="480" w:lineRule="auto"/>
              <w:contextualSpacing/>
              <w:rPr>
                <w:rFonts w:ascii="Garamond" w:eastAsia="Times New Roman" w:hAnsi="Garamond" w:cs="Calibri"/>
                <w:b/>
                <w:bCs/>
                <w:lang w:eastAsia="en-GB"/>
              </w:rPr>
            </w:pPr>
            <w:r w:rsidRPr="00055865">
              <w:rPr>
                <w:rFonts w:ascii="Garamond" w:eastAsia="Times New Roman" w:hAnsi="Garamond" w:cs="Calibri"/>
                <w:b/>
                <w:bCs/>
                <w:lang w:eastAsia="en-GB"/>
              </w:rPr>
              <w:t>Company: 600 Group</w:t>
            </w:r>
          </w:p>
        </w:tc>
        <w:tc>
          <w:tcPr>
            <w:tcW w:w="663" w:type="dxa"/>
            <w:tcBorders>
              <w:top w:val="nil"/>
              <w:left w:val="nil"/>
              <w:bottom w:val="nil"/>
              <w:right w:val="nil"/>
            </w:tcBorders>
            <w:shd w:val="clear" w:color="auto" w:fill="auto"/>
            <w:noWrap/>
            <w:vAlign w:val="bottom"/>
            <w:hideMark/>
          </w:tcPr>
          <w:p w14:paraId="533BEBF7" w14:textId="77777777" w:rsidR="00C3429E" w:rsidRPr="00055865" w:rsidRDefault="00C3429E" w:rsidP="005D6CE4">
            <w:pPr>
              <w:spacing w:after="0" w:line="480" w:lineRule="auto"/>
              <w:contextualSpacing/>
              <w:rPr>
                <w:rFonts w:ascii="Garamond" w:eastAsia="Times New Roman" w:hAnsi="Garamond" w:cs="Calibri"/>
                <w:b/>
                <w:bCs/>
                <w:lang w:eastAsia="en-GB"/>
              </w:rPr>
            </w:pPr>
          </w:p>
        </w:tc>
        <w:tc>
          <w:tcPr>
            <w:tcW w:w="663" w:type="dxa"/>
            <w:tcBorders>
              <w:top w:val="nil"/>
              <w:left w:val="nil"/>
              <w:bottom w:val="nil"/>
              <w:right w:val="nil"/>
            </w:tcBorders>
            <w:shd w:val="clear" w:color="auto" w:fill="auto"/>
            <w:noWrap/>
            <w:vAlign w:val="bottom"/>
            <w:hideMark/>
          </w:tcPr>
          <w:p w14:paraId="3CD83CDF"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4EA3FE31"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045B8D13"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473FBB43"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72FFDD5E"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5CDC4BCB"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r>
      <w:tr w:rsidR="00C3429E" w:rsidRPr="00055865" w14:paraId="6556AF19" w14:textId="77777777" w:rsidTr="00A424E3">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2A6D0" w14:textId="77777777" w:rsidR="00C3429E" w:rsidRPr="00055865" w:rsidRDefault="00C3429E" w:rsidP="005D6CE4">
            <w:pPr>
              <w:spacing w:after="0" w:line="480" w:lineRule="auto"/>
              <w:contextualSpacing/>
              <w:rPr>
                <w:rFonts w:ascii="Garamond" w:eastAsia="Times New Roman" w:hAnsi="Garamond" w:cs="Calibri"/>
                <w:b/>
                <w:bCs/>
                <w:lang w:eastAsia="en-GB"/>
              </w:rPr>
            </w:pPr>
            <w:r w:rsidRPr="00055865">
              <w:rPr>
                <w:rFonts w:ascii="Garamond" w:eastAsia="Times New Roman" w:hAnsi="Garamond" w:cs="Calibri"/>
                <w:b/>
                <w:bCs/>
                <w:lang w:eastAsia="en-GB"/>
              </w:rPr>
              <w:t>Case ID: 1 Size: Large Company</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FE67738"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7786A45"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191CB7C"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1381589"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F9EF92A"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0C9BCA4"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2656A723"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Notes/Page No</w:t>
            </w:r>
          </w:p>
        </w:tc>
      </w:tr>
      <w:tr w:rsidR="00C3429E" w:rsidRPr="00055865" w14:paraId="2D0EC1F7"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49883390" w14:textId="77777777" w:rsidR="00C3429E" w:rsidRPr="00055865" w:rsidRDefault="00C3429E" w:rsidP="005D6CE4">
            <w:pPr>
              <w:spacing w:after="0" w:line="480" w:lineRule="auto"/>
              <w:contextualSpacing/>
              <w:rPr>
                <w:rFonts w:ascii="Garamond" w:eastAsia="Times New Roman" w:hAnsi="Garamond" w:cs="Calibri"/>
                <w:b/>
                <w:bCs/>
                <w:lang w:eastAsia="en-GB"/>
              </w:rPr>
            </w:pPr>
            <w:r w:rsidRPr="00055865">
              <w:rPr>
                <w:rFonts w:ascii="Garamond" w:eastAsia="Times New Roman" w:hAnsi="Garamond" w:cs="Calibri"/>
                <w:b/>
                <w:bCs/>
                <w:lang w:eastAsia="en-GB"/>
              </w:rPr>
              <w:t>Energy Efficiency Measures (Energy)</w:t>
            </w:r>
          </w:p>
        </w:tc>
        <w:tc>
          <w:tcPr>
            <w:tcW w:w="663" w:type="dxa"/>
            <w:tcBorders>
              <w:top w:val="nil"/>
              <w:left w:val="nil"/>
              <w:bottom w:val="single" w:sz="4" w:space="0" w:color="auto"/>
              <w:right w:val="single" w:sz="4" w:space="0" w:color="auto"/>
            </w:tcBorders>
            <w:shd w:val="clear" w:color="auto" w:fill="auto"/>
            <w:noWrap/>
            <w:vAlign w:val="bottom"/>
            <w:hideMark/>
          </w:tcPr>
          <w:p w14:paraId="092F0138"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B4E7604"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3C126BE4"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29C1EE29"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0FDA56B1"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63C75D4"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18812254"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06155646"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2A33E537"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Reduction in energy use/savings</w:t>
            </w:r>
          </w:p>
        </w:tc>
        <w:tc>
          <w:tcPr>
            <w:tcW w:w="663" w:type="dxa"/>
            <w:tcBorders>
              <w:top w:val="nil"/>
              <w:left w:val="nil"/>
              <w:bottom w:val="single" w:sz="4" w:space="0" w:color="auto"/>
              <w:right w:val="single" w:sz="4" w:space="0" w:color="auto"/>
            </w:tcBorders>
            <w:shd w:val="clear" w:color="auto" w:fill="auto"/>
            <w:vAlign w:val="bottom"/>
            <w:hideMark/>
          </w:tcPr>
          <w:p w14:paraId="23ED4992"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612C30AA"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7753E6A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68C4D9BA"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62E1A9FB"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0642F43A"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vAlign w:val="bottom"/>
            <w:hideMark/>
          </w:tcPr>
          <w:p w14:paraId="51A01A14"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34E8DC35" w14:textId="77777777" w:rsidTr="00A424E3">
        <w:trPr>
          <w:trHeight w:val="57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7B9B6935"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Cost savings in energy use (Gas and electricity)</w:t>
            </w:r>
          </w:p>
        </w:tc>
        <w:tc>
          <w:tcPr>
            <w:tcW w:w="663" w:type="dxa"/>
            <w:tcBorders>
              <w:top w:val="nil"/>
              <w:left w:val="nil"/>
              <w:bottom w:val="single" w:sz="4" w:space="0" w:color="auto"/>
              <w:right w:val="single" w:sz="4" w:space="0" w:color="auto"/>
            </w:tcBorders>
            <w:shd w:val="clear" w:color="auto" w:fill="auto"/>
            <w:vAlign w:val="bottom"/>
            <w:hideMark/>
          </w:tcPr>
          <w:p w14:paraId="142015C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2DF0797E"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7D719676"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09A615D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43A0C56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09C0DFC6"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vAlign w:val="bottom"/>
            <w:hideMark/>
          </w:tcPr>
          <w:p w14:paraId="475577FC"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746403C7" w14:textId="77777777" w:rsidTr="00A424E3">
        <w:trPr>
          <w:trHeight w:val="57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6454B90A"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Fuel savings for using light weight cars and plants</w:t>
            </w:r>
          </w:p>
        </w:tc>
        <w:tc>
          <w:tcPr>
            <w:tcW w:w="663" w:type="dxa"/>
            <w:tcBorders>
              <w:top w:val="nil"/>
              <w:left w:val="nil"/>
              <w:bottom w:val="single" w:sz="4" w:space="0" w:color="auto"/>
              <w:right w:val="single" w:sz="4" w:space="0" w:color="auto"/>
            </w:tcBorders>
            <w:shd w:val="clear" w:color="auto" w:fill="auto"/>
            <w:vAlign w:val="bottom"/>
            <w:hideMark/>
          </w:tcPr>
          <w:p w14:paraId="214BA20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6D93C7D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5967B45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7A7E510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5AF7A18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68FCC18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vAlign w:val="bottom"/>
            <w:hideMark/>
          </w:tcPr>
          <w:p w14:paraId="43998A86"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59EB6C51" w14:textId="77777777" w:rsidTr="00A424E3">
        <w:trPr>
          <w:trHeight w:val="57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3BF1E5F9"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Efficient use of energy/energy saving devices</w:t>
            </w:r>
          </w:p>
        </w:tc>
        <w:tc>
          <w:tcPr>
            <w:tcW w:w="663" w:type="dxa"/>
            <w:tcBorders>
              <w:top w:val="nil"/>
              <w:left w:val="nil"/>
              <w:bottom w:val="single" w:sz="4" w:space="0" w:color="auto"/>
              <w:right w:val="single" w:sz="4" w:space="0" w:color="auto"/>
            </w:tcBorders>
            <w:shd w:val="clear" w:color="auto" w:fill="auto"/>
            <w:vAlign w:val="bottom"/>
            <w:hideMark/>
          </w:tcPr>
          <w:p w14:paraId="4A1064E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71FB33BA"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4CFC498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059E7E1E"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2C58FAD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6C9C284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vAlign w:val="bottom"/>
            <w:hideMark/>
          </w:tcPr>
          <w:p w14:paraId="3DC216A4"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0CFFE5A1" w14:textId="77777777" w:rsidTr="00A424E3">
        <w:trPr>
          <w:trHeight w:val="57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37A737FE"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Improved use of alternative energy/Others</w:t>
            </w:r>
          </w:p>
        </w:tc>
        <w:tc>
          <w:tcPr>
            <w:tcW w:w="663" w:type="dxa"/>
            <w:tcBorders>
              <w:top w:val="nil"/>
              <w:left w:val="nil"/>
              <w:bottom w:val="single" w:sz="4" w:space="0" w:color="auto"/>
              <w:right w:val="single" w:sz="4" w:space="0" w:color="auto"/>
            </w:tcBorders>
            <w:shd w:val="clear" w:color="auto" w:fill="auto"/>
            <w:vAlign w:val="bottom"/>
            <w:hideMark/>
          </w:tcPr>
          <w:p w14:paraId="251BD99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3876AF2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3C29267B"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11B61DF2"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12A7778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3DA21D4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vAlign w:val="bottom"/>
            <w:hideMark/>
          </w:tcPr>
          <w:p w14:paraId="0F49604B"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7F0CAAD9"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501916CC" w14:textId="77777777" w:rsidR="00C3429E" w:rsidRPr="00055865" w:rsidRDefault="00C3429E" w:rsidP="005D6CE4">
            <w:pPr>
              <w:spacing w:after="0" w:line="480" w:lineRule="auto"/>
              <w:contextualSpacing/>
              <w:rPr>
                <w:rFonts w:ascii="Garamond" w:eastAsia="Times New Roman" w:hAnsi="Garamond" w:cs="Arial"/>
                <w:b/>
                <w:bCs/>
                <w:lang w:eastAsia="en-GB"/>
              </w:rPr>
            </w:pPr>
            <w:r w:rsidRPr="00055865">
              <w:rPr>
                <w:rFonts w:ascii="Garamond" w:eastAsia="Times New Roman" w:hAnsi="Garamond" w:cs="Arial"/>
                <w:b/>
                <w:bCs/>
                <w:lang w:eastAsia="en-GB"/>
              </w:rPr>
              <w:t>Total</w:t>
            </w:r>
          </w:p>
        </w:tc>
        <w:tc>
          <w:tcPr>
            <w:tcW w:w="663" w:type="dxa"/>
            <w:tcBorders>
              <w:top w:val="nil"/>
              <w:left w:val="nil"/>
              <w:bottom w:val="single" w:sz="4" w:space="0" w:color="auto"/>
              <w:right w:val="single" w:sz="4" w:space="0" w:color="auto"/>
            </w:tcBorders>
            <w:shd w:val="clear" w:color="auto" w:fill="auto"/>
            <w:noWrap/>
            <w:vAlign w:val="bottom"/>
            <w:hideMark/>
          </w:tcPr>
          <w:p w14:paraId="6D8C6A9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EE33FC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F12DCC2"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1ABD70C"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8658F4C"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B372956"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7E3980BC"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55C38F70" w14:textId="77777777" w:rsidTr="00A424E3">
        <w:trPr>
          <w:trHeight w:val="300"/>
        </w:trPr>
        <w:tc>
          <w:tcPr>
            <w:tcW w:w="3663" w:type="dxa"/>
            <w:tcBorders>
              <w:top w:val="nil"/>
              <w:left w:val="nil"/>
              <w:bottom w:val="nil"/>
              <w:right w:val="nil"/>
            </w:tcBorders>
            <w:shd w:val="clear" w:color="auto" w:fill="auto"/>
            <w:noWrap/>
            <w:vAlign w:val="center"/>
            <w:hideMark/>
          </w:tcPr>
          <w:p w14:paraId="24033F18" w14:textId="77777777" w:rsidR="00C3429E" w:rsidRPr="00055865" w:rsidRDefault="00C3429E" w:rsidP="005D6CE4">
            <w:pPr>
              <w:spacing w:after="0" w:line="480" w:lineRule="auto"/>
              <w:contextualSpacing/>
              <w:rPr>
                <w:rFonts w:ascii="Garamond" w:eastAsia="Times New Roman" w:hAnsi="Garamond" w:cs="Calibri"/>
                <w:lang w:eastAsia="en-GB"/>
              </w:rPr>
            </w:pPr>
          </w:p>
        </w:tc>
        <w:tc>
          <w:tcPr>
            <w:tcW w:w="663" w:type="dxa"/>
            <w:tcBorders>
              <w:top w:val="nil"/>
              <w:left w:val="nil"/>
              <w:bottom w:val="nil"/>
              <w:right w:val="nil"/>
            </w:tcBorders>
            <w:shd w:val="clear" w:color="auto" w:fill="auto"/>
            <w:noWrap/>
            <w:vAlign w:val="bottom"/>
            <w:hideMark/>
          </w:tcPr>
          <w:p w14:paraId="2B9843BA"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0B6AFF67"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2D4DB2D"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5AE90F22"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39F677A0"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3F57FAA9"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2D37EE73"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r>
      <w:tr w:rsidR="00C3429E" w:rsidRPr="00055865" w14:paraId="3FD4BBCF" w14:textId="77777777" w:rsidTr="00A424E3">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29779" w14:textId="77777777" w:rsidR="00C3429E" w:rsidRPr="00055865" w:rsidRDefault="00C3429E" w:rsidP="005D6CE4">
            <w:pPr>
              <w:spacing w:after="0" w:line="480" w:lineRule="auto"/>
              <w:contextualSpacing/>
              <w:rPr>
                <w:rFonts w:ascii="Garamond" w:eastAsia="Times New Roman" w:hAnsi="Garamond" w:cs="Calibri"/>
                <w:b/>
                <w:bCs/>
                <w:lang w:eastAsia="en-GB"/>
              </w:rPr>
            </w:pPr>
            <w:r w:rsidRPr="00055865">
              <w:rPr>
                <w:rFonts w:ascii="Garamond" w:eastAsia="Times New Roman" w:hAnsi="Garamond" w:cs="Calibri"/>
                <w:b/>
                <w:bCs/>
                <w:lang w:eastAsia="en-GB"/>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359EA5A"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B806006"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36F0C482"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DAF92A8"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39A124B"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8BCAA3A"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68DB4AE2"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Notes/Page No</w:t>
            </w:r>
          </w:p>
        </w:tc>
      </w:tr>
      <w:tr w:rsidR="00C3429E" w:rsidRPr="00055865" w14:paraId="1F849E3D"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5F35C9C4" w14:textId="77777777" w:rsidR="00C3429E" w:rsidRPr="00055865" w:rsidRDefault="00C3429E" w:rsidP="005D6CE4">
            <w:pPr>
              <w:spacing w:after="0" w:line="480" w:lineRule="auto"/>
              <w:contextualSpacing/>
              <w:rPr>
                <w:rFonts w:ascii="Garamond" w:eastAsia="Times New Roman" w:hAnsi="Garamond" w:cs="Arial"/>
                <w:b/>
                <w:bCs/>
                <w:lang w:eastAsia="en-GB"/>
              </w:rPr>
            </w:pPr>
            <w:r w:rsidRPr="00055865">
              <w:rPr>
                <w:rFonts w:ascii="Garamond" w:eastAsia="Times New Roman" w:hAnsi="Garamond" w:cs="Arial"/>
                <w:b/>
                <w:bCs/>
                <w:lang w:eastAsia="en-GB"/>
              </w:rPr>
              <w:t>Greenhouse Gases (GHG)</w:t>
            </w:r>
          </w:p>
        </w:tc>
        <w:tc>
          <w:tcPr>
            <w:tcW w:w="663" w:type="dxa"/>
            <w:tcBorders>
              <w:top w:val="nil"/>
              <w:left w:val="nil"/>
              <w:bottom w:val="single" w:sz="4" w:space="0" w:color="auto"/>
              <w:right w:val="single" w:sz="4" w:space="0" w:color="auto"/>
            </w:tcBorders>
            <w:shd w:val="clear" w:color="auto" w:fill="auto"/>
            <w:noWrap/>
            <w:vAlign w:val="bottom"/>
            <w:hideMark/>
          </w:tcPr>
          <w:p w14:paraId="2D8A4EAD"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2DF920F6"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972363D"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3D9796D4"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B822698"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B0F7E6B"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2C71A99C"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24201A4C"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3DB75876"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Reduction in emission</w:t>
            </w:r>
          </w:p>
        </w:tc>
        <w:tc>
          <w:tcPr>
            <w:tcW w:w="663" w:type="dxa"/>
            <w:tcBorders>
              <w:top w:val="nil"/>
              <w:left w:val="nil"/>
              <w:bottom w:val="single" w:sz="4" w:space="0" w:color="auto"/>
              <w:right w:val="single" w:sz="4" w:space="0" w:color="auto"/>
            </w:tcBorders>
            <w:shd w:val="clear" w:color="auto" w:fill="auto"/>
            <w:noWrap/>
            <w:vAlign w:val="bottom"/>
            <w:hideMark/>
          </w:tcPr>
          <w:p w14:paraId="3DC9799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54A5DB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0F9F06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F876406"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815092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A0D083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6101FBA7"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32AB220C" w14:textId="77777777" w:rsidTr="00A424E3">
        <w:trPr>
          <w:trHeight w:val="855"/>
        </w:trPr>
        <w:tc>
          <w:tcPr>
            <w:tcW w:w="3663" w:type="dxa"/>
            <w:tcBorders>
              <w:top w:val="nil"/>
              <w:left w:val="single" w:sz="4" w:space="0" w:color="auto"/>
              <w:bottom w:val="single" w:sz="4" w:space="0" w:color="auto"/>
              <w:right w:val="nil"/>
            </w:tcBorders>
            <w:shd w:val="clear" w:color="auto" w:fill="auto"/>
            <w:vAlign w:val="center"/>
            <w:hideMark/>
          </w:tcPr>
          <w:p w14:paraId="7E9DAD46" w14:textId="77777777" w:rsidR="00C3429E" w:rsidRPr="00055865" w:rsidRDefault="00C3429E" w:rsidP="005D6CE4">
            <w:pPr>
              <w:spacing w:after="0" w:line="480" w:lineRule="auto"/>
              <w:contextualSpacing/>
              <w:jc w:val="both"/>
              <w:rPr>
                <w:rFonts w:ascii="Garamond" w:eastAsia="Times New Roman" w:hAnsi="Garamond" w:cs="Arial"/>
                <w:lang w:eastAsia="en-GB"/>
              </w:rPr>
            </w:pPr>
            <w:r w:rsidRPr="00055865">
              <w:rPr>
                <w:rFonts w:ascii="Garamond" w:eastAsia="Times New Roman" w:hAnsi="Garamond" w:cs="Arial"/>
                <w:lang w:eastAsia="en-GB"/>
              </w:rPr>
              <w:t>Reduction in the use of toxic materials in place of non-toxic and reduction of dust</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020D4434"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1FE366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07A4AD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E95EBC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8830AA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63DA9C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46A7E93A"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05134D80"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6A46073D"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Cost savings from reduced emissions</w:t>
            </w:r>
          </w:p>
        </w:tc>
        <w:tc>
          <w:tcPr>
            <w:tcW w:w="663" w:type="dxa"/>
            <w:tcBorders>
              <w:top w:val="nil"/>
              <w:left w:val="nil"/>
              <w:bottom w:val="single" w:sz="4" w:space="0" w:color="auto"/>
              <w:right w:val="single" w:sz="4" w:space="0" w:color="auto"/>
            </w:tcBorders>
            <w:shd w:val="clear" w:color="auto" w:fill="auto"/>
            <w:noWrap/>
            <w:vAlign w:val="bottom"/>
            <w:hideMark/>
          </w:tcPr>
          <w:p w14:paraId="1B90AA0C"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7D83DA4"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DC187A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47E120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386296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CF00BBE"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7FFF6D5C"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1B8E74D0"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5090CA57"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Procedure to monitor emissions</w:t>
            </w:r>
          </w:p>
        </w:tc>
        <w:tc>
          <w:tcPr>
            <w:tcW w:w="663" w:type="dxa"/>
            <w:tcBorders>
              <w:top w:val="nil"/>
              <w:left w:val="nil"/>
              <w:bottom w:val="single" w:sz="4" w:space="0" w:color="auto"/>
              <w:right w:val="single" w:sz="4" w:space="0" w:color="auto"/>
            </w:tcBorders>
            <w:shd w:val="clear" w:color="auto" w:fill="auto"/>
            <w:noWrap/>
            <w:vAlign w:val="bottom"/>
            <w:hideMark/>
          </w:tcPr>
          <w:p w14:paraId="5DAF573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AB1397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BF5457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B76E6E2"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B84414B"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BC9C83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0713BEE1"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62FE053D"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43241672"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Others</w:t>
            </w:r>
          </w:p>
        </w:tc>
        <w:tc>
          <w:tcPr>
            <w:tcW w:w="663" w:type="dxa"/>
            <w:tcBorders>
              <w:top w:val="nil"/>
              <w:left w:val="nil"/>
              <w:bottom w:val="single" w:sz="4" w:space="0" w:color="auto"/>
              <w:right w:val="single" w:sz="4" w:space="0" w:color="auto"/>
            </w:tcBorders>
            <w:shd w:val="clear" w:color="auto" w:fill="auto"/>
            <w:noWrap/>
            <w:vAlign w:val="bottom"/>
            <w:hideMark/>
          </w:tcPr>
          <w:p w14:paraId="5A7DE6C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B0C736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7B43F51"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8EDB46E"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22FCE0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EFFDC4E"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08B3562F"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411EDC0A"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461BEFE5" w14:textId="77777777" w:rsidR="00C3429E" w:rsidRPr="00055865" w:rsidRDefault="00C3429E" w:rsidP="005D6CE4">
            <w:pPr>
              <w:spacing w:after="0" w:line="480" w:lineRule="auto"/>
              <w:contextualSpacing/>
              <w:rPr>
                <w:rFonts w:ascii="Garamond" w:eastAsia="Times New Roman" w:hAnsi="Garamond" w:cs="Arial"/>
                <w:b/>
                <w:bCs/>
                <w:lang w:eastAsia="en-GB"/>
              </w:rPr>
            </w:pPr>
            <w:r w:rsidRPr="00055865">
              <w:rPr>
                <w:rFonts w:ascii="Garamond" w:eastAsia="Times New Roman" w:hAnsi="Garamond" w:cs="Arial"/>
                <w:b/>
                <w:bCs/>
                <w:lang w:eastAsia="en-GB"/>
              </w:rPr>
              <w:t>Total</w:t>
            </w:r>
          </w:p>
        </w:tc>
        <w:tc>
          <w:tcPr>
            <w:tcW w:w="663" w:type="dxa"/>
            <w:tcBorders>
              <w:top w:val="nil"/>
              <w:left w:val="nil"/>
              <w:bottom w:val="single" w:sz="4" w:space="0" w:color="auto"/>
              <w:right w:val="single" w:sz="4" w:space="0" w:color="auto"/>
            </w:tcBorders>
            <w:shd w:val="clear" w:color="auto" w:fill="auto"/>
            <w:noWrap/>
            <w:vAlign w:val="bottom"/>
            <w:hideMark/>
          </w:tcPr>
          <w:p w14:paraId="38CEEBE6"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53CA9D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34DCF9E"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B22A0C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A7E33CE"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6962CF2"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6A4701D9"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0F8EFDF2" w14:textId="77777777" w:rsidTr="00A424E3">
        <w:trPr>
          <w:trHeight w:val="300"/>
        </w:trPr>
        <w:tc>
          <w:tcPr>
            <w:tcW w:w="3663" w:type="dxa"/>
            <w:tcBorders>
              <w:top w:val="nil"/>
              <w:left w:val="nil"/>
              <w:bottom w:val="nil"/>
              <w:right w:val="nil"/>
            </w:tcBorders>
            <w:shd w:val="clear" w:color="auto" w:fill="auto"/>
            <w:noWrap/>
            <w:vAlign w:val="bottom"/>
            <w:hideMark/>
          </w:tcPr>
          <w:p w14:paraId="57EC4F49" w14:textId="77777777" w:rsidR="00C3429E" w:rsidRPr="00055865" w:rsidRDefault="00C3429E" w:rsidP="005D6CE4">
            <w:pPr>
              <w:spacing w:after="0" w:line="480" w:lineRule="auto"/>
              <w:contextualSpacing/>
              <w:rPr>
                <w:rFonts w:ascii="Garamond" w:eastAsia="Times New Roman" w:hAnsi="Garamond" w:cs="Calibri"/>
                <w:lang w:eastAsia="en-GB"/>
              </w:rPr>
            </w:pPr>
          </w:p>
          <w:p w14:paraId="1FAA93B1" w14:textId="77777777" w:rsidR="00C3429E" w:rsidRPr="00055865" w:rsidRDefault="00C3429E" w:rsidP="005D6CE4">
            <w:pPr>
              <w:spacing w:after="0" w:line="480" w:lineRule="auto"/>
              <w:contextualSpacing/>
              <w:rPr>
                <w:rFonts w:ascii="Garamond" w:eastAsia="Times New Roman" w:hAnsi="Garamond" w:cs="Calibri"/>
                <w:lang w:eastAsia="en-GB"/>
              </w:rPr>
            </w:pPr>
          </w:p>
        </w:tc>
        <w:tc>
          <w:tcPr>
            <w:tcW w:w="663" w:type="dxa"/>
            <w:tcBorders>
              <w:top w:val="nil"/>
              <w:left w:val="nil"/>
              <w:bottom w:val="nil"/>
              <w:right w:val="nil"/>
            </w:tcBorders>
            <w:shd w:val="clear" w:color="auto" w:fill="auto"/>
            <w:noWrap/>
            <w:vAlign w:val="bottom"/>
            <w:hideMark/>
          </w:tcPr>
          <w:p w14:paraId="6DF09D8D"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42D92987"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01AEAE6"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43B23EA4"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819DF30"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03940477"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607BFC68"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r>
      <w:tr w:rsidR="00C3429E" w:rsidRPr="00055865" w14:paraId="72085C0C" w14:textId="77777777" w:rsidTr="00A424E3">
        <w:trPr>
          <w:trHeight w:val="300"/>
        </w:trPr>
        <w:tc>
          <w:tcPr>
            <w:tcW w:w="3663" w:type="dxa"/>
            <w:tcBorders>
              <w:top w:val="nil"/>
              <w:left w:val="nil"/>
              <w:bottom w:val="nil"/>
              <w:right w:val="nil"/>
            </w:tcBorders>
            <w:shd w:val="clear" w:color="auto" w:fill="auto"/>
            <w:noWrap/>
            <w:vAlign w:val="bottom"/>
            <w:hideMark/>
          </w:tcPr>
          <w:p w14:paraId="7BB0F06C"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4E045253"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16D713FF"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5426C8F2"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6EF7C54D"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32590F90"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1DB6D311"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09CBFF28"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r>
      <w:tr w:rsidR="00C3429E" w:rsidRPr="00055865" w14:paraId="47EE4C4E" w14:textId="77777777" w:rsidTr="00A424E3">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333E" w14:textId="77777777" w:rsidR="00C3429E" w:rsidRPr="00055865" w:rsidRDefault="00C3429E" w:rsidP="005D6CE4">
            <w:pPr>
              <w:spacing w:after="0" w:line="480" w:lineRule="auto"/>
              <w:contextualSpacing/>
              <w:rPr>
                <w:rFonts w:ascii="Garamond" w:eastAsia="Times New Roman" w:hAnsi="Garamond" w:cs="Calibri"/>
                <w:b/>
                <w:bCs/>
                <w:lang w:eastAsia="en-GB"/>
              </w:rPr>
            </w:pPr>
            <w:r w:rsidRPr="00055865">
              <w:rPr>
                <w:rFonts w:ascii="Garamond" w:eastAsia="Times New Roman" w:hAnsi="Garamond" w:cs="Calibri"/>
                <w:b/>
                <w:bCs/>
                <w:lang w:eastAsia="en-GB"/>
              </w:rPr>
              <w:lastRenderedPageBreak/>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97AA72A"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16BE7B2"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3A4982A"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C6E70E0"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3ED379C"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E7B4DCA"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7B640A5B"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Notes/Page No</w:t>
            </w:r>
          </w:p>
        </w:tc>
      </w:tr>
      <w:tr w:rsidR="00C3429E" w:rsidRPr="00055865" w14:paraId="60C8E8E0"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1BF220EF" w14:textId="77777777" w:rsidR="00C3429E" w:rsidRPr="00055865" w:rsidRDefault="00C3429E" w:rsidP="005D6CE4">
            <w:pPr>
              <w:spacing w:after="0" w:line="480" w:lineRule="auto"/>
              <w:contextualSpacing/>
              <w:rPr>
                <w:rFonts w:ascii="Garamond" w:eastAsia="Times New Roman" w:hAnsi="Garamond" w:cs="Arial"/>
                <w:b/>
                <w:bCs/>
                <w:lang w:eastAsia="en-GB"/>
              </w:rPr>
            </w:pPr>
            <w:r w:rsidRPr="00055865">
              <w:rPr>
                <w:rFonts w:ascii="Garamond" w:eastAsia="Times New Roman" w:hAnsi="Garamond" w:cs="Arial"/>
                <w:b/>
                <w:bCs/>
                <w:lang w:eastAsia="en-GB"/>
              </w:rPr>
              <w:t>Compliance</w:t>
            </w:r>
          </w:p>
        </w:tc>
        <w:tc>
          <w:tcPr>
            <w:tcW w:w="663" w:type="dxa"/>
            <w:tcBorders>
              <w:top w:val="nil"/>
              <w:left w:val="nil"/>
              <w:bottom w:val="single" w:sz="4" w:space="0" w:color="auto"/>
              <w:right w:val="single" w:sz="4" w:space="0" w:color="auto"/>
            </w:tcBorders>
            <w:shd w:val="clear" w:color="auto" w:fill="auto"/>
            <w:noWrap/>
            <w:vAlign w:val="bottom"/>
            <w:hideMark/>
          </w:tcPr>
          <w:p w14:paraId="32E62713"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275CADC"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3BF43449"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2286B09C"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24320D37"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2F31C7D4"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23CBE97B"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43E93100" w14:textId="77777777" w:rsidTr="00A424E3">
        <w:trPr>
          <w:trHeight w:val="6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169AC75F"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Existence of Environmental Policy</w:t>
            </w:r>
          </w:p>
        </w:tc>
        <w:tc>
          <w:tcPr>
            <w:tcW w:w="663" w:type="dxa"/>
            <w:tcBorders>
              <w:top w:val="nil"/>
              <w:left w:val="nil"/>
              <w:bottom w:val="single" w:sz="4" w:space="0" w:color="auto"/>
              <w:right w:val="single" w:sz="4" w:space="0" w:color="auto"/>
            </w:tcBorders>
            <w:shd w:val="clear" w:color="auto" w:fill="auto"/>
            <w:noWrap/>
            <w:vAlign w:val="bottom"/>
            <w:hideMark/>
          </w:tcPr>
          <w:p w14:paraId="4ADF53D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74A122A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64BAFA3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741E0DE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400970A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45328C0E"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vAlign w:val="bottom"/>
            <w:hideMark/>
          </w:tcPr>
          <w:p w14:paraId="3F33DE6F"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p13/9,13/p13/p13/p12</w:t>
            </w:r>
          </w:p>
        </w:tc>
      </w:tr>
      <w:tr w:rsidR="00C3429E" w:rsidRPr="00055865" w14:paraId="772BF0AE" w14:textId="77777777" w:rsidTr="00A424E3">
        <w:trPr>
          <w:trHeight w:val="525"/>
        </w:trPr>
        <w:tc>
          <w:tcPr>
            <w:tcW w:w="3663" w:type="dxa"/>
            <w:tcBorders>
              <w:top w:val="nil"/>
              <w:left w:val="single" w:sz="4" w:space="0" w:color="auto"/>
              <w:bottom w:val="single" w:sz="4" w:space="0" w:color="auto"/>
              <w:right w:val="nil"/>
            </w:tcBorders>
            <w:shd w:val="clear" w:color="auto" w:fill="auto"/>
            <w:vAlign w:val="center"/>
            <w:hideMark/>
          </w:tcPr>
          <w:p w14:paraId="64099D52" w14:textId="77777777" w:rsidR="00C3429E" w:rsidRPr="00055865" w:rsidRDefault="00C3429E" w:rsidP="005D6CE4">
            <w:pPr>
              <w:spacing w:after="0" w:line="480" w:lineRule="auto"/>
              <w:contextualSpacing/>
              <w:jc w:val="both"/>
              <w:rPr>
                <w:rFonts w:ascii="Garamond" w:eastAsia="Times New Roman" w:hAnsi="Garamond" w:cs="Arial"/>
                <w:lang w:eastAsia="en-GB"/>
              </w:rPr>
            </w:pPr>
            <w:r w:rsidRPr="00055865">
              <w:rPr>
                <w:rFonts w:ascii="Garamond" w:eastAsia="Times New Roman" w:hAnsi="Garamond" w:cs="Arial"/>
                <w:lang w:eastAsia="en-GB"/>
              </w:rPr>
              <w:t>Environmental Certification e.g. ISO, EMAS, Permits approval</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5FE5483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A0FBE91"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90EAC0C"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2EB2D7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33AFCC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901198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noWrap/>
            <w:vAlign w:val="bottom"/>
            <w:hideMark/>
          </w:tcPr>
          <w:p w14:paraId="2A3CBD03"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p7</w:t>
            </w:r>
          </w:p>
        </w:tc>
      </w:tr>
      <w:tr w:rsidR="00C3429E" w:rsidRPr="00055865" w14:paraId="34913F80" w14:textId="77777777" w:rsidTr="00A424E3">
        <w:trPr>
          <w:trHeight w:val="6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6BBD462F"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Absence of fines/penalties, benchmark, improvements</w:t>
            </w:r>
          </w:p>
        </w:tc>
        <w:tc>
          <w:tcPr>
            <w:tcW w:w="663" w:type="dxa"/>
            <w:tcBorders>
              <w:top w:val="nil"/>
              <w:left w:val="nil"/>
              <w:bottom w:val="single" w:sz="4" w:space="0" w:color="auto"/>
              <w:right w:val="single" w:sz="4" w:space="0" w:color="auto"/>
            </w:tcBorders>
            <w:shd w:val="clear" w:color="auto" w:fill="auto"/>
            <w:vAlign w:val="bottom"/>
            <w:hideMark/>
          </w:tcPr>
          <w:p w14:paraId="573A666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76770B2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4FF2D40B"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31BD88EE"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4F3AF19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23542E7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vAlign w:val="bottom"/>
            <w:hideMark/>
          </w:tcPr>
          <w:p w14:paraId="6F874C91"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p8,13/13/p13/p13/p12</w:t>
            </w:r>
          </w:p>
        </w:tc>
      </w:tr>
      <w:tr w:rsidR="00C3429E" w:rsidRPr="00055865" w14:paraId="06920A03" w14:textId="77777777" w:rsidTr="00A424E3">
        <w:trPr>
          <w:trHeight w:val="6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433DEFD6"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Identification of Environmental Risk</w:t>
            </w:r>
          </w:p>
        </w:tc>
        <w:tc>
          <w:tcPr>
            <w:tcW w:w="663" w:type="dxa"/>
            <w:tcBorders>
              <w:top w:val="nil"/>
              <w:left w:val="nil"/>
              <w:bottom w:val="single" w:sz="4" w:space="0" w:color="auto"/>
              <w:right w:val="single" w:sz="4" w:space="0" w:color="auto"/>
            </w:tcBorders>
            <w:shd w:val="clear" w:color="auto" w:fill="auto"/>
            <w:vAlign w:val="bottom"/>
            <w:hideMark/>
          </w:tcPr>
          <w:p w14:paraId="3A26B28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799B609E"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58D6987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3BA3EBDE"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1A9C66F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7D25BD01"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vAlign w:val="bottom"/>
            <w:hideMark/>
          </w:tcPr>
          <w:p w14:paraId="2BD0DBEE"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p13/9,13/13/p13/p12</w:t>
            </w:r>
          </w:p>
        </w:tc>
      </w:tr>
      <w:tr w:rsidR="00C3429E" w:rsidRPr="00055865" w14:paraId="2C1B5D59" w14:textId="77777777" w:rsidTr="00A424E3">
        <w:trPr>
          <w:trHeight w:val="855"/>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2B96D2AF"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liaising with employees/other stakeholders on compliance issues/Others</w:t>
            </w:r>
          </w:p>
        </w:tc>
        <w:tc>
          <w:tcPr>
            <w:tcW w:w="663" w:type="dxa"/>
            <w:tcBorders>
              <w:top w:val="nil"/>
              <w:left w:val="nil"/>
              <w:bottom w:val="single" w:sz="4" w:space="0" w:color="auto"/>
              <w:right w:val="single" w:sz="4" w:space="0" w:color="auto"/>
            </w:tcBorders>
            <w:shd w:val="clear" w:color="auto" w:fill="auto"/>
            <w:vAlign w:val="bottom"/>
            <w:hideMark/>
          </w:tcPr>
          <w:p w14:paraId="541D42E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019BEAF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5591B9CE"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5291F6E4"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44B97314"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19808F7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vAlign w:val="bottom"/>
            <w:hideMark/>
          </w:tcPr>
          <w:p w14:paraId="740CDA30"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p13/p13/p13/p13/p12</w:t>
            </w:r>
          </w:p>
        </w:tc>
      </w:tr>
      <w:tr w:rsidR="00C3429E" w:rsidRPr="00055865" w14:paraId="327DFD66"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30D8E731" w14:textId="77777777" w:rsidR="00C3429E" w:rsidRPr="00055865" w:rsidRDefault="00C3429E" w:rsidP="005D6CE4">
            <w:pPr>
              <w:spacing w:after="0" w:line="480" w:lineRule="auto"/>
              <w:contextualSpacing/>
              <w:rPr>
                <w:rFonts w:ascii="Garamond" w:eastAsia="Times New Roman" w:hAnsi="Garamond" w:cs="Arial"/>
                <w:b/>
                <w:bCs/>
                <w:lang w:eastAsia="en-GB"/>
              </w:rPr>
            </w:pPr>
            <w:r w:rsidRPr="00055865">
              <w:rPr>
                <w:rFonts w:ascii="Garamond" w:eastAsia="Times New Roman" w:hAnsi="Garamond" w:cs="Arial"/>
                <w:b/>
                <w:bCs/>
                <w:lang w:eastAsia="en-GB"/>
              </w:rPr>
              <w:t>Total</w:t>
            </w:r>
          </w:p>
        </w:tc>
        <w:tc>
          <w:tcPr>
            <w:tcW w:w="663" w:type="dxa"/>
            <w:tcBorders>
              <w:top w:val="nil"/>
              <w:left w:val="nil"/>
              <w:bottom w:val="single" w:sz="4" w:space="0" w:color="auto"/>
              <w:right w:val="single" w:sz="4" w:space="0" w:color="auto"/>
            </w:tcBorders>
            <w:shd w:val="clear" w:color="auto" w:fill="auto"/>
            <w:noWrap/>
            <w:vAlign w:val="bottom"/>
            <w:hideMark/>
          </w:tcPr>
          <w:p w14:paraId="0C29FDB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3</w:t>
            </w:r>
          </w:p>
        </w:tc>
        <w:tc>
          <w:tcPr>
            <w:tcW w:w="663" w:type="dxa"/>
            <w:tcBorders>
              <w:top w:val="nil"/>
              <w:left w:val="nil"/>
              <w:bottom w:val="single" w:sz="4" w:space="0" w:color="auto"/>
              <w:right w:val="single" w:sz="4" w:space="0" w:color="auto"/>
            </w:tcBorders>
            <w:shd w:val="clear" w:color="auto" w:fill="auto"/>
            <w:noWrap/>
            <w:vAlign w:val="bottom"/>
            <w:hideMark/>
          </w:tcPr>
          <w:p w14:paraId="41F666A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4</w:t>
            </w:r>
          </w:p>
        </w:tc>
        <w:tc>
          <w:tcPr>
            <w:tcW w:w="663" w:type="dxa"/>
            <w:tcBorders>
              <w:top w:val="nil"/>
              <w:left w:val="nil"/>
              <w:bottom w:val="single" w:sz="4" w:space="0" w:color="auto"/>
              <w:right w:val="single" w:sz="4" w:space="0" w:color="auto"/>
            </w:tcBorders>
            <w:shd w:val="clear" w:color="auto" w:fill="auto"/>
            <w:noWrap/>
            <w:vAlign w:val="bottom"/>
            <w:hideMark/>
          </w:tcPr>
          <w:p w14:paraId="24CD48CC"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4</w:t>
            </w:r>
          </w:p>
        </w:tc>
        <w:tc>
          <w:tcPr>
            <w:tcW w:w="663" w:type="dxa"/>
            <w:tcBorders>
              <w:top w:val="nil"/>
              <w:left w:val="nil"/>
              <w:bottom w:val="single" w:sz="4" w:space="0" w:color="auto"/>
              <w:right w:val="single" w:sz="4" w:space="0" w:color="auto"/>
            </w:tcBorders>
            <w:shd w:val="clear" w:color="auto" w:fill="auto"/>
            <w:noWrap/>
            <w:vAlign w:val="bottom"/>
            <w:hideMark/>
          </w:tcPr>
          <w:p w14:paraId="726E870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4</w:t>
            </w:r>
          </w:p>
        </w:tc>
        <w:tc>
          <w:tcPr>
            <w:tcW w:w="663" w:type="dxa"/>
            <w:tcBorders>
              <w:top w:val="nil"/>
              <w:left w:val="nil"/>
              <w:bottom w:val="single" w:sz="4" w:space="0" w:color="auto"/>
              <w:right w:val="single" w:sz="4" w:space="0" w:color="auto"/>
            </w:tcBorders>
            <w:shd w:val="clear" w:color="auto" w:fill="auto"/>
            <w:noWrap/>
            <w:vAlign w:val="bottom"/>
            <w:hideMark/>
          </w:tcPr>
          <w:p w14:paraId="15403932"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4</w:t>
            </w:r>
          </w:p>
        </w:tc>
        <w:tc>
          <w:tcPr>
            <w:tcW w:w="663" w:type="dxa"/>
            <w:tcBorders>
              <w:top w:val="nil"/>
              <w:left w:val="nil"/>
              <w:bottom w:val="single" w:sz="4" w:space="0" w:color="auto"/>
              <w:right w:val="single" w:sz="4" w:space="0" w:color="auto"/>
            </w:tcBorders>
            <w:shd w:val="clear" w:color="auto" w:fill="auto"/>
            <w:noWrap/>
            <w:vAlign w:val="bottom"/>
            <w:hideMark/>
          </w:tcPr>
          <w:p w14:paraId="5BDEF89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4</w:t>
            </w:r>
          </w:p>
        </w:tc>
        <w:tc>
          <w:tcPr>
            <w:tcW w:w="2673" w:type="dxa"/>
            <w:tcBorders>
              <w:top w:val="nil"/>
              <w:left w:val="nil"/>
              <w:bottom w:val="single" w:sz="4" w:space="0" w:color="auto"/>
              <w:right w:val="single" w:sz="4" w:space="0" w:color="auto"/>
            </w:tcBorders>
            <w:shd w:val="clear" w:color="auto" w:fill="auto"/>
            <w:noWrap/>
            <w:vAlign w:val="bottom"/>
            <w:hideMark/>
          </w:tcPr>
          <w:p w14:paraId="13F4D437"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29265133" w14:textId="77777777" w:rsidTr="00A424E3">
        <w:trPr>
          <w:trHeight w:val="300"/>
        </w:trPr>
        <w:tc>
          <w:tcPr>
            <w:tcW w:w="3663" w:type="dxa"/>
            <w:tcBorders>
              <w:top w:val="nil"/>
              <w:left w:val="nil"/>
              <w:bottom w:val="nil"/>
              <w:right w:val="nil"/>
            </w:tcBorders>
            <w:shd w:val="clear" w:color="auto" w:fill="auto"/>
            <w:noWrap/>
            <w:vAlign w:val="bottom"/>
            <w:hideMark/>
          </w:tcPr>
          <w:p w14:paraId="266F0D78" w14:textId="77777777" w:rsidR="00C3429E" w:rsidRPr="00055865" w:rsidRDefault="00C3429E" w:rsidP="005D6CE4">
            <w:pPr>
              <w:spacing w:after="0" w:line="480" w:lineRule="auto"/>
              <w:contextualSpacing/>
              <w:rPr>
                <w:rFonts w:ascii="Garamond" w:eastAsia="Times New Roman" w:hAnsi="Garamond" w:cs="Calibri"/>
                <w:lang w:eastAsia="en-GB"/>
              </w:rPr>
            </w:pPr>
          </w:p>
        </w:tc>
        <w:tc>
          <w:tcPr>
            <w:tcW w:w="663" w:type="dxa"/>
            <w:tcBorders>
              <w:top w:val="nil"/>
              <w:left w:val="nil"/>
              <w:bottom w:val="nil"/>
              <w:right w:val="nil"/>
            </w:tcBorders>
            <w:shd w:val="clear" w:color="auto" w:fill="auto"/>
            <w:noWrap/>
            <w:vAlign w:val="bottom"/>
            <w:hideMark/>
          </w:tcPr>
          <w:p w14:paraId="0D647F27"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636EA460"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6A4F355"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117D268"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9EFA10C"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690204DA"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0D810194"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r>
      <w:tr w:rsidR="00C3429E" w:rsidRPr="00055865" w14:paraId="0DA5BAE2" w14:textId="77777777" w:rsidTr="00A424E3">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5E17A" w14:textId="77777777" w:rsidR="00C3429E" w:rsidRPr="00055865" w:rsidRDefault="00C3429E" w:rsidP="005D6CE4">
            <w:pPr>
              <w:spacing w:after="0" w:line="480" w:lineRule="auto"/>
              <w:contextualSpacing/>
              <w:rPr>
                <w:rFonts w:ascii="Garamond" w:eastAsia="Times New Roman" w:hAnsi="Garamond" w:cs="Calibri"/>
                <w:b/>
                <w:bCs/>
                <w:lang w:eastAsia="en-GB"/>
              </w:rPr>
            </w:pPr>
            <w:r w:rsidRPr="00055865">
              <w:rPr>
                <w:rFonts w:ascii="Garamond" w:eastAsia="Times New Roman" w:hAnsi="Garamond" w:cs="Calibri"/>
                <w:b/>
                <w:bCs/>
                <w:lang w:eastAsia="en-GB"/>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02A7D7E5"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C12261C"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F4CE9AC"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4AD52D0"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84EBB8C"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F7DB65C"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44C9D2B8"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Notes/Page No</w:t>
            </w:r>
          </w:p>
        </w:tc>
      </w:tr>
      <w:tr w:rsidR="00C3429E" w:rsidRPr="00055865" w14:paraId="6EF88AE4"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29FF2201" w14:textId="77777777" w:rsidR="00C3429E" w:rsidRPr="00055865" w:rsidRDefault="00C3429E" w:rsidP="005D6CE4">
            <w:pPr>
              <w:spacing w:after="0" w:line="480" w:lineRule="auto"/>
              <w:contextualSpacing/>
              <w:rPr>
                <w:rFonts w:ascii="Garamond" w:eastAsia="Times New Roman" w:hAnsi="Garamond" w:cs="Arial"/>
                <w:b/>
                <w:bCs/>
                <w:lang w:eastAsia="en-GB"/>
              </w:rPr>
            </w:pPr>
            <w:r w:rsidRPr="00055865">
              <w:rPr>
                <w:rFonts w:ascii="Garamond" w:eastAsia="Times New Roman" w:hAnsi="Garamond" w:cs="Arial"/>
                <w:b/>
                <w:bCs/>
                <w:lang w:eastAsia="en-GB"/>
              </w:rPr>
              <w:t>Waste</w:t>
            </w:r>
          </w:p>
        </w:tc>
        <w:tc>
          <w:tcPr>
            <w:tcW w:w="663" w:type="dxa"/>
            <w:tcBorders>
              <w:top w:val="nil"/>
              <w:left w:val="nil"/>
              <w:bottom w:val="single" w:sz="4" w:space="0" w:color="auto"/>
              <w:right w:val="single" w:sz="4" w:space="0" w:color="auto"/>
            </w:tcBorders>
            <w:shd w:val="clear" w:color="auto" w:fill="auto"/>
            <w:noWrap/>
            <w:vAlign w:val="bottom"/>
            <w:hideMark/>
          </w:tcPr>
          <w:p w14:paraId="3BC85927"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10111060"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9ADF93B"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223F3BC7"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EE51822"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5DBBE32"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3A1C6918"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22764E3A"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4FF5507A" w14:textId="77777777" w:rsidR="00C3429E" w:rsidRPr="00055865" w:rsidRDefault="00C3429E" w:rsidP="005D6CE4">
            <w:pPr>
              <w:spacing w:after="0" w:line="480" w:lineRule="auto"/>
              <w:contextualSpacing/>
              <w:jc w:val="both"/>
              <w:rPr>
                <w:rFonts w:ascii="Garamond" w:eastAsia="Times New Roman" w:hAnsi="Garamond" w:cs="Arial"/>
                <w:lang w:eastAsia="en-GB"/>
              </w:rPr>
            </w:pPr>
            <w:r w:rsidRPr="00055865">
              <w:rPr>
                <w:rFonts w:ascii="Garamond" w:eastAsia="Times New Roman" w:hAnsi="Garamond" w:cs="Arial"/>
                <w:lang w:eastAsia="en-GB"/>
              </w:rPr>
              <w:t>Reduction in waste generated</w:t>
            </w:r>
          </w:p>
        </w:tc>
        <w:tc>
          <w:tcPr>
            <w:tcW w:w="663" w:type="dxa"/>
            <w:tcBorders>
              <w:top w:val="nil"/>
              <w:left w:val="nil"/>
              <w:bottom w:val="single" w:sz="4" w:space="0" w:color="auto"/>
              <w:right w:val="single" w:sz="4" w:space="0" w:color="auto"/>
            </w:tcBorders>
            <w:shd w:val="clear" w:color="auto" w:fill="auto"/>
            <w:noWrap/>
            <w:vAlign w:val="bottom"/>
            <w:hideMark/>
          </w:tcPr>
          <w:p w14:paraId="111D37B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8EED6F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DBACFF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2C96D6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47702A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4AC97C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3C479D9C"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759B4B9F"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2FA3D7C5" w14:textId="77777777" w:rsidR="00C3429E" w:rsidRPr="00055865" w:rsidRDefault="00C3429E" w:rsidP="005D6CE4">
            <w:pPr>
              <w:spacing w:after="0" w:line="480" w:lineRule="auto"/>
              <w:contextualSpacing/>
              <w:jc w:val="both"/>
              <w:rPr>
                <w:rFonts w:ascii="Garamond" w:eastAsia="Times New Roman" w:hAnsi="Garamond" w:cs="Arial"/>
                <w:lang w:eastAsia="en-GB"/>
              </w:rPr>
            </w:pPr>
            <w:r w:rsidRPr="00055865">
              <w:rPr>
                <w:rFonts w:ascii="Garamond" w:eastAsia="Times New Roman" w:hAnsi="Garamond" w:cs="Arial"/>
                <w:lang w:eastAsia="en-GB"/>
              </w:rPr>
              <w:t>Cost savings in waste disposal</w:t>
            </w:r>
          </w:p>
        </w:tc>
        <w:tc>
          <w:tcPr>
            <w:tcW w:w="663" w:type="dxa"/>
            <w:tcBorders>
              <w:top w:val="nil"/>
              <w:left w:val="nil"/>
              <w:bottom w:val="single" w:sz="4" w:space="0" w:color="auto"/>
              <w:right w:val="single" w:sz="4" w:space="0" w:color="auto"/>
            </w:tcBorders>
            <w:shd w:val="clear" w:color="auto" w:fill="auto"/>
            <w:noWrap/>
            <w:vAlign w:val="bottom"/>
            <w:hideMark/>
          </w:tcPr>
          <w:p w14:paraId="3B996C1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7D4B22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5C36F6B"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59608E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7E0662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6BABC2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54D11EE6"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7FB5016D"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61B10C72" w14:textId="77777777" w:rsidR="00C3429E" w:rsidRPr="00055865" w:rsidRDefault="00C3429E" w:rsidP="005D6CE4">
            <w:pPr>
              <w:spacing w:after="0" w:line="480" w:lineRule="auto"/>
              <w:contextualSpacing/>
              <w:jc w:val="both"/>
              <w:rPr>
                <w:rFonts w:ascii="Garamond" w:eastAsia="Times New Roman" w:hAnsi="Garamond" w:cs="Arial"/>
                <w:lang w:eastAsia="en-GB"/>
              </w:rPr>
            </w:pPr>
            <w:r w:rsidRPr="00055865">
              <w:rPr>
                <w:rFonts w:ascii="Garamond" w:eastAsia="Times New Roman" w:hAnsi="Garamond" w:cs="Arial"/>
                <w:lang w:eastAsia="en-GB"/>
              </w:rPr>
              <w:t>Proper waste disposal</w:t>
            </w:r>
          </w:p>
        </w:tc>
        <w:tc>
          <w:tcPr>
            <w:tcW w:w="663" w:type="dxa"/>
            <w:tcBorders>
              <w:top w:val="nil"/>
              <w:left w:val="nil"/>
              <w:bottom w:val="single" w:sz="4" w:space="0" w:color="auto"/>
              <w:right w:val="single" w:sz="4" w:space="0" w:color="auto"/>
            </w:tcBorders>
            <w:shd w:val="clear" w:color="auto" w:fill="auto"/>
            <w:noWrap/>
            <w:vAlign w:val="bottom"/>
            <w:hideMark/>
          </w:tcPr>
          <w:p w14:paraId="60374AA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437CF52"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C1950C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23CFA3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8592AD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FCC44E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0A7D305C"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788DF10D" w14:textId="77777777" w:rsidTr="00A424E3">
        <w:trPr>
          <w:trHeight w:val="57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5E04A1CA" w14:textId="77777777" w:rsidR="00C3429E" w:rsidRPr="00055865" w:rsidRDefault="00C3429E" w:rsidP="005D6CE4">
            <w:pPr>
              <w:spacing w:after="0" w:line="480" w:lineRule="auto"/>
              <w:contextualSpacing/>
              <w:jc w:val="both"/>
              <w:rPr>
                <w:rFonts w:ascii="Garamond" w:eastAsia="Times New Roman" w:hAnsi="Garamond" w:cs="Arial"/>
                <w:lang w:eastAsia="en-GB"/>
              </w:rPr>
            </w:pPr>
            <w:r w:rsidRPr="00055865">
              <w:rPr>
                <w:rFonts w:ascii="Garamond" w:eastAsia="Times New Roman" w:hAnsi="Garamond" w:cs="Arial"/>
                <w:lang w:eastAsia="en-GB"/>
              </w:rPr>
              <w:t>Creating market or increase revenue for waste products</w:t>
            </w:r>
          </w:p>
        </w:tc>
        <w:tc>
          <w:tcPr>
            <w:tcW w:w="663" w:type="dxa"/>
            <w:tcBorders>
              <w:top w:val="nil"/>
              <w:left w:val="nil"/>
              <w:bottom w:val="single" w:sz="4" w:space="0" w:color="auto"/>
              <w:right w:val="single" w:sz="4" w:space="0" w:color="auto"/>
            </w:tcBorders>
            <w:shd w:val="clear" w:color="auto" w:fill="auto"/>
            <w:noWrap/>
            <w:vAlign w:val="bottom"/>
            <w:hideMark/>
          </w:tcPr>
          <w:p w14:paraId="72BFB18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F0963A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640C3B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DA18A0A"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93988D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F424B9C"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3D5B746B"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02CB231A" w14:textId="77777777" w:rsidTr="00A424E3">
        <w:trPr>
          <w:trHeight w:val="615"/>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78658B29" w14:textId="77777777" w:rsidR="00C3429E" w:rsidRPr="00055865" w:rsidRDefault="00C3429E" w:rsidP="005D6CE4">
            <w:pPr>
              <w:spacing w:after="0" w:line="480" w:lineRule="auto"/>
              <w:contextualSpacing/>
              <w:jc w:val="both"/>
              <w:rPr>
                <w:rFonts w:ascii="Garamond" w:eastAsia="Times New Roman" w:hAnsi="Garamond" w:cs="Arial"/>
                <w:lang w:eastAsia="en-GB"/>
              </w:rPr>
            </w:pPr>
            <w:r w:rsidRPr="00055865">
              <w:rPr>
                <w:rFonts w:ascii="Garamond" w:eastAsia="Times New Roman" w:hAnsi="Garamond" w:cs="Arial"/>
                <w:lang w:eastAsia="en-GB"/>
              </w:rPr>
              <w:t>Reduction in disposal to landfills and/Others</w:t>
            </w:r>
          </w:p>
        </w:tc>
        <w:tc>
          <w:tcPr>
            <w:tcW w:w="663" w:type="dxa"/>
            <w:tcBorders>
              <w:top w:val="nil"/>
              <w:left w:val="nil"/>
              <w:bottom w:val="single" w:sz="4" w:space="0" w:color="auto"/>
              <w:right w:val="single" w:sz="4" w:space="0" w:color="auto"/>
            </w:tcBorders>
            <w:shd w:val="clear" w:color="auto" w:fill="auto"/>
            <w:noWrap/>
            <w:vAlign w:val="bottom"/>
            <w:hideMark/>
          </w:tcPr>
          <w:p w14:paraId="6A98A571"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D0FE27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5712B6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19B05A1"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333CAF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4FDC7D6"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36E82473"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448168E2"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460E4F52" w14:textId="77777777" w:rsidR="00C3429E" w:rsidRPr="00055865" w:rsidRDefault="00C3429E" w:rsidP="005D6CE4">
            <w:pPr>
              <w:spacing w:after="0" w:line="480" w:lineRule="auto"/>
              <w:contextualSpacing/>
              <w:rPr>
                <w:rFonts w:ascii="Garamond" w:eastAsia="Times New Roman" w:hAnsi="Garamond" w:cs="Arial"/>
                <w:b/>
                <w:bCs/>
                <w:lang w:eastAsia="en-GB"/>
              </w:rPr>
            </w:pPr>
            <w:r w:rsidRPr="00055865">
              <w:rPr>
                <w:rFonts w:ascii="Garamond" w:eastAsia="Times New Roman" w:hAnsi="Garamond" w:cs="Arial"/>
                <w:b/>
                <w:bCs/>
                <w:lang w:eastAsia="en-GB"/>
              </w:rPr>
              <w:t>Total</w:t>
            </w:r>
          </w:p>
        </w:tc>
        <w:tc>
          <w:tcPr>
            <w:tcW w:w="663" w:type="dxa"/>
            <w:tcBorders>
              <w:top w:val="nil"/>
              <w:left w:val="nil"/>
              <w:bottom w:val="single" w:sz="4" w:space="0" w:color="auto"/>
              <w:right w:val="single" w:sz="4" w:space="0" w:color="auto"/>
            </w:tcBorders>
            <w:shd w:val="clear" w:color="auto" w:fill="auto"/>
            <w:noWrap/>
            <w:vAlign w:val="bottom"/>
            <w:hideMark/>
          </w:tcPr>
          <w:p w14:paraId="2E05E372"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2F3510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B7921E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115C3DA"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B07597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400DB56"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3FEB64A8"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6C6C12AB" w14:textId="77777777" w:rsidTr="00A424E3">
        <w:trPr>
          <w:trHeight w:val="300"/>
        </w:trPr>
        <w:tc>
          <w:tcPr>
            <w:tcW w:w="3663" w:type="dxa"/>
            <w:tcBorders>
              <w:top w:val="nil"/>
              <w:left w:val="nil"/>
              <w:bottom w:val="nil"/>
              <w:right w:val="nil"/>
            </w:tcBorders>
            <w:shd w:val="clear" w:color="auto" w:fill="auto"/>
            <w:noWrap/>
            <w:vAlign w:val="center"/>
            <w:hideMark/>
          </w:tcPr>
          <w:p w14:paraId="0D1DB91D" w14:textId="77777777" w:rsidR="00C3429E" w:rsidRPr="00055865" w:rsidRDefault="00C3429E" w:rsidP="005D6CE4">
            <w:pPr>
              <w:spacing w:after="0" w:line="480" w:lineRule="auto"/>
              <w:contextualSpacing/>
              <w:rPr>
                <w:rFonts w:ascii="Garamond" w:eastAsia="Times New Roman" w:hAnsi="Garamond" w:cs="Calibri"/>
                <w:lang w:eastAsia="en-GB"/>
              </w:rPr>
            </w:pPr>
          </w:p>
          <w:p w14:paraId="485334A6" w14:textId="77777777" w:rsidR="00C3429E" w:rsidRPr="00055865" w:rsidRDefault="00C3429E" w:rsidP="005D6CE4">
            <w:pPr>
              <w:spacing w:after="0" w:line="480" w:lineRule="auto"/>
              <w:contextualSpacing/>
              <w:rPr>
                <w:rFonts w:ascii="Garamond" w:eastAsia="Times New Roman" w:hAnsi="Garamond" w:cs="Calibri"/>
                <w:lang w:eastAsia="en-GB"/>
              </w:rPr>
            </w:pPr>
          </w:p>
        </w:tc>
        <w:tc>
          <w:tcPr>
            <w:tcW w:w="663" w:type="dxa"/>
            <w:tcBorders>
              <w:top w:val="nil"/>
              <w:left w:val="nil"/>
              <w:bottom w:val="nil"/>
              <w:right w:val="nil"/>
            </w:tcBorders>
            <w:shd w:val="clear" w:color="auto" w:fill="auto"/>
            <w:noWrap/>
            <w:vAlign w:val="bottom"/>
            <w:hideMark/>
          </w:tcPr>
          <w:p w14:paraId="3B17971A"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130C8F46"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63E12733"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4FA9C743"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3F4E3938"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36F5F80E"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1539FB58"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r>
      <w:tr w:rsidR="00C3429E" w:rsidRPr="00055865" w14:paraId="6610A3B5" w14:textId="77777777" w:rsidTr="00A424E3">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510B4" w14:textId="77777777" w:rsidR="00C3429E" w:rsidRPr="00055865" w:rsidRDefault="00C3429E" w:rsidP="005D6CE4">
            <w:pPr>
              <w:spacing w:after="0" w:line="480" w:lineRule="auto"/>
              <w:contextualSpacing/>
              <w:rPr>
                <w:rFonts w:ascii="Garamond" w:eastAsia="Times New Roman" w:hAnsi="Garamond" w:cs="Calibri"/>
                <w:b/>
                <w:bCs/>
                <w:lang w:eastAsia="en-GB"/>
              </w:rPr>
            </w:pPr>
            <w:r w:rsidRPr="00055865">
              <w:rPr>
                <w:rFonts w:ascii="Garamond" w:eastAsia="Times New Roman" w:hAnsi="Garamond" w:cs="Calibri"/>
                <w:b/>
                <w:bCs/>
                <w:lang w:eastAsia="en-GB"/>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082E7022"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890784D"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9642BC4"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2EFD98A"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6796D14"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B5A927A"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4CB20FB0"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Notes/Page No</w:t>
            </w:r>
          </w:p>
        </w:tc>
      </w:tr>
      <w:tr w:rsidR="00C3429E" w:rsidRPr="00055865" w14:paraId="1128773B"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27654F9D" w14:textId="77777777" w:rsidR="00C3429E" w:rsidRPr="00055865" w:rsidRDefault="00C3429E" w:rsidP="005D6CE4">
            <w:pPr>
              <w:spacing w:after="0" w:line="480" w:lineRule="auto"/>
              <w:contextualSpacing/>
              <w:rPr>
                <w:rFonts w:ascii="Garamond" w:eastAsia="Times New Roman" w:hAnsi="Garamond" w:cs="Arial"/>
                <w:b/>
                <w:bCs/>
                <w:lang w:eastAsia="en-GB"/>
              </w:rPr>
            </w:pPr>
            <w:r w:rsidRPr="00055865">
              <w:rPr>
                <w:rFonts w:ascii="Garamond" w:eastAsia="Times New Roman" w:hAnsi="Garamond" w:cs="Arial"/>
                <w:b/>
                <w:bCs/>
                <w:lang w:eastAsia="en-GB"/>
              </w:rPr>
              <w:t>Materials and Resource Efficiency</w:t>
            </w:r>
          </w:p>
        </w:tc>
        <w:tc>
          <w:tcPr>
            <w:tcW w:w="663" w:type="dxa"/>
            <w:tcBorders>
              <w:top w:val="nil"/>
              <w:left w:val="nil"/>
              <w:bottom w:val="single" w:sz="4" w:space="0" w:color="auto"/>
              <w:right w:val="single" w:sz="4" w:space="0" w:color="auto"/>
            </w:tcBorders>
            <w:shd w:val="clear" w:color="auto" w:fill="auto"/>
            <w:noWrap/>
            <w:vAlign w:val="bottom"/>
            <w:hideMark/>
          </w:tcPr>
          <w:p w14:paraId="74AC1359"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086F2AF5"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2BCFA297"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579D4D6D"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8B02EE1"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2A03573D"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5D368F68"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63DA121C" w14:textId="77777777" w:rsidTr="00A424E3">
        <w:trPr>
          <w:trHeight w:val="600"/>
        </w:trPr>
        <w:tc>
          <w:tcPr>
            <w:tcW w:w="3663" w:type="dxa"/>
            <w:tcBorders>
              <w:top w:val="nil"/>
              <w:left w:val="single" w:sz="4" w:space="0" w:color="auto"/>
              <w:bottom w:val="single" w:sz="4" w:space="0" w:color="auto"/>
              <w:right w:val="nil"/>
            </w:tcBorders>
            <w:shd w:val="clear" w:color="auto" w:fill="auto"/>
            <w:vAlign w:val="center"/>
            <w:hideMark/>
          </w:tcPr>
          <w:p w14:paraId="5872BBDE"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lastRenderedPageBreak/>
              <w:t>Cost savings in material usage/resource efficiency/recycle</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449E1EA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10A887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0C2225FC"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1517E57B"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50CB4FC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22BF5374"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vAlign w:val="bottom"/>
            <w:hideMark/>
          </w:tcPr>
          <w:p w14:paraId="20F14B14"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p5,13/p1/p1/p3/p3</w:t>
            </w:r>
          </w:p>
        </w:tc>
      </w:tr>
      <w:tr w:rsidR="00C3429E" w:rsidRPr="00055865" w14:paraId="603DDC3B" w14:textId="77777777" w:rsidTr="00A424E3">
        <w:trPr>
          <w:trHeight w:val="570"/>
        </w:trPr>
        <w:tc>
          <w:tcPr>
            <w:tcW w:w="3663" w:type="dxa"/>
            <w:tcBorders>
              <w:top w:val="nil"/>
              <w:left w:val="single" w:sz="4" w:space="0" w:color="auto"/>
              <w:bottom w:val="single" w:sz="4" w:space="0" w:color="auto"/>
              <w:right w:val="nil"/>
            </w:tcBorders>
            <w:shd w:val="clear" w:color="auto" w:fill="auto"/>
            <w:vAlign w:val="center"/>
            <w:hideMark/>
          </w:tcPr>
          <w:p w14:paraId="3FF59FD4"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Reduce material input (light weighing)</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4D0151D2"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6ACBBE8"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BB18C38"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155D317D"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334046AD"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3E43284"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2472B95D"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395B0A97" w14:textId="77777777" w:rsidTr="00A424E3">
        <w:trPr>
          <w:trHeight w:val="570"/>
        </w:trPr>
        <w:tc>
          <w:tcPr>
            <w:tcW w:w="3663" w:type="dxa"/>
            <w:tcBorders>
              <w:top w:val="nil"/>
              <w:left w:val="single" w:sz="4" w:space="0" w:color="auto"/>
              <w:bottom w:val="single" w:sz="4" w:space="0" w:color="auto"/>
              <w:right w:val="nil"/>
            </w:tcBorders>
            <w:shd w:val="clear" w:color="auto" w:fill="auto"/>
            <w:vAlign w:val="center"/>
            <w:hideMark/>
          </w:tcPr>
          <w:p w14:paraId="4036AD28"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Increased use of alternate raw material with lesser waste</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0C9DBCB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A5C67A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60168F4"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F243912"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BAE5EFA"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B7E64D4"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7AEEE1D8"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73385BA5" w14:textId="77777777" w:rsidTr="00A424E3">
        <w:trPr>
          <w:trHeight w:val="540"/>
        </w:trPr>
        <w:tc>
          <w:tcPr>
            <w:tcW w:w="3663" w:type="dxa"/>
            <w:tcBorders>
              <w:top w:val="nil"/>
              <w:left w:val="single" w:sz="4" w:space="0" w:color="auto"/>
              <w:bottom w:val="single" w:sz="4" w:space="0" w:color="auto"/>
              <w:right w:val="nil"/>
            </w:tcBorders>
            <w:shd w:val="clear" w:color="auto" w:fill="auto"/>
            <w:vAlign w:val="center"/>
            <w:hideMark/>
          </w:tcPr>
          <w:p w14:paraId="74B204B7"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Improved product quality, packaging/reuse/design</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6C6BD3B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FA621C4"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236A5A0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420BD7AB"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5B5D85E6"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2DE6AD0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vAlign w:val="bottom"/>
            <w:hideMark/>
          </w:tcPr>
          <w:p w14:paraId="0588FC01"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p3,13/p3/p13/p13/p3</w:t>
            </w:r>
          </w:p>
        </w:tc>
      </w:tr>
      <w:tr w:rsidR="00C3429E" w:rsidRPr="00055865" w14:paraId="16F76FD9" w14:textId="77777777" w:rsidTr="00A424E3">
        <w:trPr>
          <w:trHeight w:val="600"/>
        </w:trPr>
        <w:tc>
          <w:tcPr>
            <w:tcW w:w="3663" w:type="dxa"/>
            <w:tcBorders>
              <w:top w:val="nil"/>
              <w:left w:val="single" w:sz="4" w:space="0" w:color="auto"/>
              <w:bottom w:val="single" w:sz="4" w:space="0" w:color="auto"/>
              <w:right w:val="nil"/>
            </w:tcBorders>
            <w:shd w:val="clear" w:color="auto" w:fill="auto"/>
            <w:vAlign w:val="center"/>
            <w:hideMark/>
          </w:tcPr>
          <w:p w14:paraId="5420CC5D"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Improved raw material handling/shorter lead times Others</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094CFCB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98754F6"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07D35DD4"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52C3362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260243FA"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3FF6895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vAlign w:val="bottom"/>
            <w:hideMark/>
          </w:tcPr>
          <w:p w14:paraId="6FFEA471"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p3,13/p3/p1/p13/p3</w:t>
            </w:r>
          </w:p>
        </w:tc>
      </w:tr>
      <w:tr w:rsidR="00C3429E" w:rsidRPr="00055865" w14:paraId="21160428"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2D8AA7C8" w14:textId="77777777" w:rsidR="00C3429E" w:rsidRPr="00055865" w:rsidRDefault="00C3429E" w:rsidP="005D6CE4">
            <w:pPr>
              <w:spacing w:after="0" w:line="480" w:lineRule="auto"/>
              <w:contextualSpacing/>
              <w:rPr>
                <w:rFonts w:ascii="Garamond" w:eastAsia="Times New Roman" w:hAnsi="Garamond" w:cs="Arial"/>
                <w:b/>
                <w:bCs/>
                <w:lang w:eastAsia="en-GB"/>
              </w:rPr>
            </w:pPr>
            <w:r w:rsidRPr="00055865">
              <w:rPr>
                <w:rFonts w:ascii="Garamond" w:eastAsia="Times New Roman" w:hAnsi="Garamond" w:cs="Arial"/>
                <w:b/>
                <w:bCs/>
                <w:lang w:eastAsia="en-GB"/>
              </w:rPr>
              <w:t>Total</w:t>
            </w:r>
          </w:p>
        </w:tc>
        <w:tc>
          <w:tcPr>
            <w:tcW w:w="663" w:type="dxa"/>
            <w:tcBorders>
              <w:top w:val="nil"/>
              <w:left w:val="nil"/>
              <w:bottom w:val="single" w:sz="4" w:space="0" w:color="auto"/>
              <w:right w:val="single" w:sz="4" w:space="0" w:color="auto"/>
            </w:tcBorders>
            <w:shd w:val="clear" w:color="auto" w:fill="auto"/>
            <w:noWrap/>
            <w:vAlign w:val="bottom"/>
            <w:hideMark/>
          </w:tcPr>
          <w:p w14:paraId="3B53763A"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BEB6F5B"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3</w:t>
            </w:r>
          </w:p>
        </w:tc>
        <w:tc>
          <w:tcPr>
            <w:tcW w:w="663" w:type="dxa"/>
            <w:tcBorders>
              <w:top w:val="nil"/>
              <w:left w:val="nil"/>
              <w:bottom w:val="single" w:sz="4" w:space="0" w:color="auto"/>
              <w:right w:val="single" w:sz="4" w:space="0" w:color="auto"/>
            </w:tcBorders>
            <w:shd w:val="clear" w:color="auto" w:fill="auto"/>
            <w:noWrap/>
            <w:vAlign w:val="bottom"/>
            <w:hideMark/>
          </w:tcPr>
          <w:p w14:paraId="621BB931"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3</w:t>
            </w:r>
          </w:p>
        </w:tc>
        <w:tc>
          <w:tcPr>
            <w:tcW w:w="663" w:type="dxa"/>
            <w:tcBorders>
              <w:top w:val="nil"/>
              <w:left w:val="nil"/>
              <w:bottom w:val="single" w:sz="4" w:space="0" w:color="auto"/>
              <w:right w:val="single" w:sz="4" w:space="0" w:color="auto"/>
            </w:tcBorders>
            <w:shd w:val="clear" w:color="auto" w:fill="auto"/>
            <w:noWrap/>
            <w:vAlign w:val="bottom"/>
            <w:hideMark/>
          </w:tcPr>
          <w:p w14:paraId="5C9C836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3</w:t>
            </w:r>
          </w:p>
        </w:tc>
        <w:tc>
          <w:tcPr>
            <w:tcW w:w="663" w:type="dxa"/>
            <w:tcBorders>
              <w:top w:val="nil"/>
              <w:left w:val="nil"/>
              <w:bottom w:val="single" w:sz="4" w:space="0" w:color="auto"/>
              <w:right w:val="single" w:sz="4" w:space="0" w:color="auto"/>
            </w:tcBorders>
            <w:shd w:val="clear" w:color="auto" w:fill="auto"/>
            <w:noWrap/>
            <w:vAlign w:val="bottom"/>
            <w:hideMark/>
          </w:tcPr>
          <w:p w14:paraId="7B6A4196"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3</w:t>
            </w:r>
          </w:p>
        </w:tc>
        <w:tc>
          <w:tcPr>
            <w:tcW w:w="663" w:type="dxa"/>
            <w:tcBorders>
              <w:top w:val="nil"/>
              <w:left w:val="nil"/>
              <w:bottom w:val="single" w:sz="4" w:space="0" w:color="auto"/>
              <w:right w:val="single" w:sz="4" w:space="0" w:color="auto"/>
            </w:tcBorders>
            <w:shd w:val="clear" w:color="auto" w:fill="auto"/>
            <w:noWrap/>
            <w:vAlign w:val="bottom"/>
            <w:hideMark/>
          </w:tcPr>
          <w:p w14:paraId="36630DA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3</w:t>
            </w:r>
          </w:p>
        </w:tc>
        <w:tc>
          <w:tcPr>
            <w:tcW w:w="2673" w:type="dxa"/>
            <w:tcBorders>
              <w:top w:val="nil"/>
              <w:left w:val="nil"/>
              <w:bottom w:val="single" w:sz="4" w:space="0" w:color="auto"/>
              <w:right w:val="single" w:sz="4" w:space="0" w:color="auto"/>
            </w:tcBorders>
            <w:shd w:val="clear" w:color="auto" w:fill="auto"/>
            <w:noWrap/>
            <w:vAlign w:val="bottom"/>
            <w:hideMark/>
          </w:tcPr>
          <w:p w14:paraId="110FAABE"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7C120147" w14:textId="77777777" w:rsidTr="00A424E3">
        <w:trPr>
          <w:trHeight w:val="300"/>
        </w:trPr>
        <w:tc>
          <w:tcPr>
            <w:tcW w:w="3663" w:type="dxa"/>
            <w:tcBorders>
              <w:top w:val="nil"/>
              <w:left w:val="nil"/>
              <w:bottom w:val="nil"/>
              <w:right w:val="nil"/>
            </w:tcBorders>
            <w:shd w:val="clear" w:color="auto" w:fill="auto"/>
            <w:noWrap/>
            <w:vAlign w:val="center"/>
            <w:hideMark/>
          </w:tcPr>
          <w:p w14:paraId="41428419" w14:textId="77777777" w:rsidR="00C3429E" w:rsidRPr="00055865" w:rsidRDefault="00C3429E" w:rsidP="005D6CE4">
            <w:pPr>
              <w:spacing w:after="0" w:line="480" w:lineRule="auto"/>
              <w:contextualSpacing/>
              <w:rPr>
                <w:rFonts w:ascii="Garamond" w:eastAsia="Times New Roman" w:hAnsi="Garamond" w:cs="Calibri"/>
                <w:lang w:eastAsia="en-GB"/>
              </w:rPr>
            </w:pPr>
          </w:p>
          <w:p w14:paraId="2FD27971" w14:textId="77777777" w:rsidR="00C3429E" w:rsidRPr="00055865" w:rsidRDefault="00C3429E" w:rsidP="005D6CE4">
            <w:pPr>
              <w:spacing w:after="0" w:line="480" w:lineRule="auto"/>
              <w:contextualSpacing/>
              <w:rPr>
                <w:rFonts w:ascii="Garamond" w:eastAsia="Times New Roman" w:hAnsi="Garamond" w:cs="Calibri"/>
                <w:lang w:eastAsia="en-GB"/>
              </w:rPr>
            </w:pPr>
          </w:p>
        </w:tc>
        <w:tc>
          <w:tcPr>
            <w:tcW w:w="663" w:type="dxa"/>
            <w:tcBorders>
              <w:top w:val="nil"/>
              <w:left w:val="nil"/>
              <w:bottom w:val="nil"/>
              <w:right w:val="nil"/>
            </w:tcBorders>
            <w:shd w:val="clear" w:color="auto" w:fill="auto"/>
            <w:noWrap/>
            <w:vAlign w:val="bottom"/>
            <w:hideMark/>
          </w:tcPr>
          <w:p w14:paraId="3889AD08"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14BFE29A"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064E77E"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5A11936E"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6F51C7D0"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F6B6323"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45C6F0D5"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r>
      <w:tr w:rsidR="00C3429E" w:rsidRPr="00055865" w14:paraId="302F967C" w14:textId="77777777" w:rsidTr="00A424E3">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80231" w14:textId="77777777" w:rsidR="00C3429E" w:rsidRPr="00055865" w:rsidRDefault="00C3429E" w:rsidP="005D6CE4">
            <w:pPr>
              <w:spacing w:after="0" w:line="480" w:lineRule="auto"/>
              <w:contextualSpacing/>
              <w:rPr>
                <w:rFonts w:ascii="Garamond" w:eastAsia="Times New Roman" w:hAnsi="Garamond" w:cs="Calibri"/>
                <w:b/>
                <w:bCs/>
                <w:lang w:eastAsia="en-GB"/>
              </w:rPr>
            </w:pPr>
            <w:r w:rsidRPr="00055865">
              <w:rPr>
                <w:rFonts w:ascii="Garamond" w:eastAsia="Times New Roman" w:hAnsi="Garamond" w:cs="Calibri"/>
                <w:b/>
                <w:bCs/>
                <w:lang w:eastAsia="en-GB"/>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9090650"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A441636"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114E5B7"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9BD7DFD"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5972AF3"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3579687" w14:textId="77777777" w:rsidR="00C3429E" w:rsidRPr="00055865" w:rsidRDefault="00C3429E" w:rsidP="005D6CE4">
            <w:pPr>
              <w:spacing w:after="0" w:line="480" w:lineRule="auto"/>
              <w:contextualSpacing/>
              <w:jc w:val="right"/>
              <w:rPr>
                <w:rFonts w:ascii="Garamond" w:eastAsia="Times New Roman" w:hAnsi="Garamond" w:cs="Calibri"/>
                <w:b/>
                <w:bCs/>
                <w:lang w:eastAsia="en-GB"/>
              </w:rPr>
            </w:pPr>
            <w:r w:rsidRPr="00055865">
              <w:rPr>
                <w:rFonts w:ascii="Garamond" w:eastAsia="Times New Roman" w:hAnsi="Garamond" w:cs="Calibri"/>
                <w:b/>
                <w:bCs/>
                <w:lang w:eastAsia="en-GB"/>
              </w:rPr>
              <w:t>2011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7236823F"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Notes/Page No</w:t>
            </w:r>
          </w:p>
        </w:tc>
      </w:tr>
      <w:tr w:rsidR="00C3429E" w:rsidRPr="00055865" w14:paraId="1F491F1F"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2CACE698" w14:textId="77777777" w:rsidR="00C3429E" w:rsidRPr="00055865" w:rsidRDefault="00C3429E" w:rsidP="005D6CE4">
            <w:pPr>
              <w:spacing w:after="0" w:line="480" w:lineRule="auto"/>
              <w:contextualSpacing/>
              <w:rPr>
                <w:rFonts w:ascii="Garamond" w:eastAsia="Times New Roman" w:hAnsi="Garamond" w:cs="Arial"/>
                <w:b/>
                <w:bCs/>
                <w:lang w:eastAsia="en-GB"/>
              </w:rPr>
            </w:pPr>
            <w:r w:rsidRPr="00055865">
              <w:rPr>
                <w:rFonts w:ascii="Garamond" w:eastAsia="Times New Roman" w:hAnsi="Garamond" w:cs="Arial"/>
                <w:b/>
                <w:bCs/>
                <w:lang w:eastAsia="en-GB"/>
              </w:rPr>
              <w:t>Stakeholder Engagement</w:t>
            </w:r>
          </w:p>
        </w:tc>
        <w:tc>
          <w:tcPr>
            <w:tcW w:w="663" w:type="dxa"/>
            <w:tcBorders>
              <w:top w:val="nil"/>
              <w:left w:val="nil"/>
              <w:bottom w:val="single" w:sz="4" w:space="0" w:color="auto"/>
              <w:right w:val="single" w:sz="4" w:space="0" w:color="auto"/>
            </w:tcBorders>
            <w:shd w:val="clear" w:color="auto" w:fill="auto"/>
            <w:noWrap/>
            <w:vAlign w:val="bottom"/>
            <w:hideMark/>
          </w:tcPr>
          <w:p w14:paraId="00171D01"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11C0634B"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1CADE301"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55EA6BAE"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1D31E36E"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1DEEB80C"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6A1769F7"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3BA30F65" w14:textId="77777777" w:rsidTr="00A424E3">
        <w:trPr>
          <w:trHeight w:val="855"/>
        </w:trPr>
        <w:tc>
          <w:tcPr>
            <w:tcW w:w="3663" w:type="dxa"/>
            <w:tcBorders>
              <w:top w:val="nil"/>
              <w:left w:val="single" w:sz="4" w:space="0" w:color="auto"/>
              <w:bottom w:val="single" w:sz="4" w:space="0" w:color="auto"/>
              <w:right w:val="nil"/>
            </w:tcBorders>
            <w:shd w:val="clear" w:color="auto" w:fill="auto"/>
            <w:vAlign w:val="center"/>
            <w:hideMark/>
          </w:tcPr>
          <w:p w14:paraId="533B9B70"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Increased alliances with other firms or stakeholders to jointly work on environmental projects</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30C6F3DA"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B85B5B4"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398AD7B"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344218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7C6E35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40CCD16"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0A24AA39"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68C7D20A" w14:textId="77777777" w:rsidTr="00A424E3">
        <w:trPr>
          <w:trHeight w:val="1170"/>
        </w:trPr>
        <w:tc>
          <w:tcPr>
            <w:tcW w:w="3663" w:type="dxa"/>
            <w:tcBorders>
              <w:top w:val="nil"/>
              <w:left w:val="single" w:sz="4" w:space="0" w:color="auto"/>
              <w:bottom w:val="single" w:sz="4" w:space="0" w:color="auto"/>
              <w:right w:val="nil"/>
            </w:tcBorders>
            <w:shd w:val="clear" w:color="auto" w:fill="auto"/>
            <w:vAlign w:val="center"/>
            <w:hideMark/>
          </w:tcPr>
          <w:p w14:paraId="7992627D"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Improved communication of environmental quality with stakeholders including collection and use of feedbacks</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7FD95C94"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0C18DAE"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C65260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F71926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30A0616"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29821DB"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11579A51"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55CE2F0A" w14:textId="77777777" w:rsidTr="00A424E3">
        <w:trPr>
          <w:trHeight w:val="855"/>
        </w:trPr>
        <w:tc>
          <w:tcPr>
            <w:tcW w:w="3663" w:type="dxa"/>
            <w:tcBorders>
              <w:top w:val="nil"/>
              <w:left w:val="single" w:sz="4" w:space="0" w:color="auto"/>
              <w:bottom w:val="single" w:sz="4" w:space="0" w:color="auto"/>
              <w:right w:val="nil"/>
            </w:tcBorders>
            <w:shd w:val="clear" w:color="auto" w:fill="auto"/>
            <w:vAlign w:val="center"/>
            <w:hideMark/>
          </w:tcPr>
          <w:p w14:paraId="54D1C7D0" w14:textId="77777777" w:rsidR="00C3429E" w:rsidRPr="00055865" w:rsidRDefault="00C3429E" w:rsidP="005D6CE4">
            <w:pPr>
              <w:spacing w:after="0" w:line="480" w:lineRule="auto"/>
              <w:contextualSpacing/>
              <w:jc w:val="both"/>
              <w:rPr>
                <w:rFonts w:ascii="Garamond" w:eastAsia="Times New Roman" w:hAnsi="Garamond" w:cs="Arial"/>
                <w:lang w:eastAsia="en-GB"/>
              </w:rPr>
            </w:pPr>
            <w:r w:rsidRPr="00055865">
              <w:rPr>
                <w:rFonts w:ascii="Garamond" w:eastAsia="Times New Roman" w:hAnsi="Garamond" w:cs="Arial"/>
                <w:lang w:eastAsia="en-GB"/>
              </w:rPr>
              <w:t>Increased collaboration with suppliers in terms of new product design, environmental standards for suppliers and environment audit of suppliers</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0EEB4BE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3CBD8D9"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E4AE74D"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A98798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67AC99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F94A3BC"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445A4321"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22CEB7E3" w14:textId="77777777" w:rsidTr="00A424E3">
        <w:trPr>
          <w:trHeight w:val="57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61EF7B9B"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Collaborating with employees and customers on environmental issues</w:t>
            </w:r>
          </w:p>
        </w:tc>
        <w:tc>
          <w:tcPr>
            <w:tcW w:w="663" w:type="dxa"/>
            <w:tcBorders>
              <w:top w:val="nil"/>
              <w:left w:val="nil"/>
              <w:bottom w:val="single" w:sz="4" w:space="0" w:color="auto"/>
              <w:right w:val="single" w:sz="4" w:space="0" w:color="auto"/>
            </w:tcBorders>
            <w:shd w:val="clear" w:color="auto" w:fill="auto"/>
            <w:noWrap/>
            <w:vAlign w:val="bottom"/>
            <w:hideMark/>
          </w:tcPr>
          <w:p w14:paraId="3B65D581"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CBC9ACB"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A8B2AEB"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7FA7D0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F9B083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9966F22"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vAlign w:val="bottom"/>
            <w:hideMark/>
          </w:tcPr>
          <w:p w14:paraId="0B3246B1"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580A230E"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6F715328" w14:textId="77777777" w:rsidR="00C3429E" w:rsidRPr="00055865" w:rsidRDefault="00C3429E" w:rsidP="005D6CE4">
            <w:pPr>
              <w:spacing w:after="0" w:line="480" w:lineRule="auto"/>
              <w:contextualSpacing/>
              <w:rPr>
                <w:rFonts w:ascii="Garamond" w:eastAsia="Times New Roman" w:hAnsi="Garamond" w:cs="Arial"/>
                <w:lang w:eastAsia="en-GB"/>
              </w:rPr>
            </w:pPr>
            <w:r w:rsidRPr="00055865">
              <w:rPr>
                <w:rFonts w:ascii="Garamond" w:eastAsia="Times New Roman" w:hAnsi="Garamond" w:cs="Arial"/>
                <w:lang w:eastAsia="en-GB"/>
              </w:rPr>
              <w:t>Others</w:t>
            </w:r>
          </w:p>
        </w:tc>
        <w:tc>
          <w:tcPr>
            <w:tcW w:w="663" w:type="dxa"/>
            <w:tcBorders>
              <w:top w:val="nil"/>
              <w:left w:val="nil"/>
              <w:bottom w:val="single" w:sz="4" w:space="0" w:color="auto"/>
              <w:right w:val="single" w:sz="4" w:space="0" w:color="auto"/>
            </w:tcBorders>
            <w:shd w:val="clear" w:color="auto" w:fill="auto"/>
            <w:noWrap/>
            <w:vAlign w:val="bottom"/>
            <w:hideMark/>
          </w:tcPr>
          <w:p w14:paraId="6990219C"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966561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601397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8079D1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7237BE4"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7549432"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12C62F1D"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003D228F" w14:textId="77777777" w:rsidTr="00A424E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17EFC0C8" w14:textId="77777777" w:rsidR="00C3429E" w:rsidRPr="00055865" w:rsidRDefault="00C3429E" w:rsidP="005D6CE4">
            <w:pPr>
              <w:spacing w:after="0" w:line="480" w:lineRule="auto"/>
              <w:contextualSpacing/>
              <w:rPr>
                <w:rFonts w:ascii="Garamond" w:eastAsia="Times New Roman" w:hAnsi="Garamond" w:cs="Arial"/>
                <w:b/>
                <w:bCs/>
                <w:lang w:eastAsia="en-GB"/>
              </w:rPr>
            </w:pPr>
            <w:r w:rsidRPr="00055865">
              <w:rPr>
                <w:rFonts w:ascii="Garamond" w:eastAsia="Times New Roman" w:hAnsi="Garamond" w:cs="Arial"/>
                <w:b/>
                <w:bCs/>
                <w:lang w:eastAsia="en-GB"/>
              </w:rPr>
              <w:lastRenderedPageBreak/>
              <w:t>Total</w:t>
            </w:r>
          </w:p>
        </w:tc>
        <w:tc>
          <w:tcPr>
            <w:tcW w:w="663" w:type="dxa"/>
            <w:tcBorders>
              <w:top w:val="nil"/>
              <w:left w:val="nil"/>
              <w:bottom w:val="single" w:sz="4" w:space="0" w:color="auto"/>
              <w:right w:val="single" w:sz="4" w:space="0" w:color="auto"/>
            </w:tcBorders>
            <w:shd w:val="clear" w:color="auto" w:fill="auto"/>
            <w:noWrap/>
            <w:vAlign w:val="bottom"/>
            <w:hideMark/>
          </w:tcPr>
          <w:p w14:paraId="63C3735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C2C199B"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2DF4313"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A1CFBBA"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4F207E0"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4251F81"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1F36468C"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22D083BB" w14:textId="77777777" w:rsidTr="00A424E3">
        <w:trPr>
          <w:trHeight w:val="300"/>
        </w:trPr>
        <w:tc>
          <w:tcPr>
            <w:tcW w:w="3663" w:type="dxa"/>
            <w:tcBorders>
              <w:top w:val="nil"/>
              <w:left w:val="nil"/>
              <w:bottom w:val="nil"/>
              <w:right w:val="nil"/>
            </w:tcBorders>
            <w:shd w:val="clear" w:color="auto" w:fill="auto"/>
            <w:noWrap/>
            <w:vAlign w:val="bottom"/>
            <w:hideMark/>
          </w:tcPr>
          <w:p w14:paraId="4463762E" w14:textId="77777777" w:rsidR="00C3429E" w:rsidRPr="00055865" w:rsidRDefault="00C3429E" w:rsidP="005D6CE4">
            <w:pPr>
              <w:spacing w:after="0" w:line="480" w:lineRule="auto"/>
              <w:contextualSpacing/>
              <w:rPr>
                <w:rFonts w:ascii="Garamond" w:eastAsia="Times New Roman" w:hAnsi="Garamond" w:cs="Calibri"/>
                <w:lang w:eastAsia="en-GB"/>
              </w:rPr>
            </w:pPr>
          </w:p>
        </w:tc>
        <w:tc>
          <w:tcPr>
            <w:tcW w:w="663" w:type="dxa"/>
            <w:tcBorders>
              <w:top w:val="nil"/>
              <w:left w:val="nil"/>
              <w:bottom w:val="nil"/>
              <w:right w:val="nil"/>
            </w:tcBorders>
            <w:shd w:val="clear" w:color="auto" w:fill="auto"/>
            <w:noWrap/>
            <w:vAlign w:val="bottom"/>
            <w:hideMark/>
          </w:tcPr>
          <w:p w14:paraId="36B99F53"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0A220880"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56ACC5B4"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3D2974DD"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7A752064"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7A68A1EC"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1B18D5D8"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r>
      <w:tr w:rsidR="00C3429E" w:rsidRPr="00055865" w14:paraId="5A5F0F68" w14:textId="77777777" w:rsidTr="00A424E3">
        <w:trPr>
          <w:trHeight w:val="600"/>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A629E" w14:textId="77777777" w:rsidR="00C3429E" w:rsidRPr="00055865" w:rsidRDefault="00C3429E" w:rsidP="005D6CE4">
            <w:pPr>
              <w:spacing w:after="0" w:line="480" w:lineRule="auto"/>
              <w:contextualSpacing/>
              <w:rPr>
                <w:rFonts w:ascii="Garamond" w:eastAsia="Times New Roman" w:hAnsi="Garamond" w:cs="Calibri"/>
                <w:b/>
                <w:bCs/>
                <w:lang w:eastAsia="en-GB"/>
              </w:rPr>
            </w:pPr>
            <w:r w:rsidRPr="00055865">
              <w:rPr>
                <w:rFonts w:ascii="Garamond" w:eastAsia="Times New Roman" w:hAnsi="Garamond" w:cs="Calibri"/>
                <w:b/>
                <w:bCs/>
                <w:lang w:eastAsia="en-GB"/>
              </w:rPr>
              <w:t>Composite of GP (Energy + GHG + Waste + Compliance + Materials + Stakeholder)</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0A861E65"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3</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5648B7BF"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7</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3EBDF6EC"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7</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18B6A217"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7</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3175047A"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7</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71399808" w14:textId="77777777" w:rsidR="00C3429E" w:rsidRPr="00055865" w:rsidRDefault="00C3429E" w:rsidP="005D6CE4">
            <w:pPr>
              <w:spacing w:after="0" w:line="480" w:lineRule="auto"/>
              <w:contextualSpacing/>
              <w:jc w:val="right"/>
              <w:rPr>
                <w:rFonts w:ascii="Garamond" w:eastAsia="Times New Roman" w:hAnsi="Garamond" w:cs="Calibri"/>
                <w:lang w:eastAsia="en-GB"/>
              </w:rPr>
            </w:pPr>
            <w:r w:rsidRPr="00055865">
              <w:rPr>
                <w:rFonts w:ascii="Garamond" w:eastAsia="Times New Roman" w:hAnsi="Garamond" w:cs="Calibri"/>
                <w:lang w:eastAsia="en-GB"/>
              </w:rPr>
              <w:t>7</w:t>
            </w:r>
          </w:p>
        </w:tc>
        <w:tc>
          <w:tcPr>
            <w:tcW w:w="2673" w:type="dxa"/>
            <w:tcBorders>
              <w:top w:val="single" w:sz="4" w:space="0" w:color="auto"/>
              <w:left w:val="nil"/>
              <w:bottom w:val="single" w:sz="4" w:space="0" w:color="auto"/>
              <w:right w:val="single" w:sz="4" w:space="0" w:color="auto"/>
            </w:tcBorders>
            <w:shd w:val="clear" w:color="auto" w:fill="auto"/>
            <w:vAlign w:val="bottom"/>
            <w:hideMark/>
          </w:tcPr>
          <w:p w14:paraId="498A5155" w14:textId="77777777" w:rsidR="00C3429E" w:rsidRPr="00055865" w:rsidRDefault="00C3429E" w:rsidP="005D6CE4">
            <w:pPr>
              <w:spacing w:after="0" w:line="480" w:lineRule="auto"/>
              <w:contextualSpacing/>
              <w:rPr>
                <w:rFonts w:ascii="Garamond" w:eastAsia="Times New Roman" w:hAnsi="Garamond" w:cs="Calibri"/>
                <w:lang w:eastAsia="en-GB"/>
              </w:rPr>
            </w:pPr>
            <w:r w:rsidRPr="00055865">
              <w:rPr>
                <w:rFonts w:ascii="Garamond" w:eastAsia="Times New Roman" w:hAnsi="Garamond" w:cs="Calibri"/>
                <w:lang w:eastAsia="en-GB"/>
              </w:rPr>
              <w:t> </w:t>
            </w:r>
          </w:p>
        </w:tc>
      </w:tr>
      <w:tr w:rsidR="00C3429E" w:rsidRPr="00055865" w14:paraId="355BFAB9" w14:textId="77777777" w:rsidTr="00A424E3">
        <w:trPr>
          <w:trHeight w:val="300"/>
        </w:trPr>
        <w:tc>
          <w:tcPr>
            <w:tcW w:w="3663" w:type="dxa"/>
            <w:tcBorders>
              <w:top w:val="nil"/>
              <w:left w:val="nil"/>
              <w:bottom w:val="nil"/>
              <w:right w:val="nil"/>
            </w:tcBorders>
            <w:shd w:val="clear" w:color="auto" w:fill="auto"/>
            <w:noWrap/>
            <w:vAlign w:val="bottom"/>
            <w:hideMark/>
          </w:tcPr>
          <w:p w14:paraId="0BDEE758" w14:textId="77777777" w:rsidR="00C3429E" w:rsidRPr="00055865" w:rsidRDefault="00C3429E" w:rsidP="005D6CE4">
            <w:pPr>
              <w:spacing w:after="0" w:line="480" w:lineRule="auto"/>
              <w:contextualSpacing/>
              <w:rPr>
                <w:rFonts w:ascii="Times New Roman" w:eastAsia="Times New Roman" w:hAnsi="Times New Roman" w:cs="Times New Roman"/>
                <w:b/>
                <w:bCs/>
                <w:sz w:val="24"/>
                <w:szCs w:val="24"/>
                <w:lang w:eastAsia="en-GB"/>
              </w:rPr>
            </w:pPr>
          </w:p>
        </w:tc>
        <w:tc>
          <w:tcPr>
            <w:tcW w:w="663" w:type="dxa"/>
            <w:tcBorders>
              <w:top w:val="nil"/>
              <w:left w:val="nil"/>
              <w:bottom w:val="nil"/>
              <w:right w:val="nil"/>
            </w:tcBorders>
            <w:shd w:val="clear" w:color="auto" w:fill="auto"/>
            <w:noWrap/>
            <w:vAlign w:val="bottom"/>
            <w:hideMark/>
          </w:tcPr>
          <w:p w14:paraId="015DD74A"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0818EDD4"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3F689D7B"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B6E5742"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4316396C"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46A5B1C9"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5DA245C8" w14:textId="77777777" w:rsidR="00C3429E" w:rsidRPr="00055865" w:rsidRDefault="00C3429E" w:rsidP="005D6CE4">
            <w:pPr>
              <w:spacing w:after="0" w:line="480" w:lineRule="auto"/>
              <w:contextualSpacing/>
              <w:rPr>
                <w:rFonts w:ascii="Garamond" w:eastAsia="Times New Roman" w:hAnsi="Garamond"/>
                <w:sz w:val="20"/>
                <w:szCs w:val="20"/>
                <w:lang w:eastAsia="en-GB"/>
              </w:rPr>
            </w:pPr>
          </w:p>
        </w:tc>
      </w:tr>
    </w:tbl>
    <w:p w14:paraId="1005C7B6" w14:textId="24B1DDAA" w:rsidR="003109F4" w:rsidRPr="00055865" w:rsidRDefault="003109F4" w:rsidP="005D6CE4">
      <w:pPr>
        <w:autoSpaceDE w:val="0"/>
        <w:autoSpaceDN w:val="0"/>
        <w:adjustRightInd w:val="0"/>
        <w:spacing w:after="0" w:line="360" w:lineRule="auto"/>
        <w:jc w:val="both"/>
        <w:rPr>
          <w:rFonts w:ascii="Garamond" w:hAnsi="Garamond" w:cs="Times New Roman"/>
          <w:b/>
          <w:bCs/>
          <w:sz w:val="24"/>
          <w:szCs w:val="24"/>
        </w:rPr>
      </w:pPr>
      <w:r w:rsidRPr="00055865">
        <w:rPr>
          <w:rFonts w:ascii="Garamond" w:hAnsi="Garamond" w:cs="Times New Roman"/>
          <w:b/>
          <w:bCs/>
          <w:sz w:val="24"/>
          <w:szCs w:val="24"/>
        </w:rPr>
        <w:t>Coding Process and Unit of Coding</w:t>
      </w:r>
    </w:p>
    <w:p w14:paraId="560303DA" w14:textId="6F65D67B" w:rsidR="00A424E3" w:rsidRPr="00055865" w:rsidRDefault="003109F4" w:rsidP="00334689">
      <w:pPr>
        <w:autoSpaceDE w:val="0"/>
        <w:autoSpaceDN w:val="0"/>
        <w:adjustRightInd w:val="0"/>
        <w:spacing w:after="0" w:line="360" w:lineRule="auto"/>
        <w:jc w:val="both"/>
        <w:rPr>
          <w:rFonts w:ascii="Garamond" w:hAnsi="Garamond"/>
        </w:rPr>
      </w:pPr>
      <w:r w:rsidRPr="00055865">
        <w:rPr>
          <w:rFonts w:ascii="Garamond" w:hAnsi="Garamond" w:cs="Times New Roman"/>
          <w:sz w:val="24"/>
          <w:szCs w:val="24"/>
        </w:rPr>
        <w:t>As demonstrated in appendix 1 above using one of the selected firms, Sustainable Environmental P</w:t>
      </w:r>
      <w:r w:rsidR="00055865" w:rsidRPr="00055865">
        <w:rPr>
          <w:rFonts w:ascii="Garamond" w:hAnsi="Garamond" w:cs="Times New Roman"/>
          <w:sz w:val="24"/>
          <w:szCs w:val="24"/>
        </w:rPr>
        <w:t>olicies</w:t>
      </w:r>
      <w:r w:rsidR="00BF1526">
        <w:rPr>
          <w:rFonts w:ascii="Garamond" w:hAnsi="Garamond" w:cs="Times New Roman"/>
          <w:sz w:val="24"/>
          <w:szCs w:val="24"/>
        </w:rPr>
        <w:t xml:space="preserve"> (SEP) were</w:t>
      </w:r>
      <w:r w:rsidRPr="00055865">
        <w:rPr>
          <w:rFonts w:ascii="Garamond" w:hAnsi="Garamond" w:cs="Times New Roman"/>
          <w:sz w:val="24"/>
          <w:szCs w:val="24"/>
        </w:rPr>
        <w:t xml:space="preserve"> divided into six environmental performance variables made up of energy, greenhouse gases</w:t>
      </w:r>
      <w:r w:rsidR="00B07E27" w:rsidRPr="00055865">
        <w:rPr>
          <w:rFonts w:ascii="Garamond" w:hAnsi="Garamond" w:cs="Times New Roman"/>
          <w:sz w:val="24"/>
          <w:szCs w:val="24"/>
        </w:rPr>
        <w:t xml:space="preserve"> (GHG)</w:t>
      </w:r>
      <w:r w:rsidRPr="00055865">
        <w:rPr>
          <w:rFonts w:ascii="Garamond" w:hAnsi="Garamond" w:cs="Times New Roman"/>
          <w:sz w:val="24"/>
          <w:szCs w:val="24"/>
        </w:rPr>
        <w:t>, waste, materials and resource efficiency, stakeholder relationship</w:t>
      </w:r>
      <w:r w:rsidR="00BF1526">
        <w:rPr>
          <w:rFonts w:ascii="Garamond" w:hAnsi="Garamond" w:cs="Times New Roman"/>
          <w:sz w:val="24"/>
          <w:szCs w:val="24"/>
        </w:rPr>
        <w:t>,</w:t>
      </w:r>
      <w:r w:rsidRPr="00055865">
        <w:rPr>
          <w:rFonts w:ascii="Garamond" w:hAnsi="Garamond" w:cs="Times New Roman"/>
          <w:sz w:val="24"/>
          <w:szCs w:val="24"/>
        </w:rPr>
        <w:t xml:space="preserve"> and compliance. Within each sub</w:t>
      </w:r>
      <w:r w:rsidR="003E505D" w:rsidRPr="00055865">
        <w:rPr>
          <w:rFonts w:ascii="Garamond" w:hAnsi="Garamond" w:cs="Times New Roman"/>
          <w:sz w:val="24"/>
          <w:szCs w:val="24"/>
        </w:rPr>
        <w:t>-</w:t>
      </w:r>
      <w:r w:rsidRPr="00055865">
        <w:rPr>
          <w:rFonts w:ascii="Garamond" w:hAnsi="Garamond" w:cs="Times New Roman"/>
          <w:noProof/>
          <w:sz w:val="24"/>
          <w:szCs w:val="24"/>
        </w:rPr>
        <w:t>measure,</w:t>
      </w:r>
      <w:r w:rsidRPr="00055865">
        <w:rPr>
          <w:rFonts w:ascii="Garamond" w:hAnsi="Garamond" w:cs="Times New Roman"/>
          <w:sz w:val="24"/>
          <w:szCs w:val="24"/>
        </w:rPr>
        <w:t xml:space="preserve"> </w:t>
      </w:r>
      <w:r w:rsidR="003E505D" w:rsidRPr="00055865">
        <w:rPr>
          <w:rFonts w:ascii="Garamond" w:hAnsi="Garamond" w:cs="Times New Roman"/>
          <w:sz w:val="24"/>
          <w:szCs w:val="24"/>
        </w:rPr>
        <w:t>five different performance variables</w:t>
      </w:r>
      <w:r w:rsidRPr="00055865">
        <w:rPr>
          <w:rFonts w:ascii="Garamond" w:hAnsi="Garamond" w:cs="Times New Roman"/>
          <w:sz w:val="24"/>
          <w:szCs w:val="24"/>
        </w:rPr>
        <w:t xml:space="preserve"> constitute each sub</w:t>
      </w:r>
      <w:r w:rsidR="003E505D" w:rsidRPr="00055865">
        <w:rPr>
          <w:rFonts w:ascii="Garamond" w:hAnsi="Garamond" w:cs="Times New Roman"/>
          <w:sz w:val="24"/>
          <w:szCs w:val="24"/>
        </w:rPr>
        <w:t>-</w:t>
      </w:r>
      <w:r w:rsidRPr="00055865">
        <w:rPr>
          <w:rFonts w:ascii="Garamond" w:hAnsi="Garamond" w:cs="Times New Roman"/>
          <w:sz w:val="24"/>
          <w:szCs w:val="24"/>
        </w:rPr>
        <w:t xml:space="preserve">measure. </w:t>
      </w:r>
      <w:r w:rsidR="003E505D" w:rsidRPr="00055865">
        <w:rPr>
          <w:rFonts w:ascii="Garamond" w:hAnsi="Garamond" w:cs="Times New Roman"/>
          <w:sz w:val="24"/>
          <w:szCs w:val="24"/>
        </w:rPr>
        <w:t>The b</w:t>
      </w:r>
      <w:r w:rsidRPr="00055865">
        <w:rPr>
          <w:rFonts w:ascii="Garamond" w:hAnsi="Garamond" w:cs="Times New Roman"/>
          <w:sz w:val="24"/>
          <w:szCs w:val="24"/>
        </w:rPr>
        <w:t>inary coding system is used to identify items under each sub</w:t>
      </w:r>
      <w:r w:rsidR="003E505D" w:rsidRPr="00055865">
        <w:rPr>
          <w:rFonts w:ascii="Garamond" w:hAnsi="Garamond" w:cs="Times New Roman"/>
          <w:sz w:val="24"/>
          <w:szCs w:val="24"/>
        </w:rPr>
        <w:t>-</w:t>
      </w:r>
      <w:r w:rsidRPr="00055865">
        <w:rPr>
          <w:rFonts w:ascii="Garamond" w:hAnsi="Garamond" w:cs="Times New Roman"/>
          <w:sz w:val="24"/>
          <w:szCs w:val="24"/>
        </w:rPr>
        <w:t>measure</w:t>
      </w:r>
      <w:r w:rsidR="003E505D" w:rsidRPr="00055865">
        <w:rPr>
          <w:rFonts w:ascii="Garamond" w:hAnsi="Garamond" w:cs="Times New Roman"/>
          <w:sz w:val="24"/>
          <w:szCs w:val="24"/>
        </w:rPr>
        <w:t>.</w:t>
      </w:r>
      <w:r w:rsidRPr="00055865">
        <w:rPr>
          <w:rFonts w:ascii="Garamond" w:hAnsi="Garamond" w:cs="Times New Roman"/>
          <w:sz w:val="24"/>
          <w:szCs w:val="24"/>
        </w:rPr>
        <w:t xml:space="preserve"> 1 is recorded where an item in the sub</w:t>
      </w:r>
      <w:r w:rsidR="003E505D" w:rsidRPr="00055865">
        <w:rPr>
          <w:rFonts w:ascii="Garamond" w:hAnsi="Garamond" w:cs="Times New Roman"/>
          <w:sz w:val="24"/>
          <w:szCs w:val="24"/>
        </w:rPr>
        <w:t>-</w:t>
      </w:r>
      <w:r w:rsidRPr="00055865">
        <w:rPr>
          <w:rFonts w:ascii="Garamond" w:hAnsi="Garamond" w:cs="Times New Roman"/>
          <w:sz w:val="24"/>
          <w:szCs w:val="24"/>
        </w:rPr>
        <w:t>measure is disclosed</w:t>
      </w:r>
      <w:r w:rsidR="003E505D" w:rsidRPr="00055865">
        <w:rPr>
          <w:rFonts w:ascii="Garamond" w:hAnsi="Garamond" w:cs="Times New Roman"/>
          <w:sz w:val="24"/>
          <w:szCs w:val="24"/>
        </w:rPr>
        <w:t>,</w:t>
      </w:r>
      <w:r w:rsidRPr="00055865">
        <w:rPr>
          <w:rFonts w:ascii="Garamond" w:hAnsi="Garamond" w:cs="Times New Roman"/>
          <w:sz w:val="24"/>
          <w:szCs w:val="24"/>
        </w:rPr>
        <w:t xml:space="preserve"> and 0 is also recorded where the item under the sub</w:t>
      </w:r>
      <w:r w:rsidR="003E505D" w:rsidRPr="00055865">
        <w:rPr>
          <w:rFonts w:ascii="Garamond" w:hAnsi="Garamond" w:cs="Times New Roman"/>
          <w:sz w:val="24"/>
          <w:szCs w:val="24"/>
        </w:rPr>
        <w:t>-</w:t>
      </w:r>
      <w:r w:rsidRPr="00055865">
        <w:rPr>
          <w:rFonts w:ascii="Garamond" w:hAnsi="Garamond" w:cs="Times New Roman"/>
          <w:sz w:val="24"/>
          <w:szCs w:val="24"/>
        </w:rPr>
        <w:t>measure is not disclosed. The number of items disclosed under each sub</w:t>
      </w:r>
      <w:r w:rsidR="003E505D" w:rsidRPr="00055865">
        <w:rPr>
          <w:rFonts w:ascii="Garamond" w:hAnsi="Garamond" w:cs="Times New Roman"/>
          <w:sz w:val="24"/>
          <w:szCs w:val="24"/>
        </w:rPr>
        <w:t>-</w:t>
      </w:r>
      <w:r w:rsidRPr="00055865">
        <w:rPr>
          <w:rFonts w:ascii="Garamond" w:hAnsi="Garamond" w:cs="Times New Roman"/>
          <w:sz w:val="24"/>
          <w:szCs w:val="24"/>
        </w:rPr>
        <w:t>measure is added together to obtain the value for the sub</w:t>
      </w:r>
      <w:r w:rsidR="003E505D" w:rsidRPr="00055865">
        <w:rPr>
          <w:rFonts w:ascii="Garamond" w:hAnsi="Garamond" w:cs="Times New Roman"/>
          <w:sz w:val="24"/>
          <w:szCs w:val="24"/>
        </w:rPr>
        <w:t>-</w:t>
      </w:r>
      <w:r w:rsidRPr="00055865">
        <w:rPr>
          <w:rFonts w:ascii="Garamond" w:hAnsi="Garamond" w:cs="Times New Roman"/>
          <w:sz w:val="24"/>
          <w:szCs w:val="24"/>
        </w:rPr>
        <w:t>measure</w:t>
      </w:r>
      <w:r w:rsidR="00442829" w:rsidRPr="00055865">
        <w:rPr>
          <w:rFonts w:ascii="Garamond" w:hAnsi="Garamond" w:cs="Times New Roman"/>
          <w:sz w:val="24"/>
          <w:szCs w:val="24"/>
        </w:rPr>
        <w:t>.</w:t>
      </w:r>
      <w:r w:rsidR="00334689" w:rsidRPr="00055865">
        <w:rPr>
          <w:rFonts w:ascii="Garamond" w:hAnsi="Garamond"/>
        </w:rPr>
        <w:t xml:space="preserve"> </w:t>
      </w:r>
    </w:p>
    <w:sectPr w:rsidR="00A424E3" w:rsidRPr="00055865" w:rsidSect="0060274A">
      <w:pgSz w:w="11906" w:h="16838" w:code="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B0709" w14:textId="77777777" w:rsidR="00806386" w:rsidRDefault="00806386">
      <w:pPr>
        <w:spacing w:after="0" w:line="240" w:lineRule="auto"/>
      </w:pPr>
      <w:r>
        <w:separator/>
      </w:r>
    </w:p>
  </w:endnote>
  <w:endnote w:type="continuationSeparator" w:id="0">
    <w:p w14:paraId="0802CDAC" w14:textId="77777777" w:rsidR="00806386" w:rsidRDefault="0080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20B0604020202020204"/>
    <w:charset w:val="8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3E88" w14:textId="77777777" w:rsidR="008A15E2" w:rsidRDefault="008A15E2">
    <w:pPr>
      <w:pStyle w:val="Footer"/>
      <w:jc w:val="center"/>
    </w:pPr>
    <w:r>
      <w:fldChar w:fldCharType="begin"/>
    </w:r>
    <w:r>
      <w:instrText xml:space="preserve"> PAGE   \* MERGEFORMAT </w:instrText>
    </w:r>
    <w:r>
      <w:fldChar w:fldCharType="separate"/>
    </w:r>
    <w:r>
      <w:rPr>
        <w:noProof/>
      </w:rPr>
      <w:t>20</w:t>
    </w:r>
    <w:r>
      <w:rPr>
        <w:noProof/>
      </w:rPr>
      <w:fldChar w:fldCharType="end"/>
    </w:r>
  </w:p>
  <w:p w14:paraId="6105CEA8" w14:textId="77777777" w:rsidR="008A15E2" w:rsidRDefault="008A1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FE5DF" w14:textId="77777777" w:rsidR="00806386" w:rsidRDefault="00806386">
      <w:pPr>
        <w:spacing w:after="0" w:line="240" w:lineRule="auto"/>
      </w:pPr>
      <w:r>
        <w:separator/>
      </w:r>
    </w:p>
  </w:footnote>
  <w:footnote w:type="continuationSeparator" w:id="0">
    <w:p w14:paraId="66961F07" w14:textId="77777777" w:rsidR="00806386" w:rsidRDefault="00806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68AB" w14:textId="77777777" w:rsidR="008A15E2" w:rsidRDefault="008A15E2" w:rsidP="00A424E3">
    <w:pPr>
      <w:pStyle w:val="Header"/>
      <w:tabs>
        <w:tab w:val="clear" w:pos="4513"/>
        <w:tab w:val="clear" w:pos="9026"/>
        <w:tab w:val="left" w:pos="1275"/>
        <w:tab w:val="left" w:pos="52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B6E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7063B"/>
    <w:multiLevelType w:val="multilevel"/>
    <w:tmpl w:val="E2D23300"/>
    <w:lvl w:ilvl="0">
      <w:start w:val="1"/>
      <w:numFmt w:val="decimal"/>
      <w:lvlText w:val="%1."/>
      <w:lvlJc w:val="left"/>
      <w:pPr>
        <w:ind w:left="501" w:hanging="360"/>
      </w:pPr>
      <w:rPr>
        <w:rFonts w:hint="default"/>
        <w:b/>
      </w:rPr>
    </w:lvl>
    <w:lvl w:ilvl="1">
      <w:start w:val="5"/>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2" w15:restartNumberingAfterBreak="0">
    <w:nsid w:val="08794B1F"/>
    <w:multiLevelType w:val="multilevel"/>
    <w:tmpl w:val="5F4C61E4"/>
    <w:lvl w:ilvl="0">
      <w:start w:val="4"/>
      <w:numFmt w:val="decimal"/>
      <w:lvlText w:val="%1.0"/>
      <w:lvlJc w:val="left"/>
      <w:pPr>
        <w:ind w:left="360" w:hanging="360"/>
      </w:pPr>
      <w:rPr>
        <w:rFonts w:cs="Arial" w:hint="default"/>
        <w:sz w:val="22"/>
      </w:rPr>
    </w:lvl>
    <w:lvl w:ilvl="1">
      <w:start w:val="1"/>
      <w:numFmt w:val="decimal"/>
      <w:lvlText w:val="%1.%2"/>
      <w:lvlJc w:val="left"/>
      <w:pPr>
        <w:ind w:left="1440" w:hanging="720"/>
      </w:pPr>
      <w:rPr>
        <w:rFonts w:cs="Arial" w:hint="default"/>
        <w:sz w:val="22"/>
      </w:rPr>
    </w:lvl>
    <w:lvl w:ilvl="2">
      <w:start w:val="1"/>
      <w:numFmt w:val="decimal"/>
      <w:lvlText w:val="%1.%2.%3"/>
      <w:lvlJc w:val="left"/>
      <w:pPr>
        <w:ind w:left="2160" w:hanging="720"/>
      </w:pPr>
      <w:rPr>
        <w:rFonts w:cs="Arial" w:hint="default"/>
        <w:sz w:val="22"/>
      </w:rPr>
    </w:lvl>
    <w:lvl w:ilvl="3">
      <w:start w:val="1"/>
      <w:numFmt w:val="decimal"/>
      <w:lvlText w:val="%1.%2.%3.%4"/>
      <w:lvlJc w:val="left"/>
      <w:pPr>
        <w:ind w:left="3240" w:hanging="1080"/>
      </w:pPr>
      <w:rPr>
        <w:rFonts w:cs="Arial" w:hint="default"/>
        <w:sz w:val="22"/>
      </w:rPr>
    </w:lvl>
    <w:lvl w:ilvl="4">
      <w:start w:val="1"/>
      <w:numFmt w:val="decimal"/>
      <w:lvlText w:val="%1.%2.%3.%4.%5"/>
      <w:lvlJc w:val="left"/>
      <w:pPr>
        <w:ind w:left="3960" w:hanging="1080"/>
      </w:pPr>
      <w:rPr>
        <w:rFonts w:cs="Arial" w:hint="default"/>
        <w:sz w:val="22"/>
      </w:rPr>
    </w:lvl>
    <w:lvl w:ilvl="5">
      <w:start w:val="1"/>
      <w:numFmt w:val="decimal"/>
      <w:lvlText w:val="%1.%2.%3.%4.%5.%6"/>
      <w:lvlJc w:val="left"/>
      <w:pPr>
        <w:ind w:left="5040" w:hanging="1440"/>
      </w:pPr>
      <w:rPr>
        <w:rFonts w:cs="Arial" w:hint="default"/>
        <w:sz w:val="22"/>
      </w:rPr>
    </w:lvl>
    <w:lvl w:ilvl="6">
      <w:start w:val="1"/>
      <w:numFmt w:val="decimal"/>
      <w:lvlText w:val="%1.%2.%3.%4.%5.%6.%7"/>
      <w:lvlJc w:val="left"/>
      <w:pPr>
        <w:ind w:left="6120" w:hanging="1800"/>
      </w:pPr>
      <w:rPr>
        <w:rFonts w:cs="Arial" w:hint="default"/>
        <w:sz w:val="22"/>
      </w:rPr>
    </w:lvl>
    <w:lvl w:ilvl="7">
      <w:start w:val="1"/>
      <w:numFmt w:val="decimal"/>
      <w:lvlText w:val="%1.%2.%3.%4.%5.%6.%7.%8"/>
      <w:lvlJc w:val="left"/>
      <w:pPr>
        <w:ind w:left="6840" w:hanging="1800"/>
      </w:pPr>
      <w:rPr>
        <w:rFonts w:cs="Arial" w:hint="default"/>
        <w:sz w:val="22"/>
      </w:rPr>
    </w:lvl>
    <w:lvl w:ilvl="8">
      <w:start w:val="1"/>
      <w:numFmt w:val="decimal"/>
      <w:lvlText w:val="%1.%2.%3.%4.%5.%6.%7.%8.%9"/>
      <w:lvlJc w:val="left"/>
      <w:pPr>
        <w:ind w:left="7920" w:hanging="2160"/>
      </w:pPr>
      <w:rPr>
        <w:rFonts w:cs="Arial" w:hint="default"/>
        <w:sz w:val="22"/>
      </w:rPr>
    </w:lvl>
  </w:abstractNum>
  <w:abstractNum w:abstractNumId="3" w15:restartNumberingAfterBreak="0">
    <w:nsid w:val="09CB5240"/>
    <w:multiLevelType w:val="multilevel"/>
    <w:tmpl w:val="47329F86"/>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60A2A98"/>
    <w:multiLevelType w:val="multilevel"/>
    <w:tmpl w:val="5EF43C3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9191F"/>
    <w:multiLevelType w:val="multilevel"/>
    <w:tmpl w:val="C6568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54713E"/>
    <w:multiLevelType w:val="multilevel"/>
    <w:tmpl w:val="668C7AB6"/>
    <w:lvl w:ilvl="0">
      <w:start w:val="1"/>
      <w:numFmt w:val="decimal"/>
      <w:lvlText w:val="%1."/>
      <w:lvlJc w:val="left"/>
      <w:pPr>
        <w:tabs>
          <w:tab w:val="num" w:pos="720"/>
        </w:tabs>
        <w:ind w:left="720" w:hanging="720"/>
      </w:pPr>
    </w:lvl>
    <w:lvl w:ilvl="1">
      <w:start w:val="1"/>
      <w:numFmt w:val="decimal"/>
      <w:pStyle w:val="Style3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39001B"/>
    <w:multiLevelType w:val="multilevel"/>
    <w:tmpl w:val="75AE15E6"/>
    <w:lvl w:ilvl="0">
      <w:start w:val="2"/>
      <w:numFmt w:val="decimal"/>
      <w:lvlText w:val="%1.0"/>
      <w:lvlJc w:val="left"/>
      <w:pPr>
        <w:ind w:left="76" w:hanging="360"/>
      </w:pPr>
      <w:rPr>
        <w:rFonts w:hint="default"/>
      </w:rPr>
    </w:lvl>
    <w:lvl w:ilvl="1">
      <w:start w:val="1"/>
      <w:numFmt w:val="decimal"/>
      <w:lvlText w:val="%1.%2"/>
      <w:lvlJc w:val="left"/>
      <w:pPr>
        <w:ind w:left="796"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956" w:hanging="1080"/>
      </w:pPr>
      <w:rPr>
        <w:rFonts w:hint="default"/>
      </w:rPr>
    </w:lvl>
    <w:lvl w:ilvl="4">
      <w:start w:val="1"/>
      <w:numFmt w:val="decimal"/>
      <w:lvlText w:val="%1.%2.%3.%4.%5"/>
      <w:lvlJc w:val="left"/>
      <w:pPr>
        <w:ind w:left="3676" w:hanging="1080"/>
      </w:pPr>
      <w:rPr>
        <w:rFonts w:hint="default"/>
      </w:rPr>
    </w:lvl>
    <w:lvl w:ilvl="5">
      <w:start w:val="1"/>
      <w:numFmt w:val="decimal"/>
      <w:lvlText w:val="%1.%2.%3.%4.%5.%6"/>
      <w:lvlJc w:val="left"/>
      <w:pPr>
        <w:ind w:left="4756" w:hanging="1440"/>
      </w:pPr>
      <w:rPr>
        <w:rFonts w:hint="default"/>
      </w:rPr>
    </w:lvl>
    <w:lvl w:ilvl="6">
      <w:start w:val="1"/>
      <w:numFmt w:val="decimal"/>
      <w:lvlText w:val="%1.%2.%3.%4.%5.%6.%7"/>
      <w:lvlJc w:val="left"/>
      <w:pPr>
        <w:ind w:left="5476" w:hanging="1440"/>
      </w:pPr>
      <w:rPr>
        <w:rFonts w:hint="default"/>
      </w:rPr>
    </w:lvl>
    <w:lvl w:ilvl="7">
      <w:start w:val="1"/>
      <w:numFmt w:val="decimal"/>
      <w:lvlText w:val="%1.%2.%3.%4.%5.%6.%7.%8"/>
      <w:lvlJc w:val="left"/>
      <w:pPr>
        <w:ind w:left="6556" w:hanging="1800"/>
      </w:pPr>
      <w:rPr>
        <w:rFonts w:hint="default"/>
      </w:rPr>
    </w:lvl>
    <w:lvl w:ilvl="8">
      <w:start w:val="1"/>
      <w:numFmt w:val="decimal"/>
      <w:lvlText w:val="%1.%2.%3.%4.%5.%6.%7.%8.%9"/>
      <w:lvlJc w:val="left"/>
      <w:pPr>
        <w:ind w:left="7276" w:hanging="1800"/>
      </w:pPr>
      <w:rPr>
        <w:rFonts w:hint="default"/>
      </w:rPr>
    </w:lvl>
  </w:abstractNum>
  <w:abstractNum w:abstractNumId="8" w15:restartNumberingAfterBreak="0">
    <w:nsid w:val="4E2241BD"/>
    <w:multiLevelType w:val="multilevel"/>
    <w:tmpl w:val="A1362C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9621C12"/>
    <w:multiLevelType w:val="hybridMultilevel"/>
    <w:tmpl w:val="0D303258"/>
    <w:lvl w:ilvl="0" w:tplc="0838C5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num>
  <w:num w:numId="3">
    <w:abstractNumId w:val="8"/>
  </w:num>
  <w:num w:numId="4">
    <w:abstractNumId w:val="5"/>
  </w:num>
  <w:num w:numId="5">
    <w:abstractNumId w:val="1"/>
  </w:num>
  <w:num w:numId="6">
    <w:abstractNumId w:val="7"/>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wsDQ1MzMwNrA0NTVS0lEKTi0uzszPAykwMqgFAGwDZB8tAAAA"/>
  </w:docVars>
  <w:rsids>
    <w:rsidRoot w:val="00C3429E"/>
    <w:rsid w:val="00017F15"/>
    <w:rsid w:val="00025435"/>
    <w:rsid w:val="0003318B"/>
    <w:rsid w:val="000416AC"/>
    <w:rsid w:val="00045F74"/>
    <w:rsid w:val="00055865"/>
    <w:rsid w:val="000713CD"/>
    <w:rsid w:val="00075BB2"/>
    <w:rsid w:val="00080724"/>
    <w:rsid w:val="000954E9"/>
    <w:rsid w:val="00096B70"/>
    <w:rsid w:val="000A095C"/>
    <w:rsid w:val="000B5BEF"/>
    <w:rsid w:val="000C09A7"/>
    <w:rsid w:val="000C2421"/>
    <w:rsid w:val="000D5355"/>
    <w:rsid w:val="000D581E"/>
    <w:rsid w:val="000F3FB9"/>
    <w:rsid w:val="00102044"/>
    <w:rsid w:val="001031AD"/>
    <w:rsid w:val="00103B1C"/>
    <w:rsid w:val="0010604F"/>
    <w:rsid w:val="00111C5C"/>
    <w:rsid w:val="00112B5C"/>
    <w:rsid w:val="00114912"/>
    <w:rsid w:val="00114AA4"/>
    <w:rsid w:val="0012156D"/>
    <w:rsid w:val="00122D52"/>
    <w:rsid w:val="001309B7"/>
    <w:rsid w:val="00131EC6"/>
    <w:rsid w:val="00135E5E"/>
    <w:rsid w:val="00140601"/>
    <w:rsid w:val="001415BD"/>
    <w:rsid w:val="001424BB"/>
    <w:rsid w:val="001507A1"/>
    <w:rsid w:val="00152810"/>
    <w:rsid w:val="0015432F"/>
    <w:rsid w:val="0015629C"/>
    <w:rsid w:val="00160A22"/>
    <w:rsid w:val="00164C8B"/>
    <w:rsid w:val="0016739E"/>
    <w:rsid w:val="001677EC"/>
    <w:rsid w:val="0017350A"/>
    <w:rsid w:val="00181684"/>
    <w:rsid w:val="001843D5"/>
    <w:rsid w:val="00184A55"/>
    <w:rsid w:val="00187406"/>
    <w:rsid w:val="001916A9"/>
    <w:rsid w:val="0019632A"/>
    <w:rsid w:val="001A4C2E"/>
    <w:rsid w:val="001A6279"/>
    <w:rsid w:val="001A7CF2"/>
    <w:rsid w:val="001C50F3"/>
    <w:rsid w:val="001C5E11"/>
    <w:rsid w:val="001C7745"/>
    <w:rsid w:val="001D2D28"/>
    <w:rsid w:val="001D5D2C"/>
    <w:rsid w:val="001D728D"/>
    <w:rsid w:val="001E0F5D"/>
    <w:rsid w:val="001E1E11"/>
    <w:rsid w:val="001E32BB"/>
    <w:rsid w:val="001E5E96"/>
    <w:rsid w:val="001E71BB"/>
    <w:rsid w:val="001F13E3"/>
    <w:rsid w:val="001F50C0"/>
    <w:rsid w:val="001F52DC"/>
    <w:rsid w:val="001F5A9C"/>
    <w:rsid w:val="00204FF4"/>
    <w:rsid w:val="00205706"/>
    <w:rsid w:val="00207416"/>
    <w:rsid w:val="00217D30"/>
    <w:rsid w:val="00222299"/>
    <w:rsid w:val="0023547A"/>
    <w:rsid w:val="0023579E"/>
    <w:rsid w:val="00240093"/>
    <w:rsid w:val="00245CED"/>
    <w:rsid w:val="00265917"/>
    <w:rsid w:val="0026729C"/>
    <w:rsid w:val="00272958"/>
    <w:rsid w:val="002737FA"/>
    <w:rsid w:val="00281223"/>
    <w:rsid w:val="0028417F"/>
    <w:rsid w:val="002857D5"/>
    <w:rsid w:val="0028668E"/>
    <w:rsid w:val="00291025"/>
    <w:rsid w:val="00297769"/>
    <w:rsid w:val="002A588C"/>
    <w:rsid w:val="002A6417"/>
    <w:rsid w:val="002A6FB2"/>
    <w:rsid w:val="002B1E4A"/>
    <w:rsid w:val="002B33A2"/>
    <w:rsid w:val="002B6178"/>
    <w:rsid w:val="002B62B0"/>
    <w:rsid w:val="002B70FA"/>
    <w:rsid w:val="002C65A2"/>
    <w:rsid w:val="002D1F7B"/>
    <w:rsid w:val="002D294B"/>
    <w:rsid w:val="002E1A43"/>
    <w:rsid w:val="002F0518"/>
    <w:rsid w:val="002F0654"/>
    <w:rsid w:val="002F1A34"/>
    <w:rsid w:val="00301A9D"/>
    <w:rsid w:val="00302CC9"/>
    <w:rsid w:val="003109F4"/>
    <w:rsid w:val="00312633"/>
    <w:rsid w:val="003254A6"/>
    <w:rsid w:val="00325EF5"/>
    <w:rsid w:val="00327B9D"/>
    <w:rsid w:val="00330F01"/>
    <w:rsid w:val="003342EC"/>
    <w:rsid w:val="00334689"/>
    <w:rsid w:val="00342085"/>
    <w:rsid w:val="00344DA8"/>
    <w:rsid w:val="003621E3"/>
    <w:rsid w:val="003A7A06"/>
    <w:rsid w:val="003B1B70"/>
    <w:rsid w:val="003B2D03"/>
    <w:rsid w:val="003B45FD"/>
    <w:rsid w:val="003B798B"/>
    <w:rsid w:val="003C3887"/>
    <w:rsid w:val="003C631F"/>
    <w:rsid w:val="003E31A0"/>
    <w:rsid w:val="003E3DD2"/>
    <w:rsid w:val="003E505D"/>
    <w:rsid w:val="00407C5C"/>
    <w:rsid w:val="0041222C"/>
    <w:rsid w:val="00434D0F"/>
    <w:rsid w:val="004400DB"/>
    <w:rsid w:val="00442829"/>
    <w:rsid w:val="0045171A"/>
    <w:rsid w:val="00454E3A"/>
    <w:rsid w:val="004637A1"/>
    <w:rsid w:val="00465D73"/>
    <w:rsid w:val="00465F38"/>
    <w:rsid w:val="00470CB3"/>
    <w:rsid w:val="00472955"/>
    <w:rsid w:val="0048284B"/>
    <w:rsid w:val="004914EB"/>
    <w:rsid w:val="00491704"/>
    <w:rsid w:val="00491B90"/>
    <w:rsid w:val="004970D9"/>
    <w:rsid w:val="004C513D"/>
    <w:rsid w:val="004D0985"/>
    <w:rsid w:val="004D2687"/>
    <w:rsid w:val="004D2847"/>
    <w:rsid w:val="004D424D"/>
    <w:rsid w:val="004E350A"/>
    <w:rsid w:val="00506437"/>
    <w:rsid w:val="0050790D"/>
    <w:rsid w:val="00510B88"/>
    <w:rsid w:val="005116E6"/>
    <w:rsid w:val="005121CA"/>
    <w:rsid w:val="00520551"/>
    <w:rsid w:val="00523B75"/>
    <w:rsid w:val="00524987"/>
    <w:rsid w:val="00527063"/>
    <w:rsid w:val="0054403F"/>
    <w:rsid w:val="005445B5"/>
    <w:rsid w:val="00553DD1"/>
    <w:rsid w:val="005619BE"/>
    <w:rsid w:val="00564419"/>
    <w:rsid w:val="00570314"/>
    <w:rsid w:val="005714B5"/>
    <w:rsid w:val="005735D1"/>
    <w:rsid w:val="005813E9"/>
    <w:rsid w:val="00581755"/>
    <w:rsid w:val="00581A3D"/>
    <w:rsid w:val="00582429"/>
    <w:rsid w:val="00583645"/>
    <w:rsid w:val="005878F6"/>
    <w:rsid w:val="00594AB8"/>
    <w:rsid w:val="005A1804"/>
    <w:rsid w:val="005A2C90"/>
    <w:rsid w:val="005A3B52"/>
    <w:rsid w:val="005B27A4"/>
    <w:rsid w:val="005B6FD7"/>
    <w:rsid w:val="005C79DB"/>
    <w:rsid w:val="005C7A76"/>
    <w:rsid w:val="005C7EB0"/>
    <w:rsid w:val="005C7EB3"/>
    <w:rsid w:val="005D4134"/>
    <w:rsid w:val="005D6CE4"/>
    <w:rsid w:val="005E5579"/>
    <w:rsid w:val="005E5EBA"/>
    <w:rsid w:val="005F66F8"/>
    <w:rsid w:val="005F6E37"/>
    <w:rsid w:val="0060274A"/>
    <w:rsid w:val="006039C9"/>
    <w:rsid w:val="006040ED"/>
    <w:rsid w:val="00607F92"/>
    <w:rsid w:val="00613575"/>
    <w:rsid w:val="00622111"/>
    <w:rsid w:val="006226E6"/>
    <w:rsid w:val="00622C6F"/>
    <w:rsid w:val="00623952"/>
    <w:rsid w:val="00624C77"/>
    <w:rsid w:val="00626BAC"/>
    <w:rsid w:val="00653176"/>
    <w:rsid w:val="00657B39"/>
    <w:rsid w:val="0066008E"/>
    <w:rsid w:val="00660541"/>
    <w:rsid w:val="00660AB8"/>
    <w:rsid w:val="0067125D"/>
    <w:rsid w:val="00684DCA"/>
    <w:rsid w:val="006A6ED0"/>
    <w:rsid w:val="006B1C5C"/>
    <w:rsid w:val="006B35D8"/>
    <w:rsid w:val="006C19FA"/>
    <w:rsid w:val="006C45AB"/>
    <w:rsid w:val="006D03D1"/>
    <w:rsid w:val="006D6489"/>
    <w:rsid w:val="006E383B"/>
    <w:rsid w:val="006E5063"/>
    <w:rsid w:val="006E645C"/>
    <w:rsid w:val="006F26C3"/>
    <w:rsid w:val="006F3EAD"/>
    <w:rsid w:val="00703070"/>
    <w:rsid w:val="007122D5"/>
    <w:rsid w:val="00716749"/>
    <w:rsid w:val="00730026"/>
    <w:rsid w:val="00744667"/>
    <w:rsid w:val="0074707D"/>
    <w:rsid w:val="00755083"/>
    <w:rsid w:val="00756ECD"/>
    <w:rsid w:val="00760C63"/>
    <w:rsid w:val="00762524"/>
    <w:rsid w:val="00784193"/>
    <w:rsid w:val="00794068"/>
    <w:rsid w:val="00794D8F"/>
    <w:rsid w:val="007A06B1"/>
    <w:rsid w:val="007A5EDA"/>
    <w:rsid w:val="007B0713"/>
    <w:rsid w:val="007B6215"/>
    <w:rsid w:val="007B68F1"/>
    <w:rsid w:val="007C424C"/>
    <w:rsid w:val="007C7C67"/>
    <w:rsid w:val="007E1A03"/>
    <w:rsid w:val="007F1686"/>
    <w:rsid w:val="00806386"/>
    <w:rsid w:val="00806E05"/>
    <w:rsid w:val="00807B9D"/>
    <w:rsid w:val="00811177"/>
    <w:rsid w:val="0081153D"/>
    <w:rsid w:val="00813487"/>
    <w:rsid w:val="0081411B"/>
    <w:rsid w:val="00817F62"/>
    <w:rsid w:val="008210F7"/>
    <w:rsid w:val="008235A4"/>
    <w:rsid w:val="00827422"/>
    <w:rsid w:val="00832C4D"/>
    <w:rsid w:val="008332FB"/>
    <w:rsid w:val="008349B1"/>
    <w:rsid w:val="00834B1E"/>
    <w:rsid w:val="0083670B"/>
    <w:rsid w:val="00840480"/>
    <w:rsid w:val="0085070C"/>
    <w:rsid w:val="00850BDE"/>
    <w:rsid w:val="00851E5F"/>
    <w:rsid w:val="0086748D"/>
    <w:rsid w:val="00870DE5"/>
    <w:rsid w:val="00870E85"/>
    <w:rsid w:val="00876D64"/>
    <w:rsid w:val="00882332"/>
    <w:rsid w:val="00885380"/>
    <w:rsid w:val="00886AA7"/>
    <w:rsid w:val="0089722B"/>
    <w:rsid w:val="008A15E2"/>
    <w:rsid w:val="008A4F28"/>
    <w:rsid w:val="008A5AFB"/>
    <w:rsid w:val="008B122A"/>
    <w:rsid w:val="008B6965"/>
    <w:rsid w:val="008C22D1"/>
    <w:rsid w:val="008C3E08"/>
    <w:rsid w:val="008C4E2E"/>
    <w:rsid w:val="008C6E14"/>
    <w:rsid w:val="008D185E"/>
    <w:rsid w:val="008D3A8E"/>
    <w:rsid w:val="008E14E3"/>
    <w:rsid w:val="008E610A"/>
    <w:rsid w:val="008F0F38"/>
    <w:rsid w:val="008F19BC"/>
    <w:rsid w:val="008F1C1B"/>
    <w:rsid w:val="008F5E7D"/>
    <w:rsid w:val="008F61A3"/>
    <w:rsid w:val="00910D29"/>
    <w:rsid w:val="00930FCA"/>
    <w:rsid w:val="00935E67"/>
    <w:rsid w:val="0095016D"/>
    <w:rsid w:val="009548E3"/>
    <w:rsid w:val="00954B39"/>
    <w:rsid w:val="0095689C"/>
    <w:rsid w:val="00963654"/>
    <w:rsid w:val="00973C4A"/>
    <w:rsid w:val="009805B8"/>
    <w:rsid w:val="009838A4"/>
    <w:rsid w:val="00986F72"/>
    <w:rsid w:val="009A15DB"/>
    <w:rsid w:val="009A4253"/>
    <w:rsid w:val="009B7F52"/>
    <w:rsid w:val="009C01DC"/>
    <w:rsid w:val="009C0CE6"/>
    <w:rsid w:val="009C501F"/>
    <w:rsid w:val="009C6878"/>
    <w:rsid w:val="009D0D31"/>
    <w:rsid w:val="009D75CF"/>
    <w:rsid w:val="009E2B87"/>
    <w:rsid w:val="009E5C24"/>
    <w:rsid w:val="009F40B8"/>
    <w:rsid w:val="00A049D5"/>
    <w:rsid w:val="00A07BF2"/>
    <w:rsid w:val="00A1110D"/>
    <w:rsid w:val="00A273FF"/>
    <w:rsid w:val="00A30EEF"/>
    <w:rsid w:val="00A31400"/>
    <w:rsid w:val="00A32A1B"/>
    <w:rsid w:val="00A34320"/>
    <w:rsid w:val="00A424E3"/>
    <w:rsid w:val="00A431E6"/>
    <w:rsid w:val="00A43459"/>
    <w:rsid w:val="00A516FB"/>
    <w:rsid w:val="00A51BDE"/>
    <w:rsid w:val="00A55C84"/>
    <w:rsid w:val="00A57E06"/>
    <w:rsid w:val="00A60B12"/>
    <w:rsid w:val="00A62E6D"/>
    <w:rsid w:val="00A74567"/>
    <w:rsid w:val="00A752AD"/>
    <w:rsid w:val="00A8246A"/>
    <w:rsid w:val="00A8728C"/>
    <w:rsid w:val="00AB0051"/>
    <w:rsid w:val="00AB2121"/>
    <w:rsid w:val="00AB7C08"/>
    <w:rsid w:val="00AC5EDB"/>
    <w:rsid w:val="00AD149C"/>
    <w:rsid w:val="00AD2216"/>
    <w:rsid w:val="00AD2FF4"/>
    <w:rsid w:val="00AE0090"/>
    <w:rsid w:val="00AE0E20"/>
    <w:rsid w:val="00AE56C2"/>
    <w:rsid w:val="00AF657E"/>
    <w:rsid w:val="00B07E27"/>
    <w:rsid w:val="00B1278D"/>
    <w:rsid w:val="00B147DD"/>
    <w:rsid w:val="00B200FA"/>
    <w:rsid w:val="00B20B9F"/>
    <w:rsid w:val="00B25BCE"/>
    <w:rsid w:val="00B423C8"/>
    <w:rsid w:val="00B4358B"/>
    <w:rsid w:val="00B533D3"/>
    <w:rsid w:val="00B61558"/>
    <w:rsid w:val="00B63B14"/>
    <w:rsid w:val="00B65FAF"/>
    <w:rsid w:val="00B67755"/>
    <w:rsid w:val="00B7236C"/>
    <w:rsid w:val="00B77ACD"/>
    <w:rsid w:val="00B94270"/>
    <w:rsid w:val="00BA14E6"/>
    <w:rsid w:val="00BA2AA1"/>
    <w:rsid w:val="00BA53BD"/>
    <w:rsid w:val="00BA5A9B"/>
    <w:rsid w:val="00BB2569"/>
    <w:rsid w:val="00BB32E0"/>
    <w:rsid w:val="00BC1EB0"/>
    <w:rsid w:val="00BC1F9C"/>
    <w:rsid w:val="00BC7302"/>
    <w:rsid w:val="00BD281F"/>
    <w:rsid w:val="00BD2C2E"/>
    <w:rsid w:val="00BE5FA0"/>
    <w:rsid w:val="00BF1466"/>
    <w:rsid w:val="00BF1526"/>
    <w:rsid w:val="00C0056F"/>
    <w:rsid w:val="00C04A23"/>
    <w:rsid w:val="00C3429E"/>
    <w:rsid w:val="00C473B9"/>
    <w:rsid w:val="00C5122C"/>
    <w:rsid w:val="00C5400A"/>
    <w:rsid w:val="00C61298"/>
    <w:rsid w:val="00C637E6"/>
    <w:rsid w:val="00C70D50"/>
    <w:rsid w:val="00C71474"/>
    <w:rsid w:val="00C971F2"/>
    <w:rsid w:val="00CA2FF8"/>
    <w:rsid w:val="00CA5C46"/>
    <w:rsid w:val="00CA798D"/>
    <w:rsid w:val="00CB453F"/>
    <w:rsid w:val="00CB65F9"/>
    <w:rsid w:val="00CB74F5"/>
    <w:rsid w:val="00CC0043"/>
    <w:rsid w:val="00CC23AD"/>
    <w:rsid w:val="00CC23E4"/>
    <w:rsid w:val="00CC7C2C"/>
    <w:rsid w:val="00CD0FA5"/>
    <w:rsid w:val="00CD340A"/>
    <w:rsid w:val="00CD37FD"/>
    <w:rsid w:val="00CE2F0E"/>
    <w:rsid w:val="00CE3986"/>
    <w:rsid w:val="00CE539A"/>
    <w:rsid w:val="00CE6AF1"/>
    <w:rsid w:val="00CE7C1E"/>
    <w:rsid w:val="00CF0885"/>
    <w:rsid w:val="00CF2753"/>
    <w:rsid w:val="00D029D4"/>
    <w:rsid w:val="00D07926"/>
    <w:rsid w:val="00D14BDB"/>
    <w:rsid w:val="00D14ECA"/>
    <w:rsid w:val="00D22F69"/>
    <w:rsid w:val="00D24912"/>
    <w:rsid w:val="00D249E6"/>
    <w:rsid w:val="00D37EA9"/>
    <w:rsid w:val="00D53A79"/>
    <w:rsid w:val="00D5457D"/>
    <w:rsid w:val="00D5695C"/>
    <w:rsid w:val="00D67F61"/>
    <w:rsid w:val="00D838CF"/>
    <w:rsid w:val="00D83C90"/>
    <w:rsid w:val="00D86F24"/>
    <w:rsid w:val="00D87A99"/>
    <w:rsid w:val="00D91042"/>
    <w:rsid w:val="00DA5893"/>
    <w:rsid w:val="00DB6768"/>
    <w:rsid w:val="00DD2E24"/>
    <w:rsid w:val="00DD661A"/>
    <w:rsid w:val="00DE75A3"/>
    <w:rsid w:val="00DF761E"/>
    <w:rsid w:val="00DF7670"/>
    <w:rsid w:val="00E01F73"/>
    <w:rsid w:val="00E06CDE"/>
    <w:rsid w:val="00E1409E"/>
    <w:rsid w:val="00E14283"/>
    <w:rsid w:val="00E20DB1"/>
    <w:rsid w:val="00E24839"/>
    <w:rsid w:val="00E25B5C"/>
    <w:rsid w:val="00E26C8A"/>
    <w:rsid w:val="00E313DD"/>
    <w:rsid w:val="00E32A47"/>
    <w:rsid w:val="00E36296"/>
    <w:rsid w:val="00E656E7"/>
    <w:rsid w:val="00E665D4"/>
    <w:rsid w:val="00E71AA4"/>
    <w:rsid w:val="00E74E8A"/>
    <w:rsid w:val="00E76D5D"/>
    <w:rsid w:val="00E77F40"/>
    <w:rsid w:val="00E9020E"/>
    <w:rsid w:val="00E93962"/>
    <w:rsid w:val="00EA4850"/>
    <w:rsid w:val="00EA5530"/>
    <w:rsid w:val="00EB1CD3"/>
    <w:rsid w:val="00EB35EE"/>
    <w:rsid w:val="00EB5D85"/>
    <w:rsid w:val="00EC4911"/>
    <w:rsid w:val="00EC62E9"/>
    <w:rsid w:val="00ED155F"/>
    <w:rsid w:val="00EF4B6B"/>
    <w:rsid w:val="00F00D8D"/>
    <w:rsid w:val="00F12FFB"/>
    <w:rsid w:val="00F2354B"/>
    <w:rsid w:val="00F253C4"/>
    <w:rsid w:val="00F34ADA"/>
    <w:rsid w:val="00F34C8E"/>
    <w:rsid w:val="00F37022"/>
    <w:rsid w:val="00F44D9F"/>
    <w:rsid w:val="00F45932"/>
    <w:rsid w:val="00F53689"/>
    <w:rsid w:val="00F57B8C"/>
    <w:rsid w:val="00F623EB"/>
    <w:rsid w:val="00F62842"/>
    <w:rsid w:val="00F657FE"/>
    <w:rsid w:val="00F71A37"/>
    <w:rsid w:val="00F72B4D"/>
    <w:rsid w:val="00F74D65"/>
    <w:rsid w:val="00F83BC2"/>
    <w:rsid w:val="00F85448"/>
    <w:rsid w:val="00F94A0C"/>
    <w:rsid w:val="00F94BE9"/>
    <w:rsid w:val="00FA366F"/>
    <w:rsid w:val="00FA3764"/>
    <w:rsid w:val="00FB26C7"/>
    <w:rsid w:val="00FB5F62"/>
    <w:rsid w:val="00FC0D96"/>
    <w:rsid w:val="00FC3440"/>
    <w:rsid w:val="00FD55C9"/>
    <w:rsid w:val="00FE267A"/>
    <w:rsid w:val="00FF048A"/>
    <w:rsid w:val="00FF289E"/>
    <w:rsid w:val="00FF5A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E9751"/>
  <w15:docId w15:val="{AEFE3DC3-9AA7-4372-88E6-08341E0C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429E"/>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iPriority w:val="9"/>
    <w:semiHidden/>
    <w:unhideWhenUsed/>
    <w:qFormat/>
    <w:rsid w:val="00C3429E"/>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3429E"/>
    <w:rPr>
      <w:rFonts w:ascii="Calibri Light" w:eastAsia="Times New Roman" w:hAnsi="Calibri Light" w:cs="Times New Roman"/>
      <w:color w:val="2F5496"/>
      <w:sz w:val="26"/>
      <w:szCs w:val="26"/>
    </w:rPr>
  </w:style>
  <w:style w:type="character" w:customStyle="1" w:styleId="Heading4Char">
    <w:name w:val="Heading 4 Char"/>
    <w:basedOn w:val="DefaultParagraphFont"/>
    <w:link w:val="Heading4"/>
    <w:uiPriority w:val="9"/>
    <w:semiHidden/>
    <w:rsid w:val="00C3429E"/>
    <w:rPr>
      <w:rFonts w:ascii="Calibri Light" w:eastAsia="Times New Roman" w:hAnsi="Calibri Light" w:cs="Times New Roman"/>
      <w:i/>
      <w:iCs/>
      <w:color w:val="2F5496"/>
    </w:rPr>
  </w:style>
  <w:style w:type="paragraph" w:customStyle="1" w:styleId="Style30">
    <w:name w:val="Style30"/>
    <w:basedOn w:val="Heading2"/>
    <w:link w:val="Style30Char"/>
    <w:autoRedefine/>
    <w:qFormat/>
    <w:rsid w:val="00C3429E"/>
    <w:pPr>
      <w:numPr>
        <w:ilvl w:val="1"/>
        <w:numId w:val="2"/>
      </w:numPr>
      <w:spacing w:line="360" w:lineRule="auto"/>
      <w:ind w:left="480" w:hanging="480"/>
      <w:jc w:val="both"/>
    </w:pPr>
    <w:rPr>
      <w:rFonts w:ascii="Times New Roman" w:hAnsi="Times New Roman"/>
      <w:b/>
      <w:sz w:val="24"/>
      <w:szCs w:val="24"/>
      <w:lang w:eastAsia="en-GB"/>
    </w:rPr>
  </w:style>
  <w:style w:type="character" w:customStyle="1" w:styleId="Style30Char">
    <w:name w:val="Style30 Char"/>
    <w:link w:val="Style30"/>
    <w:rsid w:val="00C3429E"/>
    <w:rPr>
      <w:rFonts w:ascii="Times New Roman" w:eastAsia="Times New Roman" w:hAnsi="Times New Roman" w:cs="Times New Roman"/>
      <w:b/>
      <w:color w:val="2F5496"/>
      <w:sz w:val="24"/>
      <w:szCs w:val="24"/>
      <w:lang w:eastAsia="en-GB"/>
    </w:rPr>
  </w:style>
  <w:style w:type="paragraph" w:styleId="ListParagraph">
    <w:name w:val="List Paragraph"/>
    <w:basedOn w:val="Normal"/>
    <w:uiPriority w:val="34"/>
    <w:qFormat/>
    <w:rsid w:val="00C3429E"/>
    <w:pPr>
      <w:ind w:left="720"/>
      <w:contextualSpacing/>
    </w:pPr>
    <w:rPr>
      <w:rFonts w:ascii="Calibri" w:eastAsia="Calibri" w:hAnsi="Calibri" w:cs="Times New Roman"/>
    </w:rPr>
  </w:style>
  <w:style w:type="paragraph" w:styleId="Footer">
    <w:name w:val="footer"/>
    <w:basedOn w:val="Normal"/>
    <w:link w:val="FooterChar"/>
    <w:uiPriority w:val="99"/>
    <w:unhideWhenUsed/>
    <w:rsid w:val="00C3429E"/>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3429E"/>
    <w:rPr>
      <w:rFonts w:ascii="Calibri" w:eastAsia="Calibri" w:hAnsi="Calibri" w:cs="Times New Roman"/>
    </w:rPr>
  </w:style>
  <w:style w:type="paragraph" w:styleId="Header">
    <w:name w:val="header"/>
    <w:basedOn w:val="Normal"/>
    <w:link w:val="HeaderChar"/>
    <w:uiPriority w:val="99"/>
    <w:unhideWhenUsed/>
    <w:rsid w:val="00C3429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3429E"/>
    <w:rPr>
      <w:rFonts w:ascii="Calibri" w:eastAsia="Calibri" w:hAnsi="Calibri" w:cs="Times New Roman"/>
    </w:rPr>
  </w:style>
  <w:style w:type="paragraph" w:styleId="BalloonText">
    <w:name w:val="Balloon Text"/>
    <w:basedOn w:val="Normal"/>
    <w:link w:val="BalloonTextChar"/>
    <w:uiPriority w:val="99"/>
    <w:semiHidden/>
    <w:unhideWhenUsed/>
    <w:rsid w:val="00C3429E"/>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3429E"/>
    <w:rPr>
      <w:rFonts w:ascii="Segoe UI" w:eastAsia="Calibri" w:hAnsi="Segoe UI" w:cs="Segoe UI"/>
      <w:sz w:val="18"/>
      <w:szCs w:val="18"/>
    </w:rPr>
  </w:style>
  <w:style w:type="character" w:styleId="CommentReference">
    <w:name w:val="annotation reference"/>
    <w:uiPriority w:val="99"/>
    <w:semiHidden/>
    <w:unhideWhenUsed/>
    <w:rsid w:val="00C3429E"/>
    <w:rPr>
      <w:sz w:val="16"/>
      <w:szCs w:val="16"/>
    </w:rPr>
  </w:style>
  <w:style w:type="paragraph" w:styleId="CommentText">
    <w:name w:val="annotation text"/>
    <w:basedOn w:val="Normal"/>
    <w:link w:val="CommentTextChar"/>
    <w:uiPriority w:val="99"/>
    <w:semiHidden/>
    <w:unhideWhenUsed/>
    <w:rsid w:val="00C3429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342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29E"/>
    <w:rPr>
      <w:b/>
      <w:bCs/>
    </w:rPr>
  </w:style>
  <w:style w:type="character" w:customStyle="1" w:styleId="CommentSubjectChar">
    <w:name w:val="Comment Subject Char"/>
    <w:basedOn w:val="CommentTextChar"/>
    <w:link w:val="CommentSubject"/>
    <w:uiPriority w:val="99"/>
    <w:semiHidden/>
    <w:rsid w:val="00C3429E"/>
    <w:rPr>
      <w:rFonts w:ascii="Calibri" w:eastAsia="Calibri" w:hAnsi="Calibri" w:cs="Times New Roman"/>
      <w:b/>
      <w:bCs/>
      <w:sz w:val="20"/>
      <w:szCs w:val="20"/>
    </w:rPr>
  </w:style>
  <w:style w:type="character" w:styleId="Hyperlink">
    <w:name w:val="Hyperlink"/>
    <w:uiPriority w:val="99"/>
    <w:unhideWhenUsed/>
    <w:rsid w:val="00C3429E"/>
    <w:rPr>
      <w:color w:val="0563C1"/>
      <w:u w:val="single"/>
    </w:rPr>
  </w:style>
  <w:style w:type="character" w:customStyle="1" w:styleId="UnresolvedMention1">
    <w:name w:val="Unresolved Mention1"/>
    <w:uiPriority w:val="99"/>
    <w:rsid w:val="00C3429E"/>
    <w:rPr>
      <w:color w:val="808080"/>
      <w:shd w:val="clear" w:color="auto" w:fill="E6E6E6"/>
    </w:rPr>
  </w:style>
  <w:style w:type="paragraph" w:styleId="Caption">
    <w:name w:val="caption"/>
    <w:basedOn w:val="Normal"/>
    <w:next w:val="Normal"/>
    <w:uiPriority w:val="35"/>
    <w:unhideWhenUsed/>
    <w:qFormat/>
    <w:rsid w:val="00C3429E"/>
    <w:pPr>
      <w:spacing w:after="200" w:line="240" w:lineRule="auto"/>
    </w:pPr>
    <w:rPr>
      <w:rFonts w:ascii="Calibri" w:eastAsia="Calibri" w:hAnsi="Calibri" w:cs="Times New Roman"/>
      <w:i/>
      <w:iCs/>
      <w:color w:val="44546A"/>
      <w:sz w:val="18"/>
      <w:szCs w:val="18"/>
    </w:rPr>
  </w:style>
  <w:style w:type="paragraph" w:customStyle="1" w:styleId="Style289">
    <w:name w:val="Style289"/>
    <w:basedOn w:val="Heading4"/>
    <w:link w:val="Style289Char"/>
    <w:autoRedefine/>
    <w:qFormat/>
    <w:rsid w:val="00C3429E"/>
    <w:pPr>
      <w:autoSpaceDE w:val="0"/>
      <w:autoSpaceDN w:val="0"/>
      <w:adjustRightInd w:val="0"/>
      <w:spacing w:line="240" w:lineRule="auto"/>
      <w:jc w:val="both"/>
    </w:pPr>
    <w:rPr>
      <w:rFonts w:ascii="Times New Roman" w:hAnsi="Times New Roman"/>
      <w:b/>
      <w:i w:val="0"/>
      <w:sz w:val="24"/>
      <w:szCs w:val="24"/>
    </w:rPr>
  </w:style>
  <w:style w:type="character" w:customStyle="1" w:styleId="Style289Char">
    <w:name w:val="Style289 Char"/>
    <w:link w:val="Style289"/>
    <w:rsid w:val="00C3429E"/>
    <w:rPr>
      <w:rFonts w:ascii="Times New Roman" w:eastAsia="Times New Roman" w:hAnsi="Times New Roman" w:cs="Times New Roman"/>
      <w:b/>
      <w:iCs/>
      <w:color w:val="2F5496"/>
      <w:sz w:val="24"/>
      <w:szCs w:val="24"/>
    </w:rPr>
  </w:style>
  <w:style w:type="character" w:styleId="PlaceholderText">
    <w:name w:val="Placeholder Text"/>
    <w:basedOn w:val="DefaultParagraphFont"/>
    <w:uiPriority w:val="99"/>
    <w:semiHidden/>
    <w:rsid w:val="00E90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0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rostrandberg.com/wp-content/uploads/2009/12/small-medium-sized-business-environmental-roadmap.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1C5E8F-ADAF-43C0-BA71-78E0EC43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67383</Words>
  <Characters>384084</Characters>
  <Application>Microsoft Office Word</Application>
  <DocSecurity>0</DocSecurity>
  <Lines>3200</Lines>
  <Paragraphs>901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450566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Tingbani</dc:creator>
  <cp:keywords/>
  <dc:description/>
  <cp:lastModifiedBy>Tauringana V.</cp:lastModifiedBy>
  <cp:revision>2</cp:revision>
  <dcterms:created xsi:type="dcterms:W3CDTF">2020-06-01T11:18:00Z</dcterms:created>
  <dcterms:modified xsi:type="dcterms:W3CDTF">2020-06-01T11:18:00Z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5b7c4438-0c76-3b73-831c-1a0fc3901699</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http://www.zotero.org/styles/harvard-bournemouth-university</vt:lpwstr>
  </property>
  <property fmtid="{D5CDD505-2E9C-101B-9397-08002B2CF9AE}" pid="12" name="Mendeley Recent Style Name 3_1">
    <vt:lpwstr>Bournemouth University - Harvard</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