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6D139" w14:textId="304B2BC6" w:rsidR="00E50AB0" w:rsidRDefault="00E50AB0" w:rsidP="00E50AB0">
      <w:pPr>
        <w:spacing w:after="0" w:line="480" w:lineRule="exact"/>
        <w:jc w:val="center"/>
        <w:rPr>
          <w:rFonts w:asciiTheme="majorBidi" w:hAnsiTheme="majorBidi" w:cstheme="majorBidi"/>
          <w:b/>
          <w:bCs/>
          <w:sz w:val="24"/>
          <w:szCs w:val="24"/>
        </w:rPr>
      </w:pPr>
      <w:bookmarkStart w:id="0" w:name="_Hlk36102367"/>
    </w:p>
    <w:p w14:paraId="1F024771" w14:textId="6C0D3F5C" w:rsidR="00CB5758" w:rsidRPr="00CB5758" w:rsidRDefault="009C49E3" w:rsidP="00CB5758">
      <w:pPr>
        <w:ind w:left="720" w:hanging="720"/>
        <w:rPr>
          <w:rFonts w:asciiTheme="majorBidi" w:hAnsiTheme="majorBidi" w:cstheme="majorBidi"/>
          <w:b/>
          <w:bCs/>
          <w:color w:val="FF0000"/>
          <w:sz w:val="24"/>
          <w:szCs w:val="24"/>
          <w:lang w:val="en-GB"/>
        </w:rPr>
      </w:pPr>
      <w:bookmarkStart w:id="1" w:name="_GoBack"/>
      <w:r w:rsidRPr="009C49E3">
        <w:rPr>
          <w:rFonts w:asciiTheme="majorBidi" w:hAnsiTheme="majorBidi" w:cstheme="majorBidi"/>
          <w:b/>
          <w:bCs/>
          <w:color w:val="FF0000"/>
          <w:sz w:val="24"/>
          <w:szCs w:val="24"/>
        </w:rPr>
        <w:t>Nijs, T., Martinovic, B., Verkuyten, M., &amp; Sedikides, C. (2020).</w:t>
      </w:r>
      <w:bookmarkEnd w:id="1"/>
      <w:r w:rsidRPr="009C49E3">
        <w:rPr>
          <w:rFonts w:asciiTheme="majorBidi" w:hAnsiTheme="majorBidi" w:cstheme="majorBidi"/>
          <w:b/>
          <w:bCs/>
          <w:color w:val="FF0000"/>
          <w:sz w:val="24"/>
          <w:szCs w:val="24"/>
        </w:rPr>
        <w:t xml:space="preserve"> ‘This country is OURS’: The exclusionary potential of collective psychological ownership. </w:t>
      </w:r>
      <w:r w:rsidRPr="009C49E3">
        <w:rPr>
          <w:rFonts w:asciiTheme="majorBidi" w:hAnsiTheme="majorBidi" w:cstheme="majorBidi"/>
          <w:b/>
          <w:bCs/>
          <w:i/>
          <w:color w:val="FF0000"/>
          <w:sz w:val="24"/>
          <w:szCs w:val="24"/>
        </w:rPr>
        <w:t xml:space="preserve">British Journal </w:t>
      </w:r>
      <w:r w:rsidRPr="00CB5758">
        <w:rPr>
          <w:rFonts w:asciiTheme="majorBidi" w:hAnsiTheme="majorBidi" w:cstheme="majorBidi"/>
          <w:b/>
          <w:bCs/>
          <w:i/>
          <w:color w:val="FF0000"/>
          <w:sz w:val="24"/>
          <w:szCs w:val="24"/>
        </w:rPr>
        <w:t>of Social Psychology</w:t>
      </w:r>
      <w:r w:rsidRPr="00CB5758">
        <w:rPr>
          <w:rFonts w:asciiTheme="majorBidi" w:hAnsiTheme="majorBidi" w:cstheme="majorBidi"/>
          <w:b/>
          <w:bCs/>
          <w:color w:val="FF0000"/>
          <w:sz w:val="24"/>
          <w:szCs w:val="24"/>
        </w:rPr>
        <w:t xml:space="preserve">. </w:t>
      </w:r>
      <w:r w:rsidR="00CB5758" w:rsidRPr="00CB5758">
        <w:rPr>
          <w:rFonts w:asciiTheme="majorBidi" w:hAnsiTheme="majorBidi" w:cstheme="majorBidi"/>
          <w:b/>
          <w:bCs/>
          <w:color w:val="FF0000"/>
          <w:sz w:val="24"/>
          <w:szCs w:val="24"/>
        </w:rPr>
        <w:t>Advance online publication. https://doi.org/</w:t>
      </w:r>
      <w:r w:rsidR="00CB5758" w:rsidRPr="00CB5758">
        <w:rPr>
          <w:rFonts w:asciiTheme="majorBidi" w:hAnsiTheme="majorBidi" w:cstheme="majorBidi"/>
          <w:b/>
          <w:bCs/>
          <w:color w:val="FF0000"/>
          <w:sz w:val="24"/>
          <w:szCs w:val="24"/>
          <w:shd w:val="clear" w:color="auto" w:fill="FFFFFF"/>
        </w:rPr>
        <w:t>10.1111/bjso.12386</w:t>
      </w:r>
    </w:p>
    <w:p w14:paraId="357B71A6" w14:textId="77777777" w:rsidR="00CB5758" w:rsidRDefault="00CB5758" w:rsidP="00CB5758">
      <w:pPr>
        <w:ind w:left="720" w:hanging="720"/>
        <w:rPr>
          <w:rFonts w:ascii="Times New Roman" w:hAnsi="Times New Roman" w:cs="Times New Roman"/>
          <w:sz w:val="24"/>
          <w:szCs w:val="24"/>
        </w:rPr>
      </w:pPr>
    </w:p>
    <w:p w14:paraId="4EDB0BAB" w14:textId="4EB0E785" w:rsidR="00E50AB0" w:rsidRPr="009C49E3" w:rsidRDefault="00E50AB0" w:rsidP="00E50AB0">
      <w:pPr>
        <w:spacing w:after="0" w:line="480" w:lineRule="exact"/>
        <w:jc w:val="center"/>
        <w:rPr>
          <w:rFonts w:asciiTheme="majorBidi" w:hAnsiTheme="majorBidi" w:cstheme="majorBidi"/>
          <w:b/>
          <w:bCs/>
          <w:sz w:val="24"/>
          <w:szCs w:val="24"/>
          <w:lang w:val="en-GB"/>
        </w:rPr>
      </w:pPr>
    </w:p>
    <w:p w14:paraId="48E34676" w14:textId="77777777" w:rsidR="00E50AB0" w:rsidRDefault="00E50AB0" w:rsidP="00E50AB0">
      <w:pPr>
        <w:spacing w:after="0" w:line="480" w:lineRule="exact"/>
        <w:jc w:val="center"/>
        <w:rPr>
          <w:rFonts w:asciiTheme="majorBidi" w:hAnsiTheme="majorBidi" w:cstheme="majorBidi"/>
          <w:b/>
          <w:bCs/>
          <w:sz w:val="24"/>
          <w:szCs w:val="24"/>
        </w:rPr>
      </w:pPr>
    </w:p>
    <w:p w14:paraId="6E55C187" w14:textId="77777777" w:rsidR="00E50AB0" w:rsidRPr="009C49E3" w:rsidRDefault="00E50AB0" w:rsidP="00E50AB0">
      <w:pPr>
        <w:spacing w:after="0" w:line="480" w:lineRule="exact"/>
        <w:jc w:val="center"/>
        <w:rPr>
          <w:rFonts w:asciiTheme="majorBidi" w:hAnsiTheme="majorBidi" w:cstheme="majorBidi"/>
          <w:sz w:val="24"/>
          <w:szCs w:val="24"/>
        </w:rPr>
      </w:pPr>
      <w:r w:rsidRPr="009C49E3">
        <w:rPr>
          <w:rFonts w:asciiTheme="majorBidi" w:hAnsiTheme="majorBidi" w:cstheme="majorBidi"/>
          <w:sz w:val="24"/>
          <w:szCs w:val="24"/>
        </w:rPr>
        <w:t>‘This Country is OURS’:</w:t>
      </w:r>
    </w:p>
    <w:p w14:paraId="7E9F1714" w14:textId="55D52E15" w:rsidR="00E50AB0" w:rsidRPr="009C49E3" w:rsidRDefault="00E50AB0" w:rsidP="00E50AB0">
      <w:pPr>
        <w:spacing w:after="0" w:line="480" w:lineRule="exact"/>
        <w:jc w:val="center"/>
        <w:rPr>
          <w:rFonts w:asciiTheme="majorBidi" w:hAnsiTheme="majorBidi" w:cstheme="majorBidi"/>
          <w:sz w:val="24"/>
          <w:szCs w:val="24"/>
        </w:rPr>
      </w:pPr>
      <w:r w:rsidRPr="009C49E3">
        <w:rPr>
          <w:rFonts w:asciiTheme="majorBidi" w:hAnsiTheme="majorBidi" w:cstheme="majorBidi"/>
          <w:sz w:val="24"/>
          <w:szCs w:val="24"/>
        </w:rPr>
        <w:t>The Exclusionary Potential of Collective Psychological Ownership</w:t>
      </w:r>
    </w:p>
    <w:p w14:paraId="38455526" w14:textId="77777777" w:rsidR="00E50AB0" w:rsidRPr="00E50AB0" w:rsidRDefault="00E50AB0" w:rsidP="00E50AB0">
      <w:pPr>
        <w:spacing w:after="0" w:line="480" w:lineRule="exact"/>
        <w:jc w:val="center"/>
        <w:rPr>
          <w:rFonts w:asciiTheme="majorBidi" w:hAnsiTheme="majorBidi" w:cstheme="majorBidi"/>
          <w:b/>
          <w:bCs/>
          <w:sz w:val="24"/>
          <w:szCs w:val="24"/>
        </w:rPr>
      </w:pPr>
    </w:p>
    <w:p w14:paraId="7A13CEDA" w14:textId="77777777" w:rsidR="00E50AB0" w:rsidRPr="00E50AB0" w:rsidRDefault="00E50AB0" w:rsidP="00E50AB0">
      <w:pPr>
        <w:spacing w:after="0" w:line="480" w:lineRule="exact"/>
        <w:jc w:val="center"/>
        <w:rPr>
          <w:rFonts w:asciiTheme="majorBidi" w:hAnsiTheme="majorBidi" w:cstheme="majorBidi"/>
          <w:bCs/>
          <w:sz w:val="24"/>
          <w:szCs w:val="24"/>
        </w:rPr>
      </w:pPr>
    </w:p>
    <w:p w14:paraId="64F3818C" w14:textId="77777777" w:rsidR="00E50AB0" w:rsidRPr="00E50AB0" w:rsidRDefault="00E50AB0" w:rsidP="00E50AB0">
      <w:pPr>
        <w:spacing w:after="0" w:line="480" w:lineRule="exact"/>
        <w:jc w:val="center"/>
        <w:rPr>
          <w:rFonts w:asciiTheme="majorBidi" w:hAnsiTheme="majorBidi" w:cstheme="majorBidi"/>
          <w:bCs/>
          <w:sz w:val="24"/>
          <w:szCs w:val="24"/>
          <w:vertAlign w:val="superscript"/>
        </w:rPr>
      </w:pPr>
      <w:r w:rsidRPr="00E50AB0">
        <w:rPr>
          <w:rFonts w:asciiTheme="majorBidi" w:hAnsiTheme="majorBidi" w:cstheme="majorBidi"/>
          <w:bCs/>
          <w:sz w:val="24"/>
          <w:szCs w:val="24"/>
        </w:rPr>
        <w:t>Tom Nijs*</w:t>
      </w:r>
      <w:r w:rsidRPr="00E50AB0">
        <w:rPr>
          <w:rFonts w:asciiTheme="majorBidi" w:hAnsiTheme="majorBidi" w:cstheme="majorBidi"/>
          <w:bCs/>
          <w:sz w:val="24"/>
          <w:szCs w:val="24"/>
          <w:vertAlign w:val="superscript"/>
        </w:rPr>
        <w:t>1</w:t>
      </w:r>
      <w:r w:rsidRPr="00E50AB0">
        <w:rPr>
          <w:rFonts w:asciiTheme="majorBidi" w:hAnsiTheme="majorBidi" w:cstheme="majorBidi"/>
          <w:bCs/>
          <w:sz w:val="24"/>
          <w:szCs w:val="24"/>
        </w:rPr>
        <w:t>, Borja Martinovic</w:t>
      </w:r>
      <w:r w:rsidRPr="00E50AB0">
        <w:rPr>
          <w:rFonts w:asciiTheme="majorBidi" w:hAnsiTheme="majorBidi" w:cstheme="majorBidi"/>
          <w:bCs/>
          <w:sz w:val="24"/>
          <w:szCs w:val="24"/>
          <w:vertAlign w:val="superscript"/>
        </w:rPr>
        <w:t>1</w:t>
      </w:r>
      <w:r w:rsidRPr="00E50AB0">
        <w:rPr>
          <w:rFonts w:asciiTheme="majorBidi" w:hAnsiTheme="majorBidi" w:cstheme="majorBidi"/>
          <w:bCs/>
          <w:sz w:val="24"/>
          <w:szCs w:val="24"/>
        </w:rPr>
        <w:t>, Maykel Verkuyten</w:t>
      </w:r>
      <w:r w:rsidRPr="00E50AB0">
        <w:rPr>
          <w:rFonts w:asciiTheme="majorBidi" w:hAnsiTheme="majorBidi" w:cstheme="majorBidi"/>
          <w:bCs/>
          <w:sz w:val="24"/>
          <w:szCs w:val="24"/>
          <w:vertAlign w:val="superscript"/>
        </w:rPr>
        <w:t>1</w:t>
      </w:r>
      <w:r w:rsidRPr="00E50AB0">
        <w:rPr>
          <w:rFonts w:asciiTheme="majorBidi" w:hAnsiTheme="majorBidi" w:cstheme="majorBidi"/>
          <w:bCs/>
          <w:sz w:val="24"/>
          <w:szCs w:val="24"/>
        </w:rPr>
        <w:t>, Constantine Sedikides</w:t>
      </w:r>
      <w:r w:rsidRPr="00E50AB0">
        <w:rPr>
          <w:rFonts w:asciiTheme="majorBidi" w:hAnsiTheme="majorBidi" w:cstheme="majorBidi"/>
          <w:bCs/>
          <w:sz w:val="24"/>
          <w:szCs w:val="24"/>
          <w:vertAlign w:val="superscript"/>
        </w:rPr>
        <w:t>2</w:t>
      </w:r>
    </w:p>
    <w:p w14:paraId="6CBDB78A" w14:textId="77777777" w:rsidR="00E50AB0" w:rsidRDefault="00E50AB0" w:rsidP="00E50AB0">
      <w:pPr>
        <w:spacing w:after="0" w:line="480" w:lineRule="exact"/>
        <w:rPr>
          <w:rFonts w:asciiTheme="majorBidi" w:hAnsiTheme="majorBidi" w:cstheme="majorBidi"/>
          <w:bCs/>
          <w:sz w:val="24"/>
          <w:szCs w:val="24"/>
        </w:rPr>
      </w:pPr>
    </w:p>
    <w:p w14:paraId="4537279D" w14:textId="77777777" w:rsidR="00E50AB0" w:rsidRDefault="00E50AB0" w:rsidP="00E50AB0">
      <w:pPr>
        <w:spacing w:after="0" w:line="480" w:lineRule="exact"/>
        <w:rPr>
          <w:rFonts w:asciiTheme="majorBidi" w:hAnsiTheme="majorBidi" w:cstheme="majorBidi"/>
          <w:bCs/>
          <w:sz w:val="24"/>
          <w:szCs w:val="24"/>
        </w:rPr>
      </w:pPr>
      <w:r>
        <w:rPr>
          <w:rFonts w:asciiTheme="majorBidi" w:hAnsiTheme="majorBidi" w:cstheme="majorBidi"/>
          <w:bCs/>
          <w:sz w:val="24"/>
          <w:szCs w:val="24"/>
          <w:vertAlign w:val="superscript"/>
        </w:rPr>
        <w:t>1</w:t>
      </w:r>
      <w:r>
        <w:rPr>
          <w:rFonts w:asciiTheme="majorBidi" w:hAnsiTheme="majorBidi" w:cstheme="majorBidi"/>
          <w:bCs/>
          <w:sz w:val="24"/>
          <w:szCs w:val="24"/>
        </w:rPr>
        <w:t xml:space="preserve"> Utrecht University/Ercomer</w:t>
      </w:r>
    </w:p>
    <w:p w14:paraId="6FF77CE3" w14:textId="77777777" w:rsidR="00E50AB0" w:rsidRDefault="00E50AB0" w:rsidP="00E50AB0">
      <w:pPr>
        <w:spacing w:after="0" w:line="480" w:lineRule="exact"/>
        <w:rPr>
          <w:rFonts w:asciiTheme="majorBidi" w:hAnsiTheme="majorBidi" w:cstheme="majorBidi"/>
          <w:bCs/>
          <w:sz w:val="24"/>
          <w:szCs w:val="24"/>
        </w:rPr>
      </w:pPr>
      <w:r>
        <w:rPr>
          <w:rFonts w:asciiTheme="majorBidi" w:hAnsiTheme="majorBidi" w:cstheme="majorBidi"/>
          <w:bCs/>
          <w:sz w:val="24"/>
          <w:szCs w:val="24"/>
          <w:vertAlign w:val="superscript"/>
        </w:rPr>
        <w:t>2</w:t>
      </w:r>
      <w:r>
        <w:rPr>
          <w:rFonts w:asciiTheme="majorBidi" w:hAnsiTheme="majorBidi" w:cstheme="majorBidi"/>
          <w:bCs/>
          <w:sz w:val="24"/>
          <w:szCs w:val="24"/>
        </w:rPr>
        <w:t xml:space="preserve"> University of Southampton/Centre for Research on Self and Identity</w:t>
      </w:r>
    </w:p>
    <w:p w14:paraId="047EFBEA" w14:textId="1876757B" w:rsidR="00E50AB0" w:rsidRDefault="00E50AB0" w:rsidP="00E50AB0">
      <w:pPr>
        <w:spacing w:after="0" w:line="480" w:lineRule="exact"/>
        <w:rPr>
          <w:rFonts w:asciiTheme="majorBidi" w:hAnsiTheme="majorBidi" w:cstheme="majorBidi"/>
          <w:bCs/>
          <w:sz w:val="24"/>
          <w:szCs w:val="24"/>
        </w:rPr>
      </w:pPr>
    </w:p>
    <w:p w14:paraId="4BAB689C" w14:textId="18720935" w:rsidR="00E50AB0" w:rsidRDefault="00E50AB0" w:rsidP="00E50AB0">
      <w:pPr>
        <w:spacing w:after="0" w:line="480" w:lineRule="exact"/>
        <w:rPr>
          <w:rFonts w:asciiTheme="majorBidi" w:hAnsiTheme="majorBidi" w:cstheme="majorBidi"/>
          <w:bCs/>
          <w:sz w:val="24"/>
          <w:szCs w:val="24"/>
        </w:rPr>
      </w:pPr>
    </w:p>
    <w:p w14:paraId="21510E2A" w14:textId="3B69095E" w:rsidR="00E50AB0" w:rsidRDefault="00E50AB0" w:rsidP="009C49E3">
      <w:pPr>
        <w:spacing w:after="0" w:line="480" w:lineRule="exact"/>
        <w:rPr>
          <w:rFonts w:ascii="Times New Roman" w:hAnsi="Times New Roman" w:cs="Times New Roman"/>
          <w:sz w:val="24"/>
          <w:szCs w:val="24"/>
        </w:rPr>
      </w:pPr>
      <w:r>
        <w:rPr>
          <w:rFonts w:ascii="Times New Roman" w:hAnsi="Times New Roman" w:cs="Times New Roman"/>
          <w:bCs/>
          <w:sz w:val="24"/>
          <w:szCs w:val="24"/>
        </w:rPr>
        <w:t xml:space="preserve">* Corresponding author information: Tom Nijs, </w:t>
      </w:r>
      <w:r>
        <w:rPr>
          <w:rFonts w:ascii="Times New Roman" w:hAnsi="Times New Roman" w:cs="Times New Roman"/>
          <w:bCs/>
          <w:sz w:val="24"/>
          <w:szCs w:val="24"/>
          <w:shd w:val="clear" w:color="auto" w:fill="FFFFFF"/>
        </w:rPr>
        <w:t>Utrecht University, Interdisciplinary Social Science, Padualaan 14, 3584 CH Utrecht, the Netherlands (e-mail: </w:t>
      </w:r>
      <w:hyperlink r:id="rId8" w:tooltip="&#10;                        Link to email address&#10;                    " w:history="1">
        <w:r>
          <w:rPr>
            <w:rStyle w:val="Hyperlink"/>
            <w:rFonts w:ascii="Times New Roman" w:hAnsi="Times New Roman" w:cs="Times New Roman"/>
            <w:bCs/>
            <w:sz w:val="24"/>
            <w:szCs w:val="24"/>
            <w:shd w:val="clear" w:color="auto" w:fill="FFFFFF"/>
          </w:rPr>
          <w:t>t.nijs@uu.nl</w:t>
        </w:r>
      </w:hyperlink>
      <w:r>
        <w:rPr>
          <w:rFonts w:ascii="Times New Roman" w:hAnsi="Times New Roman" w:cs="Times New Roman"/>
          <w:sz w:val="24"/>
          <w:szCs w:val="24"/>
        </w:rPr>
        <w:t>).</w:t>
      </w:r>
    </w:p>
    <w:p w14:paraId="617A7BFD" w14:textId="79B21427" w:rsidR="00E50AB0" w:rsidRDefault="00E50AB0" w:rsidP="00E50AB0">
      <w:pPr>
        <w:spacing w:after="0" w:line="480" w:lineRule="exact"/>
        <w:rPr>
          <w:rFonts w:ascii="Times New Roman" w:hAnsi="Times New Roman" w:cs="Times New Roman"/>
          <w:sz w:val="24"/>
          <w:szCs w:val="24"/>
        </w:rPr>
      </w:pPr>
    </w:p>
    <w:p w14:paraId="3FBC237D" w14:textId="772F987F" w:rsidR="00E50AB0" w:rsidRDefault="00E50AB0" w:rsidP="00E50AB0">
      <w:pPr>
        <w:spacing w:after="0" w:line="480" w:lineRule="exact"/>
        <w:rPr>
          <w:rFonts w:ascii="Times New Roman" w:hAnsi="Times New Roman" w:cs="Times New Roman"/>
          <w:sz w:val="24"/>
          <w:szCs w:val="24"/>
        </w:rPr>
      </w:pPr>
    </w:p>
    <w:p w14:paraId="77FA3DB7" w14:textId="77777777" w:rsidR="00E50AB0" w:rsidRDefault="00E50AB0" w:rsidP="00E50AB0">
      <w:pPr>
        <w:spacing w:after="0" w:line="480" w:lineRule="exact"/>
        <w:rPr>
          <w:rFonts w:ascii="Times New Roman" w:hAnsi="Times New Roman" w:cs="Times New Roman"/>
          <w:sz w:val="24"/>
          <w:szCs w:val="24"/>
        </w:rPr>
      </w:pPr>
    </w:p>
    <w:p w14:paraId="32123BD1" w14:textId="77777777" w:rsidR="00E50AB0" w:rsidRDefault="00E50AB0" w:rsidP="00E50AB0">
      <w:pPr>
        <w:spacing w:after="0" w:line="480" w:lineRule="exact"/>
        <w:rPr>
          <w:rFonts w:asciiTheme="majorBidi" w:hAnsiTheme="majorBidi" w:cstheme="majorBidi"/>
          <w:sz w:val="24"/>
          <w:szCs w:val="24"/>
        </w:rPr>
      </w:pPr>
      <w:r>
        <w:rPr>
          <w:rFonts w:asciiTheme="majorBidi" w:hAnsiTheme="majorBidi" w:cstheme="majorBidi"/>
          <w:b/>
          <w:sz w:val="24"/>
          <w:szCs w:val="24"/>
        </w:rPr>
        <w:t xml:space="preserve">Data availability statement: </w:t>
      </w:r>
      <w:r>
        <w:rPr>
          <w:rFonts w:asciiTheme="majorBidi" w:hAnsiTheme="majorBidi" w:cstheme="majorBidi"/>
          <w:sz w:val="24"/>
          <w:szCs w:val="24"/>
        </w:rPr>
        <w:t>The data and code will be made available on Open Science Framework when the paper gets accepted for publication.</w:t>
      </w:r>
    </w:p>
    <w:p w14:paraId="008D8C15" w14:textId="77777777" w:rsidR="00E50AB0" w:rsidRDefault="00E50AB0" w:rsidP="00E50AB0">
      <w:pPr>
        <w:spacing w:after="0" w:line="480" w:lineRule="exact"/>
        <w:rPr>
          <w:rFonts w:asciiTheme="majorBidi" w:hAnsiTheme="majorBidi" w:cstheme="majorBidi"/>
          <w:sz w:val="24"/>
          <w:szCs w:val="24"/>
        </w:rPr>
      </w:pPr>
      <w:r>
        <w:rPr>
          <w:rFonts w:asciiTheme="majorBidi" w:hAnsiTheme="majorBidi" w:cstheme="majorBidi"/>
          <w:b/>
          <w:sz w:val="24"/>
          <w:szCs w:val="24"/>
        </w:rPr>
        <w:t>Acknowledgements:</w:t>
      </w:r>
      <w:r>
        <w:t xml:space="preserve"> </w:t>
      </w:r>
      <w:r>
        <w:rPr>
          <w:rFonts w:asciiTheme="majorBidi" w:hAnsiTheme="majorBidi" w:cstheme="majorBidi"/>
          <w:sz w:val="24"/>
          <w:szCs w:val="24"/>
        </w:rPr>
        <w:t>This research has received funding from the European Research Council (ERC) under the European Union’s Horizon 2020 research and innovation program (grant agreement No 715842) awarded to the second author.</w:t>
      </w:r>
    </w:p>
    <w:p w14:paraId="5143BC39" w14:textId="77777777" w:rsidR="00E50AB0" w:rsidRDefault="00E50AB0" w:rsidP="00E50AB0"/>
    <w:p w14:paraId="64D04394" w14:textId="77777777" w:rsidR="00E50AB0" w:rsidRDefault="00E50AB0">
      <w:pPr>
        <w:rPr>
          <w:rFonts w:asciiTheme="majorBidi" w:hAnsiTheme="majorBidi" w:cstheme="majorBidi"/>
          <w:b/>
          <w:bCs/>
          <w:sz w:val="24"/>
          <w:szCs w:val="24"/>
          <w:lang w:val="en-GB"/>
        </w:rPr>
      </w:pPr>
      <w:r>
        <w:rPr>
          <w:rFonts w:asciiTheme="majorBidi" w:hAnsiTheme="majorBidi" w:cstheme="majorBidi"/>
          <w:b/>
          <w:bCs/>
          <w:sz w:val="24"/>
          <w:szCs w:val="24"/>
          <w:lang w:val="en-GB"/>
        </w:rPr>
        <w:br w:type="page"/>
      </w:r>
    </w:p>
    <w:p w14:paraId="474BE42F" w14:textId="508D04B2" w:rsidR="00C9684F" w:rsidRPr="001B3BA5" w:rsidRDefault="00C9684F" w:rsidP="001B3BA5">
      <w:pPr>
        <w:spacing w:after="0" w:line="480" w:lineRule="exact"/>
        <w:jc w:val="center"/>
        <w:rPr>
          <w:rFonts w:ascii="Times New Roman" w:hAnsi="Times New Roman" w:cs="Times New Roman"/>
          <w:bCs/>
          <w:sz w:val="24"/>
          <w:szCs w:val="24"/>
          <w:lang w:val="en-GB"/>
        </w:rPr>
      </w:pPr>
      <w:r w:rsidRPr="001B3BA5">
        <w:rPr>
          <w:rFonts w:ascii="Times New Roman" w:hAnsi="Times New Roman" w:cs="Times New Roman"/>
          <w:bCs/>
          <w:sz w:val="24"/>
          <w:szCs w:val="24"/>
          <w:lang w:val="en-GB"/>
        </w:rPr>
        <w:lastRenderedPageBreak/>
        <w:t>Abstract</w:t>
      </w:r>
    </w:p>
    <w:p w14:paraId="155F9806" w14:textId="11E15E6D" w:rsidR="008F4A37" w:rsidRPr="001B3BA5" w:rsidRDefault="00C9684F" w:rsidP="00584266">
      <w:pPr>
        <w:spacing w:after="0" w:line="480" w:lineRule="exact"/>
        <w:rPr>
          <w:rFonts w:asciiTheme="majorBidi" w:hAnsiTheme="majorBidi" w:cstheme="majorBidi"/>
          <w:b/>
          <w:iCs/>
          <w:sz w:val="24"/>
          <w:szCs w:val="24"/>
          <w:lang w:val="en-GB"/>
        </w:rPr>
      </w:pPr>
      <w:r w:rsidRPr="001B3BA5">
        <w:rPr>
          <w:rFonts w:asciiTheme="majorBidi" w:hAnsiTheme="majorBidi" w:cstheme="majorBidi"/>
          <w:sz w:val="24"/>
          <w:szCs w:val="24"/>
          <w:lang w:val="en-GB"/>
        </w:rPr>
        <w:t>Political campaign slogans, such as ‘Take back control of our country’ (United Kingdom Independence Party)</w:t>
      </w:r>
      <w:r w:rsidR="00CE778D">
        <w:rPr>
          <w:rFonts w:asciiTheme="majorBidi" w:hAnsiTheme="majorBidi" w:cstheme="majorBidi"/>
          <w:sz w:val="24"/>
          <w:szCs w:val="24"/>
          <w:lang w:val="en-GB"/>
        </w:rPr>
        <w:t xml:space="preserve"> and </w:t>
      </w:r>
      <w:r w:rsidR="00CE778D" w:rsidRPr="001B3BA5">
        <w:rPr>
          <w:rFonts w:asciiTheme="majorBidi" w:hAnsiTheme="majorBidi" w:cstheme="majorBidi"/>
          <w:sz w:val="24"/>
          <w:szCs w:val="24"/>
          <w:lang w:val="en-GB"/>
        </w:rPr>
        <w:t>‘The Netherlands ours again’ (Dutch Party for Freedom)</w:t>
      </w:r>
      <w:r w:rsidRPr="001B3BA5">
        <w:rPr>
          <w:rFonts w:asciiTheme="majorBidi" w:hAnsiTheme="majorBidi" w:cstheme="majorBidi"/>
          <w:sz w:val="24"/>
          <w:szCs w:val="24"/>
          <w:lang w:val="en-GB"/>
        </w:rPr>
        <w:t xml:space="preserve">, indicate that right-wing populism appeals to the belief that the country is ‘ours’, and therefore ‘we’ </w:t>
      </w:r>
      <w:r w:rsidR="00E32F9F" w:rsidRPr="001B3BA5">
        <w:rPr>
          <w:rFonts w:asciiTheme="majorBidi" w:hAnsiTheme="majorBidi" w:cstheme="majorBidi"/>
          <w:sz w:val="24"/>
          <w:szCs w:val="24"/>
          <w:lang w:val="en-GB"/>
        </w:rPr>
        <w:t>have the exclusive right to determine what happens</w:t>
      </w:r>
      <w:r w:rsidRPr="001B3BA5">
        <w:rPr>
          <w:rFonts w:asciiTheme="majorBidi" w:hAnsiTheme="majorBidi" w:cstheme="majorBidi"/>
          <w:sz w:val="24"/>
          <w:szCs w:val="24"/>
          <w:lang w:val="en-GB"/>
        </w:rPr>
        <w:t>. We examined this sense of ownership of the country (i.e.</w:t>
      </w:r>
      <w:r w:rsidR="008F4A37"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collective psychological ownership) </w:t>
      </w:r>
      <w:r w:rsidR="00E32F9F" w:rsidRPr="001B3BA5">
        <w:rPr>
          <w:rFonts w:asciiTheme="majorBidi" w:hAnsiTheme="majorBidi" w:cstheme="majorBidi"/>
          <w:sz w:val="24"/>
          <w:szCs w:val="24"/>
          <w:lang w:val="en-GB"/>
        </w:rPr>
        <w:t xml:space="preserve">with the related determination right </w:t>
      </w:r>
      <w:r w:rsidRPr="001B3BA5">
        <w:rPr>
          <w:rFonts w:asciiTheme="majorBidi" w:hAnsiTheme="majorBidi" w:cstheme="majorBidi"/>
          <w:sz w:val="24"/>
          <w:szCs w:val="24"/>
          <w:lang w:val="en-GB"/>
        </w:rPr>
        <w:t>in relation to exclusionary attitudes and voting behavio</w:t>
      </w:r>
      <w:r w:rsidR="008643F0" w:rsidRPr="001B3BA5">
        <w:rPr>
          <w:rFonts w:asciiTheme="majorBidi" w:hAnsiTheme="majorBidi" w:cstheme="majorBidi"/>
          <w:sz w:val="24"/>
          <w:szCs w:val="24"/>
          <w:lang w:val="en-GB"/>
        </w:rPr>
        <w:t>u</w:t>
      </w:r>
      <w:r w:rsidRPr="001B3BA5">
        <w:rPr>
          <w:rFonts w:asciiTheme="majorBidi" w:hAnsiTheme="majorBidi" w:cstheme="majorBidi"/>
          <w:sz w:val="24"/>
          <w:szCs w:val="24"/>
          <w:lang w:val="en-GB"/>
        </w:rPr>
        <w:t xml:space="preserve">r. </w:t>
      </w:r>
      <w:r w:rsidR="00C14310" w:rsidRPr="001B3BA5">
        <w:rPr>
          <w:rFonts w:asciiTheme="majorBidi" w:hAnsiTheme="majorBidi" w:cstheme="majorBidi"/>
          <w:sz w:val="24"/>
          <w:szCs w:val="24"/>
          <w:lang w:val="en-GB"/>
        </w:rPr>
        <w:t>A</w:t>
      </w:r>
      <w:r w:rsidR="00E32F9F" w:rsidRPr="001B3BA5">
        <w:rPr>
          <w:rFonts w:asciiTheme="majorBidi" w:hAnsiTheme="majorBidi" w:cstheme="majorBidi"/>
          <w:sz w:val="24"/>
          <w:szCs w:val="24"/>
          <w:lang w:val="en-GB"/>
        </w:rPr>
        <w:t xml:space="preserve">mong Dutch (Study 1, </w:t>
      </w:r>
      <w:r w:rsidR="00E32F9F" w:rsidRPr="001B3BA5">
        <w:rPr>
          <w:rFonts w:asciiTheme="majorBidi" w:hAnsiTheme="majorBidi" w:cstheme="majorBidi"/>
          <w:i/>
          <w:iCs/>
          <w:sz w:val="24"/>
          <w:szCs w:val="24"/>
          <w:lang w:val="en-GB"/>
        </w:rPr>
        <w:t>N</w:t>
      </w:r>
      <w:r w:rsidR="00E32F9F" w:rsidRPr="001B3BA5">
        <w:rPr>
          <w:rFonts w:asciiTheme="majorBidi" w:hAnsiTheme="majorBidi" w:cstheme="majorBidi"/>
          <w:sz w:val="24"/>
          <w:szCs w:val="24"/>
          <w:lang w:val="en-GB"/>
        </w:rPr>
        <w:t xml:space="preserve"> = 572) and British (Study 2, </w:t>
      </w:r>
      <w:r w:rsidR="00E32F9F" w:rsidRPr="001B3BA5">
        <w:rPr>
          <w:rFonts w:asciiTheme="majorBidi" w:hAnsiTheme="majorBidi" w:cstheme="majorBidi"/>
          <w:i/>
          <w:iCs/>
          <w:sz w:val="24"/>
          <w:szCs w:val="24"/>
          <w:lang w:val="en-GB"/>
        </w:rPr>
        <w:t>N</w:t>
      </w:r>
      <w:r w:rsidR="00E32F9F" w:rsidRPr="001B3BA5">
        <w:rPr>
          <w:rFonts w:asciiTheme="majorBidi" w:hAnsiTheme="majorBidi" w:cstheme="majorBidi"/>
          <w:sz w:val="24"/>
          <w:szCs w:val="24"/>
          <w:lang w:val="en-GB"/>
        </w:rPr>
        <w:t xml:space="preserve"> = 495) participants</w:t>
      </w:r>
      <w:r w:rsidRPr="001B3BA5">
        <w:rPr>
          <w:rFonts w:asciiTheme="majorBidi" w:hAnsiTheme="majorBidi" w:cstheme="majorBidi"/>
          <w:sz w:val="24"/>
          <w:szCs w:val="24"/>
          <w:lang w:val="en-GB"/>
        </w:rPr>
        <w:t xml:space="preserve">, we found that collective psychological ownership explained anti-immigrant and anti-EU attitudes, and these attitudes in turn accounted for voting ‘leave’ in the 2016 Brexit referendum in the British sample (Study 2). Additionally, collective psychological ownership was more strongly related to negative immigrant attitudes among right-wing Dutch participants, whereas it was more strongly related to negative EU attitudes and voting ‘leave’ among left-wing British participants. </w:t>
      </w:r>
      <w:r w:rsidR="00C9169F" w:rsidRPr="001B3BA5">
        <w:rPr>
          <w:rFonts w:asciiTheme="majorBidi" w:hAnsiTheme="majorBidi" w:cstheme="majorBidi"/>
          <w:sz w:val="24"/>
          <w:szCs w:val="24"/>
          <w:lang w:val="en-GB"/>
        </w:rPr>
        <w:t>C</w:t>
      </w:r>
      <w:r w:rsidRPr="001B3BA5">
        <w:rPr>
          <w:rFonts w:asciiTheme="majorBidi" w:hAnsiTheme="majorBidi" w:cstheme="majorBidi"/>
          <w:sz w:val="24"/>
          <w:szCs w:val="24"/>
          <w:lang w:val="en-GB"/>
        </w:rPr>
        <w:t>ollective psychological ownership contributes to the understanding of critical contemporary social attitudes and political behavio</w:t>
      </w:r>
      <w:r w:rsidR="008643F0" w:rsidRPr="001B3BA5">
        <w:rPr>
          <w:rFonts w:asciiTheme="majorBidi" w:hAnsiTheme="majorBidi" w:cstheme="majorBidi"/>
          <w:sz w:val="24"/>
          <w:szCs w:val="24"/>
          <w:lang w:val="en-GB"/>
        </w:rPr>
        <w:t>u</w:t>
      </w:r>
      <w:r w:rsidRPr="001B3BA5">
        <w:rPr>
          <w:rFonts w:asciiTheme="majorBidi" w:hAnsiTheme="majorBidi" w:cstheme="majorBidi"/>
          <w:sz w:val="24"/>
          <w:szCs w:val="24"/>
          <w:lang w:val="en-GB"/>
        </w:rPr>
        <w:t>r.</w:t>
      </w:r>
    </w:p>
    <w:p w14:paraId="08CB258A" w14:textId="0DF0439B" w:rsidR="00D155E3" w:rsidRPr="001B3BA5" w:rsidRDefault="00C9684F" w:rsidP="001B3BA5">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bCs/>
          <w:i/>
          <w:sz w:val="24"/>
          <w:szCs w:val="24"/>
          <w:lang w:val="en-GB"/>
        </w:rPr>
        <w:t>Keywords</w:t>
      </w:r>
      <w:r w:rsidRPr="001B3BA5">
        <w:rPr>
          <w:rFonts w:asciiTheme="majorBidi" w:hAnsiTheme="majorBidi" w:cstheme="majorBidi"/>
          <w:bCs/>
          <w:sz w:val="24"/>
          <w:szCs w:val="24"/>
          <w:lang w:val="en-GB"/>
        </w:rPr>
        <w:t>:</w:t>
      </w:r>
      <w:r w:rsidR="008F4A37" w:rsidRPr="001B3BA5">
        <w:rPr>
          <w:rFonts w:asciiTheme="majorBidi" w:hAnsiTheme="majorBidi" w:cstheme="majorBidi"/>
          <w:bCs/>
          <w:sz w:val="24"/>
          <w:szCs w:val="24"/>
          <w:lang w:val="en-GB"/>
        </w:rPr>
        <w:t xml:space="preserve"> </w:t>
      </w:r>
      <w:r w:rsidR="00D155E3" w:rsidRPr="001B3BA5">
        <w:rPr>
          <w:rFonts w:asciiTheme="majorBidi" w:hAnsiTheme="majorBidi" w:cstheme="majorBidi"/>
          <w:sz w:val="24"/>
          <w:szCs w:val="24"/>
          <w:lang w:val="en-GB"/>
        </w:rPr>
        <w:t>collective psychological ownership, anti-immigrant attitudes, anti-EU attitudes, Brexit referendum, exclusive determination right</w:t>
      </w:r>
    </w:p>
    <w:p w14:paraId="02E46B34" w14:textId="77777777" w:rsidR="00C9684F" w:rsidRPr="001B3BA5" w:rsidRDefault="00C9684F" w:rsidP="00584266">
      <w:pPr>
        <w:spacing w:after="0" w:line="480" w:lineRule="exact"/>
        <w:jc w:val="center"/>
        <w:rPr>
          <w:rFonts w:asciiTheme="majorBidi" w:hAnsiTheme="majorBidi" w:cstheme="majorBidi"/>
          <w:sz w:val="24"/>
          <w:szCs w:val="24"/>
          <w:lang w:val="en-GB"/>
        </w:rPr>
      </w:pPr>
    </w:p>
    <w:p w14:paraId="6824403E" w14:textId="77777777" w:rsidR="00C9684F" w:rsidRPr="001B3BA5" w:rsidRDefault="00C9684F" w:rsidP="00584266">
      <w:pPr>
        <w:spacing w:after="0" w:line="480" w:lineRule="exact"/>
        <w:rPr>
          <w:rFonts w:asciiTheme="majorBidi" w:hAnsiTheme="majorBidi" w:cstheme="majorBidi"/>
          <w:sz w:val="24"/>
          <w:szCs w:val="24"/>
          <w:lang w:val="en-GB"/>
        </w:rPr>
      </w:pPr>
      <w:r w:rsidRPr="001B3BA5">
        <w:rPr>
          <w:rFonts w:asciiTheme="majorBidi" w:hAnsiTheme="majorBidi" w:cstheme="majorBidi"/>
          <w:sz w:val="24"/>
          <w:szCs w:val="24"/>
          <w:lang w:val="en-GB"/>
        </w:rPr>
        <w:br w:type="page"/>
      </w:r>
    </w:p>
    <w:p w14:paraId="376BF4C1" w14:textId="77777777" w:rsidR="00E50AB0" w:rsidRPr="009C49E3" w:rsidRDefault="00C9684F" w:rsidP="00584266">
      <w:pPr>
        <w:spacing w:after="0" w:line="480" w:lineRule="exact"/>
        <w:jc w:val="center"/>
        <w:rPr>
          <w:rFonts w:asciiTheme="majorBidi" w:hAnsiTheme="majorBidi" w:cstheme="majorBidi"/>
          <w:sz w:val="24"/>
          <w:szCs w:val="24"/>
          <w:lang w:val="en-GB"/>
        </w:rPr>
      </w:pPr>
      <w:r w:rsidRPr="009C49E3">
        <w:rPr>
          <w:rFonts w:asciiTheme="majorBidi" w:hAnsiTheme="majorBidi" w:cstheme="majorBidi"/>
          <w:sz w:val="24"/>
          <w:szCs w:val="24"/>
          <w:lang w:val="en-GB"/>
        </w:rPr>
        <w:lastRenderedPageBreak/>
        <w:t>‘This Country is</w:t>
      </w:r>
      <w:r w:rsidR="00E50AB0" w:rsidRPr="009C49E3">
        <w:rPr>
          <w:rFonts w:asciiTheme="majorBidi" w:hAnsiTheme="majorBidi" w:cstheme="majorBidi"/>
          <w:sz w:val="24"/>
          <w:szCs w:val="24"/>
          <w:lang w:val="en-GB"/>
        </w:rPr>
        <w:t xml:space="preserve"> OURS’:</w:t>
      </w:r>
    </w:p>
    <w:p w14:paraId="169ADD98" w14:textId="637C2FB4" w:rsidR="00C9684F" w:rsidRPr="009C49E3" w:rsidRDefault="00C9684F" w:rsidP="00E50AB0">
      <w:pPr>
        <w:spacing w:after="0" w:line="480" w:lineRule="exact"/>
        <w:jc w:val="center"/>
        <w:rPr>
          <w:rFonts w:asciiTheme="majorBidi" w:hAnsiTheme="majorBidi" w:cstheme="majorBidi"/>
          <w:sz w:val="24"/>
          <w:szCs w:val="24"/>
          <w:lang w:val="en-GB"/>
        </w:rPr>
      </w:pPr>
      <w:r w:rsidRPr="009C49E3">
        <w:rPr>
          <w:rFonts w:asciiTheme="majorBidi" w:hAnsiTheme="majorBidi" w:cstheme="majorBidi"/>
          <w:sz w:val="24"/>
          <w:szCs w:val="24"/>
          <w:lang w:val="en-GB"/>
        </w:rPr>
        <w:t>The Exclusionary Potential of Collective Psychological Ownership</w:t>
      </w:r>
    </w:p>
    <w:p w14:paraId="397A8C67" w14:textId="5B187618" w:rsidR="00BA5B92" w:rsidRPr="001B3BA5" w:rsidRDefault="00367CC8">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Through such p</w:t>
      </w:r>
      <w:r w:rsidR="00A57FA6" w:rsidRPr="001B3BA5">
        <w:rPr>
          <w:rFonts w:asciiTheme="majorBidi" w:hAnsiTheme="majorBidi" w:cstheme="majorBidi"/>
          <w:sz w:val="24"/>
          <w:szCs w:val="24"/>
          <w:lang w:val="en-GB"/>
        </w:rPr>
        <w:t>olitical c</w:t>
      </w:r>
      <w:r w:rsidR="00754A5A" w:rsidRPr="001B3BA5">
        <w:rPr>
          <w:rFonts w:asciiTheme="majorBidi" w:hAnsiTheme="majorBidi" w:cstheme="majorBidi"/>
          <w:sz w:val="24"/>
          <w:szCs w:val="24"/>
          <w:lang w:val="en-GB"/>
        </w:rPr>
        <w:t xml:space="preserve">ampaign slogans as </w:t>
      </w:r>
      <w:r w:rsidR="00B146E8" w:rsidRPr="001B3BA5">
        <w:rPr>
          <w:rFonts w:asciiTheme="majorBidi" w:hAnsiTheme="majorBidi" w:cstheme="majorBidi"/>
          <w:sz w:val="24"/>
          <w:szCs w:val="24"/>
          <w:lang w:val="en-GB"/>
        </w:rPr>
        <w:t>‘</w:t>
      </w:r>
      <w:r w:rsidR="00754A5A" w:rsidRPr="001B3BA5">
        <w:rPr>
          <w:rFonts w:asciiTheme="majorBidi" w:hAnsiTheme="majorBidi" w:cstheme="majorBidi"/>
          <w:sz w:val="24"/>
          <w:szCs w:val="24"/>
          <w:lang w:val="en-GB"/>
        </w:rPr>
        <w:t>Take back control of our country</w:t>
      </w:r>
      <w:r w:rsidR="00B146E8" w:rsidRPr="001B3BA5">
        <w:rPr>
          <w:rFonts w:asciiTheme="majorBidi" w:hAnsiTheme="majorBidi" w:cstheme="majorBidi"/>
          <w:sz w:val="24"/>
          <w:szCs w:val="24"/>
          <w:lang w:val="en-GB"/>
        </w:rPr>
        <w:t>’</w:t>
      </w:r>
      <w:r w:rsidR="00CE778D">
        <w:rPr>
          <w:rFonts w:asciiTheme="majorBidi" w:hAnsiTheme="majorBidi" w:cstheme="majorBidi"/>
          <w:sz w:val="24"/>
          <w:szCs w:val="24"/>
          <w:lang w:val="en-GB"/>
        </w:rPr>
        <w:t xml:space="preserve"> and </w:t>
      </w:r>
      <w:r w:rsidR="00CE778D" w:rsidRPr="001B3BA5">
        <w:rPr>
          <w:rFonts w:asciiTheme="majorBidi" w:hAnsiTheme="majorBidi" w:cstheme="majorBidi"/>
          <w:sz w:val="24"/>
          <w:szCs w:val="24"/>
          <w:lang w:val="en-GB"/>
        </w:rPr>
        <w:t>‘The Netherlands ours again’</w:t>
      </w:r>
      <w:r w:rsidR="008F4A37" w:rsidRPr="001B3BA5">
        <w:rPr>
          <w:rFonts w:asciiTheme="majorBidi" w:hAnsiTheme="majorBidi" w:cstheme="majorBidi"/>
          <w:sz w:val="24"/>
          <w:szCs w:val="24"/>
          <w:lang w:val="en-GB"/>
        </w:rPr>
        <w:t>,</w:t>
      </w:r>
      <w:r w:rsidR="00754A5A" w:rsidRPr="001B3BA5">
        <w:rPr>
          <w:rFonts w:asciiTheme="majorBidi" w:hAnsiTheme="majorBidi" w:cstheme="majorBidi"/>
          <w:sz w:val="24"/>
          <w:szCs w:val="24"/>
          <w:lang w:val="en-GB"/>
        </w:rPr>
        <w:t xml:space="preserve"> </w:t>
      </w:r>
      <w:r w:rsidR="00A57FA6" w:rsidRPr="001B3BA5">
        <w:rPr>
          <w:rFonts w:asciiTheme="majorBidi" w:hAnsiTheme="majorBidi" w:cstheme="majorBidi"/>
          <w:sz w:val="24"/>
          <w:szCs w:val="24"/>
          <w:lang w:val="en-GB"/>
        </w:rPr>
        <w:t xml:space="preserve">right-wing </w:t>
      </w:r>
      <w:r w:rsidR="00754A5A" w:rsidRPr="001B3BA5">
        <w:rPr>
          <w:rFonts w:asciiTheme="majorBidi" w:hAnsiTheme="majorBidi" w:cstheme="majorBidi"/>
          <w:sz w:val="24"/>
          <w:szCs w:val="24"/>
          <w:lang w:val="en-GB"/>
        </w:rPr>
        <w:t>populis</w:t>
      </w:r>
      <w:r w:rsidR="0087398C" w:rsidRPr="001B3BA5">
        <w:rPr>
          <w:rFonts w:asciiTheme="majorBidi" w:hAnsiTheme="majorBidi" w:cstheme="majorBidi"/>
          <w:sz w:val="24"/>
          <w:szCs w:val="24"/>
          <w:lang w:val="en-GB"/>
        </w:rPr>
        <w:t>t</w:t>
      </w:r>
      <w:r w:rsidRPr="001B3BA5">
        <w:rPr>
          <w:rFonts w:asciiTheme="majorBidi" w:hAnsiTheme="majorBidi" w:cstheme="majorBidi"/>
          <w:sz w:val="24"/>
          <w:szCs w:val="24"/>
          <w:lang w:val="en-GB"/>
        </w:rPr>
        <w:t xml:space="preserve"> parties (United Kingdom Independen</w:t>
      </w:r>
      <w:r w:rsidR="00955643" w:rsidRPr="001B3BA5">
        <w:rPr>
          <w:rFonts w:asciiTheme="majorBidi" w:hAnsiTheme="majorBidi" w:cstheme="majorBidi"/>
          <w:sz w:val="24"/>
          <w:szCs w:val="24"/>
          <w:lang w:val="en-GB"/>
        </w:rPr>
        <w:t>ce P</w:t>
      </w:r>
      <w:r w:rsidRPr="001B3BA5">
        <w:rPr>
          <w:rFonts w:asciiTheme="majorBidi" w:hAnsiTheme="majorBidi" w:cstheme="majorBidi"/>
          <w:sz w:val="24"/>
          <w:szCs w:val="24"/>
          <w:lang w:val="en-GB"/>
        </w:rPr>
        <w:t>arty</w:t>
      </w:r>
      <w:r w:rsidR="00CE778D">
        <w:rPr>
          <w:rFonts w:asciiTheme="majorBidi" w:hAnsiTheme="majorBidi" w:cstheme="majorBidi"/>
          <w:sz w:val="24"/>
          <w:szCs w:val="24"/>
          <w:lang w:val="en-GB"/>
        </w:rPr>
        <w:t xml:space="preserve"> and </w:t>
      </w:r>
      <w:r w:rsidR="00CE778D" w:rsidRPr="001B3BA5">
        <w:rPr>
          <w:rFonts w:asciiTheme="majorBidi" w:hAnsiTheme="majorBidi" w:cstheme="majorBidi"/>
          <w:sz w:val="24"/>
          <w:szCs w:val="24"/>
          <w:lang w:val="en-GB"/>
        </w:rPr>
        <w:t>Dutch Party for Freedom</w:t>
      </w:r>
      <w:r w:rsidRPr="001B3BA5">
        <w:rPr>
          <w:rFonts w:asciiTheme="majorBidi" w:hAnsiTheme="majorBidi" w:cstheme="majorBidi"/>
          <w:sz w:val="24"/>
          <w:szCs w:val="24"/>
          <w:lang w:val="en-GB"/>
        </w:rPr>
        <w:t>, respective</w:t>
      </w:r>
      <w:r w:rsidR="003F4622" w:rsidRPr="001B3BA5">
        <w:rPr>
          <w:rFonts w:asciiTheme="majorBidi" w:hAnsiTheme="majorBidi" w:cstheme="majorBidi"/>
          <w:sz w:val="24"/>
          <w:szCs w:val="24"/>
          <w:lang w:val="en-GB"/>
        </w:rPr>
        <w:t>l</w:t>
      </w:r>
      <w:r w:rsidRPr="001B3BA5">
        <w:rPr>
          <w:rFonts w:asciiTheme="majorBidi" w:hAnsiTheme="majorBidi" w:cstheme="majorBidi"/>
          <w:sz w:val="24"/>
          <w:szCs w:val="24"/>
          <w:lang w:val="en-GB"/>
        </w:rPr>
        <w:t>y) endeavo</w:t>
      </w:r>
      <w:r w:rsidR="001B3BA5">
        <w:rPr>
          <w:rFonts w:asciiTheme="majorBidi" w:hAnsiTheme="majorBidi" w:cstheme="majorBidi"/>
          <w:sz w:val="24"/>
          <w:szCs w:val="24"/>
          <w:lang w:val="en-GB"/>
        </w:rPr>
        <w:t>u</w:t>
      </w:r>
      <w:r w:rsidRPr="001B3BA5">
        <w:rPr>
          <w:rFonts w:asciiTheme="majorBidi" w:hAnsiTheme="majorBidi" w:cstheme="majorBidi"/>
          <w:sz w:val="24"/>
          <w:szCs w:val="24"/>
          <w:lang w:val="en-GB"/>
        </w:rPr>
        <w:t>r to</w:t>
      </w:r>
      <w:r w:rsidR="00754A5A" w:rsidRPr="001B3BA5">
        <w:rPr>
          <w:rFonts w:asciiTheme="majorBidi" w:hAnsiTheme="majorBidi" w:cstheme="majorBidi"/>
          <w:sz w:val="24"/>
          <w:szCs w:val="24"/>
          <w:lang w:val="en-GB"/>
        </w:rPr>
        <w:t xml:space="preserve"> appeal to belief</w:t>
      </w:r>
      <w:r w:rsidRPr="001B3BA5">
        <w:rPr>
          <w:rFonts w:asciiTheme="majorBidi" w:hAnsiTheme="majorBidi" w:cstheme="majorBidi"/>
          <w:sz w:val="24"/>
          <w:szCs w:val="24"/>
          <w:lang w:val="en-GB"/>
        </w:rPr>
        <w:t>s</w:t>
      </w:r>
      <w:r w:rsidR="00754A5A" w:rsidRPr="001B3BA5">
        <w:rPr>
          <w:rFonts w:asciiTheme="majorBidi" w:hAnsiTheme="majorBidi" w:cstheme="majorBidi"/>
          <w:sz w:val="24"/>
          <w:szCs w:val="24"/>
          <w:lang w:val="en-GB"/>
        </w:rPr>
        <w:t xml:space="preserve"> that the country is </w:t>
      </w:r>
      <w:r w:rsidR="00B146E8" w:rsidRPr="001B3BA5">
        <w:rPr>
          <w:rFonts w:asciiTheme="majorBidi" w:hAnsiTheme="majorBidi" w:cstheme="majorBidi"/>
          <w:sz w:val="24"/>
          <w:szCs w:val="24"/>
          <w:lang w:val="en-GB"/>
        </w:rPr>
        <w:t>‘</w:t>
      </w:r>
      <w:r w:rsidR="00754A5A" w:rsidRPr="001B3BA5">
        <w:rPr>
          <w:rFonts w:asciiTheme="majorBidi" w:hAnsiTheme="majorBidi" w:cstheme="majorBidi"/>
          <w:sz w:val="24"/>
          <w:szCs w:val="24"/>
          <w:lang w:val="en-GB"/>
        </w:rPr>
        <w:t>ours</w:t>
      </w:r>
      <w:r w:rsidR="00B146E8" w:rsidRPr="001B3BA5">
        <w:rPr>
          <w:rFonts w:asciiTheme="majorBidi" w:hAnsiTheme="majorBidi" w:cstheme="majorBidi"/>
          <w:sz w:val="24"/>
          <w:szCs w:val="24"/>
          <w:lang w:val="en-GB"/>
        </w:rPr>
        <w:t>’</w:t>
      </w:r>
      <w:r w:rsidR="00754A5A" w:rsidRPr="001B3BA5">
        <w:rPr>
          <w:rFonts w:asciiTheme="majorBidi" w:hAnsiTheme="majorBidi" w:cstheme="majorBidi"/>
          <w:sz w:val="24"/>
          <w:szCs w:val="24"/>
          <w:lang w:val="en-GB"/>
        </w:rPr>
        <w:t xml:space="preserve"> and </w:t>
      </w:r>
      <w:r w:rsidR="006236B1" w:rsidRPr="001B3BA5">
        <w:rPr>
          <w:rFonts w:asciiTheme="majorBidi" w:hAnsiTheme="majorBidi" w:cstheme="majorBidi"/>
          <w:sz w:val="24"/>
          <w:szCs w:val="24"/>
          <w:lang w:val="en-GB"/>
        </w:rPr>
        <w:t>therefore</w:t>
      </w:r>
      <w:r w:rsidR="00754A5A"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00754A5A" w:rsidRPr="001B3BA5">
        <w:rPr>
          <w:rFonts w:asciiTheme="majorBidi" w:hAnsiTheme="majorBidi" w:cstheme="majorBidi"/>
          <w:sz w:val="24"/>
          <w:szCs w:val="24"/>
          <w:lang w:val="en-GB"/>
        </w:rPr>
        <w:t>we</w:t>
      </w:r>
      <w:r w:rsidR="00B146E8" w:rsidRPr="001B3BA5">
        <w:rPr>
          <w:rFonts w:asciiTheme="majorBidi" w:hAnsiTheme="majorBidi" w:cstheme="majorBidi"/>
          <w:sz w:val="24"/>
          <w:szCs w:val="24"/>
          <w:lang w:val="en-GB"/>
        </w:rPr>
        <w:t>’</w:t>
      </w:r>
      <w:r w:rsidR="00754A5A" w:rsidRPr="001B3BA5">
        <w:rPr>
          <w:rFonts w:asciiTheme="majorBidi" w:hAnsiTheme="majorBidi" w:cstheme="majorBidi"/>
          <w:sz w:val="24"/>
          <w:szCs w:val="24"/>
          <w:lang w:val="en-GB"/>
        </w:rPr>
        <w:t xml:space="preserve"> are </w:t>
      </w:r>
      <w:r w:rsidR="008F4A37" w:rsidRPr="001B3BA5">
        <w:rPr>
          <w:rFonts w:asciiTheme="majorBidi" w:hAnsiTheme="majorBidi" w:cstheme="majorBidi"/>
          <w:sz w:val="24"/>
          <w:szCs w:val="24"/>
          <w:lang w:val="en-GB"/>
        </w:rPr>
        <w:t xml:space="preserve">its </w:t>
      </w:r>
      <w:r w:rsidR="00754A5A" w:rsidRPr="001B3BA5">
        <w:rPr>
          <w:rFonts w:asciiTheme="majorBidi" w:hAnsiTheme="majorBidi" w:cstheme="majorBidi"/>
          <w:sz w:val="24"/>
          <w:szCs w:val="24"/>
          <w:lang w:val="en-GB"/>
        </w:rPr>
        <w:t xml:space="preserve">rightful owners. </w:t>
      </w:r>
      <w:r w:rsidR="0087398C" w:rsidRPr="001B3BA5">
        <w:rPr>
          <w:rFonts w:asciiTheme="majorBidi" w:hAnsiTheme="majorBidi" w:cstheme="majorBidi"/>
          <w:sz w:val="24"/>
          <w:szCs w:val="24"/>
          <w:lang w:val="en-GB"/>
        </w:rPr>
        <w:t xml:space="preserve">These </w:t>
      </w:r>
      <w:r w:rsidR="00FC5E17" w:rsidRPr="001B3BA5">
        <w:rPr>
          <w:rFonts w:asciiTheme="majorBidi" w:hAnsiTheme="majorBidi" w:cstheme="majorBidi"/>
          <w:sz w:val="24"/>
          <w:szCs w:val="24"/>
          <w:lang w:val="en-GB"/>
        </w:rPr>
        <w:t xml:space="preserve">political </w:t>
      </w:r>
      <w:r w:rsidR="0087398C" w:rsidRPr="001B3BA5">
        <w:rPr>
          <w:rFonts w:asciiTheme="majorBidi" w:hAnsiTheme="majorBidi" w:cstheme="majorBidi"/>
          <w:sz w:val="24"/>
          <w:szCs w:val="24"/>
          <w:lang w:val="en-GB"/>
        </w:rPr>
        <w:t xml:space="preserve">parties </w:t>
      </w:r>
      <w:r w:rsidR="00E32F9F" w:rsidRPr="001B3BA5">
        <w:rPr>
          <w:rFonts w:asciiTheme="majorBidi" w:hAnsiTheme="majorBidi" w:cstheme="majorBidi"/>
          <w:sz w:val="24"/>
          <w:szCs w:val="24"/>
          <w:lang w:val="en-GB"/>
        </w:rPr>
        <w:t>appeal to</w:t>
      </w:r>
      <w:r w:rsidR="0087398C" w:rsidRPr="001B3BA5">
        <w:rPr>
          <w:rFonts w:asciiTheme="majorBidi" w:hAnsiTheme="majorBidi" w:cstheme="majorBidi"/>
          <w:sz w:val="24"/>
          <w:szCs w:val="24"/>
          <w:lang w:val="en-GB"/>
        </w:rPr>
        <w:t xml:space="preserve"> people</w:t>
      </w:r>
      <w:r w:rsidR="00B146E8" w:rsidRPr="001B3BA5">
        <w:rPr>
          <w:rFonts w:asciiTheme="majorBidi" w:hAnsiTheme="majorBidi" w:cstheme="majorBidi"/>
          <w:sz w:val="24"/>
          <w:szCs w:val="24"/>
          <w:lang w:val="en-GB"/>
        </w:rPr>
        <w:t>’</w:t>
      </w:r>
      <w:r w:rsidR="0087398C" w:rsidRPr="001B3BA5">
        <w:rPr>
          <w:rFonts w:asciiTheme="majorBidi" w:hAnsiTheme="majorBidi" w:cstheme="majorBidi"/>
          <w:sz w:val="24"/>
          <w:szCs w:val="24"/>
          <w:lang w:val="en-GB"/>
        </w:rPr>
        <w:t>s sense of ownership and the</w:t>
      </w:r>
      <w:r w:rsidR="00F2430C" w:rsidRPr="001B3BA5">
        <w:rPr>
          <w:rFonts w:asciiTheme="majorBidi" w:hAnsiTheme="majorBidi" w:cstheme="majorBidi"/>
          <w:sz w:val="24"/>
          <w:szCs w:val="24"/>
          <w:lang w:val="en-GB"/>
        </w:rPr>
        <w:t xml:space="preserve"> (arguably)</w:t>
      </w:r>
      <w:r w:rsidR="0087398C" w:rsidRPr="001B3BA5">
        <w:rPr>
          <w:rFonts w:asciiTheme="majorBidi" w:hAnsiTheme="majorBidi" w:cstheme="majorBidi"/>
          <w:sz w:val="24"/>
          <w:szCs w:val="24"/>
          <w:lang w:val="en-GB"/>
        </w:rPr>
        <w:t xml:space="preserve"> related </w:t>
      </w:r>
      <w:r w:rsidR="00DC01FF" w:rsidRPr="001B3BA5">
        <w:rPr>
          <w:rFonts w:asciiTheme="majorBidi" w:hAnsiTheme="majorBidi" w:cstheme="majorBidi"/>
          <w:sz w:val="24"/>
          <w:szCs w:val="24"/>
          <w:lang w:val="en-GB"/>
        </w:rPr>
        <w:t>exclusive determination right</w:t>
      </w:r>
      <w:r w:rsidR="0087398C" w:rsidRPr="001B3BA5">
        <w:rPr>
          <w:rFonts w:asciiTheme="majorBidi" w:hAnsiTheme="majorBidi" w:cstheme="majorBidi"/>
          <w:sz w:val="24"/>
          <w:szCs w:val="24"/>
          <w:lang w:val="en-GB"/>
        </w:rPr>
        <w:t xml:space="preserve"> to back up opposition to immigration and European integration </w:t>
      </w:r>
      <w:r w:rsidR="0087398C" w:rsidRPr="001B3BA5">
        <w:rPr>
          <w:rFonts w:asciiTheme="majorBidi" w:hAnsiTheme="majorBidi" w:cstheme="majorBidi"/>
          <w:sz w:val="24"/>
          <w:szCs w:val="24"/>
          <w:lang w:val="en-GB"/>
        </w:rPr>
        <w:fldChar w:fldCharType="begin"/>
      </w:r>
      <w:r w:rsidR="0087398C" w:rsidRPr="001B3BA5">
        <w:rPr>
          <w:rFonts w:asciiTheme="majorBidi" w:hAnsiTheme="majorBidi" w:cstheme="majorBidi"/>
          <w:sz w:val="24"/>
          <w:szCs w:val="24"/>
          <w:lang w:val="en-GB"/>
        </w:rPr>
        <w:instrText xml:space="preserve"> ADDIN EN.CITE &lt;EndNote&gt;&lt;Cite&gt;&lt;Author&gt;Partij Voor de Vrijheid&lt;/Author&gt;&lt;Year&gt;2012&lt;/Year&gt;&lt;RecNum&gt;589&lt;/RecNum&gt;&lt;DisplayText&gt;(Partij Voor de Vrijheid, 2012; Vlaams Belang, 2019)&lt;/DisplayText&gt;&lt;record&gt;&lt;rec-number&gt;589&lt;/rec-number&gt;&lt;foreign-keys&gt;&lt;key app="EN" db-id="es92r5v5dve2z0erx59pv50vtp29v0t9ef5f" timestamp="0"&gt;589&lt;/key&gt;&lt;/foreign-keys&gt;&lt;ref-type name="Generic"&gt;13&lt;/ref-type&gt;&lt;contributors&gt;&lt;authors&gt;&lt;author&gt;Partij Voor de Vrijheid,&lt;/author&gt;&lt;/authors&gt;&lt;/contributors&gt;&lt;titles&gt;&lt;title&gt;Hún Brussel, óns Nederland: Verkiezingsprogramma 2012-2017&lt;/title&gt;&lt;/titles&gt;&lt;dates&gt;&lt;year&gt;2012&lt;/year&gt;&lt;pub-dates&gt;&lt;date&gt;28-11-2016&lt;/date&gt;&lt;/pub-dates&gt;&lt;/dates&gt;&lt;urls&gt;&lt;related-urls&gt;&lt;url&gt;https://www.pvv.nl/images/stories/verkiezingen2012/VerkiezingsProgramma-PVV-2012-final-web.pdf&lt;/url&gt;&lt;/related-urls&gt;&lt;/urls&gt;&lt;/record&gt;&lt;/Cite&gt;&lt;Cite&gt;&lt;Author&gt;Belang&lt;/Author&gt;&lt;Year&gt;2019&lt;/Year&gt;&lt;RecNum&gt;1381&lt;/RecNum&gt;&lt;record&gt;&lt;rec-number&gt;1381&lt;/rec-number&gt;&lt;foreign-keys&gt;&lt;key app="EN" db-id="es92r5v5dve2z0erx59pv50vtp29v0t9ef5f" timestamp="1551781929"&gt;1381&lt;/key&gt;&lt;/foreign-keys&gt;&lt;ref-type name="Web Page"&gt;12&lt;/ref-type&gt;&lt;contributors&gt;&lt;authors&gt;&lt;author&gt;Vlaams Belang,&lt;/author&gt;&lt;/authors&gt;&lt;/contributors&gt;&lt;titles&gt;&lt;title&gt;Vlaams Belang website&lt;/title&gt;&lt;/titles&gt;&lt;volume&gt;2019&lt;/volume&gt;&lt;number&gt;5 March 2019&lt;/number&gt;&lt;dates&gt;&lt;year&gt;2019&lt;/year&gt;&lt;/dates&gt;&lt;urls&gt;&lt;related-urls&gt;&lt;url&gt;https://www.vlaamsbelang.org/&lt;/url&gt;&lt;/related-urls&gt;&lt;/urls&gt;&lt;/record&gt;&lt;/Cite&gt;&lt;/EndNote&gt;</w:instrText>
      </w:r>
      <w:r w:rsidR="0087398C" w:rsidRPr="001B3BA5">
        <w:rPr>
          <w:rFonts w:asciiTheme="majorBidi" w:hAnsiTheme="majorBidi" w:cstheme="majorBidi"/>
          <w:sz w:val="24"/>
          <w:szCs w:val="24"/>
          <w:lang w:val="en-GB"/>
        </w:rPr>
        <w:fldChar w:fldCharType="separate"/>
      </w:r>
      <w:r w:rsidR="0087398C" w:rsidRPr="001B3BA5">
        <w:rPr>
          <w:rFonts w:asciiTheme="majorBidi" w:hAnsiTheme="majorBidi" w:cstheme="majorBidi"/>
          <w:noProof/>
          <w:sz w:val="24"/>
          <w:szCs w:val="24"/>
          <w:lang w:val="en-GB"/>
        </w:rPr>
        <w:t>(Partij Voor de Vrijheid, 2012; Vlaams Belang, 2019)</w:t>
      </w:r>
      <w:r w:rsidR="0087398C" w:rsidRPr="001B3BA5">
        <w:rPr>
          <w:rFonts w:asciiTheme="majorBidi" w:hAnsiTheme="majorBidi" w:cstheme="majorBidi"/>
          <w:sz w:val="24"/>
          <w:szCs w:val="24"/>
          <w:lang w:val="en-GB"/>
        </w:rPr>
        <w:fldChar w:fldCharType="end"/>
      </w:r>
      <w:r w:rsidR="003F4622" w:rsidRPr="001B3BA5">
        <w:rPr>
          <w:rFonts w:asciiTheme="majorBidi" w:hAnsiTheme="majorBidi" w:cstheme="majorBidi"/>
          <w:sz w:val="24"/>
          <w:szCs w:val="24"/>
          <w:lang w:val="en-GB"/>
        </w:rPr>
        <w:t>. The</w:t>
      </w:r>
      <w:r w:rsidR="00A52749" w:rsidRPr="001B3BA5">
        <w:rPr>
          <w:rFonts w:asciiTheme="majorBidi" w:hAnsiTheme="majorBidi" w:cstheme="majorBidi"/>
          <w:sz w:val="24"/>
          <w:szCs w:val="24"/>
          <w:lang w:val="en-GB"/>
        </w:rPr>
        <w:t xml:space="preserve"> </w:t>
      </w:r>
      <w:r w:rsidR="001B57BA" w:rsidRPr="001B3BA5">
        <w:rPr>
          <w:rFonts w:asciiTheme="majorBidi" w:hAnsiTheme="majorBidi" w:cstheme="majorBidi"/>
          <w:sz w:val="24"/>
          <w:szCs w:val="24"/>
          <w:lang w:val="en-GB"/>
        </w:rPr>
        <w:t>United Kingdom Independen</w:t>
      </w:r>
      <w:r w:rsidR="00F2430C" w:rsidRPr="001B3BA5">
        <w:rPr>
          <w:rFonts w:asciiTheme="majorBidi" w:hAnsiTheme="majorBidi" w:cstheme="majorBidi"/>
          <w:sz w:val="24"/>
          <w:szCs w:val="24"/>
          <w:lang w:val="en-GB"/>
        </w:rPr>
        <w:t>ce</w:t>
      </w:r>
      <w:r w:rsidR="001B57BA" w:rsidRPr="001B3BA5">
        <w:rPr>
          <w:rFonts w:asciiTheme="majorBidi" w:hAnsiTheme="majorBidi" w:cstheme="majorBidi"/>
          <w:sz w:val="24"/>
          <w:szCs w:val="24"/>
          <w:lang w:val="en-GB"/>
        </w:rPr>
        <w:t xml:space="preserve"> Party</w:t>
      </w:r>
      <w:r w:rsidR="00FC5E17" w:rsidRPr="001B3BA5">
        <w:rPr>
          <w:rFonts w:asciiTheme="majorBidi" w:hAnsiTheme="majorBidi" w:cstheme="majorBidi"/>
          <w:sz w:val="24"/>
          <w:szCs w:val="24"/>
          <w:lang w:val="en-GB"/>
        </w:rPr>
        <w:t xml:space="preserve"> </w:t>
      </w:r>
      <w:r w:rsidR="003F4622" w:rsidRPr="001B3BA5">
        <w:rPr>
          <w:rFonts w:asciiTheme="majorBidi" w:hAnsiTheme="majorBidi" w:cstheme="majorBidi"/>
          <w:sz w:val="24"/>
          <w:szCs w:val="24"/>
          <w:lang w:val="en-GB"/>
        </w:rPr>
        <w:t>also</w:t>
      </w:r>
      <w:r w:rsidR="0087398C" w:rsidRPr="001B3BA5">
        <w:rPr>
          <w:rFonts w:asciiTheme="majorBidi" w:hAnsiTheme="majorBidi" w:cstheme="majorBidi"/>
          <w:sz w:val="24"/>
          <w:szCs w:val="24"/>
          <w:lang w:val="en-GB"/>
        </w:rPr>
        <w:t xml:space="preserve"> use</w:t>
      </w:r>
      <w:r w:rsidR="00A52749" w:rsidRPr="001B3BA5">
        <w:rPr>
          <w:rFonts w:asciiTheme="majorBidi" w:hAnsiTheme="majorBidi" w:cstheme="majorBidi"/>
          <w:sz w:val="24"/>
          <w:szCs w:val="24"/>
          <w:lang w:val="en-GB"/>
        </w:rPr>
        <w:t>d</w:t>
      </w:r>
      <w:r w:rsidR="0087398C" w:rsidRPr="001B3BA5">
        <w:rPr>
          <w:rFonts w:asciiTheme="majorBidi" w:hAnsiTheme="majorBidi" w:cstheme="majorBidi"/>
          <w:sz w:val="24"/>
          <w:szCs w:val="24"/>
          <w:lang w:val="en-GB"/>
        </w:rPr>
        <w:t xml:space="preserve"> ownership rhetoric in E</w:t>
      </w:r>
      <w:r w:rsidR="001B57BA" w:rsidRPr="001B3BA5">
        <w:rPr>
          <w:rFonts w:asciiTheme="majorBidi" w:hAnsiTheme="majorBidi" w:cstheme="majorBidi"/>
          <w:sz w:val="24"/>
          <w:szCs w:val="24"/>
          <w:lang w:val="en-GB"/>
        </w:rPr>
        <w:t xml:space="preserve">uropean </w:t>
      </w:r>
      <w:r w:rsidR="0087398C" w:rsidRPr="001B3BA5">
        <w:rPr>
          <w:rFonts w:asciiTheme="majorBidi" w:hAnsiTheme="majorBidi" w:cstheme="majorBidi"/>
          <w:sz w:val="24"/>
          <w:szCs w:val="24"/>
          <w:lang w:val="en-GB"/>
        </w:rPr>
        <w:t>U</w:t>
      </w:r>
      <w:r w:rsidR="001B57BA" w:rsidRPr="001B3BA5">
        <w:rPr>
          <w:rFonts w:asciiTheme="majorBidi" w:hAnsiTheme="majorBidi" w:cstheme="majorBidi"/>
          <w:sz w:val="24"/>
          <w:szCs w:val="24"/>
          <w:lang w:val="en-GB"/>
        </w:rPr>
        <w:t>nion (EU)</w:t>
      </w:r>
      <w:r w:rsidR="0087398C"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0087398C" w:rsidRPr="001B3BA5">
        <w:rPr>
          <w:rFonts w:asciiTheme="majorBidi" w:hAnsiTheme="majorBidi" w:cstheme="majorBidi"/>
          <w:sz w:val="24"/>
          <w:szCs w:val="24"/>
          <w:lang w:val="en-GB"/>
        </w:rPr>
        <w:t>leave</w:t>
      </w:r>
      <w:r w:rsidR="00B146E8" w:rsidRPr="001B3BA5">
        <w:rPr>
          <w:rFonts w:asciiTheme="majorBidi" w:hAnsiTheme="majorBidi" w:cstheme="majorBidi"/>
          <w:sz w:val="24"/>
          <w:szCs w:val="24"/>
          <w:lang w:val="en-GB"/>
        </w:rPr>
        <w:t>’</w:t>
      </w:r>
      <w:r w:rsidR="0087398C" w:rsidRPr="001B3BA5">
        <w:rPr>
          <w:rFonts w:asciiTheme="majorBidi" w:hAnsiTheme="majorBidi" w:cstheme="majorBidi"/>
          <w:sz w:val="24"/>
          <w:szCs w:val="24"/>
          <w:lang w:val="en-GB"/>
        </w:rPr>
        <w:t xml:space="preserve"> campaigns </w:t>
      </w:r>
      <w:r w:rsidR="0087398C" w:rsidRPr="001B3BA5">
        <w:rPr>
          <w:rFonts w:asciiTheme="majorBidi" w:hAnsiTheme="majorBidi" w:cstheme="majorBidi"/>
          <w:sz w:val="24"/>
          <w:szCs w:val="24"/>
          <w:lang w:val="en-GB"/>
        </w:rPr>
        <w:fldChar w:fldCharType="begin"/>
      </w:r>
      <w:r w:rsidR="005E1030" w:rsidRPr="001B3BA5">
        <w:rPr>
          <w:rFonts w:asciiTheme="majorBidi" w:hAnsiTheme="majorBidi" w:cstheme="majorBidi"/>
          <w:sz w:val="24"/>
          <w:szCs w:val="24"/>
          <w:lang w:val="en-GB"/>
        </w:rPr>
        <w:instrText xml:space="preserve"> ADDIN EN.CITE &lt;EndNote&gt;&lt;Cite&gt;&lt;Author&gt;Cap&lt;/Author&gt;&lt;Year&gt;2017&lt;/Year&gt;&lt;RecNum&gt;1382&lt;/RecNum&gt;&lt;DisplayText&gt;(Cap, 2017; Portice &amp;amp; Reicher, 2018)&lt;/DisplayText&gt;&lt;record&gt;&lt;rec-number&gt;1382&lt;/rec-number&gt;&lt;foreign-keys&gt;&lt;key app="EN" db-id="es92r5v5dve2z0erx59pv50vtp29v0t9ef5f" timestamp="1551782171"&gt;1382&lt;/key&gt;&lt;key app="ENWeb" db-id=""&gt;0&lt;/key&gt;&lt;/foreign-keys&gt;&lt;ref-type name="Book Section"&gt;5&lt;/ref-type&gt;&lt;contributors&gt;&lt;authors&gt;&lt;author&gt;Cap, Piotr&lt;/author&gt;&lt;/authors&gt;&lt;secondary-authors&gt;&lt;author&gt;Cap, Piotr&lt;/author&gt;&lt;/secondary-authors&gt;&lt;/contributors&gt;&lt;titles&gt;&lt;title&gt;Immigration and anti-migration discourses: The early rhetoric of Brexit&lt;/title&gt;&lt;secondary-title&gt;The language of fear: Communicating threat in public discourse&lt;/secondary-title&gt;&lt;/titles&gt;&lt;pages&gt;67-79&lt;/pages&gt;&lt;dates&gt;&lt;year&gt;2017&lt;/year&gt;&lt;/dates&gt;&lt;pub-location&gt;London&lt;/pub-location&gt;&lt;publisher&gt;Macmillan Publishers Ltd&lt;/publisher&gt;&lt;urls&gt;&lt;/urls&gt;&lt;electronic-resource-num&gt;10.1057/978-1-137-59731-1_6&lt;/electronic-resource-num&gt;&lt;/record&gt;&lt;/Cite&gt;&lt;Cite&gt;&lt;Author&gt;Portice&lt;/Author&gt;&lt;Year&gt;2018&lt;/Year&gt;&lt;RecNum&gt;1366&lt;/RecNum&gt;&lt;record&gt;&lt;rec-number&gt;1366&lt;/rec-number&gt;&lt;foreign-keys&gt;&lt;key app="EN" db-id="es92r5v5dve2z0erx59pv50vtp29v0t9ef5f" timestamp="1550150591"&gt;1366&lt;/key&gt;&lt;key app="ENWeb" db-id=""&gt;0&lt;/key&gt;&lt;/foreign-keys&gt;&lt;ref-type name="Journal Article"&gt;17&lt;/ref-type&gt;&lt;contributors&gt;&lt;authors&gt;&lt;author&gt;Portice, Jennie&lt;/author&gt;&lt;author&gt;Reicher, Stephen&lt;/author&gt;&lt;/authors&gt;&lt;/contributors&gt;&lt;titles&gt;&lt;title&gt;Arguments for European disintegration: A mobilization analysis of anti-immigration speeches by U.K. political leaders&lt;/title&gt;&lt;secondary-title&gt;Political Psychology&lt;/secondary-title&gt;&lt;/titles&gt;&lt;periodical&gt;&lt;full-title&gt;Political Psychology&lt;/full-title&gt;&lt;/periodical&gt;&lt;pages&gt;1357-1372&lt;/pages&gt;&lt;volume&gt;39&lt;/volume&gt;&lt;number&gt;6&lt;/number&gt;&lt;dates&gt;&lt;year&gt;2018&lt;/year&gt;&lt;/dates&gt;&lt;isbn&gt;0162895X&lt;/isbn&gt;&lt;urls&gt;&lt;/urls&gt;&lt;electronic-resource-num&gt;10.1111/pops.12551&lt;/electronic-resource-num&gt;&lt;/record&gt;&lt;/Cite&gt;&lt;/EndNote&gt;</w:instrText>
      </w:r>
      <w:r w:rsidR="0087398C" w:rsidRPr="001B3BA5">
        <w:rPr>
          <w:rFonts w:asciiTheme="majorBidi" w:hAnsiTheme="majorBidi" w:cstheme="majorBidi"/>
          <w:sz w:val="24"/>
          <w:szCs w:val="24"/>
          <w:lang w:val="en-GB"/>
        </w:rPr>
        <w:fldChar w:fldCharType="separate"/>
      </w:r>
      <w:r w:rsidR="005E1030" w:rsidRPr="001B3BA5">
        <w:rPr>
          <w:rFonts w:asciiTheme="majorBidi" w:hAnsiTheme="majorBidi" w:cstheme="majorBidi"/>
          <w:noProof/>
          <w:sz w:val="24"/>
          <w:szCs w:val="24"/>
          <w:lang w:val="en-GB"/>
        </w:rPr>
        <w:t>(Cap, 2017; Portice &amp; Reicher, 2018)</w:t>
      </w:r>
      <w:r w:rsidR="0087398C" w:rsidRPr="001B3BA5">
        <w:rPr>
          <w:rFonts w:asciiTheme="majorBidi" w:hAnsiTheme="majorBidi" w:cstheme="majorBidi"/>
          <w:sz w:val="24"/>
          <w:szCs w:val="24"/>
          <w:lang w:val="en-GB"/>
        </w:rPr>
        <w:fldChar w:fldCharType="end"/>
      </w:r>
      <w:r w:rsidR="0087398C" w:rsidRPr="001B3BA5">
        <w:rPr>
          <w:rFonts w:asciiTheme="majorBidi" w:hAnsiTheme="majorBidi" w:cstheme="majorBidi"/>
          <w:sz w:val="24"/>
          <w:szCs w:val="24"/>
          <w:lang w:val="en-GB"/>
        </w:rPr>
        <w:t>.</w:t>
      </w:r>
      <w:r w:rsidR="002452FD" w:rsidRPr="001B3BA5">
        <w:rPr>
          <w:rFonts w:asciiTheme="majorBidi" w:hAnsiTheme="majorBidi" w:cstheme="majorBidi"/>
          <w:sz w:val="24"/>
          <w:szCs w:val="24"/>
          <w:lang w:val="en-GB"/>
        </w:rPr>
        <w:t xml:space="preserve"> </w:t>
      </w:r>
      <w:r w:rsidR="003A34BB" w:rsidRPr="001B3BA5">
        <w:rPr>
          <w:rFonts w:asciiTheme="majorBidi" w:hAnsiTheme="majorBidi" w:cstheme="majorBidi"/>
          <w:sz w:val="24"/>
          <w:szCs w:val="24"/>
          <w:lang w:val="en-GB"/>
        </w:rPr>
        <w:t>Indeed, p</w:t>
      </w:r>
      <w:r w:rsidR="00754A5A" w:rsidRPr="001B3BA5">
        <w:rPr>
          <w:rFonts w:asciiTheme="majorBidi" w:hAnsiTheme="majorBidi" w:cstheme="majorBidi"/>
          <w:sz w:val="24"/>
          <w:szCs w:val="24"/>
          <w:lang w:val="en-GB"/>
        </w:rPr>
        <w:t>eople may feel</w:t>
      </w:r>
      <w:r w:rsidR="00A57FA6" w:rsidRPr="001B3BA5">
        <w:rPr>
          <w:rFonts w:asciiTheme="majorBidi" w:hAnsiTheme="majorBidi" w:cstheme="majorBidi"/>
          <w:sz w:val="24"/>
          <w:szCs w:val="24"/>
          <w:lang w:val="en-GB"/>
        </w:rPr>
        <w:t xml:space="preserve"> not only</w:t>
      </w:r>
      <w:r w:rsidR="00754A5A" w:rsidRPr="001B3BA5">
        <w:rPr>
          <w:rFonts w:asciiTheme="majorBidi" w:hAnsiTheme="majorBidi" w:cstheme="majorBidi"/>
          <w:sz w:val="24"/>
          <w:szCs w:val="24"/>
          <w:lang w:val="en-GB"/>
        </w:rPr>
        <w:t xml:space="preserve"> that objects, places, or ideas are </w:t>
      </w:r>
      <w:r w:rsidR="00B146E8" w:rsidRPr="001B3BA5">
        <w:rPr>
          <w:rFonts w:asciiTheme="majorBidi" w:hAnsiTheme="majorBidi" w:cstheme="majorBidi"/>
          <w:sz w:val="24"/>
          <w:szCs w:val="24"/>
          <w:lang w:val="en-GB"/>
        </w:rPr>
        <w:t>‘</w:t>
      </w:r>
      <w:r w:rsidR="00754A5A" w:rsidRPr="001B3BA5">
        <w:rPr>
          <w:rFonts w:asciiTheme="majorBidi" w:hAnsiTheme="majorBidi" w:cstheme="majorBidi"/>
          <w:sz w:val="24"/>
          <w:szCs w:val="24"/>
          <w:lang w:val="en-GB"/>
        </w:rPr>
        <w:t>theirs</w:t>
      </w:r>
      <w:r w:rsidR="00B146E8" w:rsidRPr="001B3BA5">
        <w:rPr>
          <w:rFonts w:asciiTheme="majorBidi" w:hAnsiTheme="majorBidi" w:cstheme="majorBidi"/>
          <w:sz w:val="24"/>
          <w:szCs w:val="24"/>
          <w:lang w:val="en-GB"/>
        </w:rPr>
        <w:t>’</w:t>
      </w:r>
      <w:r w:rsidR="00F2430C" w:rsidRPr="001B3BA5">
        <w:rPr>
          <w:rFonts w:asciiTheme="majorBidi" w:hAnsiTheme="majorBidi" w:cstheme="majorBidi"/>
          <w:sz w:val="24"/>
          <w:szCs w:val="24"/>
          <w:lang w:val="en-GB"/>
        </w:rPr>
        <w:t>,</w:t>
      </w:r>
      <w:r w:rsidR="00754A5A" w:rsidRPr="001B3BA5">
        <w:rPr>
          <w:rFonts w:asciiTheme="majorBidi" w:hAnsiTheme="majorBidi" w:cstheme="majorBidi"/>
          <w:sz w:val="24"/>
          <w:szCs w:val="24"/>
          <w:lang w:val="en-GB"/>
        </w:rPr>
        <w:t xml:space="preserve"> </w:t>
      </w:r>
      <w:r w:rsidR="00A57FA6" w:rsidRPr="001B3BA5">
        <w:rPr>
          <w:rFonts w:asciiTheme="majorBidi" w:hAnsiTheme="majorBidi" w:cstheme="majorBidi"/>
          <w:sz w:val="24"/>
          <w:szCs w:val="24"/>
          <w:lang w:val="en-GB"/>
        </w:rPr>
        <w:t>but also that the</w:t>
      </w:r>
      <w:r w:rsidR="00040CB7" w:rsidRPr="001B3BA5">
        <w:rPr>
          <w:rFonts w:asciiTheme="majorBidi" w:hAnsiTheme="majorBidi" w:cstheme="majorBidi"/>
          <w:sz w:val="24"/>
          <w:szCs w:val="24"/>
          <w:lang w:val="en-GB"/>
        </w:rPr>
        <w:t>ir in-group</w:t>
      </w:r>
      <w:r w:rsidR="00A57FA6" w:rsidRPr="001B3BA5">
        <w:rPr>
          <w:rFonts w:asciiTheme="majorBidi" w:hAnsiTheme="majorBidi" w:cstheme="majorBidi"/>
          <w:sz w:val="24"/>
          <w:szCs w:val="24"/>
          <w:lang w:val="en-GB"/>
        </w:rPr>
        <w:t xml:space="preserve"> own</w:t>
      </w:r>
      <w:r w:rsidR="00040CB7" w:rsidRPr="001B3BA5">
        <w:rPr>
          <w:rFonts w:asciiTheme="majorBidi" w:hAnsiTheme="majorBidi" w:cstheme="majorBidi"/>
          <w:sz w:val="24"/>
          <w:szCs w:val="24"/>
          <w:lang w:val="en-GB"/>
        </w:rPr>
        <w:t>s</w:t>
      </w:r>
      <w:r w:rsidR="00A57FA6" w:rsidRPr="001B3BA5">
        <w:rPr>
          <w:rFonts w:asciiTheme="majorBidi" w:hAnsiTheme="majorBidi" w:cstheme="majorBidi"/>
          <w:sz w:val="24"/>
          <w:szCs w:val="24"/>
          <w:lang w:val="en-GB"/>
        </w:rPr>
        <w:t xml:space="preserve"> </w:t>
      </w:r>
      <w:r w:rsidR="00754A5A" w:rsidRPr="001B3BA5">
        <w:rPr>
          <w:rFonts w:asciiTheme="majorBidi" w:hAnsiTheme="majorBidi" w:cstheme="majorBidi"/>
          <w:sz w:val="24"/>
          <w:szCs w:val="24"/>
          <w:lang w:val="en-GB"/>
        </w:rPr>
        <w:t xml:space="preserve">a complex entity </w:t>
      </w:r>
      <w:r w:rsidR="000E1AC2" w:rsidRPr="001B3BA5">
        <w:rPr>
          <w:rFonts w:asciiTheme="majorBidi" w:hAnsiTheme="majorBidi" w:cstheme="majorBidi"/>
          <w:sz w:val="24"/>
          <w:szCs w:val="24"/>
          <w:lang w:val="en-GB"/>
        </w:rPr>
        <w:t xml:space="preserve">such </w:t>
      </w:r>
      <w:r w:rsidR="00754A5A" w:rsidRPr="001B3BA5">
        <w:rPr>
          <w:rFonts w:asciiTheme="majorBidi" w:hAnsiTheme="majorBidi" w:cstheme="majorBidi"/>
          <w:sz w:val="24"/>
          <w:szCs w:val="24"/>
          <w:lang w:val="en-GB"/>
        </w:rPr>
        <w:t xml:space="preserve">as </w:t>
      </w:r>
      <w:r w:rsidR="00A57FA6" w:rsidRPr="001B3BA5">
        <w:rPr>
          <w:rFonts w:asciiTheme="majorBidi" w:hAnsiTheme="majorBidi" w:cstheme="majorBidi"/>
          <w:sz w:val="24"/>
          <w:szCs w:val="24"/>
          <w:lang w:val="en-GB"/>
        </w:rPr>
        <w:t xml:space="preserve">a </w:t>
      </w:r>
      <w:r w:rsidR="00754A5A" w:rsidRPr="001B3BA5">
        <w:rPr>
          <w:rFonts w:asciiTheme="majorBidi" w:hAnsiTheme="majorBidi" w:cstheme="majorBidi"/>
          <w:sz w:val="24"/>
          <w:szCs w:val="24"/>
          <w:lang w:val="en-GB"/>
        </w:rPr>
        <w:t xml:space="preserve">country </w:t>
      </w:r>
      <w:r w:rsidR="00754A5A" w:rsidRPr="001B3BA5">
        <w:rPr>
          <w:rFonts w:asciiTheme="majorBidi" w:hAnsiTheme="majorBidi" w:cstheme="majorBidi"/>
          <w:sz w:val="24"/>
          <w:szCs w:val="24"/>
          <w:lang w:val="en-GB"/>
        </w:rPr>
        <w:fldChar w:fldCharType="begin">
          <w:fldData xml:space="preserve">PEVuZE5vdGU+PENpdGU+PEF1dGhvcj5WZXJrdXl0ZW48L0F1dGhvcj48WWVhcj4yMDE3PC9ZZWFy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</w:fldData>
        </w:fldChar>
      </w:r>
      <w:r w:rsidR="0056663E" w:rsidRPr="001B3BA5">
        <w:rPr>
          <w:rFonts w:asciiTheme="majorBidi" w:hAnsiTheme="majorBidi" w:cstheme="majorBidi"/>
          <w:sz w:val="24"/>
          <w:szCs w:val="24"/>
          <w:lang w:val="en-GB"/>
        </w:rPr>
        <w:instrText xml:space="preserve"> ADDIN EN.CITE </w:instrText>
      </w:r>
      <w:r w:rsidR="0056663E" w:rsidRPr="001B3BA5">
        <w:rPr>
          <w:rFonts w:asciiTheme="majorBidi" w:hAnsiTheme="majorBidi" w:cstheme="majorBidi"/>
          <w:sz w:val="24"/>
          <w:szCs w:val="24"/>
          <w:lang w:val="en-GB"/>
        </w:rPr>
        <w:fldChar w:fldCharType="begin">
          <w:fldData xml:space="preserve">PEVuZE5vdGU+PENpdGU+PEF1dGhvcj5WZXJrdXl0ZW48L0F1dGhvcj48WWVhcj4yMDE3PC9ZZWFy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</w:fldData>
        </w:fldChar>
      </w:r>
      <w:r w:rsidR="0056663E" w:rsidRPr="001B3BA5">
        <w:rPr>
          <w:rFonts w:asciiTheme="majorBidi" w:hAnsiTheme="majorBidi" w:cstheme="majorBidi"/>
          <w:sz w:val="24"/>
          <w:szCs w:val="24"/>
          <w:lang w:val="en-GB"/>
        </w:rPr>
        <w:instrText xml:space="preserve"> ADDIN EN.CITE.DATA </w:instrText>
      </w:r>
      <w:r w:rsidR="0056663E" w:rsidRPr="001B3BA5">
        <w:rPr>
          <w:rFonts w:asciiTheme="majorBidi" w:hAnsiTheme="majorBidi" w:cstheme="majorBidi"/>
          <w:sz w:val="24"/>
          <w:szCs w:val="24"/>
          <w:lang w:val="en-GB"/>
        </w:rPr>
      </w:r>
      <w:r w:rsidR="0056663E" w:rsidRPr="001B3BA5">
        <w:rPr>
          <w:rFonts w:asciiTheme="majorBidi" w:hAnsiTheme="majorBidi" w:cstheme="majorBidi"/>
          <w:sz w:val="24"/>
          <w:szCs w:val="24"/>
          <w:lang w:val="en-GB"/>
        </w:rPr>
        <w:fldChar w:fldCharType="end"/>
      </w:r>
      <w:r w:rsidR="00754A5A" w:rsidRPr="001B3BA5">
        <w:rPr>
          <w:rFonts w:asciiTheme="majorBidi" w:hAnsiTheme="majorBidi" w:cstheme="majorBidi"/>
          <w:sz w:val="24"/>
          <w:szCs w:val="24"/>
          <w:lang w:val="en-GB"/>
        </w:rPr>
      </w:r>
      <w:r w:rsidR="00754A5A" w:rsidRPr="001B3BA5">
        <w:rPr>
          <w:rFonts w:asciiTheme="majorBidi" w:hAnsiTheme="majorBidi" w:cstheme="majorBidi"/>
          <w:sz w:val="24"/>
          <w:szCs w:val="24"/>
          <w:lang w:val="en-GB"/>
        </w:rPr>
        <w:fldChar w:fldCharType="separate"/>
      </w:r>
      <w:r w:rsidR="00754A5A" w:rsidRPr="001B3BA5">
        <w:rPr>
          <w:rFonts w:asciiTheme="majorBidi" w:hAnsiTheme="majorBidi" w:cstheme="majorBidi"/>
          <w:noProof/>
          <w:sz w:val="24"/>
          <w:szCs w:val="24"/>
          <w:lang w:val="en-GB"/>
        </w:rPr>
        <w:t>(Brylka, Mähönen, &amp; Jasinskaja-Lahti, 2015; Verkuyten &amp; Martinovic, 2017)</w:t>
      </w:r>
      <w:r w:rsidR="00754A5A" w:rsidRPr="001B3BA5">
        <w:rPr>
          <w:rFonts w:asciiTheme="majorBidi" w:hAnsiTheme="majorBidi" w:cstheme="majorBidi"/>
          <w:sz w:val="24"/>
          <w:szCs w:val="24"/>
          <w:lang w:val="en-GB"/>
        </w:rPr>
        <w:fldChar w:fldCharType="end"/>
      </w:r>
      <w:r w:rsidR="00754A5A" w:rsidRPr="001B3BA5">
        <w:rPr>
          <w:rFonts w:asciiTheme="majorBidi" w:hAnsiTheme="majorBidi" w:cstheme="majorBidi"/>
          <w:sz w:val="24"/>
          <w:szCs w:val="24"/>
          <w:lang w:val="en-GB"/>
        </w:rPr>
        <w:t xml:space="preserve">. This </w:t>
      </w:r>
      <w:r w:rsidR="00CE778D">
        <w:rPr>
          <w:rFonts w:asciiTheme="majorBidi" w:hAnsiTheme="majorBidi" w:cstheme="majorBidi"/>
          <w:sz w:val="24"/>
          <w:szCs w:val="24"/>
          <w:lang w:val="en-GB"/>
        </w:rPr>
        <w:t xml:space="preserve">in-group </w:t>
      </w:r>
      <w:r w:rsidR="00754A5A" w:rsidRPr="001B3BA5">
        <w:rPr>
          <w:rFonts w:asciiTheme="majorBidi" w:hAnsiTheme="majorBidi" w:cstheme="majorBidi"/>
          <w:sz w:val="24"/>
          <w:szCs w:val="24"/>
          <w:lang w:val="en-GB"/>
        </w:rPr>
        <w:t>perception</w:t>
      </w:r>
      <w:r w:rsidR="00682621" w:rsidRPr="001B3BA5">
        <w:rPr>
          <w:rFonts w:asciiTheme="majorBidi" w:hAnsiTheme="majorBidi" w:cstheme="majorBidi"/>
          <w:sz w:val="24"/>
          <w:szCs w:val="24"/>
          <w:lang w:val="en-GB"/>
        </w:rPr>
        <w:t xml:space="preserve">, </w:t>
      </w:r>
      <w:r w:rsidR="00892AF7" w:rsidRPr="001B3BA5">
        <w:rPr>
          <w:rFonts w:asciiTheme="majorBidi" w:hAnsiTheme="majorBidi" w:cstheme="majorBidi"/>
          <w:sz w:val="24"/>
          <w:szCs w:val="24"/>
          <w:lang w:val="en-GB"/>
        </w:rPr>
        <w:t>labelled</w:t>
      </w:r>
      <w:r w:rsidR="00682621" w:rsidRPr="001B3BA5">
        <w:rPr>
          <w:rFonts w:asciiTheme="majorBidi" w:hAnsiTheme="majorBidi" w:cstheme="majorBidi"/>
          <w:sz w:val="24"/>
          <w:szCs w:val="24"/>
          <w:lang w:val="en-GB"/>
        </w:rPr>
        <w:t xml:space="preserve"> </w:t>
      </w:r>
      <w:r w:rsidR="00754A5A" w:rsidRPr="001B3BA5">
        <w:rPr>
          <w:rFonts w:asciiTheme="majorBidi" w:hAnsiTheme="majorBidi" w:cstheme="majorBidi"/>
          <w:i/>
          <w:sz w:val="24"/>
          <w:szCs w:val="24"/>
          <w:lang w:val="en-GB"/>
        </w:rPr>
        <w:t xml:space="preserve">collective psychological ownership </w:t>
      </w:r>
      <w:r w:rsidR="00754A5A" w:rsidRPr="001B3BA5">
        <w:rPr>
          <w:rFonts w:asciiTheme="majorBidi" w:hAnsiTheme="majorBidi" w:cstheme="majorBidi"/>
          <w:sz w:val="24"/>
          <w:szCs w:val="24"/>
          <w:lang w:val="en-GB"/>
        </w:rPr>
        <w:fldChar w:fldCharType="begin">
          <w:fldData xml:space="preserve">PEVuZE5vdGU+PENpdGU+PEF1dGhvcj5QaWVyY2U8L0F1dGhvcj48WWVhcj4yMDA5PC9ZZWFyPjxS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=
</w:fldData>
        </w:fldChar>
      </w:r>
      <w:r w:rsidR="0056663E" w:rsidRPr="001B3BA5">
        <w:rPr>
          <w:rFonts w:asciiTheme="majorBidi" w:hAnsiTheme="majorBidi" w:cstheme="majorBidi"/>
          <w:sz w:val="24"/>
          <w:szCs w:val="24"/>
          <w:lang w:val="en-GB"/>
        </w:rPr>
        <w:instrText xml:space="preserve"> ADDIN EN.CITE </w:instrText>
      </w:r>
      <w:r w:rsidR="0056663E" w:rsidRPr="001B3BA5">
        <w:rPr>
          <w:rFonts w:asciiTheme="majorBidi" w:hAnsiTheme="majorBidi" w:cstheme="majorBidi"/>
          <w:sz w:val="24"/>
          <w:szCs w:val="24"/>
          <w:lang w:val="en-GB"/>
        </w:rPr>
        <w:fldChar w:fldCharType="begin">
          <w:fldData xml:space="preserve">PEVuZE5vdGU+PENpdGU+PEF1dGhvcj5QaWVyY2U8L0F1dGhvcj48WWVhcj4yMDA5PC9ZZWFyPjxS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=
</w:fldData>
        </w:fldChar>
      </w:r>
      <w:r w:rsidR="0056663E" w:rsidRPr="001B3BA5">
        <w:rPr>
          <w:rFonts w:asciiTheme="majorBidi" w:hAnsiTheme="majorBidi" w:cstheme="majorBidi"/>
          <w:sz w:val="24"/>
          <w:szCs w:val="24"/>
          <w:lang w:val="en-GB"/>
        </w:rPr>
        <w:instrText xml:space="preserve"> ADDIN EN.CITE.DATA </w:instrText>
      </w:r>
      <w:r w:rsidR="0056663E" w:rsidRPr="001B3BA5">
        <w:rPr>
          <w:rFonts w:asciiTheme="majorBidi" w:hAnsiTheme="majorBidi" w:cstheme="majorBidi"/>
          <w:sz w:val="24"/>
          <w:szCs w:val="24"/>
          <w:lang w:val="en-GB"/>
        </w:rPr>
      </w:r>
      <w:r w:rsidR="0056663E" w:rsidRPr="001B3BA5">
        <w:rPr>
          <w:rFonts w:asciiTheme="majorBidi" w:hAnsiTheme="majorBidi" w:cstheme="majorBidi"/>
          <w:sz w:val="24"/>
          <w:szCs w:val="24"/>
          <w:lang w:val="en-GB"/>
        </w:rPr>
        <w:fldChar w:fldCharType="end"/>
      </w:r>
      <w:r w:rsidR="00754A5A" w:rsidRPr="001B3BA5">
        <w:rPr>
          <w:rFonts w:asciiTheme="majorBidi" w:hAnsiTheme="majorBidi" w:cstheme="majorBidi"/>
          <w:sz w:val="24"/>
          <w:szCs w:val="24"/>
          <w:lang w:val="en-GB"/>
        </w:rPr>
      </w:r>
      <w:r w:rsidR="00754A5A" w:rsidRPr="001B3BA5">
        <w:rPr>
          <w:rFonts w:asciiTheme="majorBidi" w:hAnsiTheme="majorBidi" w:cstheme="majorBidi"/>
          <w:sz w:val="24"/>
          <w:szCs w:val="24"/>
          <w:lang w:val="en-GB"/>
        </w:rPr>
        <w:fldChar w:fldCharType="separate"/>
      </w:r>
      <w:r w:rsidR="00BF14BC" w:rsidRPr="001B3BA5">
        <w:rPr>
          <w:rFonts w:asciiTheme="majorBidi" w:hAnsiTheme="majorBidi" w:cstheme="majorBidi"/>
          <w:noProof/>
          <w:sz w:val="24"/>
          <w:szCs w:val="24"/>
          <w:lang w:val="en-GB"/>
        </w:rPr>
        <w:t>(Pierce &amp; Jussila, 2009; Verkuyten &amp; Martinovic, 2017)</w:t>
      </w:r>
      <w:r w:rsidR="00754A5A" w:rsidRPr="001B3BA5">
        <w:rPr>
          <w:rFonts w:asciiTheme="majorBidi" w:hAnsiTheme="majorBidi" w:cstheme="majorBidi"/>
          <w:sz w:val="24"/>
          <w:szCs w:val="24"/>
          <w:lang w:val="en-GB"/>
        </w:rPr>
        <w:fldChar w:fldCharType="end"/>
      </w:r>
      <w:r w:rsidR="00754A5A" w:rsidRPr="001B3BA5">
        <w:rPr>
          <w:rFonts w:asciiTheme="majorBidi" w:hAnsiTheme="majorBidi" w:cstheme="majorBidi"/>
          <w:sz w:val="24"/>
          <w:szCs w:val="24"/>
          <w:lang w:val="en-GB"/>
        </w:rPr>
        <w:t xml:space="preserve">, </w:t>
      </w:r>
      <w:r w:rsidR="006236B1" w:rsidRPr="001B3BA5">
        <w:rPr>
          <w:rFonts w:asciiTheme="majorBidi" w:hAnsiTheme="majorBidi" w:cstheme="majorBidi"/>
          <w:sz w:val="24"/>
          <w:szCs w:val="24"/>
          <w:lang w:val="en-GB"/>
        </w:rPr>
        <w:t>implies</w:t>
      </w:r>
      <w:r w:rsidR="00754A5A" w:rsidRPr="001B3BA5">
        <w:rPr>
          <w:rFonts w:asciiTheme="majorBidi" w:hAnsiTheme="majorBidi" w:cstheme="majorBidi"/>
          <w:sz w:val="24"/>
          <w:szCs w:val="24"/>
          <w:lang w:val="en-GB"/>
        </w:rPr>
        <w:t xml:space="preserve"> </w:t>
      </w:r>
      <w:r w:rsidR="006236B1" w:rsidRPr="001B3BA5">
        <w:rPr>
          <w:rFonts w:asciiTheme="majorBidi" w:hAnsiTheme="majorBidi" w:cstheme="majorBidi"/>
          <w:sz w:val="24"/>
          <w:szCs w:val="24"/>
          <w:lang w:val="en-GB"/>
        </w:rPr>
        <w:t>a</w:t>
      </w:r>
      <w:r w:rsidR="00754A5A" w:rsidRPr="001B3BA5">
        <w:rPr>
          <w:rFonts w:asciiTheme="majorBidi" w:hAnsiTheme="majorBidi" w:cstheme="majorBidi"/>
          <w:sz w:val="24"/>
          <w:szCs w:val="24"/>
          <w:lang w:val="en-GB"/>
        </w:rPr>
        <w:t xml:space="preserve"> right to </w:t>
      </w:r>
      <w:r w:rsidR="00F64720" w:rsidRPr="001B3BA5">
        <w:rPr>
          <w:rFonts w:asciiTheme="majorBidi" w:hAnsiTheme="majorBidi" w:cstheme="majorBidi"/>
          <w:sz w:val="24"/>
          <w:szCs w:val="24"/>
          <w:lang w:val="en-GB"/>
        </w:rPr>
        <w:t>control</w:t>
      </w:r>
      <w:r w:rsidR="00471451" w:rsidRPr="001B3BA5">
        <w:rPr>
          <w:rFonts w:asciiTheme="majorBidi" w:hAnsiTheme="majorBidi" w:cstheme="majorBidi"/>
          <w:sz w:val="24"/>
          <w:szCs w:val="24"/>
          <w:lang w:val="en-GB"/>
        </w:rPr>
        <w:t xml:space="preserve"> what is ‘ours’</w:t>
      </w:r>
      <w:r w:rsidR="00682621" w:rsidRPr="001B3BA5">
        <w:rPr>
          <w:rFonts w:asciiTheme="majorBidi" w:hAnsiTheme="majorBidi" w:cstheme="majorBidi"/>
          <w:sz w:val="24"/>
          <w:szCs w:val="24"/>
          <w:lang w:val="en-GB"/>
        </w:rPr>
        <w:t>–</w:t>
      </w:r>
      <w:r w:rsidR="00DC01FF" w:rsidRPr="001B3BA5">
        <w:rPr>
          <w:rFonts w:asciiTheme="majorBidi" w:hAnsiTheme="majorBidi" w:cstheme="majorBidi"/>
          <w:i/>
          <w:sz w:val="24"/>
          <w:szCs w:val="24"/>
          <w:lang w:val="en-GB"/>
        </w:rPr>
        <w:t>exclusive determination right</w:t>
      </w:r>
      <w:r w:rsidR="00682621" w:rsidRPr="001B3BA5">
        <w:rPr>
          <w:rFonts w:asciiTheme="majorBidi" w:hAnsiTheme="majorBidi" w:cstheme="majorBidi"/>
          <w:sz w:val="24"/>
          <w:szCs w:val="24"/>
          <w:lang w:val="en-GB"/>
        </w:rPr>
        <w:t>–</w:t>
      </w:r>
      <w:r w:rsidR="00B517A3" w:rsidRPr="001B3BA5">
        <w:rPr>
          <w:rFonts w:asciiTheme="majorBidi" w:hAnsiTheme="majorBidi" w:cstheme="majorBidi"/>
          <w:sz w:val="24"/>
          <w:szCs w:val="24"/>
          <w:lang w:val="en-GB"/>
        </w:rPr>
        <w:t>and</w:t>
      </w:r>
      <w:r w:rsidR="00754A5A" w:rsidRPr="001B3BA5">
        <w:rPr>
          <w:rFonts w:asciiTheme="majorBidi" w:hAnsiTheme="majorBidi" w:cstheme="majorBidi"/>
          <w:sz w:val="24"/>
          <w:szCs w:val="24"/>
          <w:lang w:val="en-GB"/>
        </w:rPr>
        <w:t xml:space="preserve"> can </w:t>
      </w:r>
      <w:r w:rsidR="00E32F9F" w:rsidRPr="001B3BA5">
        <w:rPr>
          <w:rFonts w:asciiTheme="majorBidi" w:hAnsiTheme="majorBidi" w:cstheme="majorBidi"/>
          <w:sz w:val="24"/>
          <w:szCs w:val="24"/>
          <w:lang w:val="en-GB"/>
        </w:rPr>
        <w:t xml:space="preserve">contribute to </w:t>
      </w:r>
      <w:r w:rsidR="00754A5A" w:rsidRPr="001B3BA5">
        <w:rPr>
          <w:rFonts w:asciiTheme="majorBidi" w:hAnsiTheme="majorBidi" w:cstheme="majorBidi"/>
          <w:sz w:val="24"/>
          <w:szCs w:val="24"/>
          <w:lang w:val="en-GB"/>
        </w:rPr>
        <w:t xml:space="preserve">the </w:t>
      </w:r>
      <w:r w:rsidR="00AE51AE" w:rsidRPr="001B3BA5">
        <w:rPr>
          <w:rFonts w:asciiTheme="majorBidi" w:hAnsiTheme="majorBidi" w:cstheme="majorBidi"/>
          <w:sz w:val="24"/>
          <w:szCs w:val="24"/>
          <w:lang w:val="en-GB"/>
        </w:rPr>
        <w:t xml:space="preserve">strong </w:t>
      </w:r>
      <w:r w:rsidR="00B146E8" w:rsidRPr="001B3BA5">
        <w:rPr>
          <w:rFonts w:asciiTheme="majorBidi" w:hAnsiTheme="majorBidi" w:cstheme="majorBidi"/>
          <w:sz w:val="24"/>
          <w:szCs w:val="24"/>
          <w:lang w:val="en-GB"/>
        </w:rPr>
        <w:t>‘</w:t>
      </w:r>
      <w:r w:rsidR="00754A5A" w:rsidRPr="001B3BA5">
        <w:rPr>
          <w:rFonts w:asciiTheme="majorBidi" w:hAnsiTheme="majorBidi" w:cstheme="majorBidi"/>
          <w:sz w:val="24"/>
          <w:szCs w:val="24"/>
          <w:lang w:val="en-GB"/>
        </w:rPr>
        <w:t>us-them</w:t>
      </w:r>
      <w:r w:rsidR="00B146E8" w:rsidRPr="001B3BA5">
        <w:rPr>
          <w:rFonts w:asciiTheme="majorBidi" w:hAnsiTheme="majorBidi" w:cstheme="majorBidi"/>
          <w:sz w:val="24"/>
          <w:szCs w:val="24"/>
          <w:lang w:val="en-GB"/>
        </w:rPr>
        <w:t>’</w:t>
      </w:r>
      <w:r w:rsidR="00754A5A" w:rsidRPr="001B3BA5">
        <w:rPr>
          <w:rFonts w:asciiTheme="majorBidi" w:hAnsiTheme="majorBidi" w:cstheme="majorBidi"/>
          <w:sz w:val="24"/>
          <w:szCs w:val="24"/>
          <w:lang w:val="en-GB"/>
        </w:rPr>
        <w:t xml:space="preserve"> distinction </w:t>
      </w:r>
      <w:r w:rsidR="00AE51AE" w:rsidRPr="001B3BA5">
        <w:rPr>
          <w:rFonts w:asciiTheme="majorBidi" w:hAnsiTheme="majorBidi" w:cstheme="majorBidi"/>
          <w:sz w:val="24"/>
          <w:szCs w:val="24"/>
          <w:lang w:val="en-GB"/>
        </w:rPr>
        <w:t xml:space="preserve">that is </w:t>
      </w:r>
      <w:r w:rsidR="00682621" w:rsidRPr="001B3BA5">
        <w:rPr>
          <w:rFonts w:asciiTheme="majorBidi" w:hAnsiTheme="majorBidi" w:cstheme="majorBidi"/>
          <w:sz w:val="24"/>
          <w:szCs w:val="24"/>
          <w:lang w:val="en-GB"/>
        </w:rPr>
        <w:t>characteristic of</w:t>
      </w:r>
      <w:r w:rsidR="00754A5A" w:rsidRPr="001B3BA5">
        <w:rPr>
          <w:rFonts w:asciiTheme="majorBidi" w:hAnsiTheme="majorBidi" w:cstheme="majorBidi"/>
          <w:sz w:val="24"/>
          <w:szCs w:val="24"/>
          <w:lang w:val="en-GB"/>
        </w:rPr>
        <w:t xml:space="preserve"> </w:t>
      </w:r>
      <w:r w:rsidR="003A34BB" w:rsidRPr="001B3BA5">
        <w:rPr>
          <w:rFonts w:asciiTheme="majorBidi" w:hAnsiTheme="majorBidi" w:cstheme="majorBidi"/>
          <w:sz w:val="24"/>
          <w:szCs w:val="24"/>
          <w:lang w:val="en-GB"/>
        </w:rPr>
        <w:t xml:space="preserve">right-wing </w:t>
      </w:r>
      <w:r w:rsidR="00754A5A" w:rsidRPr="001B3BA5">
        <w:rPr>
          <w:rFonts w:asciiTheme="majorBidi" w:hAnsiTheme="majorBidi" w:cstheme="majorBidi"/>
          <w:sz w:val="24"/>
          <w:szCs w:val="24"/>
          <w:lang w:val="en-GB"/>
        </w:rPr>
        <w:t xml:space="preserve">populism. </w:t>
      </w:r>
      <w:r w:rsidR="00F2430C" w:rsidRPr="001B3BA5">
        <w:rPr>
          <w:rFonts w:asciiTheme="majorBidi" w:hAnsiTheme="majorBidi" w:cstheme="majorBidi"/>
          <w:sz w:val="24"/>
          <w:szCs w:val="24"/>
          <w:lang w:val="en-GB"/>
        </w:rPr>
        <w:t>W</w:t>
      </w:r>
      <w:r w:rsidR="005D240C" w:rsidRPr="001B3BA5">
        <w:rPr>
          <w:rFonts w:asciiTheme="majorBidi" w:hAnsiTheme="majorBidi" w:cstheme="majorBidi"/>
          <w:sz w:val="24"/>
          <w:szCs w:val="24"/>
          <w:lang w:val="en-GB"/>
        </w:rPr>
        <w:t xml:space="preserve">e </w:t>
      </w:r>
      <w:r w:rsidR="00FC5E17" w:rsidRPr="001B3BA5">
        <w:rPr>
          <w:rFonts w:asciiTheme="majorBidi" w:hAnsiTheme="majorBidi" w:cstheme="majorBidi"/>
          <w:sz w:val="24"/>
          <w:szCs w:val="24"/>
          <w:lang w:val="en-GB"/>
        </w:rPr>
        <w:t>examine</w:t>
      </w:r>
      <w:r w:rsidR="008F4A37" w:rsidRPr="001B3BA5">
        <w:rPr>
          <w:rFonts w:asciiTheme="majorBidi" w:hAnsiTheme="majorBidi" w:cstheme="majorBidi"/>
          <w:sz w:val="24"/>
          <w:szCs w:val="24"/>
          <w:lang w:val="en-GB"/>
        </w:rPr>
        <w:t>d</w:t>
      </w:r>
      <w:r w:rsidR="00FC5E17" w:rsidRPr="001B3BA5">
        <w:rPr>
          <w:rFonts w:asciiTheme="majorBidi" w:hAnsiTheme="majorBidi" w:cstheme="majorBidi"/>
          <w:sz w:val="24"/>
          <w:szCs w:val="24"/>
          <w:lang w:val="en-GB"/>
        </w:rPr>
        <w:t xml:space="preserve"> whether</w:t>
      </w:r>
      <w:r w:rsidR="00F50ACD" w:rsidRPr="001B3BA5">
        <w:rPr>
          <w:rFonts w:asciiTheme="majorBidi" w:hAnsiTheme="majorBidi" w:cstheme="majorBidi"/>
          <w:sz w:val="24"/>
          <w:szCs w:val="24"/>
          <w:lang w:val="en-GB"/>
        </w:rPr>
        <w:t xml:space="preserve"> </w:t>
      </w:r>
      <w:r w:rsidR="00141D30" w:rsidRPr="001B3BA5">
        <w:rPr>
          <w:rFonts w:asciiTheme="majorBidi" w:hAnsiTheme="majorBidi" w:cstheme="majorBidi"/>
          <w:sz w:val="24"/>
          <w:szCs w:val="24"/>
          <w:lang w:val="en-GB"/>
        </w:rPr>
        <w:t>collective psychological ownership</w:t>
      </w:r>
      <w:r w:rsidR="00B41B02" w:rsidRPr="001B3BA5">
        <w:rPr>
          <w:rFonts w:asciiTheme="majorBidi" w:hAnsiTheme="majorBidi" w:cstheme="majorBidi"/>
          <w:sz w:val="24"/>
          <w:szCs w:val="24"/>
          <w:lang w:val="en-GB"/>
        </w:rPr>
        <w:t xml:space="preserve"> (CPO)</w:t>
      </w:r>
      <w:r w:rsidR="00141D30" w:rsidRPr="001B3BA5">
        <w:rPr>
          <w:rFonts w:asciiTheme="majorBidi" w:hAnsiTheme="majorBidi" w:cstheme="majorBidi"/>
          <w:sz w:val="24"/>
          <w:szCs w:val="24"/>
          <w:lang w:val="en-GB"/>
        </w:rPr>
        <w:t xml:space="preserve"> </w:t>
      </w:r>
      <w:r w:rsidR="001D16BB" w:rsidRPr="001B3BA5">
        <w:rPr>
          <w:rFonts w:asciiTheme="majorBidi" w:hAnsiTheme="majorBidi" w:cstheme="majorBidi"/>
          <w:sz w:val="24"/>
          <w:szCs w:val="24"/>
          <w:lang w:val="en-GB"/>
        </w:rPr>
        <w:t>implies a</w:t>
      </w:r>
      <w:r w:rsidR="00A42509" w:rsidRPr="001B3BA5">
        <w:rPr>
          <w:rFonts w:asciiTheme="majorBidi" w:hAnsiTheme="majorBidi" w:cstheme="majorBidi"/>
          <w:sz w:val="24"/>
          <w:szCs w:val="24"/>
          <w:lang w:val="en-GB"/>
        </w:rPr>
        <w:t xml:space="preserve">n </w:t>
      </w:r>
      <w:r w:rsidR="00DC01FF" w:rsidRPr="001B3BA5">
        <w:rPr>
          <w:rFonts w:asciiTheme="majorBidi" w:hAnsiTheme="majorBidi" w:cstheme="majorBidi"/>
          <w:sz w:val="24"/>
          <w:szCs w:val="24"/>
          <w:lang w:val="en-GB"/>
        </w:rPr>
        <w:t>exclusive determination right</w:t>
      </w:r>
      <w:r w:rsidR="00E32F9F" w:rsidRPr="001B3BA5">
        <w:rPr>
          <w:rFonts w:asciiTheme="majorBidi" w:hAnsiTheme="majorBidi" w:cstheme="majorBidi"/>
          <w:sz w:val="24"/>
          <w:szCs w:val="24"/>
          <w:lang w:val="en-GB"/>
        </w:rPr>
        <w:t xml:space="preserve"> that</w:t>
      </w:r>
      <w:r w:rsidR="00E55224" w:rsidRPr="001B3BA5">
        <w:rPr>
          <w:rFonts w:asciiTheme="majorBidi" w:hAnsiTheme="majorBidi" w:cstheme="majorBidi"/>
          <w:sz w:val="24"/>
          <w:szCs w:val="24"/>
          <w:lang w:val="en-GB"/>
        </w:rPr>
        <w:t xml:space="preserve"> </w:t>
      </w:r>
      <w:r w:rsidR="005D240C" w:rsidRPr="001B3BA5">
        <w:rPr>
          <w:rFonts w:asciiTheme="majorBidi" w:hAnsiTheme="majorBidi" w:cstheme="majorBidi"/>
          <w:sz w:val="24"/>
          <w:szCs w:val="24"/>
          <w:lang w:val="en-GB"/>
        </w:rPr>
        <w:t>account</w:t>
      </w:r>
      <w:r w:rsidR="00882E07" w:rsidRPr="001B3BA5">
        <w:rPr>
          <w:rFonts w:asciiTheme="majorBidi" w:hAnsiTheme="majorBidi" w:cstheme="majorBidi"/>
          <w:sz w:val="24"/>
          <w:szCs w:val="24"/>
          <w:lang w:val="en-GB"/>
        </w:rPr>
        <w:t>s</w:t>
      </w:r>
      <w:r w:rsidR="00E31C3D" w:rsidRPr="001B3BA5">
        <w:rPr>
          <w:rFonts w:asciiTheme="majorBidi" w:hAnsiTheme="majorBidi" w:cstheme="majorBidi"/>
          <w:sz w:val="24"/>
          <w:szCs w:val="24"/>
          <w:lang w:val="en-GB"/>
        </w:rPr>
        <w:t xml:space="preserve"> </w:t>
      </w:r>
      <w:r w:rsidR="005D240C" w:rsidRPr="001B3BA5">
        <w:rPr>
          <w:rFonts w:asciiTheme="majorBidi" w:hAnsiTheme="majorBidi" w:cstheme="majorBidi"/>
          <w:sz w:val="24"/>
          <w:szCs w:val="24"/>
          <w:lang w:val="en-GB"/>
        </w:rPr>
        <w:t>for anti-immigration</w:t>
      </w:r>
      <w:r w:rsidR="00731793" w:rsidRPr="001B3BA5">
        <w:rPr>
          <w:rFonts w:asciiTheme="majorBidi" w:hAnsiTheme="majorBidi" w:cstheme="majorBidi"/>
          <w:sz w:val="24"/>
          <w:szCs w:val="24"/>
          <w:lang w:val="en-GB"/>
        </w:rPr>
        <w:t xml:space="preserve"> and anti-EU</w:t>
      </w:r>
      <w:r w:rsidR="005D240C" w:rsidRPr="001B3BA5">
        <w:rPr>
          <w:rFonts w:asciiTheme="majorBidi" w:hAnsiTheme="majorBidi" w:cstheme="majorBidi"/>
          <w:sz w:val="24"/>
          <w:szCs w:val="24"/>
          <w:lang w:val="en-GB"/>
        </w:rPr>
        <w:t xml:space="preserve"> attitudes </w:t>
      </w:r>
      <w:r w:rsidR="00E55224" w:rsidRPr="001B3BA5">
        <w:rPr>
          <w:rFonts w:asciiTheme="majorBidi" w:hAnsiTheme="majorBidi" w:cstheme="majorBidi"/>
          <w:sz w:val="24"/>
          <w:szCs w:val="24"/>
          <w:lang w:val="en-GB"/>
        </w:rPr>
        <w:t>of the Dutch (Study 1)</w:t>
      </w:r>
      <w:r w:rsidR="005D240C" w:rsidRPr="001B3BA5">
        <w:rPr>
          <w:rFonts w:asciiTheme="majorBidi" w:hAnsiTheme="majorBidi" w:cstheme="majorBidi"/>
          <w:sz w:val="24"/>
          <w:szCs w:val="24"/>
          <w:lang w:val="en-GB"/>
        </w:rPr>
        <w:t xml:space="preserve"> </w:t>
      </w:r>
      <w:r w:rsidR="00760212" w:rsidRPr="001B3BA5">
        <w:rPr>
          <w:rFonts w:asciiTheme="majorBidi" w:hAnsiTheme="majorBidi" w:cstheme="majorBidi"/>
          <w:sz w:val="24"/>
          <w:szCs w:val="24"/>
          <w:lang w:val="en-GB"/>
        </w:rPr>
        <w:t xml:space="preserve">and </w:t>
      </w:r>
      <w:r w:rsidR="00E55224" w:rsidRPr="001B3BA5">
        <w:rPr>
          <w:rFonts w:asciiTheme="majorBidi" w:hAnsiTheme="majorBidi" w:cstheme="majorBidi"/>
          <w:sz w:val="24"/>
          <w:szCs w:val="24"/>
          <w:lang w:val="en-GB"/>
        </w:rPr>
        <w:t xml:space="preserve">the </w:t>
      </w:r>
      <w:r w:rsidR="00760212" w:rsidRPr="001B3BA5">
        <w:rPr>
          <w:rFonts w:asciiTheme="majorBidi" w:hAnsiTheme="majorBidi" w:cstheme="majorBidi"/>
          <w:sz w:val="24"/>
          <w:szCs w:val="24"/>
          <w:lang w:val="en-GB"/>
        </w:rPr>
        <w:t>British</w:t>
      </w:r>
      <w:r w:rsidR="00E55224" w:rsidRPr="001B3BA5">
        <w:rPr>
          <w:rFonts w:asciiTheme="majorBidi" w:hAnsiTheme="majorBidi" w:cstheme="majorBidi"/>
          <w:sz w:val="24"/>
          <w:szCs w:val="24"/>
          <w:lang w:val="en-GB"/>
        </w:rPr>
        <w:t xml:space="preserve"> </w:t>
      </w:r>
      <w:r w:rsidR="005D240C" w:rsidRPr="001B3BA5">
        <w:rPr>
          <w:rFonts w:asciiTheme="majorBidi" w:hAnsiTheme="majorBidi" w:cstheme="majorBidi"/>
          <w:sz w:val="24"/>
          <w:szCs w:val="24"/>
          <w:lang w:val="en-GB"/>
        </w:rPr>
        <w:t xml:space="preserve">(Study </w:t>
      </w:r>
      <w:r w:rsidR="00760212" w:rsidRPr="001B3BA5">
        <w:rPr>
          <w:rFonts w:asciiTheme="majorBidi" w:hAnsiTheme="majorBidi" w:cstheme="majorBidi"/>
          <w:sz w:val="24"/>
          <w:szCs w:val="24"/>
          <w:lang w:val="en-GB"/>
        </w:rPr>
        <w:t>2</w:t>
      </w:r>
      <w:r w:rsidR="005D240C" w:rsidRPr="001B3BA5">
        <w:rPr>
          <w:rFonts w:asciiTheme="majorBidi" w:hAnsiTheme="majorBidi" w:cstheme="majorBidi"/>
          <w:sz w:val="24"/>
          <w:szCs w:val="24"/>
          <w:lang w:val="en-GB"/>
        </w:rPr>
        <w:t>)</w:t>
      </w:r>
      <w:r w:rsidR="00FC5E17" w:rsidRPr="001B3BA5">
        <w:rPr>
          <w:rFonts w:asciiTheme="majorBidi" w:hAnsiTheme="majorBidi" w:cstheme="majorBidi"/>
          <w:sz w:val="24"/>
          <w:szCs w:val="24"/>
          <w:lang w:val="en-GB"/>
        </w:rPr>
        <w:t xml:space="preserve">, as well as whether </w:t>
      </w:r>
      <w:r w:rsidR="00BA5B92" w:rsidRPr="001B3BA5">
        <w:rPr>
          <w:rFonts w:asciiTheme="majorBidi" w:hAnsiTheme="majorBidi" w:cstheme="majorBidi"/>
          <w:sz w:val="24"/>
          <w:szCs w:val="24"/>
          <w:lang w:val="en-GB"/>
        </w:rPr>
        <w:t>these attitudes</w:t>
      </w:r>
      <w:r w:rsidR="00477943" w:rsidRPr="001B3BA5">
        <w:rPr>
          <w:rFonts w:asciiTheme="majorBidi" w:hAnsiTheme="majorBidi" w:cstheme="majorBidi"/>
          <w:sz w:val="24"/>
          <w:szCs w:val="24"/>
          <w:lang w:val="en-GB"/>
        </w:rPr>
        <w:t>,</w:t>
      </w:r>
      <w:r w:rsidR="00A41EFA" w:rsidRPr="001B3BA5">
        <w:rPr>
          <w:rFonts w:asciiTheme="majorBidi" w:hAnsiTheme="majorBidi" w:cstheme="majorBidi"/>
          <w:sz w:val="24"/>
          <w:szCs w:val="24"/>
          <w:lang w:val="en-GB"/>
        </w:rPr>
        <w:t xml:space="preserve"> in turn, explain</w:t>
      </w:r>
      <w:r w:rsidR="00731793" w:rsidRPr="001B3BA5">
        <w:rPr>
          <w:rFonts w:asciiTheme="majorBidi" w:hAnsiTheme="majorBidi" w:cstheme="majorBidi"/>
          <w:sz w:val="24"/>
          <w:szCs w:val="24"/>
          <w:lang w:val="en-GB"/>
        </w:rPr>
        <w:t xml:space="preserve"> </w:t>
      </w:r>
      <w:r w:rsidR="005D240C" w:rsidRPr="001B3BA5">
        <w:rPr>
          <w:rFonts w:asciiTheme="majorBidi" w:hAnsiTheme="majorBidi" w:cstheme="majorBidi"/>
          <w:sz w:val="24"/>
          <w:szCs w:val="24"/>
          <w:lang w:val="en-GB"/>
        </w:rPr>
        <w:t>voting behavio</w:t>
      </w:r>
      <w:r w:rsidR="008643F0" w:rsidRPr="001B3BA5">
        <w:rPr>
          <w:rFonts w:asciiTheme="majorBidi" w:hAnsiTheme="majorBidi" w:cstheme="majorBidi"/>
          <w:sz w:val="24"/>
          <w:szCs w:val="24"/>
          <w:lang w:val="en-GB"/>
        </w:rPr>
        <w:t>u</w:t>
      </w:r>
      <w:r w:rsidR="005D240C" w:rsidRPr="001B3BA5">
        <w:rPr>
          <w:rFonts w:asciiTheme="majorBidi" w:hAnsiTheme="majorBidi" w:cstheme="majorBidi"/>
          <w:sz w:val="24"/>
          <w:szCs w:val="24"/>
          <w:lang w:val="en-GB"/>
        </w:rPr>
        <w:t xml:space="preserve">r in the 2016 Brexit referendum </w:t>
      </w:r>
      <w:r w:rsidR="00731793" w:rsidRPr="001B3BA5">
        <w:rPr>
          <w:rFonts w:asciiTheme="majorBidi" w:hAnsiTheme="majorBidi" w:cstheme="majorBidi"/>
          <w:sz w:val="24"/>
          <w:szCs w:val="24"/>
          <w:lang w:val="en-GB"/>
        </w:rPr>
        <w:t>(Study 2</w:t>
      </w:r>
      <w:r w:rsidR="005D240C" w:rsidRPr="001B3BA5">
        <w:rPr>
          <w:rFonts w:asciiTheme="majorBidi" w:hAnsiTheme="majorBidi" w:cstheme="majorBidi"/>
          <w:sz w:val="24"/>
          <w:szCs w:val="24"/>
          <w:lang w:val="en-GB"/>
        </w:rPr>
        <w:t>)</w:t>
      </w:r>
      <w:r w:rsidR="001D16BB" w:rsidRPr="001B3BA5">
        <w:rPr>
          <w:rFonts w:asciiTheme="majorBidi" w:hAnsiTheme="majorBidi" w:cstheme="majorBidi"/>
          <w:sz w:val="24"/>
          <w:szCs w:val="24"/>
          <w:lang w:val="en-GB"/>
        </w:rPr>
        <w:t>.</w:t>
      </w:r>
      <w:r w:rsidR="006937C2" w:rsidRPr="001B3BA5">
        <w:rPr>
          <w:rFonts w:asciiTheme="majorBidi" w:hAnsiTheme="majorBidi" w:cstheme="majorBidi"/>
          <w:sz w:val="24"/>
          <w:szCs w:val="24"/>
          <w:lang w:val="en-GB"/>
        </w:rPr>
        <w:t xml:space="preserve"> </w:t>
      </w:r>
      <w:r w:rsidR="00BE036E" w:rsidRPr="001B3BA5">
        <w:rPr>
          <w:rFonts w:asciiTheme="majorBidi" w:hAnsiTheme="majorBidi" w:cstheme="majorBidi"/>
          <w:sz w:val="24"/>
          <w:szCs w:val="24"/>
          <w:lang w:val="en-GB"/>
        </w:rPr>
        <w:t>W</w:t>
      </w:r>
      <w:r w:rsidR="006937C2" w:rsidRPr="001B3BA5">
        <w:rPr>
          <w:rFonts w:asciiTheme="majorBidi" w:hAnsiTheme="majorBidi" w:cstheme="majorBidi"/>
          <w:sz w:val="24"/>
          <w:szCs w:val="24"/>
          <w:lang w:val="en-GB"/>
        </w:rPr>
        <w:t>e</w:t>
      </w:r>
      <w:r w:rsidR="00FC5E17" w:rsidRPr="001B3BA5">
        <w:rPr>
          <w:rFonts w:asciiTheme="majorBidi" w:hAnsiTheme="majorBidi" w:cstheme="majorBidi"/>
          <w:sz w:val="24"/>
          <w:szCs w:val="24"/>
          <w:lang w:val="en-GB"/>
        </w:rPr>
        <w:t xml:space="preserve"> additionally examine</w:t>
      </w:r>
      <w:r w:rsidR="008F4A37" w:rsidRPr="001B3BA5">
        <w:rPr>
          <w:rFonts w:asciiTheme="majorBidi" w:hAnsiTheme="majorBidi" w:cstheme="majorBidi"/>
          <w:sz w:val="24"/>
          <w:szCs w:val="24"/>
          <w:lang w:val="en-GB"/>
        </w:rPr>
        <w:t>d</w:t>
      </w:r>
      <w:r w:rsidR="006937C2" w:rsidRPr="001B3BA5">
        <w:rPr>
          <w:rFonts w:asciiTheme="majorBidi" w:hAnsiTheme="majorBidi" w:cstheme="majorBidi"/>
          <w:sz w:val="24"/>
          <w:szCs w:val="24"/>
          <w:lang w:val="en-GB"/>
        </w:rPr>
        <w:t xml:space="preserve"> whether </w:t>
      </w:r>
      <w:r w:rsidR="00265069" w:rsidRPr="001B3BA5">
        <w:rPr>
          <w:rFonts w:asciiTheme="majorBidi" w:hAnsiTheme="majorBidi" w:cstheme="majorBidi"/>
          <w:sz w:val="24"/>
          <w:szCs w:val="24"/>
          <w:lang w:val="en-GB"/>
        </w:rPr>
        <w:t xml:space="preserve">a </w:t>
      </w:r>
      <w:r w:rsidR="00BA5B92" w:rsidRPr="001B3BA5">
        <w:rPr>
          <w:rFonts w:asciiTheme="majorBidi" w:hAnsiTheme="majorBidi" w:cstheme="majorBidi"/>
          <w:sz w:val="24"/>
          <w:szCs w:val="24"/>
          <w:lang w:val="en-GB"/>
        </w:rPr>
        <w:t xml:space="preserve">sense of </w:t>
      </w:r>
      <w:r w:rsidR="00AE51AE" w:rsidRPr="001B3BA5">
        <w:rPr>
          <w:rFonts w:asciiTheme="majorBidi" w:hAnsiTheme="majorBidi" w:cstheme="majorBidi"/>
          <w:sz w:val="24"/>
          <w:szCs w:val="24"/>
          <w:lang w:val="en-GB"/>
        </w:rPr>
        <w:t xml:space="preserve">collective </w:t>
      </w:r>
      <w:r w:rsidR="00BA5B92" w:rsidRPr="001B3BA5">
        <w:rPr>
          <w:rFonts w:asciiTheme="majorBidi" w:hAnsiTheme="majorBidi" w:cstheme="majorBidi"/>
          <w:sz w:val="24"/>
          <w:szCs w:val="24"/>
          <w:lang w:val="en-GB"/>
        </w:rPr>
        <w:t>ownership</w:t>
      </w:r>
      <w:r w:rsidR="00265069" w:rsidRPr="001B3BA5">
        <w:rPr>
          <w:rFonts w:asciiTheme="majorBidi" w:hAnsiTheme="majorBidi" w:cstheme="majorBidi"/>
          <w:sz w:val="24"/>
          <w:szCs w:val="24"/>
          <w:lang w:val="en-GB"/>
        </w:rPr>
        <w:t xml:space="preserve"> is especially </w:t>
      </w:r>
      <w:r w:rsidR="00477943" w:rsidRPr="001B3BA5">
        <w:rPr>
          <w:rFonts w:asciiTheme="majorBidi" w:hAnsiTheme="majorBidi" w:cstheme="majorBidi"/>
          <w:sz w:val="24"/>
          <w:szCs w:val="24"/>
          <w:lang w:val="en-GB"/>
        </w:rPr>
        <w:t xml:space="preserve">related </w:t>
      </w:r>
      <w:r w:rsidR="00BA5B92" w:rsidRPr="001B3BA5">
        <w:rPr>
          <w:rFonts w:asciiTheme="majorBidi" w:hAnsiTheme="majorBidi" w:cstheme="majorBidi"/>
          <w:sz w:val="24"/>
          <w:szCs w:val="24"/>
          <w:lang w:val="en-GB"/>
        </w:rPr>
        <w:t>to exclusionary attitudes and behavio</w:t>
      </w:r>
      <w:r w:rsidR="008643F0" w:rsidRPr="001B3BA5">
        <w:rPr>
          <w:rFonts w:asciiTheme="majorBidi" w:hAnsiTheme="majorBidi" w:cstheme="majorBidi"/>
          <w:sz w:val="24"/>
          <w:szCs w:val="24"/>
          <w:lang w:val="en-GB"/>
        </w:rPr>
        <w:t>u</w:t>
      </w:r>
      <w:r w:rsidR="00BA5B92" w:rsidRPr="001B3BA5">
        <w:rPr>
          <w:rFonts w:asciiTheme="majorBidi" w:hAnsiTheme="majorBidi" w:cstheme="majorBidi"/>
          <w:sz w:val="24"/>
          <w:szCs w:val="24"/>
          <w:lang w:val="en-GB"/>
        </w:rPr>
        <w:t>r</w:t>
      </w:r>
      <w:r w:rsidR="00265069" w:rsidRPr="001B3BA5">
        <w:rPr>
          <w:rFonts w:asciiTheme="majorBidi" w:hAnsiTheme="majorBidi" w:cstheme="majorBidi"/>
          <w:sz w:val="24"/>
          <w:szCs w:val="24"/>
          <w:lang w:val="en-GB"/>
        </w:rPr>
        <w:t xml:space="preserve"> </w:t>
      </w:r>
      <w:r w:rsidR="00477943" w:rsidRPr="001B3BA5">
        <w:rPr>
          <w:rFonts w:asciiTheme="majorBidi" w:hAnsiTheme="majorBidi" w:cstheme="majorBidi"/>
          <w:sz w:val="24"/>
          <w:szCs w:val="24"/>
          <w:lang w:val="en-GB"/>
        </w:rPr>
        <w:t xml:space="preserve">among </w:t>
      </w:r>
      <w:r w:rsidR="00265069" w:rsidRPr="001B3BA5">
        <w:rPr>
          <w:rFonts w:asciiTheme="majorBidi" w:hAnsiTheme="majorBidi" w:cstheme="majorBidi"/>
          <w:sz w:val="24"/>
          <w:szCs w:val="24"/>
          <w:lang w:val="en-GB"/>
        </w:rPr>
        <w:t xml:space="preserve">politically right-wing </w:t>
      </w:r>
      <w:r w:rsidR="008B1553" w:rsidRPr="001B3BA5">
        <w:rPr>
          <w:rFonts w:asciiTheme="majorBidi" w:hAnsiTheme="majorBidi" w:cstheme="majorBidi"/>
          <w:sz w:val="24"/>
          <w:szCs w:val="24"/>
          <w:lang w:val="en-GB"/>
        </w:rPr>
        <w:t>people</w:t>
      </w:r>
      <w:r w:rsidR="00900644" w:rsidRPr="001B3BA5">
        <w:rPr>
          <w:rFonts w:asciiTheme="majorBidi" w:hAnsiTheme="majorBidi" w:cstheme="majorBidi"/>
          <w:sz w:val="24"/>
          <w:szCs w:val="24"/>
          <w:lang w:val="en-GB"/>
        </w:rPr>
        <w:t>.</w:t>
      </w:r>
      <w:r w:rsidR="002439F1" w:rsidRPr="001B3BA5">
        <w:rPr>
          <w:rFonts w:asciiTheme="majorBidi" w:hAnsiTheme="majorBidi" w:cstheme="majorBidi"/>
          <w:sz w:val="24"/>
          <w:szCs w:val="24"/>
          <w:lang w:val="en-GB"/>
        </w:rPr>
        <w:t xml:space="preserve"> </w:t>
      </w:r>
    </w:p>
    <w:p w14:paraId="0F674892" w14:textId="2A514524" w:rsidR="00F85F30" w:rsidRPr="001B3BA5" w:rsidRDefault="00F85F30" w:rsidP="00584266">
      <w:pPr>
        <w:spacing w:after="0" w:line="480" w:lineRule="exact"/>
        <w:rPr>
          <w:rFonts w:asciiTheme="majorBidi" w:hAnsiTheme="majorBidi" w:cstheme="majorBidi"/>
          <w:b/>
          <w:sz w:val="24"/>
          <w:szCs w:val="24"/>
          <w:lang w:val="en-GB"/>
        </w:rPr>
      </w:pPr>
      <w:r w:rsidRPr="001B3BA5">
        <w:rPr>
          <w:rFonts w:asciiTheme="majorBidi" w:hAnsiTheme="majorBidi" w:cstheme="majorBidi"/>
          <w:b/>
          <w:sz w:val="24"/>
          <w:szCs w:val="24"/>
          <w:lang w:val="en-GB"/>
        </w:rPr>
        <w:t>Collective Psychological Ownership</w:t>
      </w:r>
      <w:r w:rsidR="00A045BA" w:rsidRPr="001B3BA5">
        <w:rPr>
          <w:rFonts w:asciiTheme="majorBidi" w:hAnsiTheme="majorBidi" w:cstheme="majorBidi"/>
          <w:b/>
          <w:sz w:val="24"/>
          <w:szCs w:val="24"/>
          <w:lang w:val="en-GB"/>
        </w:rPr>
        <w:t xml:space="preserve"> and </w:t>
      </w:r>
      <w:r w:rsidR="00DC01FF" w:rsidRPr="001B3BA5">
        <w:rPr>
          <w:rFonts w:asciiTheme="majorBidi" w:hAnsiTheme="majorBidi" w:cstheme="majorBidi"/>
          <w:b/>
          <w:sz w:val="24"/>
          <w:szCs w:val="24"/>
          <w:lang w:val="en-GB"/>
        </w:rPr>
        <w:t xml:space="preserve">Exclusive </w:t>
      </w:r>
      <w:r w:rsidR="008B1553" w:rsidRPr="001B3BA5">
        <w:rPr>
          <w:rFonts w:asciiTheme="majorBidi" w:hAnsiTheme="majorBidi" w:cstheme="majorBidi"/>
          <w:b/>
          <w:sz w:val="24"/>
          <w:szCs w:val="24"/>
          <w:lang w:val="en-GB"/>
        </w:rPr>
        <w:t>D</w:t>
      </w:r>
      <w:r w:rsidR="00DC01FF" w:rsidRPr="001B3BA5">
        <w:rPr>
          <w:rFonts w:asciiTheme="majorBidi" w:hAnsiTheme="majorBidi" w:cstheme="majorBidi"/>
          <w:b/>
          <w:sz w:val="24"/>
          <w:szCs w:val="24"/>
          <w:lang w:val="en-GB"/>
        </w:rPr>
        <w:t xml:space="preserve">etermination </w:t>
      </w:r>
      <w:r w:rsidR="008B1553" w:rsidRPr="001B3BA5">
        <w:rPr>
          <w:rFonts w:asciiTheme="majorBidi" w:hAnsiTheme="majorBidi" w:cstheme="majorBidi"/>
          <w:b/>
          <w:sz w:val="24"/>
          <w:szCs w:val="24"/>
          <w:lang w:val="en-GB"/>
        </w:rPr>
        <w:t>R</w:t>
      </w:r>
      <w:r w:rsidR="00DC01FF" w:rsidRPr="001B3BA5">
        <w:rPr>
          <w:rFonts w:asciiTheme="majorBidi" w:hAnsiTheme="majorBidi" w:cstheme="majorBidi"/>
          <w:b/>
          <w:sz w:val="24"/>
          <w:szCs w:val="24"/>
          <w:lang w:val="en-GB"/>
        </w:rPr>
        <w:t>ight</w:t>
      </w:r>
    </w:p>
    <w:p w14:paraId="4EC2D86E" w14:textId="58F77359" w:rsidR="00FE44B2" w:rsidRPr="001B3BA5" w:rsidRDefault="007E1E94">
      <w:pPr>
        <w:autoSpaceDE w:val="0"/>
        <w:autoSpaceDN w:val="0"/>
        <w:adjustRightInd w:val="0"/>
        <w:spacing w:after="0" w:line="480" w:lineRule="exact"/>
        <w:ind w:firstLine="708"/>
        <w:rPr>
          <w:rFonts w:asciiTheme="majorBidi" w:hAnsiTheme="majorBidi" w:cstheme="majorBidi"/>
          <w:sz w:val="24"/>
          <w:szCs w:val="24"/>
          <w:lang w:val="en-GB"/>
        </w:rPr>
      </w:pPr>
      <w:r w:rsidRPr="001B3BA5">
        <w:rPr>
          <w:rFonts w:ascii="Times New Roman" w:hAnsi="Times New Roman" w:cs="Times New Roman"/>
          <w:sz w:val="24"/>
          <w:szCs w:val="24"/>
          <w:lang w:val="en-GB"/>
        </w:rPr>
        <w:t>Psychological ownership i</w:t>
      </w:r>
      <w:r w:rsidR="00F622FF" w:rsidRPr="001B3BA5">
        <w:rPr>
          <w:rFonts w:ascii="Times New Roman" w:hAnsi="Times New Roman" w:cs="Times New Roman"/>
          <w:sz w:val="24"/>
          <w:szCs w:val="24"/>
          <w:lang w:val="en-GB"/>
        </w:rPr>
        <w:t>mplies</w:t>
      </w:r>
      <w:r w:rsidRPr="001B3BA5">
        <w:rPr>
          <w:rFonts w:ascii="Times New Roman" w:hAnsi="Times New Roman" w:cs="Times New Roman"/>
          <w:sz w:val="24"/>
          <w:szCs w:val="24"/>
          <w:lang w:val="en-GB"/>
        </w:rPr>
        <w:t xml:space="preserve"> the </w:t>
      </w:r>
      <w:r w:rsidR="002E3AD3" w:rsidRPr="001B3BA5">
        <w:rPr>
          <w:rFonts w:ascii="Times New Roman" w:hAnsi="Times New Roman" w:cs="Times New Roman"/>
          <w:sz w:val="24"/>
          <w:szCs w:val="24"/>
          <w:lang w:val="en-GB"/>
        </w:rPr>
        <w:t xml:space="preserve">subjective </w:t>
      </w:r>
      <w:r w:rsidRPr="001B3BA5">
        <w:rPr>
          <w:rFonts w:ascii="Times New Roman" w:hAnsi="Times New Roman" w:cs="Times New Roman"/>
          <w:sz w:val="24"/>
          <w:szCs w:val="24"/>
          <w:lang w:val="en-GB"/>
        </w:rPr>
        <w:t xml:space="preserve">sense of </w:t>
      </w:r>
      <w:r w:rsidR="002E3AD3" w:rsidRPr="001B3BA5">
        <w:rPr>
          <w:rFonts w:ascii="Times New Roman" w:hAnsi="Times New Roman" w:cs="Times New Roman"/>
          <w:sz w:val="24"/>
          <w:szCs w:val="24"/>
          <w:lang w:val="en-GB"/>
        </w:rPr>
        <w:t>control and power over things. It is</w:t>
      </w:r>
      <w:r w:rsidRPr="001B3BA5">
        <w:rPr>
          <w:rFonts w:ascii="Times New Roman" w:hAnsi="Times New Roman" w:cs="Times New Roman"/>
          <w:sz w:val="24"/>
          <w:szCs w:val="24"/>
          <w:lang w:val="en-GB"/>
        </w:rPr>
        <w:t xml:space="preserve"> being </w:t>
      </w:r>
      <w:r w:rsidR="000E0C38" w:rsidRPr="001B3BA5">
        <w:rPr>
          <w:rFonts w:ascii="Times New Roman" w:hAnsi="Times New Roman" w:cs="Times New Roman"/>
          <w:sz w:val="24"/>
          <w:szCs w:val="24"/>
          <w:lang w:val="en-GB"/>
        </w:rPr>
        <w:t>tethered</w:t>
      </w:r>
      <w:r w:rsidRPr="001B3BA5">
        <w:rPr>
          <w:rFonts w:ascii="Times New Roman" w:hAnsi="Times New Roman" w:cs="Times New Roman"/>
          <w:sz w:val="24"/>
          <w:szCs w:val="24"/>
          <w:lang w:val="en-GB"/>
        </w:rPr>
        <w:t xml:space="preserve"> to </w:t>
      </w:r>
      <w:r w:rsidR="00682621" w:rsidRPr="001B3BA5">
        <w:rPr>
          <w:rFonts w:ascii="Times New Roman" w:hAnsi="Times New Roman" w:cs="Times New Roman"/>
          <w:sz w:val="24"/>
          <w:szCs w:val="24"/>
          <w:lang w:val="en-GB"/>
        </w:rPr>
        <w:t xml:space="preserve">the object, place, or idea </w:t>
      </w:r>
      <w:r w:rsidRPr="001B3BA5">
        <w:rPr>
          <w:rFonts w:ascii="Times New Roman" w:hAnsi="Times New Roman" w:cs="Times New Roman"/>
          <w:sz w:val="24"/>
          <w:szCs w:val="24"/>
          <w:lang w:val="en-GB"/>
        </w:rPr>
        <w:t>perceived to be one</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s own</w:t>
      </w:r>
      <w:r w:rsidR="004E5090" w:rsidRPr="001B3BA5">
        <w:rPr>
          <w:rFonts w:ascii="Times New Roman" w:hAnsi="Times New Roman" w:cs="Times New Roman"/>
          <w:sz w:val="24"/>
          <w:szCs w:val="24"/>
          <w:lang w:val="en-GB"/>
        </w:rPr>
        <w:t xml:space="preserve">, even if </w:t>
      </w:r>
      <w:r w:rsidR="002E3AD3" w:rsidRPr="001B3BA5">
        <w:rPr>
          <w:rFonts w:ascii="Times New Roman" w:hAnsi="Times New Roman" w:cs="Times New Roman"/>
          <w:sz w:val="24"/>
          <w:szCs w:val="24"/>
          <w:lang w:val="en-GB"/>
        </w:rPr>
        <w:t>one does</w:t>
      </w:r>
      <w:r w:rsidR="004E5090" w:rsidRPr="001B3BA5">
        <w:rPr>
          <w:rFonts w:ascii="Times New Roman" w:hAnsi="Times New Roman" w:cs="Times New Roman"/>
          <w:sz w:val="24"/>
          <w:szCs w:val="24"/>
          <w:lang w:val="en-GB"/>
        </w:rPr>
        <w:t xml:space="preserve"> not own something in legal terms</w:t>
      </w:r>
      <w:r w:rsidRPr="001B3BA5">
        <w:rPr>
          <w:rFonts w:ascii="Times New Roman" w:hAnsi="Times New Roman" w:cs="Times New Roman"/>
          <w:sz w:val="24"/>
          <w:szCs w:val="24"/>
          <w:lang w:val="en-GB"/>
        </w:rPr>
        <w:t xml:space="preserve"> </w:t>
      </w:r>
      <w:r w:rsidRPr="001B3BA5">
        <w:rPr>
          <w:rFonts w:ascii="Times New Roman" w:hAnsi="Times New Roman" w:cs="Times New Roman"/>
          <w:sz w:val="24"/>
          <w:szCs w:val="24"/>
          <w:lang w:val="en-GB"/>
        </w:rPr>
        <w:fldChar w:fldCharType="begin">
          <w:fldData xml:space="preserve">PEVuZE5vdGU+PENpdGU+PEF1dGhvcj5QaWVyY2U8L0F1dGhvcj48WWVhcj4yMDAxPC9ZZWFyPjxS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</w:fldData>
        </w:fldChar>
      </w:r>
      <w:r w:rsidR="00AE04E3">
        <w:rPr>
          <w:rFonts w:ascii="Times New Roman" w:hAnsi="Times New Roman" w:cs="Times New Roman"/>
          <w:sz w:val="24"/>
          <w:szCs w:val="24"/>
          <w:lang w:val="en-GB"/>
        </w:rPr>
        <w:instrText xml:space="preserve"> ADDIN EN.CITE </w:instrText>
      </w:r>
      <w:r w:rsidR="00AE04E3">
        <w:rPr>
          <w:rFonts w:ascii="Times New Roman" w:hAnsi="Times New Roman" w:cs="Times New Roman"/>
          <w:sz w:val="24"/>
          <w:szCs w:val="24"/>
          <w:lang w:val="en-GB"/>
        </w:rPr>
        <w:fldChar w:fldCharType="begin">
          <w:fldData xml:space="preserve">PEVuZE5vdGU+PENpdGU+PEF1dGhvcj5QaWVyY2U8L0F1dGhvcj48WWVhcj4yMDAxPC9ZZWFyPjxS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</w:fldData>
        </w:fldChar>
      </w:r>
      <w:r w:rsidR="00AE04E3">
        <w:rPr>
          <w:rFonts w:ascii="Times New Roman" w:hAnsi="Times New Roman" w:cs="Times New Roman"/>
          <w:sz w:val="24"/>
          <w:szCs w:val="24"/>
          <w:lang w:val="en-GB"/>
        </w:rPr>
        <w:instrText xml:space="preserve"> ADDIN EN.CITE.DATA </w:instrText>
      </w:r>
      <w:r w:rsidR="00AE04E3">
        <w:rPr>
          <w:rFonts w:ascii="Times New Roman" w:hAnsi="Times New Roman" w:cs="Times New Roman"/>
          <w:sz w:val="24"/>
          <w:szCs w:val="24"/>
          <w:lang w:val="en-GB"/>
        </w:rPr>
      </w:r>
      <w:r w:rsidR="00AE04E3">
        <w:rPr>
          <w:rFonts w:ascii="Times New Roman" w:hAnsi="Times New Roman" w:cs="Times New Roman"/>
          <w:sz w:val="24"/>
          <w:szCs w:val="24"/>
          <w:lang w:val="en-GB"/>
        </w:rPr>
        <w:fldChar w:fldCharType="end"/>
      </w:r>
      <w:r w:rsidRPr="001B3BA5">
        <w:rPr>
          <w:rFonts w:ascii="Times New Roman" w:hAnsi="Times New Roman" w:cs="Times New Roman"/>
          <w:sz w:val="24"/>
          <w:szCs w:val="24"/>
          <w:lang w:val="en-GB"/>
        </w:rPr>
      </w:r>
      <w:r w:rsidRPr="001B3BA5">
        <w:rPr>
          <w:rFonts w:ascii="Times New Roman" w:hAnsi="Times New Roman" w:cs="Times New Roman"/>
          <w:sz w:val="24"/>
          <w:szCs w:val="24"/>
          <w:lang w:val="en-GB"/>
        </w:rPr>
        <w:fldChar w:fldCharType="separate"/>
      </w:r>
      <w:r w:rsidR="00AE04E3">
        <w:rPr>
          <w:rFonts w:ascii="Times New Roman" w:hAnsi="Times New Roman" w:cs="Times New Roman"/>
          <w:noProof/>
          <w:sz w:val="24"/>
          <w:szCs w:val="24"/>
          <w:lang w:val="en-GB"/>
        </w:rPr>
        <w:t>(Gregg, Mahadevan, &amp; Sedikides, 2017; Pierce, Kostova, &amp; Dirks, 2001)</w:t>
      </w:r>
      <w:r w:rsidRPr="001B3BA5">
        <w:rPr>
          <w:rFonts w:ascii="Times New Roman" w:hAnsi="Times New Roman" w:cs="Times New Roman"/>
          <w:sz w:val="24"/>
          <w:szCs w:val="24"/>
          <w:lang w:val="en-GB"/>
        </w:rPr>
        <w:fldChar w:fldCharType="end"/>
      </w:r>
      <w:r w:rsidRPr="001B3BA5">
        <w:rPr>
          <w:rFonts w:ascii="Times New Roman" w:hAnsi="Times New Roman" w:cs="Times New Roman"/>
          <w:sz w:val="24"/>
          <w:szCs w:val="24"/>
          <w:lang w:val="en-GB"/>
        </w:rPr>
        <w:t xml:space="preserve">. </w:t>
      </w:r>
      <w:r w:rsidR="00F85F30" w:rsidRPr="001B3BA5">
        <w:rPr>
          <w:rFonts w:ascii="Times New Roman" w:hAnsi="Times New Roman" w:cs="Times New Roman"/>
          <w:sz w:val="24"/>
          <w:szCs w:val="24"/>
          <w:lang w:val="en-GB"/>
        </w:rPr>
        <w:t>The</w:t>
      </w:r>
      <w:r w:rsidR="00F85F30" w:rsidRPr="001B3BA5">
        <w:rPr>
          <w:rFonts w:asciiTheme="majorBidi" w:hAnsiTheme="majorBidi" w:cstheme="majorBidi"/>
          <w:sz w:val="24"/>
          <w:szCs w:val="24"/>
          <w:lang w:val="en-GB"/>
        </w:rPr>
        <w:t xml:space="preserve"> </w:t>
      </w:r>
      <w:r w:rsidR="00C62BEC" w:rsidRPr="001B3BA5">
        <w:rPr>
          <w:rFonts w:asciiTheme="majorBidi" w:hAnsiTheme="majorBidi" w:cstheme="majorBidi"/>
          <w:sz w:val="24"/>
          <w:szCs w:val="24"/>
          <w:lang w:val="en-GB"/>
        </w:rPr>
        <w:t xml:space="preserve">sense of ownership </w:t>
      </w:r>
      <w:r w:rsidR="00374810" w:rsidRPr="001B3BA5">
        <w:rPr>
          <w:rFonts w:asciiTheme="majorBidi" w:hAnsiTheme="majorBidi" w:cstheme="majorBidi"/>
          <w:sz w:val="24"/>
          <w:szCs w:val="24"/>
          <w:lang w:val="en-GB"/>
        </w:rPr>
        <w:t>has its foundations in the psychology of possessions</w:t>
      </w:r>
      <w:r w:rsidR="004F251E" w:rsidRPr="001B3BA5">
        <w:rPr>
          <w:rFonts w:asciiTheme="majorBidi" w:hAnsiTheme="majorBidi" w:cstheme="majorBidi"/>
          <w:sz w:val="24"/>
          <w:szCs w:val="24"/>
          <w:lang w:val="en-GB"/>
        </w:rPr>
        <w:t xml:space="preserve"> </w:t>
      </w:r>
      <w:r w:rsidR="004F251E" w:rsidRPr="001B3BA5">
        <w:rPr>
          <w:rFonts w:asciiTheme="majorBidi" w:hAnsiTheme="majorBidi" w:cstheme="majorBidi"/>
          <w:sz w:val="24"/>
          <w:szCs w:val="24"/>
          <w:lang w:val="en-GB"/>
        </w:rPr>
        <w:fldChar w:fldCharType="begin"/>
      </w:r>
      <w:r w:rsidR="004F251E" w:rsidRPr="001B3BA5">
        <w:rPr>
          <w:rFonts w:asciiTheme="majorBidi" w:hAnsiTheme="majorBidi" w:cstheme="majorBidi"/>
          <w:sz w:val="24"/>
          <w:szCs w:val="24"/>
          <w:lang w:val="en-GB"/>
        </w:rPr>
        <w:instrText xml:space="preserve"> ADDIN EN.CITE &lt;EndNote&gt;&lt;Cite&gt;&lt;Author&gt;Rochat&lt;/Author&gt;&lt;Year&gt;2014&lt;/Year&gt;&lt;RecNum&gt;1208&lt;/RecNum&gt;&lt;DisplayText&gt;(Rochat, 2014)&lt;/DisplayText&gt;&lt;record&gt;&lt;rec-number&gt;1208&lt;/rec-number&gt;&lt;foreign-keys&gt;&lt;key app="EN" db-id="es92r5v5dve2z0erx59pv50vtp29v0t9ef5f" timestamp="1519720465"&gt;1208&lt;/key&gt;&lt;/foreign-keys&gt;&lt;ref-type name="Book"&gt;6&lt;/ref-type&gt;&lt;contributors&gt;&lt;authors&gt;&lt;author&gt;Rochat, Philippe&lt;/author&gt;&lt;/authors&gt;&lt;/contributors&gt;&lt;titles&gt;&lt;title&gt;Origins of possession: Owning and sharing in development&lt;/title&gt;&lt;/titles&gt;&lt;dates&gt;&lt;year&gt;2014&lt;/year&gt;&lt;/dates&gt;&lt;publisher&gt;Cambridge University Press&lt;/publisher&gt;&lt;isbn&gt;1316061035&lt;/isbn&gt;&lt;urls&gt;&lt;/urls&gt;&lt;/record&gt;&lt;/Cite&gt;&lt;/EndNote&gt;</w:instrText>
      </w:r>
      <w:r w:rsidR="004F251E" w:rsidRPr="001B3BA5">
        <w:rPr>
          <w:rFonts w:asciiTheme="majorBidi" w:hAnsiTheme="majorBidi" w:cstheme="majorBidi"/>
          <w:sz w:val="24"/>
          <w:szCs w:val="24"/>
          <w:lang w:val="en-GB"/>
        </w:rPr>
        <w:fldChar w:fldCharType="separate"/>
      </w:r>
      <w:r w:rsidR="004F251E" w:rsidRPr="001B3BA5">
        <w:rPr>
          <w:rFonts w:asciiTheme="majorBidi" w:hAnsiTheme="majorBidi" w:cstheme="majorBidi"/>
          <w:noProof/>
          <w:sz w:val="24"/>
          <w:szCs w:val="24"/>
          <w:lang w:val="en-GB"/>
        </w:rPr>
        <w:t>(Rochat, 2014)</w:t>
      </w:r>
      <w:r w:rsidR="004F251E" w:rsidRPr="001B3BA5">
        <w:rPr>
          <w:rFonts w:asciiTheme="majorBidi" w:hAnsiTheme="majorBidi" w:cstheme="majorBidi"/>
          <w:sz w:val="24"/>
          <w:szCs w:val="24"/>
          <w:lang w:val="en-GB"/>
        </w:rPr>
        <w:fldChar w:fldCharType="end"/>
      </w:r>
      <w:r w:rsidR="007A0B43" w:rsidRPr="001B3BA5">
        <w:rPr>
          <w:rFonts w:asciiTheme="majorBidi" w:hAnsiTheme="majorBidi" w:cstheme="majorBidi"/>
          <w:sz w:val="24"/>
          <w:szCs w:val="24"/>
          <w:lang w:val="en-GB"/>
        </w:rPr>
        <w:t xml:space="preserve">, </w:t>
      </w:r>
      <w:r w:rsidR="002E3AD3" w:rsidRPr="001B3BA5">
        <w:rPr>
          <w:rFonts w:ascii="Times New Roman" w:hAnsi="Times New Roman" w:cs="Times New Roman"/>
          <w:sz w:val="24"/>
          <w:szCs w:val="24"/>
          <w:lang w:val="en-GB"/>
        </w:rPr>
        <w:t>develops very early in life</w:t>
      </w:r>
      <w:r w:rsidR="007A0B43" w:rsidRPr="001B3BA5">
        <w:rPr>
          <w:rFonts w:ascii="Times New Roman" w:hAnsi="Times New Roman" w:cs="Times New Roman"/>
          <w:sz w:val="24"/>
          <w:szCs w:val="24"/>
          <w:lang w:val="en-GB"/>
        </w:rPr>
        <w:t>,</w:t>
      </w:r>
      <w:r w:rsidR="002E3AD3" w:rsidRPr="001B3BA5">
        <w:rPr>
          <w:rFonts w:ascii="Times New Roman" w:hAnsi="Times New Roman" w:cs="Times New Roman"/>
          <w:sz w:val="24"/>
          <w:szCs w:val="24"/>
          <w:lang w:val="en-GB"/>
        </w:rPr>
        <w:t xml:space="preserve"> and probably has roots in evolutionary history, as is illustrated in the territorial instinct that is found in many species </w:t>
      </w:r>
      <w:r w:rsidR="003068D3" w:rsidRPr="001B3BA5">
        <w:rPr>
          <w:rFonts w:ascii="Times New Roman" w:hAnsi="Times New Roman" w:cs="Times New Roman"/>
          <w:sz w:val="24"/>
          <w:szCs w:val="24"/>
          <w:lang w:val="en-GB"/>
        </w:rPr>
        <w:fldChar w:fldCharType="begin"/>
      </w:r>
      <w:r w:rsidR="003068D3" w:rsidRPr="001B3BA5">
        <w:rPr>
          <w:rFonts w:ascii="Times New Roman" w:hAnsi="Times New Roman" w:cs="Times New Roman"/>
          <w:sz w:val="24"/>
          <w:szCs w:val="24"/>
          <w:lang w:val="en-GB"/>
        </w:rPr>
        <w:instrText xml:space="preserve"> ADDIN EN.CITE &lt;EndNote&gt;&lt;Cite&gt;&lt;Author&gt;Hinde&lt;/Author&gt;&lt;Year&gt;1970&lt;/Year&gt;&lt;RecNum&gt;1584&lt;/RecNum&gt;&lt;DisplayText&gt;(Hinde, 1970)&lt;/DisplayText&gt;&lt;record&gt;&lt;rec-number&gt;1584&lt;/rec-number&gt;&lt;foreign-keys&gt;&lt;key app="EN" db-id="es92r5v5dve2z0erx59pv50vtp29v0t9ef5f" timestamp="1584360067"&gt;1584&lt;/key&gt;&lt;/foreign-keys&gt;&lt;ref-type name="Book"&gt;6&lt;/ref-type&gt;&lt;contributors&gt;&lt;authors&gt;&lt;author&gt;Hinde, Robert A.&lt;/author&gt;&lt;/authors&gt;&lt;/contributors&gt;&lt;titles&gt;&lt;title&gt;Animal behavior&lt;/title&gt;&lt;/titles&gt;&lt;dates&gt;&lt;year&gt;1970&lt;/year&gt;&lt;/dates&gt;&lt;pub-location&gt;New York, NY&lt;/pub-location&gt;&lt;publisher&gt;McGraw-Hill&lt;/publisher&gt;&lt;urls&gt;&lt;/urls&gt;&lt;/record&gt;&lt;/Cite&gt;&lt;/EndNote&gt;</w:instrText>
      </w:r>
      <w:r w:rsidR="003068D3" w:rsidRPr="001B3BA5">
        <w:rPr>
          <w:rFonts w:ascii="Times New Roman" w:hAnsi="Times New Roman" w:cs="Times New Roman"/>
          <w:sz w:val="24"/>
          <w:szCs w:val="24"/>
          <w:lang w:val="en-GB"/>
        </w:rPr>
        <w:fldChar w:fldCharType="separate"/>
      </w:r>
      <w:r w:rsidR="003068D3" w:rsidRPr="001B3BA5">
        <w:rPr>
          <w:rFonts w:ascii="Times New Roman" w:hAnsi="Times New Roman" w:cs="Times New Roman"/>
          <w:noProof/>
          <w:sz w:val="24"/>
          <w:szCs w:val="24"/>
          <w:lang w:val="en-GB"/>
        </w:rPr>
        <w:t>(Hinde, 1970)</w:t>
      </w:r>
      <w:r w:rsidR="003068D3" w:rsidRPr="001B3BA5">
        <w:rPr>
          <w:rFonts w:ascii="Times New Roman" w:hAnsi="Times New Roman" w:cs="Times New Roman"/>
          <w:sz w:val="24"/>
          <w:szCs w:val="24"/>
          <w:lang w:val="en-GB"/>
        </w:rPr>
        <w:fldChar w:fldCharType="end"/>
      </w:r>
      <w:r w:rsidR="002E3AD3" w:rsidRPr="001B3BA5">
        <w:rPr>
          <w:rFonts w:ascii="Times New Roman" w:hAnsi="Times New Roman" w:cs="Times New Roman"/>
          <w:sz w:val="24"/>
          <w:szCs w:val="24"/>
          <w:lang w:val="en-GB"/>
        </w:rPr>
        <w:t>.</w:t>
      </w:r>
      <w:r w:rsidR="008F4A37" w:rsidRPr="001B3BA5">
        <w:rPr>
          <w:rFonts w:ascii="Times New Roman" w:hAnsi="Times New Roman" w:cs="Times New Roman"/>
          <w:sz w:val="24"/>
          <w:szCs w:val="24"/>
          <w:lang w:val="en-GB"/>
        </w:rPr>
        <w:t xml:space="preserve"> </w:t>
      </w:r>
      <w:r w:rsidR="00A87807" w:rsidRPr="001B3BA5">
        <w:rPr>
          <w:rFonts w:asciiTheme="majorBidi" w:hAnsiTheme="majorBidi" w:cstheme="majorBidi"/>
          <w:sz w:val="24"/>
          <w:szCs w:val="24"/>
          <w:lang w:val="en-GB"/>
        </w:rPr>
        <w:t>C</w:t>
      </w:r>
      <w:r w:rsidR="00F85F30" w:rsidRPr="001B3BA5">
        <w:rPr>
          <w:rFonts w:asciiTheme="majorBidi" w:hAnsiTheme="majorBidi" w:cstheme="majorBidi"/>
          <w:sz w:val="24"/>
          <w:szCs w:val="24"/>
          <w:lang w:val="en-GB"/>
        </w:rPr>
        <w:t>hildren</w:t>
      </w:r>
      <w:r w:rsidR="004B60ED" w:rsidRPr="001B3BA5">
        <w:rPr>
          <w:rFonts w:asciiTheme="majorBidi" w:hAnsiTheme="majorBidi" w:cstheme="majorBidi"/>
          <w:sz w:val="24"/>
          <w:szCs w:val="24"/>
          <w:lang w:val="en-GB"/>
        </w:rPr>
        <w:t xml:space="preserve"> as young as </w:t>
      </w:r>
      <w:r w:rsidR="007C50B5" w:rsidRPr="001B3BA5">
        <w:rPr>
          <w:rFonts w:asciiTheme="majorBidi" w:hAnsiTheme="majorBidi" w:cstheme="majorBidi"/>
          <w:sz w:val="24"/>
          <w:szCs w:val="24"/>
          <w:lang w:val="en-GB"/>
        </w:rPr>
        <w:t>two</w:t>
      </w:r>
      <w:r w:rsidR="00EC24C1" w:rsidRPr="001B3BA5">
        <w:rPr>
          <w:rFonts w:asciiTheme="majorBidi" w:hAnsiTheme="majorBidi" w:cstheme="majorBidi"/>
          <w:sz w:val="24"/>
          <w:szCs w:val="24"/>
          <w:lang w:val="en-GB"/>
        </w:rPr>
        <w:t xml:space="preserve"> </w:t>
      </w:r>
      <w:r w:rsidR="00F85F30" w:rsidRPr="001B3BA5">
        <w:rPr>
          <w:rFonts w:asciiTheme="majorBidi" w:hAnsiTheme="majorBidi" w:cstheme="majorBidi"/>
          <w:sz w:val="24"/>
          <w:szCs w:val="24"/>
          <w:lang w:val="en-GB"/>
        </w:rPr>
        <w:t xml:space="preserve">understand that something is </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mine</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 xml:space="preserve"> and not </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yours</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 xml:space="preserve"> </w:t>
      </w:r>
      <w:r w:rsidR="00FE44B2" w:rsidRPr="001B3BA5">
        <w:rPr>
          <w:rFonts w:asciiTheme="majorBidi" w:hAnsiTheme="majorBidi" w:cstheme="majorBidi"/>
          <w:sz w:val="24"/>
          <w:szCs w:val="24"/>
          <w:lang w:val="en-GB"/>
        </w:rPr>
        <w:fldChar w:fldCharType="begin">
          <w:fldData xml:space="preserve">PEVuZE5vdGU+PENpdGU+PEF1dGhvcj5Sb3NzPC9BdXRob3I+PFllYXI+MjAxNTwvWWVhcj48UmVj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</w:fldData>
        </w:fldChar>
      </w:r>
      <w:r w:rsidR="00FE44B2" w:rsidRPr="001B3BA5">
        <w:rPr>
          <w:rFonts w:asciiTheme="majorBidi" w:hAnsiTheme="majorBidi" w:cstheme="majorBidi"/>
          <w:sz w:val="24"/>
          <w:szCs w:val="24"/>
          <w:lang w:val="en-GB"/>
        </w:rPr>
        <w:instrText xml:space="preserve"> ADDIN EN.CITE </w:instrText>
      </w:r>
      <w:r w:rsidR="00FE44B2" w:rsidRPr="001B3BA5">
        <w:rPr>
          <w:rFonts w:asciiTheme="majorBidi" w:hAnsiTheme="majorBidi" w:cstheme="majorBidi"/>
          <w:sz w:val="24"/>
          <w:szCs w:val="24"/>
          <w:lang w:val="en-GB"/>
        </w:rPr>
        <w:fldChar w:fldCharType="begin">
          <w:fldData xml:space="preserve">PEVuZE5vdGU+PENpdGU+PEF1dGhvcj5Sb3NzPC9BdXRob3I+PFllYXI+MjAxNTwvWWVhcj48UmVj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</w:fldData>
        </w:fldChar>
      </w:r>
      <w:r w:rsidR="00FE44B2" w:rsidRPr="001B3BA5">
        <w:rPr>
          <w:rFonts w:asciiTheme="majorBidi" w:hAnsiTheme="majorBidi" w:cstheme="majorBidi"/>
          <w:sz w:val="24"/>
          <w:szCs w:val="24"/>
          <w:lang w:val="en-GB"/>
        </w:rPr>
        <w:instrText xml:space="preserve"> ADDIN EN.CITE.DATA </w:instrText>
      </w:r>
      <w:r w:rsidR="00FE44B2" w:rsidRPr="001B3BA5">
        <w:rPr>
          <w:rFonts w:asciiTheme="majorBidi" w:hAnsiTheme="majorBidi" w:cstheme="majorBidi"/>
          <w:sz w:val="24"/>
          <w:szCs w:val="24"/>
          <w:lang w:val="en-GB"/>
        </w:rPr>
      </w:r>
      <w:r w:rsidR="00FE44B2" w:rsidRPr="001B3BA5">
        <w:rPr>
          <w:rFonts w:asciiTheme="majorBidi" w:hAnsiTheme="majorBidi" w:cstheme="majorBidi"/>
          <w:sz w:val="24"/>
          <w:szCs w:val="24"/>
          <w:lang w:val="en-GB"/>
        </w:rPr>
        <w:fldChar w:fldCharType="end"/>
      </w:r>
      <w:r w:rsidR="00FE44B2" w:rsidRPr="001B3BA5">
        <w:rPr>
          <w:rFonts w:asciiTheme="majorBidi" w:hAnsiTheme="majorBidi" w:cstheme="majorBidi"/>
          <w:sz w:val="24"/>
          <w:szCs w:val="24"/>
          <w:lang w:val="en-GB"/>
        </w:rPr>
      </w:r>
      <w:r w:rsidR="00FE44B2" w:rsidRPr="001B3BA5">
        <w:rPr>
          <w:rFonts w:asciiTheme="majorBidi" w:hAnsiTheme="majorBidi" w:cstheme="majorBidi"/>
          <w:sz w:val="24"/>
          <w:szCs w:val="24"/>
          <w:lang w:val="en-GB"/>
        </w:rPr>
        <w:fldChar w:fldCharType="separate"/>
      </w:r>
      <w:r w:rsidR="00FE44B2" w:rsidRPr="001B3BA5">
        <w:rPr>
          <w:rFonts w:asciiTheme="majorBidi" w:hAnsiTheme="majorBidi" w:cstheme="majorBidi"/>
          <w:noProof/>
          <w:sz w:val="24"/>
          <w:szCs w:val="24"/>
          <w:lang w:val="en-GB"/>
        </w:rPr>
        <w:t>(Ross, Friedman, &amp; Field, 2015; Rossano, Rakoczy, &amp; Tomasello, 2011)</w:t>
      </w:r>
      <w:r w:rsidR="00FE44B2" w:rsidRPr="001B3BA5">
        <w:rPr>
          <w:rFonts w:asciiTheme="majorBidi" w:hAnsiTheme="majorBidi" w:cstheme="majorBidi"/>
          <w:sz w:val="24"/>
          <w:szCs w:val="24"/>
          <w:lang w:val="en-GB"/>
        </w:rPr>
        <w:fldChar w:fldCharType="end"/>
      </w:r>
      <w:r w:rsidR="00F2430C" w:rsidRPr="001B3BA5">
        <w:rPr>
          <w:rFonts w:asciiTheme="majorBidi" w:hAnsiTheme="majorBidi" w:cstheme="majorBidi"/>
          <w:sz w:val="24"/>
          <w:szCs w:val="24"/>
          <w:lang w:val="en-GB"/>
        </w:rPr>
        <w:t>, a</w:t>
      </w:r>
      <w:r w:rsidR="001F1B42" w:rsidRPr="001B3BA5">
        <w:rPr>
          <w:rFonts w:asciiTheme="majorBidi" w:hAnsiTheme="majorBidi" w:cstheme="majorBidi"/>
          <w:sz w:val="24"/>
          <w:szCs w:val="24"/>
          <w:lang w:val="en-GB"/>
        </w:rPr>
        <w:t>nd 3-year-olds recogn</w:t>
      </w:r>
      <w:r w:rsidR="008643F0" w:rsidRPr="001B3BA5">
        <w:rPr>
          <w:rFonts w:asciiTheme="majorBidi" w:hAnsiTheme="majorBidi" w:cstheme="majorBidi"/>
          <w:sz w:val="24"/>
          <w:szCs w:val="24"/>
          <w:lang w:val="en-GB"/>
        </w:rPr>
        <w:t>ise</w:t>
      </w:r>
      <w:r w:rsidR="001F1B42" w:rsidRPr="001B3BA5">
        <w:rPr>
          <w:rFonts w:asciiTheme="majorBidi" w:hAnsiTheme="majorBidi" w:cstheme="majorBidi"/>
          <w:sz w:val="24"/>
          <w:szCs w:val="24"/>
          <w:lang w:val="en-GB"/>
        </w:rPr>
        <w:t xml:space="preserve"> the person who controls the use of an object as the owner</w:t>
      </w:r>
      <w:r w:rsidR="004E507F" w:rsidRPr="001B3BA5">
        <w:rPr>
          <w:rFonts w:asciiTheme="majorBidi" w:hAnsiTheme="majorBidi" w:cstheme="majorBidi"/>
          <w:sz w:val="24"/>
          <w:szCs w:val="24"/>
          <w:lang w:val="en-GB"/>
        </w:rPr>
        <w:t xml:space="preserve"> </w:t>
      </w:r>
      <w:r w:rsidR="004E507F" w:rsidRPr="001B3BA5">
        <w:rPr>
          <w:rFonts w:asciiTheme="majorBidi" w:hAnsiTheme="majorBidi" w:cstheme="majorBidi"/>
          <w:sz w:val="24"/>
          <w:szCs w:val="24"/>
          <w:lang w:val="en-GB"/>
        </w:rPr>
        <w:fldChar w:fldCharType="begin">
          <w:fldData xml:space="preserve">PEVuZE5vdGU+PENpdGU+PEF1dGhvcj5OZWFyeTwvQXV0aG9yPjxZZWFyPjIwMDk8L1llYXI+PFJl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</w:fldData>
        </w:fldChar>
      </w:r>
      <w:r w:rsidR="004E507F" w:rsidRPr="001B3BA5">
        <w:rPr>
          <w:rFonts w:asciiTheme="majorBidi" w:hAnsiTheme="majorBidi" w:cstheme="majorBidi"/>
          <w:sz w:val="24"/>
          <w:szCs w:val="24"/>
          <w:lang w:val="en-GB"/>
        </w:rPr>
        <w:instrText xml:space="preserve"> ADDIN EN.CITE </w:instrText>
      </w:r>
      <w:r w:rsidR="004E507F" w:rsidRPr="001B3BA5">
        <w:rPr>
          <w:rFonts w:asciiTheme="majorBidi" w:hAnsiTheme="majorBidi" w:cstheme="majorBidi"/>
          <w:sz w:val="24"/>
          <w:szCs w:val="24"/>
          <w:lang w:val="en-GB"/>
        </w:rPr>
        <w:fldChar w:fldCharType="begin">
          <w:fldData xml:space="preserve">PEVuZE5vdGU+PENpdGU+PEF1dGhvcj5OZWFyeTwvQXV0aG9yPjxZZWFyPjIwMDk8L1llYXI+PFJl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</w:fldData>
        </w:fldChar>
      </w:r>
      <w:r w:rsidR="004E507F" w:rsidRPr="001B3BA5">
        <w:rPr>
          <w:rFonts w:asciiTheme="majorBidi" w:hAnsiTheme="majorBidi" w:cstheme="majorBidi"/>
          <w:sz w:val="24"/>
          <w:szCs w:val="24"/>
          <w:lang w:val="en-GB"/>
        </w:rPr>
        <w:instrText xml:space="preserve"> ADDIN EN.CITE.DATA </w:instrText>
      </w:r>
      <w:r w:rsidR="004E507F" w:rsidRPr="001B3BA5">
        <w:rPr>
          <w:rFonts w:asciiTheme="majorBidi" w:hAnsiTheme="majorBidi" w:cstheme="majorBidi"/>
          <w:sz w:val="24"/>
          <w:szCs w:val="24"/>
          <w:lang w:val="en-GB"/>
        </w:rPr>
      </w:r>
      <w:r w:rsidR="004E507F" w:rsidRPr="001B3BA5">
        <w:rPr>
          <w:rFonts w:asciiTheme="majorBidi" w:hAnsiTheme="majorBidi" w:cstheme="majorBidi"/>
          <w:sz w:val="24"/>
          <w:szCs w:val="24"/>
          <w:lang w:val="en-GB"/>
        </w:rPr>
        <w:fldChar w:fldCharType="end"/>
      </w:r>
      <w:r w:rsidR="004E507F" w:rsidRPr="001B3BA5">
        <w:rPr>
          <w:rFonts w:asciiTheme="majorBidi" w:hAnsiTheme="majorBidi" w:cstheme="majorBidi"/>
          <w:sz w:val="24"/>
          <w:szCs w:val="24"/>
          <w:lang w:val="en-GB"/>
        </w:rPr>
      </w:r>
      <w:r w:rsidR="004E507F" w:rsidRPr="001B3BA5">
        <w:rPr>
          <w:rFonts w:asciiTheme="majorBidi" w:hAnsiTheme="majorBidi" w:cstheme="majorBidi"/>
          <w:sz w:val="24"/>
          <w:szCs w:val="24"/>
          <w:lang w:val="en-GB"/>
        </w:rPr>
        <w:fldChar w:fldCharType="separate"/>
      </w:r>
      <w:r w:rsidR="004E507F" w:rsidRPr="001B3BA5">
        <w:rPr>
          <w:rFonts w:asciiTheme="majorBidi" w:hAnsiTheme="majorBidi" w:cstheme="majorBidi"/>
          <w:noProof/>
          <w:sz w:val="24"/>
          <w:szCs w:val="24"/>
          <w:lang w:val="en-GB"/>
        </w:rPr>
        <w:t>(Neary, Friedman, &amp; Burnstein, 2009; Shaw, Li, &amp; Olson, 2012)</w:t>
      </w:r>
      <w:r w:rsidR="004E507F" w:rsidRPr="001B3BA5">
        <w:rPr>
          <w:rFonts w:asciiTheme="majorBidi" w:hAnsiTheme="majorBidi" w:cstheme="majorBidi"/>
          <w:sz w:val="24"/>
          <w:szCs w:val="24"/>
          <w:lang w:val="en-GB"/>
        </w:rPr>
        <w:fldChar w:fldCharType="end"/>
      </w:r>
      <w:r w:rsidR="004E507F" w:rsidRPr="001B3BA5">
        <w:rPr>
          <w:rFonts w:asciiTheme="majorBidi" w:hAnsiTheme="majorBidi" w:cstheme="majorBidi"/>
          <w:sz w:val="24"/>
          <w:szCs w:val="24"/>
          <w:lang w:val="en-GB"/>
        </w:rPr>
        <w:t>.</w:t>
      </w:r>
      <w:r w:rsidR="001F1B42" w:rsidRPr="001B3BA5">
        <w:rPr>
          <w:rFonts w:asciiTheme="majorBidi" w:hAnsiTheme="majorBidi" w:cstheme="majorBidi"/>
          <w:sz w:val="24"/>
          <w:szCs w:val="24"/>
          <w:lang w:val="en-GB"/>
        </w:rPr>
        <w:t xml:space="preserve"> </w:t>
      </w:r>
    </w:p>
    <w:p w14:paraId="277DB5EC" w14:textId="288EA4E7" w:rsidR="00CE342C" w:rsidRPr="001B3BA5" w:rsidRDefault="002B7625">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People not only experience personal psychological ownership</w:t>
      </w:r>
      <w:r w:rsidR="007B0A7D"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but can also perceive </w:t>
      </w:r>
      <w:r w:rsidR="004E5090" w:rsidRPr="001B3BA5">
        <w:rPr>
          <w:rFonts w:asciiTheme="majorBidi" w:hAnsiTheme="majorBidi" w:cstheme="majorBidi"/>
          <w:sz w:val="24"/>
          <w:szCs w:val="24"/>
          <w:lang w:val="en-GB"/>
        </w:rPr>
        <w:t xml:space="preserve">something to be owned by </w:t>
      </w:r>
      <w:r w:rsidRPr="001B3BA5">
        <w:rPr>
          <w:rFonts w:asciiTheme="majorBidi" w:hAnsiTheme="majorBidi" w:cstheme="majorBidi"/>
          <w:sz w:val="24"/>
          <w:szCs w:val="24"/>
          <w:lang w:val="en-GB"/>
        </w:rPr>
        <w:t xml:space="preserve">their group. When people have </w:t>
      </w:r>
      <w:r w:rsidR="00F85F30" w:rsidRPr="001B3BA5">
        <w:rPr>
          <w:rFonts w:asciiTheme="majorBidi" w:hAnsiTheme="majorBidi" w:cstheme="majorBidi"/>
          <w:sz w:val="24"/>
          <w:szCs w:val="24"/>
          <w:lang w:val="en-GB"/>
        </w:rPr>
        <w:t xml:space="preserve">a sense of </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us</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they</w:t>
      </w:r>
      <w:r w:rsidR="00F85F30" w:rsidRPr="001B3BA5">
        <w:rPr>
          <w:rFonts w:asciiTheme="majorBidi" w:hAnsiTheme="majorBidi" w:cstheme="majorBidi"/>
          <w:sz w:val="24"/>
          <w:szCs w:val="24"/>
          <w:lang w:val="en-GB"/>
        </w:rPr>
        <w:t xml:space="preserve"> can </w:t>
      </w:r>
      <w:r w:rsidR="000E0C38" w:rsidRPr="001B3BA5">
        <w:rPr>
          <w:rFonts w:asciiTheme="majorBidi" w:hAnsiTheme="majorBidi" w:cstheme="majorBidi"/>
          <w:sz w:val="24"/>
          <w:szCs w:val="24"/>
          <w:lang w:val="en-GB"/>
        </w:rPr>
        <w:t xml:space="preserve">also </w:t>
      </w:r>
      <w:r w:rsidR="002452FD" w:rsidRPr="001B3BA5">
        <w:rPr>
          <w:rFonts w:asciiTheme="majorBidi" w:hAnsiTheme="majorBidi" w:cstheme="majorBidi"/>
          <w:sz w:val="24"/>
          <w:szCs w:val="24"/>
          <w:lang w:val="en-GB"/>
        </w:rPr>
        <w:t>have</w:t>
      </w:r>
      <w:r w:rsidR="00F85F30" w:rsidRPr="001B3BA5">
        <w:rPr>
          <w:rFonts w:asciiTheme="majorBidi" w:hAnsiTheme="majorBidi" w:cstheme="majorBidi"/>
          <w:sz w:val="24"/>
          <w:szCs w:val="24"/>
          <w:lang w:val="en-GB"/>
        </w:rPr>
        <w:t xml:space="preserve"> a sense of </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ours</w:t>
      </w:r>
      <w:r w:rsidR="00B146E8" w:rsidRPr="001B3BA5">
        <w:rPr>
          <w:rFonts w:asciiTheme="majorBidi" w:hAnsiTheme="majorBidi" w:cstheme="majorBidi"/>
          <w:sz w:val="24"/>
          <w:szCs w:val="24"/>
          <w:lang w:val="en-GB"/>
        </w:rPr>
        <w:t>’</w:t>
      </w:r>
      <w:r w:rsidR="001F1B42" w:rsidRPr="001B3BA5">
        <w:rPr>
          <w:rFonts w:asciiTheme="majorBidi" w:hAnsiTheme="majorBidi" w:cstheme="majorBidi"/>
          <w:sz w:val="24"/>
          <w:szCs w:val="24"/>
          <w:lang w:val="en-GB"/>
        </w:rPr>
        <w:t xml:space="preserve">, </w:t>
      </w:r>
      <w:r w:rsidR="00AE51AE" w:rsidRPr="001B3BA5">
        <w:rPr>
          <w:rFonts w:asciiTheme="majorBidi" w:hAnsiTheme="majorBidi" w:cstheme="majorBidi"/>
          <w:sz w:val="24"/>
          <w:szCs w:val="24"/>
          <w:lang w:val="en-GB"/>
        </w:rPr>
        <w:t>referred to as</w:t>
      </w:r>
      <w:r w:rsidR="001F1B42" w:rsidRPr="001B3BA5">
        <w:rPr>
          <w:rFonts w:asciiTheme="majorBidi" w:hAnsiTheme="majorBidi" w:cstheme="majorBidi"/>
          <w:sz w:val="24"/>
          <w:szCs w:val="24"/>
          <w:lang w:val="en-GB"/>
        </w:rPr>
        <w:t xml:space="preserve"> collective psychological ownership (CPO)</w:t>
      </w:r>
      <w:r w:rsidR="004E507F" w:rsidRPr="001B3BA5">
        <w:rPr>
          <w:rFonts w:asciiTheme="majorBidi" w:hAnsiTheme="majorBidi" w:cstheme="majorBidi"/>
          <w:sz w:val="24"/>
          <w:szCs w:val="24"/>
          <w:lang w:val="en-GB"/>
        </w:rPr>
        <w:t xml:space="preserve">. </w:t>
      </w:r>
      <w:r w:rsidR="00F85F30" w:rsidRPr="001B3BA5">
        <w:rPr>
          <w:rFonts w:asciiTheme="majorBidi" w:hAnsiTheme="majorBidi" w:cstheme="majorBidi"/>
          <w:sz w:val="24"/>
          <w:szCs w:val="24"/>
          <w:lang w:val="en-GB"/>
        </w:rPr>
        <w:t>Organizational scholars have argued that team</w:t>
      </w:r>
      <w:r w:rsidR="00597441" w:rsidRPr="001B3BA5">
        <w:rPr>
          <w:rFonts w:asciiTheme="majorBidi" w:hAnsiTheme="majorBidi" w:cstheme="majorBidi"/>
          <w:sz w:val="24"/>
          <w:szCs w:val="24"/>
          <w:lang w:val="en-GB"/>
        </w:rPr>
        <w:t xml:space="preserve"> member</w:t>
      </w:r>
      <w:r w:rsidR="000E0C38" w:rsidRPr="001B3BA5">
        <w:rPr>
          <w:rFonts w:asciiTheme="majorBidi" w:hAnsiTheme="majorBidi" w:cstheme="majorBidi"/>
          <w:sz w:val="24"/>
          <w:szCs w:val="24"/>
          <w:lang w:val="en-GB"/>
        </w:rPr>
        <w:t>s in an organization</w:t>
      </w:r>
      <w:r w:rsidR="00F85F30" w:rsidRPr="001B3BA5">
        <w:rPr>
          <w:rFonts w:asciiTheme="majorBidi" w:hAnsiTheme="majorBidi" w:cstheme="majorBidi"/>
          <w:sz w:val="24"/>
          <w:szCs w:val="24"/>
          <w:lang w:val="en-GB"/>
        </w:rPr>
        <w:t xml:space="preserve"> can </w:t>
      </w:r>
      <w:r w:rsidR="001E5F42" w:rsidRPr="001B3BA5">
        <w:rPr>
          <w:rFonts w:asciiTheme="majorBidi" w:hAnsiTheme="majorBidi" w:cstheme="majorBidi"/>
          <w:sz w:val="24"/>
          <w:szCs w:val="24"/>
          <w:lang w:val="en-GB"/>
        </w:rPr>
        <w:t xml:space="preserve">perceive </w:t>
      </w:r>
      <w:r w:rsidR="00597441" w:rsidRPr="001B3BA5">
        <w:rPr>
          <w:rFonts w:asciiTheme="majorBidi" w:hAnsiTheme="majorBidi" w:cstheme="majorBidi"/>
          <w:sz w:val="24"/>
          <w:szCs w:val="24"/>
          <w:lang w:val="en-GB"/>
        </w:rPr>
        <w:t xml:space="preserve">their team to have </w:t>
      </w:r>
      <w:r w:rsidR="00F85F30" w:rsidRPr="001B3BA5">
        <w:rPr>
          <w:rFonts w:asciiTheme="majorBidi" w:hAnsiTheme="majorBidi" w:cstheme="majorBidi"/>
          <w:sz w:val="24"/>
          <w:szCs w:val="24"/>
          <w:lang w:val="en-GB"/>
        </w:rPr>
        <w:t xml:space="preserve">collective ownership of their work, their working space, </w:t>
      </w:r>
      <w:r w:rsidR="002452FD" w:rsidRPr="001B3BA5">
        <w:rPr>
          <w:rFonts w:asciiTheme="majorBidi" w:hAnsiTheme="majorBidi" w:cstheme="majorBidi"/>
          <w:sz w:val="24"/>
          <w:szCs w:val="24"/>
          <w:lang w:val="en-GB"/>
        </w:rPr>
        <w:t>and</w:t>
      </w:r>
      <w:r w:rsidR="00F85F30" w:rsidRPr="001B3BA5">
        <w:rPr>
          <w:rFonts w:asciiTheme="majorBidi" w:hAnsiTheme="majorBidi" w:cstheme="majorBidi"/>
          <w:sz w:val="24"/>
          <w:szCs w:val="24"/>
          <w:lang w:val="en-GB"/>
        </w:rPr>
        <w:t xml:space="preserve"> their </w:t>
      </w:r>
      <w:r w:rsidR="00805DA6" w:rsidRPr="001B3BA5">
        <w:rPr>
          <w:rFonts w:asciiTheme="majorBidi" w:hAnsiTheme="majorBidi" w:cstheme="majorBidi"/>
          <w:sz w:val="24"/>
          <w:szCs w:val="24"/>
          <w:lang w:val="en-GB"/>
        </w:rPr>
        <w:t>work outcomes</w:t>
      </w:r>
      <w:r w:rsidR="00F85F30" w:rsidRPr="001B3BA5">
        <w:rPr>
          <w:rFonts w:asciiTheme="majorBidi" w:hAnsiTheme="majorBidi" w:cstheme="majorBidi"/>
          <w:sz w:val="24"/>
          <w:szCs w:val="24"/>
          <w:lang w:val="en-GB"/>
        </w:rPr>
        <w:t xml:space="preserve"> </w:t>
      </w:r>
      <w:r w:rsidR="00F85F30" w:rsidRPr="001B3BA5">
        <w:rPr>
          <w:rFonts w:asciiTheme="majorBidi" w:hAnsiTheme="majorBidi" w:cstheme="majorBidi"/>
          <w:sz w:val="24"/>
          <w:szCs w:val="24"/>
          <w:lang w:val="en-GB"/>
        </w:rPr>
        <w:fldChar w:fldCharType="begin"/>
      </w:r>
      <w:r w:rsidR="00523B42" w:rsidRPr="001B3BA5">
        <w:rPr>
          <w:rFonts w:asciiTheme="majorBidi" w:hAnsiTheme="majorBidi" w:cstheme="majorBidi"/>
          <w:sz w:val="24"/>
          <w:szCs w:val="24"/>
          <w:lang w:val="en-GB"/>
        </w:rPr>
        <w:instrText xml:space="preserve"> ADDIN EN.CITE &lt;EndNote&gt;&lt;Cite&gt;&lt;Author&gt;Pierce&lt;/Author&gt;&lt;Year&gt;2009&lt;/Year&gt;&lt;RecNum&gt;1107&lt;/RecNum&gt;&lt;DisplayText&gt;(Pierce &amp;amp; Jussila, 2009; Pierce, Jussila, &amp;amp; Li, 2017)&lt;/DisplayText&gt;&lt;record&gt;&lt;rec-number&gt;1107&lt;/rec-number&gt;&lt;foreign-keys&gt;&lt;key app="EN" db-id="es92r5v5dve2z0erx59pv50vtp29v0t9ef5f" timestamp="1510581739"&gt;1107&lt;/key&gt;&lt;key app="ENWeb" db-id=""&gt;0&lt;/key&gt;&lt;/foreign-keys&gt;&lt;ref-type name="Journal Article"&gt;17&lt;/ref-type&gt;&lt;contributors&gt;&lt;authors&gt;&lt;author&gt;Pierce, Jon L.&lt;/author&gt;&lt;author&gt;Jussila, Iiro&lt;/author&gt;&lt;/authors&gt;&lt;/contributors&gt;&lt;titles&gt;&lt;title&gt;Collective psychological ownership within the work and organizational context: Construct introduction and elaboration&lt;/title&gt;&lt;secondary-title&gt;Journal of Organizational Behavior&lt;/secondary-title&gt;&lt;/titles&gt;&lt;periodical&gt;&lt;full-title&gt;Journal of Organizational Behavior&lt;/full-title&gt;&lt;/periodical&gt;&lt;pages&gt;810-834&lt;/pages&gt;&lt;volume&gt;31&lt;/volume&gt;&lt;number&gt;6&lt;/number&gt;&lt;dates&gt;&lt;year&gt;2009&lt;/year&gt;&lt;/dates&gt;&lt;isbn&gt;08943796&amp;#xD;10991379&lt;/isbn&gt;&lt;urls&gt;&lt;/urls&gt;&lt;electronic-resource-num&gt;10.1002/job.628&lt;/electronic-resource-num&gt;&lt;/record&gt;&lt;/Cite&gt;&lt;Cite&gt;&lt;Author&gt;Pierce&lt;/Author&gt;&lt;Year&gt;2017&lt;/Year&gt;&lt;RecNum&gt;1112&lt;/RecNum&gt;&lt;record&gt;&lt;rec-number&gt;1112&lt;/rec-number&gt;&lt;foreign-keys&gt;&lt;key app="EN" db-id="es92r5v5dve2z0erx59pv50vtp29v0t9ef5f" timestamp="1511279549"&gt;1112&lt;/key&gt;&lt;key app="ENWeb" db-id=""&gt;0&lt;/key&gt;&lt;/foreign-keys&gt;&lt;ref-type name="Journal Article"&gt;17&lt;/ref-type&gt;&lt;contributors&gt;&lt;authors&gt;&lt;author&gt;Pierce, Jon L.&lt;/author&gt;&lt;author&gt;Jussila, Iiro&lt;/author&gt;&lt;author&gt;Li, Dahui&lt;/author&gt;&lt;/authors&gt;&lt;/contributors&gt;&lt;titles&gt;&lt;title&gt;Development and validation of an instrument for assessing collective psychological ownership in organizational field settings&lt;/title&gt;&lt;secondary-title&gt;Journal of Management &amp;amp; Organization&lt;/secondary-title&gt;&lt;/titles&gt;&lt;periodical&gt;&lt;full-title&gt;Journal of Management &amp;amp; Organization&lt;/full-title&gt;&lt;/periodical&gt;&lt;pages&gt;1-17&lt;/pages&gt;&lt;volume&gt;24&lt;/volume&gt;&lt;number&gt;6&lt;/number&gt;&lt;dates&gt;&lt;year&gt;2017&lt;/year&gt;&lt;/dates&gt;&lt;isbn&gt;1833-3672&amp;#xD;1839-3527&lt;/isbn&gt;&lt;urls&gt;&lt;/urls&gt;&lt;electronic-resource-num&gt;10.1017/jmo.2016.66&lt;/electronic-resource-num&gt;&lt;/record&gt;&lt;/Cite&gt;&lt;/EndNote&gt;</w:instrText>
      </w:r>
      <w:r w:rsidR="00F85F30" w:rsidRPr="001B3BA5">
        <w:rPr>
          <w:rFonts w:asciiTheme="majorBidi" w:hAnsiTheme="majorBidi" w:cstheme="majorBidi"/>
          <w:sz w:val="24"/>
          <w:szCs w:val="24"/>
          <w:lang w:val="en-GB"/>
        </w:rPr>
        <w:fldChar w:fldCharType="separate"/>
      </w:r>
      <w:r w:rsidR="00523B42" w:rsidRPr="001B3BA5">
        <w:rPr>
          <w:rFonts w:asciiTheme="majorBidi" w:hAnsiTheme="majorBidi" w:cstheme="majorBidi"/>
          <w:noProof/>
          <w:sz w:val="24"/>
          <w:szCs w:val="24"/>
          <w:lang w:val="en-GB"/>
        </w:rPr>
        <w:t>(Pierce &amp; Jussila, 2009; Pierce, Jussila, &amp; Li, 2017)</w:t>
      </w:r>
      <w:r w:rsidR="00F85F30" w:rsidRPr="001B3BA5">
        <w:rPr>
          <w:rFonts w:asciiTheme="majorBidi" w:hAnsiTheme="majorBidi" w:cstheme="majorBidi"/>
          <w:sz w:val="24"/>
          <w:szCs w:val="24"/>
          <w:lang w:val="en-GB"/>
        </w:rPr>
        <w:fldChar w:fldCharType="end"/>
      </w:r>
      <w:r w:rsidR="00F85F30" w:rsidRPr="001B3BA5">
        <w:rPr>
          <w:rFonts w:asciiTheme="majorBidi" w:hAnsiTheme="majorBidi" w:cstheme="majorBidi"/>
          <w:sz w:val="24"/>
          <w:szCs w:val="24"/>
          <w:lang w:val="en-GB"/>
        </w:rPr>
        <w:t>.</w:t>
      </w:r>
      <w:r w:rsidR="003E7ACA" w:rsidRPr="001B3BA5">
        <w:rPr>
          <w:rStyle w:val="FootnoteReference"/>
          <w:rFonts w:asciiTheme="majorBidi" w:hAnsiTheme="majorBidi" w:cstheme="majorBidi"/>
          <w:sz w:val="24"/>
          <w:szCs w:val="24"/>
          <w:lang w:val="en-GB"/>
        </w:rPr>
        <w:footnoteReference w:id="2"/>
      </w:r>
      <w:r w:rsidR="00F622FF" w:rsidRPr="001B3BA5">
        <w:rPr>
          <w:rFonts w:asciiTheme="majorBidi" w:hAnsiTheme="majorBidi" w:cstheme="majorBidi"/>
          <w:sz w:val="24"/>
          <w:szCs w:val="24"/>
          <w:lang w:val="en-GB"/>
        </w:rPr>
        <w:t xml:space="preserve"> These perceptions relate to the question of ‘what we control’</w:t>
      </w:r>
      <w:r w:rsidR="00C87C44" w:rsidRPr="001B3BA5">
        <w:rPr>
          <w:rFonts w:asciiTheme="majorBidi" w:hAnsiTheme="majorBidi" w:cstheme="majorBidi"/>
          <w:sz w:val="24"/>
          <w:szCs w:val="24"/>
          <w:lang w:val="en-GB"/>
        </w:rPr>
        <w:t>,</w:t>
      </w:r>
      <w:r w:rsidR="00F622FF" w:rsidRPr="001B3BA5">
        <w:rPr>
          <w:rFonts w:asciiTheme="majorBidi" w:hAnsiTheme="majorBidi" w:cstheme="majorBidi"/>
          <w:sz w:val="24"/>
          <w:szCs w:val="24"/>
          <w:lang w:val="en-GB"/>
        </w:rPr>
        <w:t xml:space="preserve"> which differs from </w:t>
      </w:r>
      <w:r w:rsidR="00C87C44" w:rsidRPr="001B3BA5">
        <w:rPr>
          <w:rFonts w:asciiTheme="majorBidi" w:hAnsiTheme="majorBidi" w:cstheme="majorBidi"/>
          <w:sz w:val="24"/>
          <w:szCs w:val="24"/>
          <w:lang w:val="en-GB"/>
        </w:rPr>
        <w:t xml:space="preserve">questions of </w:t>
      </w:r>
      <w:r w:rsidR="00F622FF" w:rsidRPr="001B3BA5">
        <w:rPr>
          <w:rFonts w:asciiTheme="majorBidi" w:hAnsiTheme="majorBidi" w:cstheme="majorBidi"/>
          <w:sz w:val="24"/>
          <w:szCs w:val="24"/>
          <w:lang w:val="en-GB"/>
        </w:rPr>
        <w:t xml:space="preserve">group identity </w:t>
      </w:r>
      <w:r w:rsidR="00C87C44" w:rsidRPr="001B3BA5">
        <w:rPr>
          <w:rFonts w:asciiTheme="majorBidi" w:hAnsiTheme="majorBidi" w:cstheme="majorBidi"/>
          <w:sz w:val="24"/>
          <w:szCs w:val="24"/>
          <w:lang w:val="en-GB"/>
        </w:rPr>
        <w:t>(</w:t>
      </w:r>
      <w:r w:rsidR="00F622FF" w:rsidRPr="001B3BA5">
        <w:rPr>
          <w:rFonts w:asciiTheme="majorBidi" w:hAnsiTheme="majorBidi" w:cstheme="majorBidi"/>
          <w:sz w:val="24"/>
          <w:szCs w:val="24"/>
          <w:lang w:val="en-GB"/>
        </w:rPr>
        <w:t>‘who we are’</w:t>
      </w:r>
      <w:r w:rsidR="00C87C44" w:rsidRPr="001B3BA5">
        <w:rPr>
          <w:rFonts w:asciiTheme="majorBidi" w:hAnsiTheme="majorBidi" w:cstheme="majorBidi"/>
          <w:sz w:val="24"/>
          <w:szCs w:val="24"/>
          <w:lang w:val="en-GB"/>
        </w:rPr>
        <w:t>)</w:t>
      </w:r>
      <w:r w:rsidR="00F622FF" w:rsidRPr="001B3BA5">
        <w:rPr>
          <w:rFonts w:asciiTheme="majorBidi" w:hAnsiTheme="majorBidi" w:cstheme="majorBidi"/>
          <w:sz w:val="24"/>
          <w:szCs w:val="24"/>
          <w:lang w:val="en-GB"/>
        </w:rPr>
        <w:t xml:space="preserve"> and</w:t>
      </w:r>
      <w:r w:rsidR="00C87C44" w:rsidRPr="001B3BA5">
        <w:rPr>
          <w:rFonts w:asciiTheme="majorBidi" w:hAnsiTheme="majorBidi" w:cstheme="majorBidi"/>
          <w:sz w:val="24"/>
          <w:szCs w:val="24"/>
          <w:lang w:val="en-GB"/>
        </w:rPr>
        <w:t xml:space="preserve"> group resources</w:t>
      </w:r>
      <w:r w:rsidR="00F622FF" w:rsidRPr="001B3BA5">
        <w:rPr>
          <w:rFonts w:asciiTheme="majorBidi" w:hAnsiTheme="majorBidi" w:cstheme="majorBidi"/>
          <w:sz w:val="24"/>
          <w:szCs w:val="24"/>
          <w:lang w:val="en-GB"/>
        </w:rPr>
        <w:t xml:space="preserve"> </w:t>
      </w:r>
      <w:r w:rsidR="005E1030" w:rsidRPr="001B3BA5">
        <w:rPr>
          <w:rFonts w:asciiTheme="majorBidi" w:hAnsiTheme="majorBidi" w:cstheme="majorBidi"/>
          <w:sz w:val="24"/>
          <w:szCs w:val="24"/>
          <w:lang w:val="en-GB"/>
        </w:rPr>
        <w:t>(</w:t>
      </w:r>
      <w:r w:rsidR="00F622FF" w:rsidRPr="001B3BA5">
        <w:rPr>
          <w:rFonts w:asciiTheme="majorBidi" w:hAnsiTheme="majorBidi" w:cstheme="majorBidi"/>
          <w:sz w:val="24"/>
          <w:szCs w:val="24"/>
          <w:lang w:val="en-GB"/>
        </w:rPr>
        <w:t>‘what we need’</w:t>
      </w:r>
      <w:r w:rsidR="00C87C44" w:rsidRPr="001B3BA5">
        <w:rPr>
          <w:rFonts w:asciiTheme="majorBidi" w:hAnsiTheme="majorBidi" w:cstheme="majorBidi"/>
          <w:sz w:val="24"/>
          <w:szCs w:val="24"/>
          <w:lang w:val="en-GB"/>
        </w:rPr>
        <w:t>)</w:t>
      </w:r>
      <w:r w:rsidR="00F622FF" w:rsidRPr="001B3BA5">
        <w:rPr>
          <w:rFonts w:asciiTheme="majorBidi" w:hAnsiTheme="majorBidi" w:cstheme="majorBidi"/>
          <w:sz w:val="24"/>
          <w:szCs w:val="24"/>
          <w:lang w:val="en-GB"/>
        </w:rPr>
        <w:t xml:space="preserve"> </w:t>
      </w:r>
      <w:r w:rsidR="004F251E" w:rsidRPr="001B3BA5">
        <w:rPr>
          <w:rFonts w:asciiTheme="majorBidi" w:hAnsiTheme="majorBidi" w:cstheme="majorBidi"/>
          <w:sz w:val="24"/>
          <w:szCs w:val="24"/>
          <w:lang w:val="en-GB"/>
        </w:rPr>
        <w:fldChar w:fldCharType="begin"/>
      </w:r>
      <w:r w:rsidR="004F251E" w:rsidRPr="001B3BA5">
        <w:rPr>
          <w:rFonts w:asciiTheme="majorBidi" w:hAnsiTheme="majorBidi" w:cstheme="majorBidi"/>
          <w:sz w:val="24"/>
          <w:szCs w:val="24"/>
          <w:lang w:val="en-GB"/>
        </w:rPr>
        <w:instrText xml:space="preserve"> ADDIN EN.CITE &lt;EndNote&gt;&lt;Cite&gt;&lt;Author&gt;Verkuyten&lt;/Author&gt;&lt;Year&gt;2017&lt;/Year&gt;&lt;RecNum&gt;1088&lt;/RecNum&gt;&lt;DisplayText&gt;(Verkuyten &amp;amp; Martinovic, 2017)&lt;/DisplayText&gt;&lt;record&gt;&lt;rec-number&gt;1088&lt;/rec-number&gt;&lt;foreign-keys&gt;&lt;key app="EN" db-id="es92r5v5dve2z0erx59pv50vtp29v0t9ef5f" timestamp="1507274941"&gt;1088&lt;/key&gt;&lt;key app="ENWeb" db-id=""&gt;0&lt;/key&gt;&lt;/foreign-keys&gt;&lt;ref-type name="Journal Article"&gt;17&lt;/ref-type&gt;&lt;contributors&gt;&lt;authors&gt;&lt;author&gt;Verkuyten, Maykel&lt;/author&gt;&lt;author&gt;Martinovic, Borja&lt;/author&gt;&lt;/authors&gt;&lt;/contributors&gt;&lt;auth-address&gt;Interdisciplinary Social Science/Ercomer, Utrecht University.&lt;/auth-address&gt;&lt;titles&gt;&lt;title&gt;Collective psychological ownership and intergroup relations&lt;/title&gt;&lt;secondary-title&gt;Perspectives on Psychological Science&lt;/secondary-title&gt;&lt;/titles&gt;&lt;periodical&gt;&lt;full-title&gt;Perspectives on Psychological Science&lt;/full-title&gt;&lt;/periodical&gt;&lt;pages&gt;1021-1039&lt;/pages&gt;&lt;volume&gt;12&lt;/volume&gt;&lt;number&gt;6&lt;/number&gt;&lt;keywords&gt;&lt;keyword&gt;culture/diversity&lt;/keyword&gt;&lt;keyword&gt;intergroup relations&lt;/keyword&gt;&lt;keyword&gt;intragroup processes&lt;/keyword&gt;&lt;keyword&gt;ownership&lt;/keyword&gt;&lt;/keywords&gt;&lt;dates&gt;&lt;year&gt;2017&lt;/year&gt;&lt;pub-dates&gt;&lt;date&gt;Sep 01&lt;/date&gt;&lt;/pub-dates&gt;&lt;/dates&gt;&lt;isbn&gt;1745-6924 (Electronic)&amp;#xD;1745-6916 (Linking)&lt;/isbn&gt;&lt;accession-num&gt;28937914&lt;/accession-num&gt;&lt;urls&gt;&lt;related-urls&gt;&lt;url&gt;&lt;style face="underline" font="default" size="100%"&gt;https://www.ncbi.nlm.nih.gov/pubmed/28937914&lt;/style&gt;&lt;/url&gt;&lt;/related-urls&gt;&lt;/urls&gt;&lt;electronic-resource-num&gt;10.1177/1745691617706514&lt;/electronic-resource-num&gt;&lt;/record&gt;&lt;/Cite&gt;&lt;/EndNote&gt;</w:instrText>
      </w:r>
      <w:r w:rsidR="004F251E" w:rsidRPr="001B3BA5">
        <w:rPr>
          <w:rFonts w:asciiTheme="majorBidi" w:hAnsiTheme="majorBidi" w:cstheme="majorBidi"/>
          <w:sz w:val="24"/>
          <w:szCs w:val="24"/>
          <w:lang w:val="en-GB"/>
        </w:rPr>
        <w:fldChar w:fldCharType="separate"/>
      </w:r>
      <w:r w:rsidR="004F251E" w:rsidRPr="001B3BA5">
        <w:rPr>
          <w:rFonts w:asciiTheme="majorBidi" w:hAnsiTheme="majorBidi" w:cstheme="majorBidi"/>
          <w:noProof/>
          <w:sz w:val="24"/>
          <w:szCs w:val="24"/>
          <w:lang w:val="en-GB"/>
        </w:rPr>
        <w:t>(Verkuyten &amp; Martinovic, 2017)</w:t>
      </w:r>
      <w:r w:rsidR="004F251E" w:rsidRPr="001B3BA5">
        <w:rPr>
          <w:rFonts w:asciiTheme="majorBidi" w:hAnsiTheme="majorBidi" w:cstheme="majorBidi"/>
          <w:sz w:val="24"/>
          <w:szCs w:val="24"/>
          <w:lang w:val="en-GB"/>
        </w:rPr>
        <w:fldChar w:fldCharType="end"/>
      </w:r>
      <w:r w:rsidR="00F622FF" w:rsidRPr="001B3BA5">
        <w:rPr>
          <w:rFonts w:asciiTheme="majorBidi" w:hAnsiTheme="majorBidi" w:cstheme="majorBidi"/>
          <w:sz w:val="24"/>
          <w:szCs w:val="24"/>
          <w:lang w:val="en-GB"/>
        </w:rPr>
        <w:t xml:space="preserve">. </w:t>
      </w:r>
      <w:r w:rsidR="000C7C73" w:rsidRPr="001B3BA5">
        <w:rPr>
          <w:rFonts w:asciiTheme="majorBidi" w:hAnsiTheme="majorBidi" w:cstheme="majorBidi"/>
          <w:sz w:val="24"/>
          <w:szCs w:val="24"/>
          <w:lang w:val="en-GB"/>
        </w:rPr>
        <w:t>Crucially</w:t>
      </w:r>
      <w:r w:rsidR="000E0C38" w:rsidRPr="001B3BA5">
        <w:rPr>
          <w:rFonts w:asciiTheme="majorBidi" w:hAnsiTheme="majorBidi" w:cstheme="majorBidi"/>
          <w:sz w:val="24"/>
          <w:szCs w:val="24"/>
          <w:lang w:val="en-GB"/>
        </w:rPr>
        <w:t xml:space="preserve">, </w:t>
      </w:r>
      <w:r w:rsidR="002452FD" w:rsidRPr="001B3BA5">
        <w:rPr>
          <w:rFonts w:asciiTheme="majorBidi" w:hAnsiTheme="majorBidi" w:cstheme="majorBidi"/>
          <w:sz w:val="24"/>
          <w:szCs w:val="24"/>
          <w:lang w:val="en-GB"/>
        </w:rPr>
        <w:t>people can also</w:t>
      </w:r>
      <w:r w:rsidR="00F85F30" w:rsidRPr="001B3BA5">
        <w:rPr>
          <w:rFonts w:asciiTheme="majorBidi" w:hAnsiTheme="majorBidi" w:cstheme="majorBidi"/>
          <w:sz w:val="24"/>
          <w:szCs w:val="24"/>
          <w:lang w:val="en-GB"/>
        </w:rPr>
        <w:t xml:space="preserve"> </w:t>
      </w:r>
      <w:r w:rsidR="00C87C44" w:rsidRPr="001B3BA5">
        <w:rPr>
          <w:rFonts w:asciiTheme="majorBidi" w:hAnsiTheme="majorBidi" w:cstheme="majorBidi"/>
          <w:sz w:val="24"/>
          <w:szCs w:val="24"/>
          <w:lang w:val="en-GB"/>
        </w:rPr>
        <w:t xml:space="preserve">perceive </w:t>
      </w:r>
      <w:r w:rsidR="00F85F30" w:rsidRPr="001B3BA5">
        <w:rPr>
          <w:rFonts w:asciiTheme="majorBidi" w:hAnsiTheme="majorBidi" w:cstheme="majorBidi"/>
          <w:sz w:val="24"/>
          <w:szCs w:val="24"/>
          <w:lang w:val="en-GB"/>
        </w:rPr>
        <w:t xml:space="preserve">collective </w:t>
      </w:r>
      <w:r w:rsidR="000E0C38" w:rsidRPr="001B3BA5">
        <w:rPr>
          <w:rFonts w:asciiTheme="majorBidi" w:hAnsiTheme="majorBidi" w:cstheme="majorBidi"/>
          <w:sz w:val="24"/>
          <w:szCs w:val="24"/>
          <w:lang w:val="en-GB"/>
        </w:rPr>
        <w:t>ownership of</w:t>
      </w:r>
      <w:r w:rsidR="00F85F30" w:rsidRPr="001B3BA5">
        <w:rPr>
          <w:rFonts w:asciiTheme="majorBidi" w:hAnsiTheme="majorBidi" w:cstheme="majorBidi"/>
          <w:sz w:val="24"/>
          <w:szCs w:val="24"/>
          <w:lang w:val="en-GB"/>
        </w:rPr>
        <w:t xml:space="preserve"> a country </w:t>
      </w:r>
      <w:r w:rsidR="00F85F30" w:rsidRPr="001B3BA5">
        <w:rPr>
          <w:rFonts w:asciiTheme="majorBidi" w:hAnsiTheme="majorBidi" w:cstheme="majorBidi"/>
          <w:sz w:val="24"/>
          <w:szCs w:val="24"/>
          <w:lang w:val="en-GB"/>
        </w:rPr>
        <w:fldChar w:fldCharType="begin">
          <w:fldData xml:space="preserve">PEVuZE5vdGU+PENpdGU+PEF1dGhvcj5WZXJrdXl0ZW48L0F1dGhvcj48WWVhcj4yMDE3PC9ZZWFy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</w:fldData>
        </w:fldChar>
      </w:r>
      <w:r w:rsidR="0056663E" w:rsidRPr="001B3BA5">
        <w:rPr>
          <w:rFonts w:asciiTheme="majorBidi" w:hAnsiTheme="majorBidi" w:cstheme="majorBidi"/>
          <w:sz w:val="24"/>
          <w:szCs w:val="24"/>
          <w:lang w:val="en-GB"/>
        </w:rPr>
        <w:instrText xml:space="preserve"> ADDIN EN.CITE </w:instrText>
      </w:r>
      <w:r w:rsidR="0056663E" w:rsidRPr="001B3BA5">
        <w:rPr>
          <w:rFonts w:asciiTheme="majorBidi" w:hAnsiTheme="majorBidi" w:cstheme="majorBidi"/>
          <w:sz w:val="24"/>
          <w:szCs w:val="24"/>
          <w:lang w:val="en-GB"/>
        </w:rPr>
        <w:fldChar w:fldCharType="begin">
          <w:fldData xml:space="preserve">PEVuZE5vdGU+PENpdGU+PEF1dGhvcj5WZXJrdXl0ZW48L0F1dGhvcj48WWVhcj4yMDE3PC9ZZWFy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</w:fldData>
        </w:fldChar>
      </w:r>
      <w:r w:rsidR="0056663E" w:rsidRPr="001B3BA5">
        <w:rPr>
          <w:rFonts w:asciiTheme="majorBidi" w:hAnsiTheme="majorBidi" w:cstheme="majorBidi"/>
          <w:sz w:val="24"/>
          <w:szCs w:val="24"/>
          <w:lang w:val="en-GB"/>
        </w:rPr>
        <w:instrText xml:space="preserve"> ADDIN EN.CITE.DATA </w:instrText>
      </w:r>
      <w:r w:rsidR="0056663E" w:rsidRPr="001B3BA5">
        <w:rPr>
          <w:rFonts w:asciiTheme="majorBidi" w:hAnsiTheme="majorBidi" w:cstheme="majorBidi"/>
          <w:sz w:val="24"/>
          <w:szCs w:val="24"/>
          <w:lang w:val="en-GB"/>
        </w:rPr>
      </w:r>
      <w:r w:rsidR="0056663E" w:rsidRPr="001B3BA5">
        <w:rPr>
          <w:rFonts w:asciiTheme="majorBidi" w:hAnsiTheme="majorBidi" w:cstheme="majorBidi"/>
          <w:sz w:val="24"/>
          <w:szCs w:val="24"/>
          <w:lang w:val="en-GB"/>
        </w:rPr>
        <w:fldChar w:fldCharType="end"/>
      </w:r>
      <w:r w:rsidR="00F85F30" w:rsidRPr="001B3BA5">
        <w:rPr>
          <w:rFonts w:asciiTheme="majorBidi" w:hAnsiTheme="majorBidi" w:cstheme="majorBidi"/>
          <w:sz w:val="24"/>
          <w:szCs w:val="24"/>
          <w:lang w:val="en-GB"/>
        </w:rPr>
      </w:r>
      <w:r w:rsidR="00F85F30" w:rsidRPr="001B3BA5">
        <w:rPr>
          <w:rFonts w:asciiTheme="majorBidi" w:hAnsiTheme="majorBidi" w:cstheme="majorBidi"/>
          <w:sz w:val="24"/>
          <w:szCs w:val="24"/>
          <w:lang w:val="en-GB"/>
        </w:rPr>
        <w:fldChar w:fldCharType="separate"/>
      </w:r>
      <w:r w:rsidR="00F85F30" w:rsidRPr="001B3BA5">
        <w:rPr>
          <w:rFonts w:asciiTheme="majorBidi" w:hAnsiTheme="majorBidi" w:cstheme="majorBidi"/>
          <w:noProof/>
          <w:sz w:val="24"/>
          <w:szCs w:val="24"/>
          <w:lang w:val="en-GB"/>
        </w:rPr>
        <w:t>(Brylka et al., 2015; Verkuyten &amp; Martinovic, 2017)</w:t>
      </w:r>
      <w:r w:rsidR="00F85F30" w:rsidRPr="001B3BA5">
        <w:rPr>
          <w:rFonts w:asciiTheme="majorBidi" w:hAnsiTheme="majorBidi" w:cstheme="majorBidi"/>
          <w:sz w:val="24"/>
          <w:szCs w:val="24"/>
          <w:lang w:val="en-GB"/>
        </w:rPr>
        <w:fldChar w:fldCharType="end"/>
      </w:r>
      <w:r w:rsidR="00F85F30" w:rsidRPr="001B3BA5">
        <w:rPr>
          <w:rFonts w:asciiTheme="majorBidi" w:hAnsiTheme="majorBidi" w:cstheme="majorBidi"/>
          <w:sz w:val="24"/>
          <w:szCs w:val="24"/>
          <w:lang w:val="en-GB"/>
        </w:rPr>
        <w:t xml:space="preserve">. Although legal regulations about historical sovereignty rights often </w:t>
      </w:r>
      <w:r w:rsidR="00AE51AE" w:rsidRPr="001B3BA5">
        <w:rPr>
          <w:rFonts w:asciiTheme="majorBidi" w:hAnsiTheme="majorBidi" w:cstheme="majorBidi"/>
          <w:sz w:val="24"/>
          <w:szCs w:val="24"/>
          <w:lang w:val="en-GB"/>
        </w:rPr>
        <w:t xml:space="preserve">serve as a basis for </w:t>
      </w:r>
      <w:r w:rsidR="00362F53" w:rsidRPr="001B3BA5">
        <w:rPr>
          <w:rFonts w:asciiTheme="majorBidi" w:hAnsiTheme="majorBidi" w:cstheme="majorBidi"/>
          <w:sz w:val="24"/>
          <w:szCs w:val="24"/>
          <w:lang w:val="en-GB"/>
        </w:rPr>
        <w:t xml:space="preserve">such </w:t>
      </w:r>
      <w:r w:rsidR="00F85F30" w:rsidRPr="001B3BA5">
        <w:rPr>
          <w:rFonts w:asciiTheme="majorBidi" w:hAnsiTheme="majorBidi" w:cstheme="majorBidi"/>
          <w:sz w:val="24"/>
          <w:szCs w:val="24"/>
          <w:lang w:val="en-GB"/>
        </w:rPr>
        <w:t xml:space="preserve">ownership claims </w:t>
      </w:r>
      <w:r w:rsidR="00F85F30" w:rsidRPr="001B3BA5">
        <w:rPr>
          <w:rFonts w:asciiTheme="majorBidi" w:hAnsiTheme="majorBidi" w:cstheme="majorBidi"/>
          <w:sz w:val="24"/>
          <w:szCs w:val="24"/>
          <w:lang w:val="en-GB"/>
        </w:rPr>
        <w:fldChar w:fldCharType="begin"/>
      </w:r>
      <w:r w:rsidR="003B09F8" w:rsidRPr="001B3BA5">
        <w:rPr>
          <w:rFonts w:asciiTheme="majorBidi" w:hAnsiTheme="majorBidi" w:cstheme="majorBidi"/>
          <w:sz w:val="24"/>
          <w:szCs w:val="24"/>
          <w:lang w:val="en-GB"/>
        </w:rPr>
        <w:instrText xml:space="preserve"> ADDIN EN.CITE &lt;EndNote&gt;&lt;Cite&gt;&lt;Author&gt;Gans&lt;/Author&gt;&lt;Year&gt;2001&lt;/Year&gt;&lt;RecNum&gt;1249&lt;/RecNum&gt;&lt;DisplayText&gt;(Gans, 2001)&lt;/DisplayText&gt;&lt;record&gt;&lt;rec-number&gt;1249&lt;/rec-number&gt;&lt;foreign-keys&gt;&lt;key app="EN" db-id="es92r5v5dve2z0erx59pv50vtp29v0t9ef5f" timestamp="1527680057"&gt;1249&lt;/key&gt;&lt;/foreign-keys&gt;&lt;ref-type name="Journal Article"&gt;17&lt;/ref-type&gt;&lt;contributors&gt;&lt;authors&gt;&lt;author&gt;Gans, Chaim&lt;/author&gt;&lt;/authors&gt;&lt;/contributors&gt;&lt;titles&gt;&lt;title&gt;Historical rights: The evaluation of nationalist claims to sovereignty&lt;/title&gt;&lt;secondary-title&gt;Political Theory&lt;/secondary-title&gt;&lt;/titles&gt;&lt;periodical&gt;&lt;full-title&gt;Political Theory&lt;/full-title&gt;&lt;/periodical&gt;&lt;pages&gt;58-79&lt;/pages&gt;&lt;volume&gt;29&lt;/volume&gt;&lt;number&gt;1&lt;/number&gt;&lt;dates&gt;&lt;year&gt;2001&lt;/year&gt;&lt;/dates&gt;&lt;isbn&gt;0090-5917&lt;/isbn&gt;&lt;urls&gt;&lt;/urls&gt;&lt;electronic-resource-num&gt;10.1177/0090591701029001004&lt;/electronic-resource-num&gt;&lt;/record&gt;&lt;/Cite&gt;&lt;/EndNote&gt;</w:instrText>
      </w:r>
      <w:r w:rsidR="00F85F30" w:rsidRPr="001B3BA5">
        <w:rPr>
          <w:rFonts w:asciiTheme="majorBidi" w:hAnsiTheme="majorBidi" w:cstheme="majorBidi"/>
          <w:sz w:val="24"/>
          <w:szCs w:val="24"/>
          <w:lang w:val="en-GB"/>
        </w:rPr>
        <w:fldChar w:fldCharType="separate"/>
      </w:r>
      <w:r w:rsidR="00F85F30" w:rsidRPr="001B3BA5">
        <w:rPr>
          <w:rFonts w:asciiTheme="majorBidi" w:hAnsiTheme="majorBidi" w:cstheme="majorBidi"/>
          <w:noProof/>
          <w:sz w:val="24"/>
          <w:szCs w:val="24"/>
          <w:lang w:val="en-GB"/>
        </w:rPr>
        <w:t>(Gans, 2001)</w:t>
      </w:r>
      <w:r w:rsidR="00F85F30" w:rsidRPr="001B3BA5">
        <w:rPr>
          <w:rFonts w:asciiTheme="majorBidi" w:hAnsiTheme="majorBidi" w:cstheme="majorBidi"/>
          <w:sz w:val="24"/>
          <w:szCs w:val="24"/>
          <w:lang w:val="en-GB"/>
        </w:rPr>
        <w:fldChar w:fldCharType="end"/>
      </w:r>
      <w:r w:rsidR="00F85F30" w:rsidRPr="001B3BA5">
        <w:rPr>
          <w:rFonts w:asciiTheme="majorBidi" w:hAnsiTheme="majorBidi" w:cstheme="majorBidi"/>
          <w:sz w:val="24"/>
          <w:szCs w:val="24"/>
          <w:lang w:val="en-GB"/>
        </w:rPr>
        <w:t xml:space="preserve">, perceptions of </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our</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 xml:space="preserve"> country can exist independent</w:t>
      </w:r>
      <w:r w:rsidR="00362F53" w:rsidRPr="001B3BA5">
        <w:rPr>
          <w:rFonts w:asciiTheme="majorBidi" w:hAnsiTheme="majorBidi" w:cstheme="majorBidi"/>
          <w:sz w:val="24"/>
          <w:szCs w:val="24"/>
          <w:lang w:val="en-GB"/>
        </w:rPr>
        <w:t>ly</w:t>
      </w:r>
      <w:r w:rsidR="00F85F30" w:rsidRPr="001B3BA5">
        <w:rPr>
          <w:rFonts w:asciiTheme="majorBidi" w:hAnsiTheme="majorBidi" w:cstheme="majorBidi"/>
          <w:sz w:val="24"/>
          <w:szCs w:val="24"/>
          <w:lang w:val="en-GB"/>
        </w:rPr>
        <w:t xml:space="preserve"> of legal regulations.</w:t>
      </w:r>
      <w:r w:rsidR="00F622FF" w:rsidRPr="001B3BA5">
        <w:rPr>
          <w:rFonts w:asciiTheme="majorBidi" w:hAnsiTheme="majorBidi" w:cstheme="majorBidi"/>
          <w:sz w:val="24"/>
          <w:szCs w:val="24"/>
          <w:lang w:val="en-GB"/>
        </w:rPr>
        <w:t xml:space="preserve"> </w:t>
      </w:r>
      <w:r w:rsidR="009366FA" w:rsidRPr="001B3BA5">
        <w:rPr>
          <w:rFonts w:asciiTheme="majorBidi" w:hAnsiTheme="majorBidi" w:cstheme="majorBidi"/>
          <w:sz w:val="24"/>
          <w:szCs w:val="24"/>
          <w:lang w:val="en-GB"/>
        </w:rPr>
        <w:t xml:space="preserve">These perceptions are expected to be </w:t>
      </w:r>
      <w:r w:rsidR="005C3D1E">
        <w:rPr>
          <w:rFonts w:asciiTheme="majorBidi" w:hAnsiTheme="majorBidi" w:cstheme="majorBidi"/>
          <w:sz w:val="24"/>
          <w:szCs w:val="24"/>
          <w:lang w:val="en-GB"/>
        </w:rPr>
        <w:t>relatively</w:t>
      </w:r>
      <w:r w:rsidR="009366FA" w:rsidRPr="001B3BA5">
        <w:rPr>
          <w:rFonts w:asciiTheme="majorBidi" w:hAnsiTheme="majorBidi" w:cstheme="majorBidi"/>
          <w:sz w:val="24"/>
          <w:szCs w:val="24"/>
          <w:lang w:val="en-GB"/>
        </w:rPr>
        <w:t xml:space="preserve"> stable individual </w:t>
      </w:r>
      <w:r w:rsidR="00B30B87">
        <w:rPr>
          <w:rFonts w:asciiTheme="majorBidi" w:hAnsiTheme="majorBidi" w:cstheme="majorBidi"/>
          <w:sz w:val="24"/>
          <w:szCs w:val="24"/>
          <w:lang w:val="en-GB"/>
        </w:rPr>
        <w:t>dispositions</w:t>
      </w:r>
      <w:r w:rsidR="009366FA" w:rsidRPr="001B3BA5">
        <w:rPr>
          <w:rFonts w:asciiTheme="majorBidi" w:hAnsiTheme="majorBidi" w:cstheme="majorBidi"/>
          <w:sz w:val="24"/>
          <w:szCs w:val="24"/>
          <w:lang w:val="en-GB"/>
        </w:rPr>
        <w:t>, as some individuals have stronger general tendencies to experience ownership</w:t>
      </w:r>
      <w:r w:rsidR="00315E7D" w:rsidRPr="001B3BA5">
        <w:rPr>
          <w:rFonts w:asciiTheme="majorBidi" w:hAnsiTheme="majorBidi" w:cstheme="majorBidi"/>
          <w:sz w:val="24"/>
          <w:szCs w:val="24"/>
          <w:lang w:val="en-GB"/>
        </w:rPr>
        <w:t xml:space="preserve"> than others</w:t>
      </w:r>
      <w:r w:rsidR="009366FA" w:rsidRPr="001B3BA5">
        <w:rPr>
          <w:rFonts w:asciiTheme="majorBidi" w:hAnsiTheme="majorBidi" w:cstheme="majorBidi"/>
          <w:sz w:val="24"/>
          <w:szCs w:val="24"/>
          <w:lang w:val="en-GB"/>
        </w:rPr>
        <w:t xml:space="preserve"> </w:t>
      </w:r>
      <w:r w:rsidR="009366FA" w:rsidRPr="001B3BA5">
        <w:rPr>
          <w:rFonts w:asciiTheme="majorBidi" w:hAnsiTheme="majorBidi" w:cstheme="majorBidi"/>
          <w:sz w:val="24"/>
          <w:szCs w:val="24"/>
          <w:lang w:val="en-GB"/>
        </w:rPr>
        <w:fldChar w:fldCharType="begin"/>
      </w:r>
      <w:r w:rsidR="009366FA" w:rsidRPr="001B3BA5">
        <w:rPr>
          <w:rFonts w:asciiTheme="majorBidi" w:hAnsiTheme="majorBidi" w:cstheme="majorBidi"/>
          <w:sz w:val="24"/>
          <w:szCs w:val="24"/>
          <w:lang w:val="en-GB"/>
        </w:rPr>
        <w:instrText xml:space="preserve"> ADDIN EN.CITE &lt;EndNote&gt;&lt;Cite&gt;&lt;Author&gt;Pierce&lt;/Author&gt;&lt;Year&gt;2003&lt;/Year&gt;&lt;RecNum&gt;1601&lt;/RecNum&gt;&lt;DisplayText&gt;(Pierce, Kostova, &amp;amp; Dirks, 2003)&lt;/DisplayText&gt;&lt;record&gt;&lt;rec-number&gt;1601&lt;/rec-number&gt;&lt;foreign-keys&gt;&lt;key app="EN" db-id="es92r5v5dve2z0erx59pv50vtp29v0t9ef5f" timestamp="1585138157"&gt;1601&lt;/key&gt;&lt;key app="ENWeb" db-id=""&gt;0&lt;/key&gt;&lt;/foreign-keys&gt;&lt;ref-type name="Journal Article"&gt;17&lt;/ref-type&gt;&lt;contributors&gt;&lt;authors&gt;&lt;author&gt;Pierce, Jon L.&lt;/author&gt;&lt;author&gt;Kostova, Tatiana&lt;/author&gt;&lt;author&gt;Dirks, Kurt T.&lt;/author&gt;&lt;/authors&gt;&lt;/contributors&gt;&lt;titles&gt;&lt;title&gt;The state of psychological ownership: Integrating and extending a century of research&lt;/title&gt;&lt;secondary-title&gt;Review of General Psychology&lt;/secondary-title&gt;&lt;/titles&gt;&lt;periodical&gt;&lt;full-title&gt;Review of General Psychology&lt;/full-title&gt;&lt;/periodical&gt;&lt;pages&gt;84-107&lt;/pages&gt;&lt;volume&gt;7&lt;/volume&gt;&lt;number&gt;1&lt;/number&gt;&lt;dates&gt;&lt;year&gt;2003&lt;/year&gt;&lt;/dates&gt;&lt;isbn&gt;1089-2680&amp;#xD;1939-1552&lt;/isbn&gt;&lt;urls&gt;&lt;/urls&gt;&lt;electronic-resource-num&gt;10.1037/1089-2680.7.1.84&lt;/electronic-resource-num&gt;&lt;/record&gt;&lt;/Cite&gt;&lt;/EndNote&gt;</w:instrText>
      </w:r>
      <w:r w:rsidR="009366FA" w:rsidRPr="001B3BA5">
        <w:rPr>
          <w:rFonts w:asciiTheme="majorBidi" w:hAnsiTheme="majorBidi" w:cstheme="majorBidi"/>
          <w:sz w:val="24"/>
          <w:szCs w:val="24"/>
          <w:lang w:val="en-GB"/>
        </w:rPr>
        <w:fldChar w:fldCharType="separate"/>
      </w:r>
      <w:r w:rsidR="009366FA" w:rsidRPr="001B3BA5">
        <w:rPr>
          <w:rFonts w:asciiTheme="majorBidi" w:hAnsiTheme="majorBidi" w:cstheme="majorBidi"/>
          <w:noProof/>
          <w:sz w:val="24"/>
          <w:szCs w:val="24"/>
          <w:lang w:val="en-GB"/>
        </w:rPr>
        <w:t>(Pierce, Kostova, &amp; Dirks, 2003)</w:t>
      </w:r>
      <w:r w:rsidR="009366FA" w:rsidRPr="001B3BA5">
        <w:rPr>
          <w:rFonts w:asciiTheme="majorBidi" w:hAnsiTheme="majorBidi" w:cstheme="majorBidi"/>
          <w:sz w:val="24"/>
          <w:szCs w:val="24"/>
          <w:lang w:val="en-GB"/>
        </w:rPr>
        <w:fldChar w:fldCharType="end"/>
      </w:r>
      <w:r w:rsidR="009366FA" w:rsidRPr="001B3BA5">
        <w:rPr>
          <w:rFonts w:asciiTheme="majorBidi" w:hAnsiTheme="majorBidi" w:cstheme="majorBidi"/>
          <w:sz w:val="24"/>
          <w:szCs w:val="24"/>
          <w:lang w:val="en-GB"/>
        </w:rPr>
        <w:t>.</w:t>
      </w:r>
    </w:p>
    <w:p w14:paraId="1CB8E64B" w14:textId="5F0BE4F2" w:rsidR="00CE342C" w:rsidRPr="001B3BA5" w:rsidRDefault="006210F1">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Given that o</w:t>
      </w:r>
      <w:r w:rsidR="00116B70" w:rsidRPr="001B3BA5">
        <w:rPr>
          <w:rFonts w:asciiTheme="majorBidi" w:hAnsiTheme="majorBidi" w:cstheme="majorBidi"/>
          <w:sz w:val="24"/>
          <w:szCs w:val="24"/>
          <w:lang w:val="en-GB"/>
        </w:rPr>
        <w:t>wnership rhetoric</w:t>
      </w:r>
      <w:r w:rsidR="001A3451" w:rsidRPr="001B3BA5">
        <w:rPr>
          <w:rFonts w:asciiTheme="majorBidi" w:hAnsiTheme="majorBidi" w:cstheme="majorBidi"/>
          <w:sz w:val="24"/>
          <w:szCs w:val="24"/>
          <w:lang w:val="en-GB"/>
        </w:rPr>
        <w:t xml:space="preserve"> is</w:t>
      </w:r>
      <w:r w:rsidR="00CE342C" w:rsidRPr="001B3BA5">
        <w:rPr>
          <w:rFonts w:asciiTheme="majorBidi" w:hAnsiTheme="majorBidi" w:cstheme="majorBidi"/>
          <w:sz w:val="24"/>
          <w:szCs w:val="24"/>
          <w:lang w:val="en-GB"/>
        </w:rPr>
        <w:t xml:space="preserve"> </w:t>
      </w:r>
      <w:r w:rsidR="002452FD" w:rsidRPr="001B3BA5">
        <w:rPr>
          <w:rFonts w:asciiTheme="majorBidi" w:hAnsiTheme="majorBidi" w:cstheme="majorBidi"/>
          <w:sz w:val="24"/>
          <w:szCs w:val="24"/>
          <w:lang w:val="en-GB"/>
        </w:rPr>
        <w:t>frequently</w:t>
      </w:r>
      <w:r w:rsidR="00A76E98" w:rsidRPr="001B3BA5">
        <w:rPr>
          <w:rFonts w:asciiTheme="majorBidi" w:hAnsiTheme="majorBidi" w:cstheme="majorBidi"/>
          <w:sz w:val="24"/>
          <w:szCs w:val="24"/>
          <w:lang w:val="en-GB"/>
        </w:rPr>
        <w:t xml:space="preserve"> </w:t>
      </w:r>
      <w:r w:rsidR="000C7C73" w:rsidRPr="001B3BA5">
        <w:rPr>
          <w:rFonts w:asciiTheme="majorBidi" w:hAnsiTheme="majorBidi" w:cstheme="majorBidi"/>
          <w:sz w:val="24"/>
          <w:szCs w:val="24"/>
          <w:lang w:val="en-GB"/>
        </w:rPr>
        <w:t xml:space="preserve">implemented </w:t>
      </w:r>
      <w:r w:rsidR="00CE342C" w:rsidRPr="001B3BA5">
        <w:rPr>
          <w:rFonts w:asciiTheme="majorBidi" w:hAnsiTheme="majorBidi" w:cstheme="majorBidi"/>
          <w:sz w:val="24"/>
          <w:szCs w:val="24"/>
          <w:lang w:val="en-GB"/>
        </w:rPr>
        <w:t>by</w:t>
      </w:r>
      <w:r w:rsidR="001A3451" w:rsidRPr="001B3BA5">
        <w:rPr>
          <w:rFonts w:asciiTheme="majorBidi" w:hAnsiTheme="majorBidi" w:cstheme="majorBidi"/>
          <w:sz w:val="24"/>
          <w:szCs w:val="24"/>
          <w:lang w:val="en-GB"/>
        </w:rPr>
        <w:t xml:space="preserve"> right-wing</w:t>
      </w:r>
      <w:r w:rsidR="00CE342C" w:rsidRPr="001B3BA5">
        <w:rPr>
          <w:rFonts w:asciiTheme="majorBidi" w:hAnsiTheme="majorBidi" w:cstheme="majorBidi"/>
          <w:sz w:val="24"/>
          <w:szCs w:val="24"/>
          <w:lang w:val="en-GB"/>
        </w:rPr>
        <w:t xml:space="preserve"> populist politicians</w:t>
      </w:r>
      <w:r w:rsidRPr="001B3BA5">
        <w:rPr>
          <w:rFonts w:asciiTheme="majorBidi" w:hAnsiTheme="majorBidi" w:cstheme="majorBidi"/>
          <w:sz w:val="24"/>
          <w:szCs w:val="24"/>
          <w:lang w:val="en-GB"/>
        </w:rPr>
        <w:t xml:space="preserve">, </w:t>
      </w:r>
      <w:r w:rsidR="00B41B02" w:rsidRPr="001B3BA5">
        <w:rPr>
          <w:rFonts w:asciiTheme="majorBidi" w:hAnsiTheme="majorBidi" w:cstheme="majorBidi"/>
          <w:sz w:val="24"/>
          <w:szCs w:val="24"/>
          <w:lang w:val="en-GB"/>
        </w:rPr>
        <w:t>CPO</w:t>
      </w:r>
      <w:r w:rsidR="001A3451" w:rsidRPr="001B3BA5">
        <w:rPr>
          <w:rFonts w:asciiTheme="majorBidi" w:hAnsiTheme="majorBidi" w:cstheme="majorBidi"/>
          <w:sz w:val="24"/>
          <w:szCs w:val="24"/>
          <w:lang w:val="en-GB"/>
        </w:rPr>
        <w:t xml:space="preserve"> may</w:t>
      </w:r>
      <w:r w:rsidR="00CE342C" w:rsidRPr="001B3BA5">
        <w:rPr>
          <w:rFonts w:asciiTheme="majorBidi" w:hAnsiTheme="majorBidi" w:cstheme="majorBidi"/>
          <w:sz w:val="24"/>
          <w:szCs w:val="24"/>
          <w:lang w:val="en-GB"/>
        </w:rPr>
        <w:t xml:space="preserve"> hel</w:t>
      </w:r>
      <w:r w:rsidR="00D41CB7" w:rsidRPr="001B3BA5">
        <w:rPr>
          <w:rFonts w:asciiTheme="majorBidi" w:hAnsiTheme="majorBidi" w:cstheme="majorBidi"/>
          <w:sz w:val="24"/>
          <w:szCs w:val="24"/>
          <w:lang w:val="en-GB"/>
        </w:rPr>
        <w:t xml:space="preserve">p </w:t>
      </w:r>
      <w:r w:rsidR="00466A8D" w:rsidRPr="001B3BA5">
        <w:rPr>
          <w:rFonts w:asciiTheme="majorBidi" w:hAnsiTheme="majorBidi" w:cstheme="majorBidi"/>
          <w:sz w:val="24"/>
          <w:szCs w:val="24"/>
          <w:lang w:val="en-GB"/>
        </w:rPr>
        <w:t xml:space="preserve">to explain the attractiveness of </w:t>
      </w:r>
      <w:r w:rsidR="008405C2" w:rsidRPr="001B3BA5">
        <w:rPr>
          <w:rFonts w:asciiTheme="majorBidi" w:hAnsiTheme="majorBidi" w:cstheme="majorBidi"/>
          <w:sz w:val="24"/>
          <w:szCs w:val="24"/>
          <w:lang w:val="en-GB"/>
        </w:rPr>
        <w:t>right</w:t>
      </w:r>
      <w:r w:rsidR="00596C28" w:rsidRPr="001B3BA5">
        <w:rPr>
          <w:rFonts w:asciiTheme="majorBidi" w:hAnsiTheme="majorBidi" w:cstheme="majorBidi"/>
          <w:sz w:val="24"/>
          <w:szCs w:val="24"/>
          <w:lang w:val="en-GB"/>
        </w:rPr>
        <w:t>-wing</w:t>
      </w:r>
      <w:r w:rsidR="008405C2" w:rsidRPr="001B3BA5">
        <w:rPr>
          <w:rFonts w:asciiTheme="majorBidi" w:hAnsiTheme="majorBidi" w:cstheme="majorBidi"/>
          <w:sz w:val="24"/>
          <w:szCs w:val="24"/>
          <w:lang w:val="en-GB"/>
        </w:rPr>
        <w:t xml:space="preserve"> </w:t>
      </w:r>
      <w:r w:rsidR="00D41CB7" w:rsidRPr="001B3BA5">
        <w:rPr>
          <w:rFonts w:asciiTheme="majorBidi" w:hAnsiTheme="majorBidi" w:cstheme="majorBidi"/>
          <w:sz w:val="24"/>
          <w:szCs w:val="24"/>
          <w:lang w:val="en-GB"/>
        </w:rPr>
        <w:t xml:space="preserve">populist </w:t>
      </w:r>
      <w:r w:rsidR="00466A8D" w:rsidRPr="001B3BA5">
        <w:rPr>
          <w:rFonts w:asciiTheme="majorBidi" w:hAnsiTheme="majorBidi" w:cstheme="majorBidi"/>
          <w:sz w:val="24"/>
          <w:szCs w:val="24"/>
          <w:lang w:val="en-GB"/>
        </w:rPr>
        <w:t>messages</w:t>
      </w:r>
      <w:r w:rsidR="00D41CB7" w:rsidRPr="001B3BA5">
        <w:rPr>
          <w:rFonts w:asciiTheme="majorBidi" w:hAnsiTheme="majorBidi" w:cstheme="majorBidi"/>
          <w:sz w:val="24"/>
          <w:szCs w:val="24"/>
          <w:lang w:val="en-GB"/>
        </w:rPr>
        <w:t>.</w:t>
      </w:r>
      <w:r w:rsidR="00A76E98" w:rsidRPr="001B3BA5">
        <w:rPr>
          <w:rFonts w:asciiTheme="majorBidi" w:hAnsiTheme="majorBidi" w:cstheme="majorBidi"/>
          <w:sz w:val="24"/>
          <w:szCs w:val="24"/>
          <w:lang w:val="en-GB"/>
        </w:rPr>
        <w:t xml:space="preserve"> </w:t>
      </w:r>
      <w:r w:rsidR="007A0B43" w:rsidRPr="001B3BA5">
        <w:rPr>
          <w:rFonts w:asciiTheme="majorBidi" w:hAnsiTheme="majorBidi" w:cstheme="majorBidi"/>
          <w:sz w:val="24"/>
          <w:szCs w:val="24"/>
          <w:lang w:val="en-GB"/>
        </w:rPr>
        <w:t>Right-wing p</w:t>
      </w:r>
      <w:r w:rsidR="00A76E98" w:rsidRPr="001B3BA5">
        <w:rPr>
          <w:rFonts w:asciiTheme="majorBidi" w:hAnsiTheme="majorBidi" w:cstheme="majorBidi"/>
          <w:sz w:val="24"/>
          <w:szCs w:val="24"/>
          <w:lang w:val="en-GB"/>
        </w:rPr>
        <w:t xml:space="preserve">opulism is an ideology defined by </w:t>
      </w:r>
      <w:r w:rsidR="004E5090" w:rsidRPr="001B3BA5">
        <w:rPr>
          <w:rFonts w:asciiTheme="majorBidi" w:hAnsiTheme="majorBidi" w:cstheme="majorBidi"/>
          <w:sz w:val="24"/>
          <w:szCs w:val="24"/>
          <w:lang w:val="en-GB"/>
        </w:rPr>
        <w:t xml:space="preserve">a </w:t>
      </w:r>
      <w:r w:rsidR="00A87807" w:rsidRPr="001B3BA5">
        <w:rPr>
          <w:rFonts w:asciiTheme="majorBidi" w:hAnsiTheme="majorBidi" w:cstheme="majorBidi"/>
          <w:sz w:val="24"/>
          <w:szCs w:val="24"/>
          <w:lang w:val="en-GB"/>
        </w:rPr>
        <w:t xml:space="preserve">(1) </w:t>
      </w:r>
      <w:r w:rsidR="004E5090" w:rsidRPr="001B3BA5">
        <w:rPr>
          <w:rFonts w:asciiTheme="majorBidi" w:hAnsiTheme="majorBidi" w:cstheme="majorBidi"/>
          <w:sz w:val="24"/>
          <w:szCs w:val="24"/>
          <w:lang w:val="en-GB"/>
        </w:rPr>
        <w:t>vertical</w:t>
      </w:r>
      <w:r w:rsidR="00A76E98"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00A76E98" w:rsidRPr="001B3BA5">
        <w:rPr>
          <w:rFonts w:asciiTheme="majorBidi" w:hAnsiTheme="majorBidi" w:cstheme="majorBidi"/>
          <w:sz w:val="24"/>
          <w:szCs w:val="24"/>
          <w:lang w:val="en-GB"/>
        </w:rPr>
        <w:t>us-them</w:t>
      </w:r>
      <w:r w:rsidR="00B146E8" w:rsidRPr="001B3BA5">
        <w:rPr>
          <w:rFonts w:asciiTheme="majorBidi" w:hAnsiTheme="majorBidi" w:cstheme="majorBidi"/>
          <w:sz w:val="24"/>
          <w:szCs w:val="24"/>
          <w:lang w:val="en-GB"/>
        </w:rPr>
        <w:t>’</w:t>
      </w:r>
      <w:r w:rsidR="00A76E98" w:rsidRPr="001B3BA5">
        <w:rPr>
          <w:rFonts w:asciiTheme="majorBidi" w:hAnsiTheme="majorBidi" w:cstheme="majorBidi"/>
          <w:sz w:val="24"/>
          <w:szCs w:val="24"/>
          <w:lang w:val="en-GB"/>
        </w:rPr>
        <w:t xml:space="preserve"> distinction between </w:t>
      </w:r>
      <w:r w:rsidR="00B146E8" w:rsidRPr="001B3BA5">
        <w:rPr>
          <w:rFonts w:asciiTheme="majorBidi" w:hAnsiTheme="majorBidi" w:cstheme="majorBidi"/>
          <w:sz w:val="24"/>
          <w:szCs w:val="24"/>
          <w:lang w:val="en-GB"/>
        </w:rPr>
        <w:t>‘</w:t>
      </w:r>
      <w:r w:rsidR="00A76E98" w:rsidRPr="001B3BA5">
        <w:rPr>
          <w:rFonts w:asciiTheme="majorBidi" w:hAnsiTheme="majorBidi" w:cstheme="majorBidi"/>
          <w:sz w:val="24"/>
          <w:szCs w:val="24"/>
          <w:lang w:val="en-GB"/>
        </w:rPr>
        <w:t>the pure people</w:t>
      </w:r>
      <w:r w:rsidR="00B146E8" w:rsidRPr="001B3BA5">
        <w:rPr>
          <w:rFonts w:asciiTheme="majorBidi" w:hAnsiTheme="majorBidi" w:cstheme="majorBidi"/>
          <w:sz w:val="24"/>
          <w:szCs w:val="24"/>
          <w:lang w:val="en-GB"/>
        </w:rPr>
        <w:t>’</w:t>
      </w:r>
      <w:r w:rsidR="00A76E98" w:rsidRPr="001B3BA5">
        <w:rPr>
          <w:rFonts w:asciiTheme="majorBidi" w:hAnsiTheme="majorBidi" w:cstheme="majorBidi"/>
          <w:sz w:val="24"/>
          <w:szCs w:val="24"/>
          <w:lang w:val="en-GB"/>
        </w:rPr>
        <w:t xml:space="preserve"> and </w:t>
      </w:r>
      <w:r w:rsidR="00B146E8" w:rsidRPr="001B3BA5">
        <w:rPr>
          <w:rFonts w:asciiTheme="majorBidi" w:hAnsiTheme="majorBidi" w:cstheme="majorBidi"/>
          <w:sz w:val="24"/>
          <w:szCs w:val="24"/>
          <w:lang w:val="en-GB"/>
        </w:rPr>
        <w:t>‘</w:t>
      </w:r>
      <w:r w:rsidR="00C74BD1" w:rsidRPr="001B3BA5">
        <w:rPr>
          <w:rFonts w:asciiTheme="majorBidi" w:hAnsiTheme="majorBidi" w:cstheme="majorBidi"/>
          <w:sz w:val="24"/>
          <w:szCs w:val="24"/>
          <w:lang w:val="en-GB"/>
        </w:rPr>
        <w:t xml:space="preserve">the </w:t>
      </w:r>
      <w:r w:rsidR="00A76E98" w:rsidRPr="001B3BA5">
        <w:rPr>
          <w:rFonts w:asciiTheme="majorBidi" w:hAnsiTheme="majorBidi" w:cstheme="majorBidi"/>
          <w:sz w:val="24"/>
          <w:szCs w:val="24"/>
          <w:lang w:val="en-GB"/>
        </w:rPr>
        <w:t>corrupt elite</w:t>
      </w:r>
      <w:r w:rsidR="00B146E8" w:rsidRPr="001B3BA5">
        <w:rPr>
          <w:rFonts w:asciiTheme="majorBidi" w:hAnsiTheme="majorBidi" w:cstheme="majorBidi"/>
          <w:sz w:val="24"/>
          <w:szCs w:val="24"/>
          <w:lang w:val="en-GB"/>
        </w:rPr>
        <w:t>’</w:t>
      </w:r>
      <w:r w:rsidR="0082586B" w:rsidRPr="001B3BA5">
        <w:rPr>
          <w:rFonts w:asciiTheme="majorBidi" w:hAnsiTheme="majorBidi" w:cstheme="majorBidi"/>
          <w:sz w:val="24"/>
          <w:szCs w:val="24"/>
          <w:lang w:val="en-GB"/>
        </w:rPr>
        <w:t xml:space="preserve"> </w:t>
      </w:r>
      <w:r w:rsidR="000742E5" w:rsidRPr="001B3BA5">
        <w:rPr>
          <w:rFonts w:asciiTheme="majorBidi" w:hAnsiTheme="majorBidi" w:cstheme="majorBidi"/>
          <w:sz w:val="24"/>
          <w:szCs w:val="24"/>
          <w:lang w:val="en-GB"/>
        </w:rPr>
        <w:fldChar w:fldCharType="begin"/>
      </w:r>
      <w:r w:rsidR="003068D3" w:rsidRPr="001B3BA5">
        <w:rPr>
          <w:rFonts w:asciiTheme="majorBidi" w:hAnsiTheme="majorBidi" w:cstheme="majorBidi"/>
          <w:sz w:val="24"/>
          <w:szCs w:val="24"/>
          <w:lang w:val="en-GB"/>
        </w:rPr>
        <w:instrText xml:space="preserve"> ADDIN EN.CITE &lt;EndNote&gt;&lt;Cite&gt;&lt;Author&gt;Mudde&lt;/Author&gt;&lt;Year&gt;2007&lt;/Year&gt;&lt;RecNum&gt;532&lt;/RecNum&gt;&lt;DisplayText&gt;(Mudde, 2007)&lt;/DisplayText&gt;&lt;record&gt;&lt;rec-number&gt;532&lt;/rec-number&gt;&lt;foreign-keys&gt;&lt;key app="EN" db-id="es92r5v5dve2z0erx59pv50vtp29v0t9ef5f" timestamp="0"&gt;532&lt;/key&gt;&lt;/foreign-keys&gt;&lt;ref-type name="Book"&gt;6&lt;/ref-type&gt;&lt;contributors&gt;&lt;authors&gt;&lt;author&gt;Mudde, Cas&lt;/author&gt;&lt;/authors&gt;&lt;/contributors&gt;&lt;titles&gt;&lt;title&gt;Populist radical right parties in Europe&lt;/title&gt;&lt;/titles&gt;&lt;volume&gt;22&lt;/volume&gt;&lt;number&gt;8&lt;/number&gt;&lt;dates&gt;&lt;year&gt;2007&lt;/year&gt;&lt;/dates&gt;&lt;pub-location&gt;Cambridge, UK&lt;/pub-location&gt;&lt;publisher&gt;Cambridge University Press&lt;/publisher&gt;&lt;urls&gt;&lt;/urls&gt;&lt;/record&gt;&lt;/Cite&gt;&lt;/EndNote&gt;</w:instrText>
      </w:r>
      <w:r w:rsidR="000742E5" w:rsidRPr="001B3BA5">
        <w:rPr>
          <w:rFonts w:asciiTheme="majorBidi" w:hAnsiTheme="majorBidi" w:cstheme="majorBidi"/>
          <w:sz w:val="24"/>
          <w:szCs w:val="24"/>
          <w:lang w:val="en-GB"/>
        </w:rPr>
        <w:fldChar w:fldCharType="separate"/>
      </w:r>
      <w:r w:rsidR="003068D3" w:rsidRPr="001B3BA5">
        <w:rPr>
          <w:rFonts w:asciiTheme="majorBidi" w:hAnsiTheme="majorBidi" w:cstheme="majorBidi"/>
          <w:noProof/>
          <w:sz w:val="24"/>
          <w:szCs w:val="24"/>
          <w:lang w:val="en-GB"/>
        </w:rPr>
        <w:t>(Mudde, 2007)</w:t>
      </w:r>
      <w:r w:rsidR="000742E5" w:rsidRPr="001B3BA5">
        <w:rPr>
          <w:rFonts w:asciiTheme="majorBidi" w:hAnsiTheme="majorBidi" w:cstheme="majorBidi"/>
          <w:sz w:val="24"/>
          <w:szCs w:val="24"/>
          <w:lang w:val="en-GB"/>
        </w:rPr>
        <w:fldChar w:fldCharType="end"/>
      </w:r>
      <w:r w:rsidR="006C3F86" w:rsidRPr="001B3BA5">
        <w:rPr>
          <w:rFonts w:asciiTheme="majorBidi" w:hAnsiTheme="majorBidi" w:cstheme="majorBidi"/>
          <w:sz w:val="24"/>
          <w:szCs w:val="24"/>
          <w:lang w:val="en-GB"/>
        </w:rPr>
        <w:t xml:space="preserve">, </w:t>
      </w:r>
      <w:r w:rsidR="004E5090" w:rsidRPr="001B3BA5">
        <w:rPr>
          <w:rFonts w:asciiTheme="majorBidi" w:hAnsiTheme="majorBidi" w:cstheme="majorBidi"/>
          <w:sz w:val="24"/>
          <w:szCs w:val="24"/>
          <w:lang w:val="en-GB"/>
        </w:rPr>
        <w:t xml:space="preserve">and </w:t>
      </w:r>
      <w:r w:rsidR="00A87807" w:rsidRPr="001B3BA5">
        <w:rPr>
          <w:rFonts w:asciiTheme="majorBidi" w:hAnsiTheme="majorBidi" w:cstheme="majorBidi"/>
          <w:sz w:val="24"/>
          <w:szCs w:val="24"/>
          <w:lang w:val="en-GB"/>
        </w:rPr>
        <w:t>(2)</w:t>
      </w:r>
      <w:r w:rsidR="004E5090" w:rsidRPr="001B3BA5">
        <w:rPr>
          <w:rFonts w:asciiTheme="majorBidi" w:hAnsiTheme="majorBidi" w:cstheme="majorBidi"/>
          <w:sz w:val="24"/>
          <w:szCs w:val="24"/>
          <w:lang w:val="en-GB"/>
        </w:rPr>
        <w:t xml:space="preserve"> horizontal ‘us-them’ distinction in which </w:t>
      </w:r>
      <w:r w:rsidR="00B146E8" w:rsidRPr="001B3BA5">
        <w:rPr>
          <w:rFonts w:asciiTheme="majorBidi" w:hAnsiTheme="majorBidi" w:cstheme="majorBidi"/>
          <w:sz w:val="24"/>
          <w:szCs w:val="24"/>
          <w:lang w:val="en-GB"/>
        </w:rPr>
        <w:t>‘</w:t>
      </w:r>
      <w:r w:rsidR="00A76E98" w:rsidRPr="001B3BA5">
        <w:rPr>
          <w:rFonts w:asciiTheme="majorBidi" w:hAnsiTheme="majorBidi" w:cstheme="majorBidi"/>
          <w:sz w:val="24"/>
          <w:szCs w:val="24"/>
          <w:lang w:val="en-GB"/>
        </w:rPr>
        <w:t>the pure people</w:t>
      </w:r>
      <w:r w:rsidR="00B146E8" w:rsidRPr="001B3BA5">
        <w:rPr>
          <w:rFonts w:asciiTheme="majorBidi" w:hAnsiTheme="majorBidi" w:cstheme="majorBidi"/>
          <w:sz w:val="24"/>
          <w:szCs w:val="24"/>
          <w:lang w:val="en-GB"/>
        </w:rPr>
        <w:t>’</w:t>
      </w:r>
      <w:r w:rsidR="006C3F86" w:rsidRPr="001B3BA5">
        <w:rPr>
          <w:rFonts w:asciiTheme="majorBidi" w:hAnsiTheme="majorBidi" w:cstheme="majorBidi"/>
          <w:sz w:val="24"/>
          <w:szCs w:val="24"/>
          <w:lang w:val="en-GB"/>
        </w:rPr>
        <w:t xml:space="preserve"> </w:t>
      </w:r>
      <w:r w:rsidR="004E5090" w:rsidRPr="001B3BA5">
        <w:rPr>
          <w:rFonts w:asciiTheme="majorBidi" w:hAnsiTheme="majorBidi" w:cstheme="majorBidi"/>
          <w:sz w:val="24"/>
          <w:szCs w:val="24"/>
          <w:lang w:val="en-GB"/>
        </w:rPr>
        <w:t xml:space="preserve">are distinguished from </w:t>
      </w:r>
      <w:r w:rsidR="00A76E98" w:rsidRPr="001B3BA5">
        <w:rPr>
          <w:rFonts w:asciiTheme="majorBidi" w:hAnsiTheme="majorBidi" w:cstheme="majorBidi"/>
          <w:sz w:val="24"/>
          <w:szCs w:val="24"/>
          <w:lang w:val="en-GB"/>
        </w:rPr>
        <w:t xml:space="preserve">immigrant and ethnic minority groups, sometimes </w:t>
      </w:r>
      <w:r w:rsidR="00B878D9" w:rsidRPr="001B3BA5">
        <w:rPr>
          <w:rFonts w:asciiTheme="majorBidi" w:hAnsiTheme="majorBidi" w:cstheme="majorBidi"/>
          <w:sz w:val="24"/>
          <w:szCs w:val="24"/>
          <w:lang w:val="en-GB"/>
        </w:rPr>
        <w:t>label</w:t>
      </w:r>
      <w:r w:rsidR="001B3BA5">
        <w:rPr>
          <w:rFonts w:asciiTheme="majorBidi" w:hAnsiTheme="majorBidi" w:cstheme="majorBidi"/>
          <w:sz w:val="24"/>
          <w:szCs w:val="24"/>
          <w:lang w:val="en-GB"/>
        </w:rPr>
        <w:t>l</w:t>
      </w:r>
      <w:r w:rsidR="00B878D9" w:rsidRPr="001B3BA5">
        <w:rPr>
          <w:rFonts w:asciiTheme="majorBidi" w:hAnsiTheme="majorBidi" w:cstheme="majorBidi"/>
          <w:sz w:val="24"/>
          <w:szCs w:val="24"/>
          <w:lang w:val="en-GB"/>
        </w:rPr>
        <w:t>ed</w:t>
      </w:r>
      <w:r w:rsidR="00A76E98"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00A76E98" w:rsidRPr="001B3BA5">
        <w:rPr>
          <w:rFonts w:asciiTheme="majorBidi" w:hAnsiTheme="majorBidi" w:cstheme="majorBidi"/>
          <w:sz w:val="24"/>
          <w:szCs w:val="24"/>
          <w:lang w:val="en-GB"/>
        </w:rPr>
        <w:t>the dangerous others</w:t>
      </w:r>
      <w:r w:rsidR="00B146E8" w:rsidRPr="001B3BA5">
        <w:rPr>
          <w:rFonts w:asciiTheme="majorBidi" w:hAnsiTheme="majorBidi" w:cstheme="majorBidi"/>
          <w:sz w:val="24"/>
          <w:szCs w:val="24"/>
          <w:lang w:val="en-GB"/>
        </w:rPr>
        <w:t>’</w:t>
      </w:r>
      <w:r w:rsidR="00A76E98" w:rsidRPr="001B3BA5">
        <w:rPr>
          <w:rFonts w:asciiTheme="majorBidi" w:hAnsiTheme="majorBidi" w:cstheme="majorBidi"/>
          <w:sz w:val="24"/>
          <w:szCs w:val="24"/>
          <w:lang w:val="en-GB"/>
        </w:rPr>
        <w:t xml:space="preserve"> </w:t>
      </w:r>
      <w:r w:rsidR="000742E5" w:rsidRPr="001B3BA5">
        <w:rPr>
          <w:rFonts w:asciiTheme="majorBidi" w:hAnsiTheme="majorBidi" w:cstheme="majorBidi"/>
          <w:sz w:val="24"/>
          <w:szCs w:val="24"/>
          <w:lang w:val="en-GB"/>
        </w:rPr>
        <w:fldChar w:fldCharType="begin"/>
      </w:r>
      <w:r w:rsidR="004F251E" w:rsidRPr="001B3BA5">
        <w:rPr>
          <w:rFonts w:asciiTheme="majorBidi" w:hAnsiTheme="majorBidi" w:cstheme="majorBidi"/>
          <w:sz w:val="24"/>
          <w:szCs w:val="24"/>
          <w:lang w:val="en-GB"/>
        </w:rPr>
        <w:instrText xml:space="preserve"> ADDIN EN.CITE &lt;EndNote&gt;&lt;Cite&gt;&lt;Author&gt;Albertazzi&lt;/Author&gt;&lt;Year&gt;2007&lt;/Year&gt;&lt;RecNum&gt;1442&lt;/RecNum&gt;&lt;DisplayText&gt;(Albertazzi &amp;amp; McDonnell, 2007; Brubaker, 2019)&lt;/DisplayText&gt;&lt;record&gt;&lt;rec-number&gt;1442&lt;/rec-number&gt;&lt;foreign-keys&gt;&lt;key app="EN" db-id="es92r5v5dve2z0erx59pv50vtp29v0t9ef5f" timestamp="1561995694"&gt;1442&lt;/key&gt;&lt;/foreign-keys&gt;&lt;ref-type name="Book"&gt;6&lt;/ref-type&gt;&lt;contributors&gt;&lt;authors&gt;&lt;author&gt;Albertazzi, Daniele&lt;/author&gt;&lt;author&gt;McDonnell, Duncan&lt;/author&gt;&lt;/authors&gt;&lt;/contributors&gt;&lt;titles&gt;&lt;title&gt;Twenty-first century populism: The spectre of Western European democracy&lt;/title&gt;&lt;/titles&gt;&lt;dates&gt;&lt;year&gt;2007&lt;/year&gt;&lt;/dates&gt;&lt;pub-location&gt;New York, NY&lt;/pub-location&gt;&lt;publisher&gt;Springer&lt;/publisher&gt;&lt;isbn&gt;0230592104&lt;/isbn&gt;&lt;urls&gt;&lt;/urls&gt;&lt;/record&gt;&lt;/Cite&gt;&lt;Cite&gt;&lt;Author&gt;Brubaker&lt;/Author&gt;&lt;Year&gt;2019&lt;/Year&gt;&lt;RecNum&gt;1568&lt;/RecNum&gt;&lt;record&gt;&lt;rec-number&gt;1568&lt;/rec-number&gt;&lt;foreign-keys&gt;&lt;key app="EN" db-id="es92r5v5dve2z0erx59pv50vtp29v0t9ef5f" timestamp="1583400551"&gt;1568&lt;/key&gt;&lt;key app="ENWeb" db-id=""&gt;0&lt;/key&gt;&lt;/foreign-keys&gt;&lt;ref-type name="Journal Article"&gt;17&lt;/ref-type&gt;&lt;contributors&gt;&lt;authors&gt;&lt;author&gt;Brubaker, Rogers&lt;/author&gt;&lt;/authors&gt;&lt;/contributors&gt;&lt;titles&gt;&lt;title&gt;Populism and nationalism&lt;/title&gt;&lt;secondary-title&gt;Nations and Nationalism&lt;/secondary-title&gt;&lt;/titles&gt;&lt;periodical&gt;&lt;full-title&gt;Nations and Nationalism&lt;/full-title&gt;&lt;/periodical&gt;&lt;pages&gt;44-66&lt;/pages&gt;&lt;volume&gt;26&lt;/volume&gt;&lt;number&gt;1&lt;/number&gt;&lt;dates&gt;&lt;year&gt;2019&lt;/year&gt;&lt;/dates&gt;&lt;isbn&gt;1354-5078&amp;#xD;1469-8129&lt;/isbn&gt;&lt;urls&gt;&lt;/urls&gt;&lt;electronic-resource-num&gt;10.1111/nana.12522&lt;/electronic-resource-num&gt;&lt;/record&gt;&lt;/Cite&gt;&lt;/EndNote&gt;</w:instrText>
      </w:r>
      <w:r w:rsidR="000742E5" w:rsidRPr="001B3BA5">
        <w:rPr>
          <w:rFonts w:asciiTheme="majorBidi" w:hAnsiTheme="majorBidi" w:cstheme="majorBidi"/>
          <w:sz w:val="24"/>
          <w:szCs w:val="24"/>
          <w:lang w:val="en-GB"/>
        </w:rPr>
        <w:fldChar w:fldCharType="separate"/>
      </w:r>
      <w:r w:rsidR="004F251E" w:rsidRPr="001B3BA5">
        <w:rPr>
          <w:rFonts w:asciiTheme="majorBidi" w:hAnsiTheme="majorBidi" w:cstheme="majorBidi"/>
          <w:noProof/>
          <w:sz w:val="24"/>
          <w:szCs w:val="24"/>
          <w:lang w:val="en-GB"/>
        </w:rPr>
        <w:t>(Albertazzi &amp; McDonnell, 2007; Brubaker, 2019)</w:t>
      </w:r>
      <w:r w:rsidR="000742E5" w:rsidRPr="001B3BA5">
        <w:rPr>
          <w:rFonts w:asciiTheme="majorBidi" w:hAnsiTheme="majorBidi" w:cstheme="majorBidi"/>
          <w:sz w:val="24"/>
          <w:szCs w:val="24"/>
          <w:lang w:val="en-GB"/>
        </w:rPr>
        <w:fldChar w:fldCharType="end"/>
      </w:r>
      <w:r w:rsidR="00A87807" w:rsidRPr="001B3BA5">
        <w:rPr>
          <w:rFonts w:asciiTheme="majorBidi" w:hAnsiTheme="majorBidi" w:cstheme="majorBidi"/>
          <w:sz w:val="24"/>
          <w:szCs w:val="24"/>
          <w:lang w:val="en-GB"/>
        </w:rPr>
        <w:t>.</w:t>
      </w:r>
      <w:r w:rsidR="004F251E" w:rsidRPr="001B3BA5">
        <w:rPr>
          <w:rFonts w:asciiTheme="majorBidi" w:hAnsiTheme="majorBidi" w:cstheme="majorBidi"/>
          <w:sz w:val="24"/>
          <w:szCs w:val="24"/>
          <w:lang w:val="en-GB"/>
        </w:rPr>
        <w:t xml:space="preserve"> </w:t>
      </w:r>
      <w:r w:rsidR="008B43C8" w:rsidRPr="001B3BA5">
        <w:rPr>
          <w:rFonts w:asciiTheme="majorBidi" w:hAnsiTheme="majorBidi" w:cstheme="majorBidi"/>
          <w:sz w:val="24"/>
          <w:szCs w:val="24"/>
          <w:lang w:val="en-GB"/>
        </w:rPr>
        <w:t>Right-wing p</w:t>
      </w:r>
      <w:r w:rsidR="001A3451" w:rsidRPr="001B3BA5">
        <w:rPr>
          <w:rFonts w:asciiTheme="majorBidi" w:hAnsiTheme="majorBidi" w:cstheme="majorBidi"/>
          <w:sz w:val="24"/>
          <w:szCs w:val="24"/>
          <w:lang w:val="en-GB"/>
        </w:rPr>
        <w:t xml:space="preserve">opulism </w:t>
      </w:r>
      <w:r w:rsidR="00A87807" w:rsidRPr="001B3BA5">
        <w:rPr>
          <w:rFonts w:asciiTheme="majorBidi" w:hAnsiTheme="majorBidi" w:cstheme="majorBidi"/>
          <w:sz w:val="24"/>
          <w:szCs w:val="24"/>
          <w:lang w:val="en-GB"/>
        </w:rPr>
        <w:t xml:space="preserve">has appropriated </w:t>
      </w:r>
      <w:r w:rsidR="00FE2767" w:rsidRPr="001B3BA5">
        <w:rPr>
          <w:rFonts w:asciiTheme="majorBidi" w:hAnsiTheme="majorBidi" w:cstheme="majorBidi"/>
          <w:sz w:val="24"/>
          <w:szCs w:val="24"/>
          <w:lang w:val="en-GB"/>
        </w:rPr>
        <w:t xml:space="preserve">these </w:t>
      </w:r>
      <w:r w:rsidR="00C74BD1" w:rsidRPr="001B3BA5">
        <w:rPr>
          <w:rFonts w:asciiTheme="majorBidi" w:hAnsiTheme="majorBidi" w:cstheme="majorBidi"/>
          <w:sz w:val="24"/>
          <w:szCs w:val="24"/>
          <w:lang w:val="en-GB"/>
        </w:rPr>
        <w:t>distinction</w:t>
      </w:r>
      <w:r w:rsidR="0072660F" w:rsidRPr="001B3BA5">
        <w:rPr>
          <w:rFonts w:asciiTheme="majorBidi" w:hAnsiTheme="majorBidi" w:cstheme="majorBidi"/>
          <w:sz w:val="24"/>
          <w:szCs w:val="24"/>
          <w:lang w:val="en-GB"/>
        </w:rPr>
        <w:t>s</w:t>
      </w:r>
      <w:r w:rsidR="001A3451" w:rsidRPr="001B3BA5">
        <w:rPr>
          <w:rFonts w:asciiTheme="majorBidi" w:hAnsiTheme="majorBidi" w:cstheme="majorBidi"/>
          <w:sz w:val="24"/>
          <w:szCs w:val="24"/>
          <w:lang w:val="en-GB"/>
        </w:rPr>
        <w:t xml:space="preserve"> as a basis of</w:t>
      </w:r>
      <w:r w:rsidR="00C74BD1" w:rsidRPr="001B3BA5">
        <w:rPr>
          <w:rFonts w:asciiTheme="majorBidi" w:hAnsiTheme="majorBidi" w:cstheme="majorBidi"/>
          <w:sz w:val="24"/>
          <w:szCs w:val="24"/>
          <w:lang w:val="en-GB"/>
        </w:rPr>
        <w:t xml:space="preserve"> morality, </w:t>
      </w:r>
      <w:r w:rsidR="00192337" w:rsidRPr="001B3BA5">
        <w:rPr>
          <w:rFonts w:asciiTheme="majorBidi" w:hAnsiTheme="majorBidi" w:cstheme="majorBidi"/>
          <w:sz w:val="24"/>
          <w:szCs w:val="24"/>
          <w:lang w:val="en-GB"/>
        </w:rPr>
        <w:t xml:space="preserve">but </w:t>
      </w:r>
      <w:r w:rsidR="001A3451" w:rsidRPr="001B3BA5">
        <w:rPr>
          <w:rFonts w:asciiTheme="majorBidi" w:hAnsiTheme="majorBidi" w:cstheme="majorBidi"/>
          <w:sz w:val="24"/>
          <w:szCs w:val="24"/>
          <w:lang w:val="en-GB"/>
        </w:rPr>
        <w:t>also as a basis of</w:t>
      </w:r>
      <w:r w:rsidR="00C74BD1" w:rsidRPr="001B3BA5">
        <w:rPr>
          <w:rFonts w:asciiTheme="majorBidi" w:hAnsiTheme="majorBidi" w:cstheme="majorBidi"/>
          <w:sz w:val="24"/>
          <w:szCs w:val="24"/>
          <w:lang w:val="en-GB"/>
        </w:rPr>
        <w:t xml:space="preserve"> entitlement. </w:t>
      </w:r>
      <w:r w:rsidR="00B146E8" w:rsidRPr="001B3BA5">
        <w:rPr>
          <w:rFonts w:asciiTheme="majorBidi" w:hAnsiTheme="majorBidi" w:cstheme="majorBidi"/>
          <w:sz w:val="24"/>
          <w:szCs w:val="24"/>
          <w:lang w:val="en-GB"/>
        </w:rPr>
        <w:t>‘</w:t>
      </w:r>
      <w:r w:rsidR="00C74BD1" w:rsidRPr="001B3BA5">
        <w:rPr>
          <w:rFonts w:asciiTheme="majorBidi" w:hAnsiTheme="majorBidi" w:cstheme="majorBidi"/>
          <w:sz w:val="24"/>
          <w:szCs w:val="24"/>
          <w:lang w:val="en-GB"/>
        </w:rPr>
        <w:t>The people</w:t>
      </w:r>
      <w:r w:rsidR="00B146E8" w:rsidRPr="001B3BA5">
        <w:rPr>
          <w:rFonts w:asciiTheme="majorBidi" w:hAnsiTheme="majorBidi" w:cstheme="majorBidi"/>
          <w:sz w:val="24"/>
          <w:szCs w:val="24"/>
          <w:lang w:val="en-GB"/>
        </w:rPr>
        <w:t>’</w:t>
      </w:r>
      <w:r w:rsidR="00C74BD1" w:rsidRPr="001B3BA5">
        <w:rPr>
          <w:rFonts w:asciiTheme="majorBidi" w:hAnsiTheme="majorBidi" w:cstheme="majorBidi"/>
          <w:sz w:val="24"/>
          <w:szCs w:val="24"/>
          <w:lang w:val="en-GB"/>
        </w:rPr>
        <w:t xml:space="preserve"> are not only distinct from </w:t>
      </w:r>
      <w:r w:rsidR="00B146E8" w:rsidRPr="001B3BA5">
        <w:rPr>
          <w:rFonts w:asciiTheme="majorBidi" w:hAnsiTheme="majorBidi" w:cstheme="majorBidi"/>
          <w:sz w:val="24"/>
          <w:szCs w:val="24"/>
          <w:lang w:val="en-GB"/>
        </w:rPr>
        <w:t>‘</w:t>
      </w:r>
      <w:r w:rsidR="00C74BD1" w:rsidRPr="001B3BA5">
        <w:rPr>
          <w:rFonts w:asciiTheme="majorBidi" w:hAnsiTheme="majorBidi" w:cstheme="majorBidi"/>
          <w:sz w:val="24"/>
          <w:szCs w:val="24"/>
          <w:lang w:val="en-GB"/>
        </w:rPr>
        <w:t>the corrupt elite</w:t>
      </w:r>
      <w:r w:rsidR="00B146E8" w:rsidRPr="001B3BA5">
        <w:rPr>
          <w:rFonts w:asciiTheme="majorBidi" w:hAnsiTheme="majorBidi" w:cstheme="majorBidi"/>
          <w:sz w:val="24"/>
          <w:szCs w:val="24"/>
          <w:lang w:val="en-GB"/>
        </w:rPr>
        <w:t>’</w:t>
      </w:r>
      <w:r w:rsidR="00C74BD1" w:rsidRPr="001B3BA5">
        <w:rPr>
          <w:rFonts w:asciiTheme="majorBidi" w:hAnsiTheme="majorBidi" w:cstheme="majorBidi"/>
          <w:sz w:val="24"/>
          <w:szCs w:val="24"/>
          <w:lang w:val="en-GB"/>
        </w:rPr>
        <w:t xml:space="preserve"> or </w:t>
      </w:r>
      <w:r w:rsidR="00B146E8" w:rsidRPr="001B3BA5">
        <w:rPr>
          <w:rFonts w:asciiTheme="majorBidi" w:hAnsiTheme="majorBidi" w:cstheme="majorBidi"/>
          <w:sz w:val="24"/>
          <w:szCs w:val="24"/>
          <w:lang w:val="en-GB"/>
        </w:rPr>
        <w:t>‘</w:t>
      </w:r>
      <w:r w:rsidR="00C74BD1" w:rsidRPr="001B3BA5">
        <w:rPr>
          <w:rFonts w:asciiTheme="majorBidi" w:hAnsiTheme="majorBidi" w:cstheme="majorBidi"/>
          <w:sz w:val="24"/>
          <w:szCs w:val="24"/>
          <w:lang w:val="en-GB"/>
        </w:rPr>
        <w:t>the dangerous others</w:t>
      </w:r>
      <w:r w:rsidR="00B146E8" w:rsidRPr="001B3BA5">
        <w:rPr>
          <w:rFonts w:asciiTheme="majorBidi" w:hAnsiTheme="majorBidi" w:cstheme="majorBidi"/>
          <w:sz w:val="24"/>
          <w:szCs w:val="24"/>
          <w:lang w:val="en-GB"/>
        </w:rPr>
        <w:t>’</w:t>
      </w:r>
      <w:r w:rsidR="00C74BD1" w:rsidRPr="001B3BA5">
        <w:rPr>
          <w:rFonts w:asciiTheme="majorBidi" w:hAnsiTheme="majorBidi" w:cstheme="majorBidi"/>
          <w:sz w:val="24"/>
          <w:szCs w:val="24"/>
          <w:lang w:val="en-GB"/>
        </w:rPr>
        <w:t xml:space="preserve"> because they are </w:t>
      </w:r>
      <w:r w:rsidR="002452FD" w:rsidRPr="001B3BA5">
        <w:rPr>
          <w:rFonts w:asciiTheme="majorBidi" w:hAnsiTheme="majorBidi" w:cstheme="majorBidi"/>
          <w:sz w:val="24"/>
          <w:szCs w:val="24"/>
          <w:lang w:val="en-GB"/>
        </w:rPr>
        <w:t xml:space="preserve">morally </w:t>
      </w:r>
      <w:r w:rsidR="00C74BD1" w:rsidRPr="001B3BA5">
        <w:rPr>
          <w:rFonts w:asciiTheme="majorBidi" w:hAnsiTheme="majorBidi" w:cstheme="majorBidi"/>
          <w:sz w:val="24"/>
          <w:szCs w:val="24"/>
          <w:lang w:val="en-GB"/>
        </w:rPr>
        <w:t xml:space="preserve">good, but also because they </w:t>
      </w:r>
      <w:r w:rsidR="009326F6" w:rsidRPr="001B3BA5">
        <w:rPr>
          <w:rFonts w:ascii="Times New Roman" w:hAnsi="Times New Roman" w:cs="Times New Roman"/>
          <w:sz w:val="24"/>
          <w:szCs w:val="24"/>
          <w:lang w:val="en-GB"/>
        </w:rPr>
        <w:t>are entitled to be</w:t>
      </w:r>
      <w:r w:rsidR="00C74BD1" w:rsidRPr="001B3BA5">
        <w:rPr>
          <w:rFonts w:ascii="Times New Roman" w:hAnsi="Times New Roman" w:cs="Times New Roman"/>
          <w:sz w:val="24"/>
          <w:szCs w:val="24"/>
          <w:lang w:val="en-GB"/>
        </w:rPr>
        <w:t xml:space="preserve"> </w:t>
      </w:r>
      <w:r w:rsidR="00B146E8" w:rsidRPr="001B3BA5">
        <w:rPr>
          <w:rFonts w:ascii="Times New Roman" w:hAnsi="Times New Roman" w:cs="Times New Roman"/>
          <w:sz w:val="24"/>
          <w:szCs w:val="24"/>
          <w:lang w:val="en-GB"/>
        </w:rPr>
        <w:t>‘</w:t>
      </w:r>
      <w:r w:rsidR="004F3F6A" w:rsidRPr="001B3BA5">
        <w:rPr>
          <w:rFonts w:ascii="Times New Roman" w:hAnsi="Times New Roman" w:cs="Times New Roman"/>
          <w:sz w:val="24"/>
          <w:szCs w:val="24"/>
          <w:lang w:val="en-GB"/>
        </w:rPr>
        <w:t>masters in their own homes</w:t>
      </w:r>
      <w:r w:rsidR="00B146E8" w:rsidRPr="001B3BA5">
        <w:rPr>
          <w:rFonts w:ascii="Times New Roman" w:hAnsi="Times New Roman" w:cs="Times New Roman"/>
          <w:sz w:val="24"/>
          <w:szCs w:val="24"/>
          <w:lang w:val="en-GB"/>
        </w:rPr>
        <w:t>’</w:t>
      </w:r>
      <w:r w:rsidR="009326F6" w:rsidRPr="001B3BA5">
        <w:rPr>
          <w:rFonts w:ascii="Times New Roman" w:hAnsi="Times New Roman" w:cs="Times New Roman"/>
          <w:sz w:val="24"/>
          <w:szCs w:val="24"/>
          <w:lang w:val="en-GB"/>
        </w:rPr>
        <w:t xml:space="preserve"> </w:t>
      </w:r>
      <w:r w:rsidR="000742E5" w:rsidRPr="001B3BA5">
        <w:rPr>
          <w:rFonts w:ascii="Times New Roman" w:hAnsi="Times New Roman" w:cs="Times New Roman"/>
          <w:sz w:val="24"/>
          <w:szCs w:val="24"/>
          <w:lang w:val="en-GB"/>
        </w:rPr>
        <w:fldChar w:fldCharType="begin"/>
      </w:r>
      <w:r w:rsidR="0056663E" w:rsidRPr="001B3BA5">
        <w:rPr>
          <w:rFonts w:ascii="Times New Roman" w:hAnsi="Times New Roman" w:cs="Times New Roman"/>
          <w:sz w:val="24"/>
          <w:szCs w:val="24"/>
          <w:lang w:val="en-GB"/>
        </w:rPr>
        <w:instrText xml:space="preserve"> ADDIN EN.CITE &lt;EndNote&gt;&lt;Cite&gt;&lt;Author&gt;Albertazzi&lt;/Author&gt;&lt;Year&gt;2007&lt;/Year&gt;&lt;RecNum&gt;1442&lt;/RecNum&gt;&lt;Pages&gt;6&lt;/Pages&gt;&lt;DisplayText&gt;(Albertazzi &amp;amp; McDonnell, 2007, p. 6)&lt;/DisplayText&gt;&lt;record&gt;&lt;rec-number&gt;1442&lt;/rec-number&gt;&lt;foreign-keys&gt;&lt;key app="EN" db-id="es92r5v5dve2z0erx59pv50vtp29v0t9ef5f" timestamp="1561995694"&gt;1442&lt;/key&gt;&lt;/foreign-keys&gt;&lt;ref-type name="Book"&gt;6&lt;/ref-type&gt;&lt;contributors&gt;&lt;authors&gt;&lt;author&gt;Albertazzi, Daniele&lt;/author&gt;&lt;author&gt;McDonnell, Duncan&lt;/author&gt;&lt;/authors&gt;&lt;/contributors&gt;&lt;titles&gt;&lt;title&gt;Twenty-first century populism: The spectre of Western European democracy&lt;/title&gt;&lt;/titles&gt;&lt;dates&gt;&lt;year&gt;2007&lt;/year&gt;&lt;/dates&gt;&lt;pub-location&gt;New York, NY&lt;/pub-location&gt;&lt;publisher&gt;Springer&lt;/publisher&gt;&lt;isbn&gt;0230592104&lt;/isbn&gt;&lt;urls&gt;&lt;/urls&gt;&lt;/record&gt;&lt;/Cite&gt;&lt;/EndNote&gt;</w:instrText>
      </w:r>
      <w:r w:rsidR="000742E5" w:rsidRPr="001B3BA5">
        <w:rPr>
          <w:rFonts w:ascii="Times New Roman" w:hAnsi="Times New Roman" w:cs="Times New Roman"/>
          <w:sz w:val="24"/>
          <w:szCs w:val="24"/>
          <w:lang w:val="en-GB"/>
        </w:rPr>
        <w:fldChar w:fldCharType="separate"/>
      </w:r>
      <w:r w:rsidR="00814D4B" w:rsidRPr="001B3BA5">
        <w:rPr>
          <w:rFonts w:ascii="Times New Roman" w:hAnsi="Times New Roman" w:cs="Times New Roman"/>
          <w:noProof/>
          <w:sz w:val="24"/>
          <w:szCs w:val="24"/>
          <w:lang w:val="en-GB"/>
        </w:rPr>
        <w:t>(Albertazzi &amp; McDonnell, 2007, p. 6)</w:t>
      </w:r>
      <w:r w:rsidR="000742E5" w:rsidRPr="001B3BA5">
        <w:rPr>
          <w:rFonts w:ascii="Times New Roman" w:hAnsi="Times New Roman" w:cs="Times New Roman"/>
          <w:sz w:val="24"/>
          <w:szCs w:val="24"/>
          <w:lang w:val="en-GB"/>
        </w:rPr>
        <w:fldChar w:fldCharType="end"/>
      </w:r>
      <w:r w:rsidR="009641DF" w:rsidRPr="001B3BA5">
        <w:rPr>
          <w:rFonts w:ascii="Times New Roman" w:hAnsi="Times New Roman" w:cs="Times New Roman"/>
          <w:sz w:val="24"/>
          <w:szCs w:val="24"/>
          <w:lang w:val="en-GB"/>
        </w:rPr>
        <w:t>.</w:t>
      </w:r>
      <w:r w:rsidR="0007218E" w:rsidRPr="001B3BA5">
        <w:rPr>
          <w:rFonts w:ascii="Times New Roman" w:hAnsi="Times New Roman" w:cs="Times New Roman"/>
          <w:sz w:val="24"/>
          <w:szCs w:val="24"/>
          <w:lang w:val="en-GB"/>
        </w:rPr>
        <w:t xml:space="preserve"> </w:t>
      </w:r>
    </w:p>
    <w:p w14:paraId="1405EB96" w14:textId="76B42E26" w:rsidR="00A141E1" w:rsidRPr="001B3BA5" w:rsidRDefault="00A141E1">
      <w:pPr>
        <w:autoSpaceDE w:val="0"/>
        <w:autoSpaceDN w:val="0"/>
        <w:adjustRightInd w:val="0"/>
        <w:spacing w:after="0" w:line="480" w:lineRule="exact"/>
        <w:ind w:firstLine="708"/>
        <w:rPr>
          <w:rFonts w:asciiTheme="majorBidi" w:hAnsiTheme="majorBidi" w:cstheme="majorBidi"/>
          <w:sz w:val="24"/>
          <w:szCs w:val="24"/>
          <w:lang w:val="en-GB"/>
        </w:rPr>
      </w:pPr>
      <w:r w:rsidRPr="001B3BA5">
        <w:rPr>
          <w:rFonts w:ascii="Times New Roman" w:hAnsi="Times New Roman" w:cs="Times New Roman"/>
          <w:sz w:val="24"/>
          <w:szCs w:val="24"/>
          <w:lang w:val="en-GB"/>
        </w:rPr>
        <w:t>C</w:t>
      </w:r>
      <w:r w:rsidR="00B41B02" w:rsidRPr="001B3BA5">
        <w:rPr>
          <w:rFonts w:ascii="Times New Roman" w:hAnsi="Times New Roman" w:cs="Times New Roman"/>
          <w:sz w:val="24"/>
          <w:szCs w:val="24"/>
          <w:lang w:val="en-GB"/>
        </w:rPr>
        <w:t>PO</w:t>
      </w:r>
      <w:r w:rsidRPr="001B3BA5">
        <w:rPr>
          <w:rFonts w:ascii="Times New Roman" w:hAnsi="Times New Roman" w:cs="Times New Roman"/>
          <w:sz w:val="24"/>
          <w:szCs w:val="24"/>
          <w:lang w:val="en-GB"/>
        </w:rPr>
        <w:t xml:space="preserve"> </w:t>
      </w:r>
      <w:r w:rsidR="001774EB" w:rsidRPr="001B3BA5">
        <w:rPr>
          <w:rFonts w:ascii="Times New Roman" w:hAnsi="Times New Roman" w:cs="Times New Roman"/>
          <w:sz w:val="24"/>
          <w:szCs w:val="24"/>
          <w:lang w:val="en-GB"/>
        </w:rPr>
        <w:t>legitim</w:t>
      </w:r>
      <w:r w:rsidR="008643F0" w:rsidRPr="001B3BA5">
        <w:rPr>
          <w:rFonts w:ascii="Times New Roman" w:hAnsi="Times New Roman" w:cs="Times New Roman"/>
          <w:sz w:val="24"/>
          <w:szCs w:val="24"/>
          <w:lang w:val="en-GB"/>
        </w:rPr>
        <w:t>ise</w:t>
      </w:r>
      <w:r w:rsidR="001774EB" w:rsidRPr="001B3BA5">
        <w:rPr>
          <w:rFonts w:ascii="Times New Roman" w:hAnsi="Times New Roman" w:cs="Times New Roman"/>
          <w:sz w:val="24"/>
          <w:szCs w:val="24"/>
          <w:lang w:val="en-GB"/>
        </w:rPr>
        <w:t>s</w:t>
      </w:r>
      <w:r w:rsidRPr="001B3BA5">
        <w:rPr>
          <w:rFonts w:ascii="Times New Roman" w:hAnsi="Times New Roman" w:cs="Times New Roman"/>
          <w:sz w:val="24"/>
          <w:szCs w:val="24"/>
          <w:lang w:val="en-GB"/>
        </w:rPr>
        <w:t xml:space="preserve"> the populist </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us-them</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distinction</w:t>
      </w:r>
      <w:r w:rsidR="007B0A7D" w:rsidRPr="001B3BA5">
        <w:rPr>
          <w:rFonts w:ascii="Times New Roman" w:hAnsi="Times New Roman" w:cs="Times New Roman"/>
          <w:sz w:val="24"/>
          <w:szCs w:val="24"/>
          <w:lang w:val="en-GB"/>
        </w:rPr>
        <w:t>, as</w:t>
      </w:r>
      <w:r w:rsidRPr="001B3BA5">
        <w:rPr>
          <w:rFonts w:ascii="Times New Roman" w:hAnsi="Times New Roman" w:cs="Times New Roman"/>
          <w:sz w:val="24"/>
          <w:szCs w:val="24"/>
          <w:lang w:val="en-GB"/>
        </w:rPr>
        <w:t xml:space="preserve"> it implies </w:t>
      </w:r>
      <w:r w:rsidR="002452FD" w:rsidRPr="001B3BA5">
        <w:rPr>
          <w:rFonts w:ascii="Times New Roman" w:hAnsi="Times New Roman" w:cs="Times New Roman"/>
          <w:sz w:val="24"/>
          <w:szCs w:val="24"/>
          <w:lang w:val="en-GB"/>
        </w:rPr>
        <w:t>specific</w:t>
      </w:r>
      <w:r w:rsidRPr="001B3BA5">
        <w:rPr>
          <w:rFonts w:ascii="Times New Roman" w:hAnsi="Times New Roman" w:cs="Times New Roman"/>
          <w:sz w:val="24"/>
          <w:szCs w:val="24"/>
          <w:lang w:val="en-GB"/>
        </w:rPr>
        <w:t xml:space="preserve"> right</w:t>
      </w:r>
      <w:r w:rsidR="002F0832" w:rsidRPr="001B3BA5">
        <w:rPr>
          <w:rFonts w:ascii="Times New Roman" w:hAnsi="Times New Roman" w:cs="Times New Roman"/>
          <w:sz w:val="24"/>
          <w:szCs w:val="24"/>
          <w:lang w:val="en-GB"/>
        </w:rPr>
        <w:t>s</w:t>
      </w:r>
      <w:r w:rsidRPr="001B3BA5">
        <w:rPr>
          <w:rFonts w:ascii="Times New Roman" w:hAnsi="Times New Roman" w:cs="Times New Roman"/>
          <w:sz w:val="24"/>
          <w:szCs w:val="24"/>
          <w:lang w:val="en-GB"/>
        </w:rPr>
        <w:t xml:space="preserve">. </w:t>
      </w:r>
      <w:r w:rsidR="002E3AD3" w:rsidRPr="001B3BA5">
        <w:rPr>
          <w:rFonts w:ascii="Times New Roman" w:hAnsi="Times New Roman" w:cs="Times New Roman"/>
          <w:sz w:val="24"/>
          <w:szCs w:val="24"/>
          <w:lang w:val="en-GB"/>
        </w:rPr>
        <w:t xml:space="preserve">Ownership confers </w:t>
      </w:r>
      <w:r w:rsidR="0064071A" w:rsidRPr="001B3BA5">
        <w:rPr>
          <w:rFonts w:ascii="Times New Roman" w:hAnsi="Times New Roman" w:cs="Times New Roman"/>
          <w:sz w:val="24"/>
          <w:szCs w:val="24"/>
          <w:lang w:val="en-GB"/>
        </w:rPr>
        <w:t>r</w:t>
      </w:r>
      <w:r w:rsidR="002E3AD3" w:rsidRPr="001B3BA5">
        <w:rPr>
          <w:rFonts w:ascii="Times New Roman" w:hAnsi="Times New Roman" w:cs="Times New Roman"/>
          <w:sz w:val="24"/>
          <w:szCs w:val="24"/>
          <w:lang w:val="en-GB"/>
        </w:rPr>
        <w:t xml:space="preserve">ights and privileges with respect to that which is owned and thereby </w:t>
      </w:r>
      <w:r w:rsidR="0072660F" w:rsidRPr="001B3BA5">
        <w:rPr>
          <w:rFonts w:ascii="Times New Roman" w:hAnsi="Times New Roman" w:cs="Times New Roman"/>
          <w:sz w:val="24"/>
          <w:szCs w:val="24"/>
          <w:lang w:val="en-GB"/>
        </w:rPr>
        <w:t>determines</w:t>
      </w:r>
      <w:r w:rsidR="002E3AD3" w:rsidRPr="001B3BA5">
        <w:rPr>
          <w:rFonts w:ascii="Times New Roman" w:hAnsi="Times New Roman" w:cs="Times New Roman"/>
          <w:sz w:val="24"/>
          <w:szCs w:val="24"/>
          <w:lang w:val="en-GB"/>
        </w:rPr>
        <w:t xml:space="preserve"> the entitlements of owners in relation to </w:t>
      </w:r>
      <w:r w:rsidR="00E31617" w:rsidRPr="001B3BA5">
        <w:rPr>
          <w:rFonts w:ascii="Times New Roman" w:hAnsi="Times New Roman" w:cs="Times New Roman"/>
          <w:sz w:val="24"/>
          <w:szCs w:val="24"/>
          <w:lang w:val="en-GB"/>
        </w:rPr>
        <w:t>non-owners</w:t>
      </w:r>
      <w:r w:rsidR="002E3AD3" w:rsidRPr="001B3BA5">
        <w:rPr>
          <w:rFonts w:ascii="Times New Roman" w:hAnsi="Times New Roman" w:cs="Times New Roman"/>
          <w:sz w:val="24"/>
          <w:szCs w:val="24"/>
          <w:lang w:val="en-GB"/>
        </w:rPr>
        <w:t xml:space="preserve">. </w:t>
      </w:r>
      <w:r w:rsidRPr="001B3BA5">
        <w:rPr>
          <w:rFonts w:asciiTheme="majorBidi" w:hAnsiTheme="majorBidi" w:cstheme="majorBidi"/>
          <w:sz w:val="24"/>
          <w:szCs w:val="24"/>
          <w:lang w:val="en-GB"/>
        </w:rPr>
        <w:t xml:space="preserve">Philosophers have argued that ownership is accompanied by </w:t>
      </w:r>
      <w:r w:rsidR="007F530B" w:rsidRPr="001B3BA5">
        <w:rPr>
          <w:rFonts w:asciiTheme="majorBidi" w:hAnsiTheme="majorBidi" w:cstheme="majorBidi"/>
          <w:sz w:val="24"/>
          <w:szCs w:val="24"/>
          <w:lang w:val="en-GB"/>
        </w:rPr>
        <w:t xml:space="preserve">the </w:t>
      </w:r>
      <w:r w:rsidRPr="001B3BA5">
        <w:rPr>
          <w:rFonts w:asciiTheme="majorBidi" w:hAnsiTheme="majorBidi" w:cstheme="majorBidi"/>
          <w:sz w:val="24"/>
          <w:szCs w:val="24"/>
          <w:lang w:val="en-GB"/>
        </w:rPr>
        <w:t>right to use</w:t>
      </w:r>
      <w:r w:rsidR="003B0F37" w:rsidRPr="001B3BA5">
        <w:rPr>
          <w:rFonts w:asciiTheme="majorBidi" w:hAnsiTheme="majorBidi" w:cstheme="majorBidi"/>
          <w:sz w:val="24"/>
          <w:szCs w:val="24"/>
          <w:lang w:val="en-GB"/>
        </w:rPr>
        <w:t xml:space="preserve"> </w:t>
      </w:r>
      <w:r w:rsidR="002452FD" w:rsidRPr="001B3BA5">
        <w:rPr>
          <w:rFonts w:asciiTheme="majorBidi" w:hAnsiTheme="majorBidi" w:cstheme="majorBidi"/>
          <w:sz w:val="24"/>
          <w:szCs w:val="24"/>
          <w:lang w:val="en-GB"/>
        </w:rPr>
        <w:t>one</w:t>
      </w:r>
      <w:r w:rsidR="00B146E8" w:rsidRPr="001B3BA5">
        <w:rPr>
          <w:rFonts w:asciiTheme="majorBidi" w:hAnsiTheme="majorBidi" w:cstheme="majorBidi"/>
          <w:sz w:val="24"/>
          <w:szCs w:val="24"/>
          <w:lang w:val="en-GB"/>
        </w:rPr>
        <w:t>’</w:t>
      </w:r>
      <w:r w:rsidR="002452FD" w:rsidRPr="001B3BA5">
        <w:rPr>
          <w:rFonts w:asciiTheme="majorBidi" w:hAnsiTheme="majorBidi" w:cstheme="majorBidi"/>
          <w:sz w:val="24"/>
          <w:szCs w:val="24"/>
          <w:lang w:val="en-GB"/>
        </w:rPr>
        <w:t>s</w:t>
      </w:r>
      <w:r w:rsidR="003B0F37" w:rsidRPr="001B3BA5">
        <w:rPr>
          <w:rFonts w:asciiTheme="majorBidi" w:hAnsiTheme="majorBidi" w:cstheme="majorBidi"/>
          <w:sz w:val="24"/>
          <w:szCs w:val="24"/>
          <w:lang w:val="en-GB"/>
        </w:rPr>
        <w:t xml:space="preserve"> property</w:t>
      </w:r>
      <w:r w:rsidRPr="001B3BA5">
        <w:rPr>
          <w:rFonts w:asciiTheme="majorBidi" w:hAnsiTheme="majorBidi" w:cstheme="majorBidi"/>
          <w:sz w:val="24"/>
          <w:szCs w:val="24"/>
          <w:lang w:val="en-GB"/>
        </w:rPr>
        <w:t>, transfer</w:t>
      </w:r>
      <w:r w:rsidR="003B0F37" w:rsidRPr="001B3BA5">
        <w:rPr>
          <w:rFonts w:asciiTheme="majorBidi" w:hAnsiTheme="majorBidi" w:cstheme="majorBidi"/>
          <w:sz w:val="24"/>
          <w:szCs w:val="24"/>
          <w:lang w:val="en-GB"/>
        </w:rPr>
        <w:t xml:space="preserve"> it to others</w:t>
      </w:r>
      <w:r w:rsidRPr="001B3BA5">
        <w:rPr>
          <w:rFonts w:asciiTheme="majorBidi" w:hAnsiTheme="majorBidi" w:cstheme="majorBidi"/>
          <w:sz w:val="24"/>
          <w:szCs w:val="24"/>
          <w:lang w:val="en-GB"/>
        </w:rPr>
        <w:t>, and exclude</w:t>
      </w:r>
      <w:r w:rsidR="003B0F37" w:rsidRPr="001B3BA5">
        <w:rPr>
          <w:rFonts w:asciiTheme="majorBidi" w:hAnsiTheme="majorBidi" w:cstheme="majorBidi"/>
          <w:sz w:val="24"/>
          <w:szCs w:val="24"/>
          <w:lang w:val="en-GB"/>
        </w:rPr>
        <w:t xml:space="preserve"> others from using it</w:t>
      </w:r>
      <w:r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fldChar w:fldCharType="begin"/>
      </w:r>
      <w:r w:rsidRPr="001B3BA5">
        <w:rPr>
          <w:rFonts w:asciiTheme="majorBidi" w:hAnsiTheme="majorBidi" w:cstheme="majorBidi"/>
          <w:sz w:val="24"/>
          <w:szCs w:val="24"/>
          <w:lang w:val="en-GB"/>
        </w:rPr>
        <w:instrText xml:space="preserve"> ADDIN EN.CITE &lt;EndNote&gt;&lt;Cite&gt;&lt;Author&gt;Snare&lt;/Author&gt;&lt;Year&gt;1972&lt;/Year&gt;&lt;RecNum&gt;1154&lt;/RecNum&gt;&lt;DisplayText&gt;(Snare, 1972)&lt;/DisplayText&gt;&lt;record&gt;&lt;rec-number&gt;1154&lt;/rec-number&gt;&lt;foreign-keys&gt;&lt;key app="EN" db-id="es92r5v5dve2z0erx59pv50vtp29v0t9ef5f" timestamp="1515427830"&gt;1154&lt;/key&gt;&lt;/foreign-keys&gt;&lt;ref-type name="Journal Article"&gt;17&lt;/ref-type&gt;&lt;contributors&gt;&lt;authors&gt;&lt;author&gt;Snare, Frank&lt;/author&gt;&lt;/authors&gt;&lt;/contributors&gt;&lt;titles&gt;&lt;title&gt;The concept of property&lt;/title&gt;&lt;secondary-title&gt;American Philosophical Quarterly&lt;/secondary-title&gt;&lt;/titles&gt;&lt;periodical&gt;&lt;full-title&gt;American Philosophical Quarterly&lt;/full-title&gt;&lt;/periodical&gt;&lt;pages&gt;200-206&lt;/pages&gt;&lt;volume&gt;9&lt;/volume&gt;&lt;number&gt;2&lt;/number&gt;&lt;dates&gt;&lt;year&gt;1972&lt;/year&gt;&lt;/dates&gt;&lt;isbn&gt;0003-0481&lt;/isbn&gt;&lt;urls&gt;&lt;/urls&gt;&lt;/record&gt;&lt;/Cite&gt;&lt;/EndNote&gt;</w:instrText>
      </w:r>
      <w:r w:rsidRPr="001B3BA5">
        <w:rPr>
          <w:rFonts w:asciiTheme="majorBidi" w:hAnsiTheme="majorBidi" w:cstheme="majorBidi"/>
          <w:sz w:val="24"/>
          <w:szCs w:val="24"/>
          <w:lang w:val="en-GB"/>
        </w:rPr>
        <w:fldChar w:fldCharType="separate"/>
      </w:r>
      <w:r w:rsidRPr="001B3BA5">
        <w:rPr>
          <w:rFonts w:asciiTheme="majorBidi" w:hAnsiTheme="majorBidi" w:cstheme="majorBidi"/>
          <w:noProof/>
          <w:sz w:val="24"/>
          <w:szCs w:val="24"/>
          <w:lang w:val="en-GB"/>
        </w:rPr>
        <w:t>(Snare, 1972)</w:t>
      </w:r>
      <w:r w:rsidRPr="001B3BA5">
        <w:rPr>
          <w:rFonts w:asciiTheme="majorBidi" w:hAnsiTheme="majorBidi" w:cstheme="majorBidi"/>
          <w:sz w:val="24"/>
          <w:szCs w:val="24"/>
          <w:lang w:val="en-GB"/>
        </w:rPr>
        <w:fldChar w:fldCharType="end"/>
      </w:r>
      <w:r w:rsidRPr="001B3BA5">
        <w:rPr>
          <w:rFonts w:asciiTheme="majorBidi" w:hAnsiTheme="majorBidi" w:cstheme="majorBidi"/>
          <w:sz w:val="24"/>
          <w:szCs w:val="24"/>
          <w:lang w:val="en-GB"/>
        </w:rPr>
        <w:t xml:space="preserve">. </w:t>
      </w:r>
      <w:r w:rsidR="007F530B" w:rsidRPr="001B3BA5">
        <w:rPr>
          <w:rFonts w:asciiTheme="majorBidi" w:hAnsiTheme="majorBidi" w:cstheme="majorBidi"/>
          <w:sz w:val="24"/>
          <w:szCs w:val="24"/>
          <w:lang w:val="en-GB"/>
        </w:rPr>
        <w:t>T</w:t>
      </w:r>
      <w:r w:rsidR="00A96A7A" w:rsidRPr="001B3BA5">
        <w:rPr>
          <w:rFonts w:asciiTheme="majorBidi" w:hAnsiTheme="majorBidi" w:cstheme="majorBidi"/>
          <w:sz w:val="24"/>
          <w:szCs w:val="24"/>
          <w:lang w:val="en-GB"/>
        </w:rPr>
        <w:t xml:space="preserve">he </w:t>
      </w:r>
      <w:r w:rsidR="007F530B" w:rsidRPr="001B3BA5">
        <w:rPr>
          <w:rFonts w:asciiTheme="majorBidi" w:hAnsiTheme="majorBidi" w:cstheme="majorBidi"/>
          <w:sz w:val="24"/>
          <w:szCs w:val="24"/>
          <w:lang w:val="en-GB"/>
        </w:rPr>
        <w:t>latter is</w:t>
      </w:r>
      <w:r w:rsidR="00A96A7A" w:rsidRPr="001B3BA5">
        <w:rPr>
          <w:rFonts w:asciiTheme="majorBidi" w:hAnsiTheme="majorBidi" w:cstheme="majorBidi"/>
          <w:sz w:val="24"/>
          <w:szCs w:val="24"/>
          <w:lang w:val="en-GB"/>
        </w:rPr>
        <w:t xml:space="preserve"> considered </w:t>
      </w:r>
      <w:r w:rsidRPr="001B3BA5">
        <w:rPr>
          <w:rFonts w:asciiTheme="majorBidi" w:hAnsiTheme="majorBidi" w:cstheme="majorBidi"/>
          <w:sz w:val="24"/>
          <w:szCs w:val="24"/>
          <w:lang w:val="en-GB"/>
        </w:rPr>
        <w:t xml:space="preserve">the defining feature of ownership </w:t>
      </w:r>
      <w:r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&lt;EndNote&gt;&lt;Cite&gt;&lt;Author&gt;Merrill&lt;/Author&gt;&lt;Year&gt;1998&lt;/Year&gt;&lt;RecNum&gt;1155&lt;/RecNum&gt;&lt;DisplayText&gt;(Merrill, 1998)&lt;/DisplayText&gt;&lt;record&gt;&lt;rec-number&gt;1155&lt;/rec-number&gt;&lt;foreign-keys&gt;&lt;key app="EN" db-id="es92r5v5dve2z0erx59pv50vtp29v0t9ef5f" timestamp="1515427882"&gt;1155&lt;/key&gt;&lt;/foreign-keys&gt;&lt;ref-type name="Journal Article"&gt;17&lt;/ref-type&gt;&lt;contributors&gt;&lt;authors&gt;&lt;author&gt;Merrill, Thomas W&lt;/author&gt;&lt;/authors&gt;&lt;/contributors&gt;&lt;titles&gt;&lt;title&gt;Property and the right to exclude&lt;/title&gt;&lt;secondary-title&gt;Nebraska Law Review&lt;/secondary-title&gt;&lt;/titles&gt;&lt;periodical&gt;&lt;full-title&gt;Nebraska Law Review&lt;/full-title&gt;&lt;/periodical&gt;&lt;pages&gt;730-755&lt;/pages&gt;&lt;volume&gt;77&lt;/volume&gt;&lt;number&gt;4&lt;/number&gt;&lt;dates&gt;&lt;year&gt;1998&lt;/year&gt;&lt;/dates&gt;&lt;urls&gt;&lt;/urls&gt;&lt;/record&gt;&lt;/Cite&gt;&lt;/EndNote&gt;</w:instrText>
      </w:r>
      <w:r w:rsidRPr="001B3BA5">
        <w:rPr>
          <w:rFonts w:asciiTheme="majorBidi" w:hAnsiTheme="majorBidi" w:cstheme="majorBidi"/>
          <w:sz w:val="24"/>
          <w:szCs w:val="24"/>
          <w:lang w:val="en-GB"/>
        </w:rPr>
        <w:fldChar w:fldCharType="separate"/>
      </w:r>
      <w:r w:rsidRPr="001B3BA5">
        <w:rPr>
          <w:rFonts w:asciiTheme="majorBidi" w:hAnsiTheme="majorBidi" w:cstheme="majorBidi"/>
          <w:noProof/>
          <w:sz w:val="24"/>
          <w:szCs w:val="24"/>
          <w:lang w:val="en-GB"/>
        </w:rPr>
        <w:t>(Merrill, 1998)</w:t>
      </w:r>
      <w:r w:rsidRPr="001B3BA5">
        <w:rPr>
          <w:rFonts w:asciiTheme="majorBidi" w:hAnsiTheme="majorBidi" w:cstheme="majorBidi"/>
          <w:sz w:val="24"/>
          <w:szCs w:val="24"/>
          <w:lang w:val="en-GB"/>
        </w:rPr>
        <w:fldChar w:fldCharType="end"/>
      </w:r>
      <w:r w:rsidR="00071273" w:rsidRPr="001B3BA5">
        <w:rPr>
          <w:rFonts w:asciiTheme="majorBidi" w:hAnsiTheme="majorBidi" w:cstheme="majorBidi"/>
          <w:sz w:val="24"/>
          <w:szCs w:val="24"/>
          <w:lang w:val="en-GB"/>
        </w:rPr>
        <w:t>,</w:t>
      </w:r>
      <w:r w:rsidR="007F530B" w:rsidRPr="001B3BA5">
        <w:rPr>
          <w:rFonts w:asciiTheme="majorBidi" w:hAnsiTheme="majorBidi" w:cstheme="majorBidi"/>
          <w:sz w:val="24"/>
          <w:szCs w:val="24"/>
          <w:lang w:val="en-GB"/>
        </w:rPr>
        <w:t xml:space="preserve"> and </w:t>
      </w:r>
      <w:r w:rsidR="00071273" w:rsidRPr="001B3BA5">
        <w:rPr>
          <w:rFonts w:asciiTheme="majorBidi" w:hAnsiTheme="majorBidi" w:cstheme="majorBidi"/>
          <w:sz w:val="24"/>
          <w:szCs w:val="24"/>
          <w:lang w:val="en-GB"/>
        </w:rPr>
        <w:t xml:space="preserve">so </w:t>
      </w:r>
      <w:r w:rsidR="007F530B" w:rsidRPr="001B3BA5">
        <w:rPr>
          <w:rFonts w:asciiTheme="majorBidi" w:hAnsiTheme="majorBidi" w:cstheme="majorBidi"/>
          <w:sz w:val="24"/>
          <w:szCs w:val="24"/>
          <w:lang w:val="en-GB"/>
        </w:rPr>
        <w:t>we focus on</w:t>
      </w:r>
      <w:r w:rsidR="00A87807" w:rsidRPr="001B3BA5">
        <w:rPr>
          <w:rFonts w:asciiTheme="majorBidi" w:hAnsiTheme="majorBidi" w:cstheme="majorBidi"/>
          <w:sz w:val="24"/>
          <w:szCs w:val="24"/>
          <w:lang w:val="en-GB"/>
        </w:rPr>
        <w:t xml:space="preserve"> it</w:t>
      </w:r>
      <w:r w:rsidRPr="001B3BA5">
        <w:rPr>
          <w:rFonts w:asciiTheme="majorBidi" w:hAnsiTheme="majorBidi" w:cstheme="majorBidi"/>
          <w:sz w:val="24"/>
          <w:szCs w:val="24"/>
          <w:lang w:val="en-GB"/>
        </w:rPr>
        <w:t>.</w:t>
      </w:r>
      <w:r w:rsidR="005340D4" w:rsidRPr="001B3BA5">
        <w:rPr>
          <w:rFonts w:asciiTheme="majorBidi" w:hAnsiTheme="majorBidi" w:cstheme="majorBidi"/>
          <w:sz w:val="24"/>
          <w:szCs w:val="24"/>
          <w:lang w:val="en-GB"/>
        </w:rPr>
        <w:t xml:space="preserve"> </w:t>
      </w:r>
      <w:r w:rsidR="007F530B" w:rsidRPr="001B3BA5">
        <w:rPr>
          <w:rFonts w:asciiTheme="majorBidi" w:hAnsiTheme="majorBidi" w:cstheme="majorBidi"/>
          <w:sz w:val="24"/>
          <w:szCs w:val="24"/>
          <w:lang w:val="en-GB"/>
        </w:rPr>
        <w:t>W</w:t>
      </w:r>
      <w:r w:rsidR="005340D4" w:rsidRPr="001B3BA5">
        <w:rPr>
          <w:rFonts w:asciiTheme="majorBidi" w:hAnsiTheme="majorBidi" w:cstheme="majorBidi"/>
          <w:sz w:val="24"/>
          <w:szCs w:val="24"/>
          <w:lang w:val="en-GB"/>
        </w:rPr>
        <w:t>e conceptual</w:t>
      </w:r>
      <w:r w:rsidR="008643F0" w:rsidRPr="001B3BA5">
        <w:rPr>
          <w:rFonts w:asciiTheme="majorBidi" w:hAnsiTheme="majorBidi" w:cstheme="majorBidi"/>
          <w:sz w:val="24"/>
          <w:szCs w:val="24"/>
          <w:lang w:val="en-GB"/>
        </w:rPr>
        <w:t>ise</w:t>
      </w:r>
      <w:r w:rsidR="005340D4" w:rsidRPr="001B3BA5">
        <w:rPr>
          <w:rFonts w:asciiTheme="majorBidi" w:hAnsiTheme="majorBidi" w:cstheme="majorBidi"/>
          <w:sz w:val="24"/>
          <w:szCs w:val="24"/>
          <w:lang w:val="en-GB"/>
        </w:rPr>
        <w:t xml:space="preserve"> </w:t>
      </w:r>
      <w:r w:rsidR="00DC01FF" w:rsidRPr="001B3BA5">
        <w:rPr>
          <w:rFonts w:asciiTheme="majorBidi" w:hAnsiTheme="majorBidi" w:cstheme="majorBidi"/>
          <w:i/>
          <w:sz w:val="24"/>
          <w:szCs w:val="24"/>
          <w:lang w:val="en-GB"/>
        </w:rPr>
        <w:t>exclusive determination right</w:t>
      </w:r>
      <w:r w:rsidR="005340D4" w:rsidRPr="001B3BA5">
        <w:rPr>
          <w:rFonts w:asciiTheme="majorBidi" w:hAnsiTheme="majorBidi" w:cstheme="majorBidi"/>
          <w:i/>
          <w:sz w:val="24"/>
          <w:szCs w:val="24"/>
          <w:lang w:val="en-GB"/>
        </w:rPr>
        <w:t xml:space="preserve"> </w:t>
      </w:r>
      <w:r w:rsidR="005340D4" w:rsidRPr="001B3BA5">
        <w:rPr>
          <w:rFonts w:asciiTheme="majorBidi" w:hAnsiTheme="majorBidi" w:cstheme="majorBidi"/>
          <w:sz w:val="24"/>
          <w:szCs w:val="24"/>
          <w:lang w:val="en-GB"/>
        </w:rPr>
        <w:t xml:space="preserve">as </w:t>
      </w:r>
      <w:r w:rsidR="003B0F37" w:rsidRPr="001B3BA5">
        <w:rPr>
          <w:rFonts w:asciiTheme="majorBidi" w:hAnsiTheme="majorBidi" w:cstheme="majorBidi"/>
          <w:sz w:val="24"/>
          <w:szCs w:val="24"/>
          <w:lang w:val="en-GB"/>
        </w:rPr>
        <w:t xml:space="preserve">an </w:t>
      </w:r>
      <w:r w:rsidR="001F1B42" w:rsidRPr="001B3BA5">
        <w:rPr>
          <w:rFonts w:asciiTheme="majorBidi" w:hAnsiTheme="majorBidi" w:cstheme="majorBidi"/>
          <w:sz w:val="24"/>
          <w:szCs w:val="24"/>
          <w:lang w:val="en-GB"/>
        </w:rPr>
        <w:t>owner’s</w:t>
      </w:r>
      <w:r w:rsidR="003B0F37"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right to </w:t>
      </w:r>
      <w:r w:rsidR="008B1553" w:rsidRPr="001B3BA5">
        <w:rPr>
          <w:rFonts w:asciiTheme="majorBidi" w:hAnsiTheme="majorBidi" w:cstheme="majorBidi"/>
          <w:sz w:val="24"/>
          <w:szCs w:val="24"/>
          <w:lang w:val="en-GB"/>
        </w:rPr>
        <w:t>determine</w:t>
      </w:r>
      <w:r w:rsidRPr="001B3BA5">
        <w:rPr>
          <w:rFonts w:asciiTheme="majorBidi" w:hAnsiTheme="majorBidi" w:cstheme="majorBidi"/>
          <w:sz w:val="24"/>
          <w:szCs w:val="24"/>
          <w:lang w:val="en-GB"/>
        </w:rPr>
        <w:t xml:space="preserve"> what happens with the </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property</w:t>
      </w:r>
      <w:r w:rsidR="00B146E8" w:rsidRPr="001B3BA5">
        <w:rPr>
          <w:rFonts w:asciiTheme="majorBidi" w:hAnsiTheme="majorBidi" w:cstheme="majorBidi"/>
          <w:sz w:val="24"/>
          <w:szCs w:val="24"/>
          <w:lang w:val="en-GB"/>
        </w:rPr>
        <w:t>’</w:t>
      </w:r>
      <w:r w:rsidR="00AA1B97" w:rsidRPr="001B3BA5">
        <w:rPr>
          <w:rFonts w:asciiTheme="majorBidi" w:hAnsiTheme="majorBidi" w:cstheme="majorBidi"/>
          <w:sz w:val="24"/>
          <w:szCs w:val="24"/>
          <w:lang w:val="en-GB"/>
        </w:rPr>
        <w:t>,</w:t>
      </w:r>
      <w:r w:rsidR="00A96A7A" w:rsidRPr="001B3BA5">
        <w:rPr>
          <w:rFonts w:asciiTheme="majorBidi" w:hAnsiTheme="majorBidi" w:cstheme="majorBidi"/>
          <w:sz w:val="24"/>
          <w:szCs w:val="24"/>
          <w:lang w:val="en-GB"/>
        </w:rPr>
        <w:t xml:space="preserve"> and hence to </w:t>
      </w:r>
      <w:r w:rsidR="00D5655D" w:rsidRPr="001B3BA5">
        <w:rPr>
          <w:rFonts w:asciiTheme="majorBidi" w:hAnsiTheme="majorBidi" w:cstheme="majorBidi"/>
          <w:sz w:val="24"/>
          <w:szCs w:val="24"/>
          <w:lang w:val="en-GB"/>
        </w:rPr>
        <w:t>exclude non-owners</w:t>
      </w:r>
      <w:r w:rsidRPr="001B3BA5">
        <w:rPr>
          <w:rFonts w:asciiTheme="majorBidi" w:hAnsiTheme="majorBidi" w:cstheme="majorBidi"/>
          <w:sz w:val="24"/>
          <w:szCs w:val="24"/>
          <w:lang w:val="en-GB"/>
        </w:rPr>
        <w:t xml:space="preserve"> (Katz, 2008).</w:t>
      </w:r>
      <w:r w:rsidR="00A84DA4" w:rsidRPr="001B3BA5">
        <w:rPr>
          <w:rFonts w:asciiTheme="majorBidi" w:hAnsiTheme="majorBidi" w:cstheme="majorBidi"/>
          <w:sz w:val="24"/>
          <w:szCs w:val="24"/>
          <w:lang w:val="en-GB"/>
        </w:rPr>
        <w:t xml:space="preserve"> </w:t>
      </w:r>
      <w:bookmarkStart w:id="2" w:name="_Hlk25832743"/>
      <w:r w:rsidR="007F530B" w:rsidRPr="001B3BA5">
        <w:rPr>
          <w:rFonts w:asciiTheme="majorBidi" w:hAnsiTheme="majorBidi" w:cstheme="majorBidi"/>
          <w:sz w:val="24"/>
          <w:szCs w:val="24"/>
          <w:lang w:val="en-GB"/>
        </w:rPr>
        <w:t xml:space="preserve">The idea that </w:t>
      </w:r>
      <w:r w:rsidR="00681018" w:rsidRPr="001B3BA5">
        <w:rPr>
          <w:rFonts w:asciiTheme="majorBidi" w:hAnsiTheme="majorBidi" w:cstheme="majorBidi"/>
          <w:sz w:val="24"/>
          <w:szCs w:val="24"/>
          <w:lang w:val="en-GB"/>
        </w:rPr>
        <w:t>‘</w:t>
      </w:r>
      <w:r w:rsidR="007F530B" w:rsidRPr="001B3BA5">
        <w:rPr>
          <w:rFonts w:asciiTheme="majorBidi" w:hAnsiTheme="majorBidi" w:cstheme="majorBidi"/>
          <w:sz w:val="24"/>
          <w:szCs w:val="24"/>
          <w:lang w:val="en-GB"/>
        </w:rPr>
        <w:t>t</w:t>
      </w:r>
      <w:r w:rsidR="00681018" w:rsidRPr="001B3BA5">
        <w:rPr>
          <w:rFonts w:asciiTheme="majorBidi" w:hAnsiTheme="majorBidi" w:cstheme="majorBidi"/>
          <w:sz w:val="24"/>
          <w:szCs w:val="24"/>
          <w:lang w:val="en-GB"/>
        </w:rPr>
        <w:t>he peop</w:t>
      </w:r>
      <w:r w:rsidR="00AD6A19" w:rsidRPr="001B3BA5">
        <w:rPr>
          <w:rFonts w:asciiTheme="majorBidi" w:hAnsiTheme="majorBidi" w:cstheme="majorBidi"/>
          <w:sz w:val="24"/>
          <w:szCs w:val="24"/>
          <w:lang w:val="en-GB"/>
        </w:rPr>
        <w:t>le</w:t>
      </w:r>
      <w:r w:rsidR="00681018" w:rsidRPr="001B3BA5">
        <w:rPr>
          <w:rFonts w:asciiTheme="majorBidi" w:hAnsiTheme="majorBidi" w:cstheme="majorBidi"/>
          <w:sz w:val="24"/>
          <w:szCs w:val="24"/>
          <w:lang w:val="en-GB"/>
        </w:rPr>
        <w:t>’</w:t>
      </w:r>
      <w:r w:rsidR="00AD6A19" w:rsidRPr="001B3BA5">
        <w:rPr>
          <w:rFonts w:asciiTheme="majorBidi" w:hAnsiTheme="majorBidi" w:cstheme="majorBidi"/>
          <w:sz w:val="24"/>
          <w:szCs w:val="24"/>
          <w:lang w:val="en-GB"/>
        </w:rPr>
        <w:t xml:space="preserve"> </w:t>
      </w:r>
      <w:r w:rsidR="00A97FEE" w:rsidRPr="001B3BA5">
        <w:rPr>
          <w:rFonts w:asciiTheme="majorBidi" w:hAnsiTheme="majorBidi" w:cstheme="majorBidi"/>
          <w:sz w:val="24"/>
          <w:szCs w:val="24"/>
          <w:lang w:val="en-GB"/>
        </w:rPr>
        <w:t>hav</w:t>
      </w:r>
      <w:r w:rsidR="007F530B" w:rsidRPr="001B3BA5">
        <w:rPr>
          <w:rFonts w:asciiTheme="majorBidi" w:hAnsiTheme="majorBidi" w:cstheme="majorBidi"/>
          <w:sz w:val="24"/>
          <w:szCs w:val="24"/>
          <w:lang w:val="en-GB"/>
        </w:rPr>
        <w:t>e</w:t>
      </w:r>
      <w:r w:rsidR="00A97FEE" w:rsidRPr="001B3BA5">
        <w:rPr>
          <w:rFonts w:asciiTheme="majorBidi" w:hAnsiTheme="majorBidi" w:cstheme="majorBidi"/>
          <w:sz w:val="24"/>
          <w:szCs w:val="24"/>
          <w:lang w:val="en-GB"/>
        </w:rPr>
        <w:t xml:space="preserve"> the exclusive right to determine the </w:t>
      </w:r>
      <w:r w:rsidR="00AD6A19" w:rsidRPr="001B3BA5">
        <w:rPr>
          <w:rFonts w:asciiTheme="majorBidi" w:hAnsiTheme="majorBidi" w:cstheme="majorBidi"/>
          <w:sz w:val="24"/>
          <w:szCs w:val="24"/>
          <w:lang w:val="en-GB"/>
        </w:rPr>
        <w:t xml:space="preserve">fate of the nation </w:t>
      </w:r>
      <w:r w:rsidR="00A97FEE" w:rsidRPr="001B3BA5">
        <w:rPr>
          <w:rFonts w:asciiTheme="majorBidi" w:hAnsiTheme="majorBidi" w:cstheme="majorBidi"/>
          <w:sz w:val="24"/>
          <w:szCs w:val="24"/>
          <w:lang w:val="en-GB"/>
        </w:rPr>
        <w:t>lies at the heart of</w:t>
      </w:r>
      <w:r w:rsidR="00AD6A19" w:rsidRPr="001B3BA5">
        <w:rPr>
          <w:rFonts w:asciiTheme="majorBidi" w:hAnsiTheme="majorBidi" w:cstheme="majorBidi"/>
          <w:sz w:val="24"/>
          <w:szCs w:val="24"/>
          <w:lang w:val="en-GB"/>
        </w:rPr>
        <w:t xml:space="preserve"> populism</w:t>
      </w:r>
      <w:r w:rsidR="004F251E" w:rsidRPr="001B3BA5">
        <w:rPr>
          <w:rFonts w:asciiTheme="majorBidi" w:hAnsiTheme="majorBidi" w:cstheme="majorBidi"/>
          <w:sz w:val="24"/>
          <w:szCs w:val="24"/>
          <w:lang w:val="en-GB"/>
        </w:rPr>
        <w:t xml:space="preserve"> </w:t>
      </w:r>
      <w:r w:rsidR="004F251E" w:rsidRPr="001B3BA5">
        <w:rPr>
          <w:rFonts w:asciiTheme="majorBidi" w:hAnsiTheme="majorBidi" w:cstheme="majorBidi"/>
          <w:sz w:val="24"/>
          <w:szCs w:val="24"/>
          <w:lang w:val="en-GB"/>
        </w:rPr>
        <w:fldChar w:fldCharType="begin"/>
      </w:r>
      <w:r w:rsidR="0052482B" w:rsidRPr="001B3BA5">
        <w:rPr>
          <w:rFonts w:asciiTheme="majorBidi" w:hAnsiTheme="majorBidi" w:cstheme="majorBidi"/>
          <w:sz w:val="24"/>
          <w:szCs w:val="24"/>
          <w:lang w:val="en-GB"/>
        </w:rPr>
        <w:instrText xml:space="preserve"> ADDIN EN.CITE &lt;EndNote&gt;&lt;Cite&gt;&lt;Author&gt;Akkerman&lt;/Author&gt;&lt;Year&gt;2013&lt;/Year&gt;&lt;RecNum&gt;1237&lt;/RecNum&gt;&lt;DisplayText&gt;(Akkerman, Mudde, &amp;amp; Zaslove, 2013; Mudde, 2010)&lt;/DisplayText&gt;&lt;record&gt;&lt;rec-number&gt;1237&lt;/rec-number&gt;&lt;foreign-keys&gt;&lt;key app="EN" db-id="es92r5v5dve2z0erx59pv50vtp29v0t9ef5f" timestamp="1526470430"&gt;1237&lt;/key&gt;&lt;key app="ENWeb" db-id=""&gt;0&lt;/key&gt;&lt;/foreign-keys&gt;&lt;ref-type name="Journal Article"&gt;17&lt;/ref-type&gt;&lt;contributors&gt;&lt;authors&gt;&lt;author&gt;Akkerman, Agnes&lt;/author&gt;&lt;author&gt;Mudde, Cas&lt;/author&gt;&lt;author&gt;Zaslove, Andrej&lt;/author&gt;&lt;/authors&gt;&lt;/contributors&gt;&lt;titles&gt;&lt;title&gt;How populist are the people? Measuring populist attitudes in voters&lt;/title&gt;&lt;secondary-title&gt;Comparative Political Studies&lt;/secondary-title&gt;&lt;/titles&gt;&lt;periodical&gt;&lt;full-title&gt;Comparative Political Studies&lt;/full-title&gt;&lt;/periodical&gt;&lt;pages&gt;1324-1353&lt;/pages&gt;&lt;volume&gt;47&lt;/volume&gt;&lt;number&gt;9&lt;/number&gt;&lt;dates&gt;&lt;year&gt;2013&lt;/year&gt;&lt;/dates&gt;&lt;isbn&gt;0010-4140&amp;#xD;1552-3829&lt;/isbn&gt;&lt;urls&gt;&lt;/urls&gt;&lt;electronic-resource-num&gt;10.1177/0010414013512600&lt;/electronic-resource-num&gt;&lt;/record&gt;&lt;/Cite&gt;&lt;Cite&gt;&lt;Author&gt;Mudde&lt;/Author&gt;&lt;Year&gt;2010&lt;/Year&gt;&lt;RecNum&gt;1294&lt;/RecNum&gt;&lt;record&gt;&lt;rec-number&gt;1294&lt;/rec-number&gt;&lt;foreign-keys&gt;&lt;key app="EN" db-id="es92r5v5dve2z0erx59pv50vtp29v0t9ef5f" timestamp="1530796733"&gt;1294&lt;/key&gt;&lt;key app="ENWeb" db-id=""&gt;0&lt;/key&gt;&lt;/foreign-keys&gt;&lt;ref-type name="Journal Article"&gt;17&lt;/ref-type&gt;&lt;contributors&gt;&lt;authors&gt;&lt;author&gt;Mudde, Cas&lt;/author&gt;&lt;/authors&gt;&lt;/contributors&gt;&lt;titles&gt;&lt;title&gt;The populist radical right: A pathological normalcy&lt;/title&gt;&lt;secondary-title&gt;West European Politics&lt;/secondary-title&gt;&lt;/titles&gt;&lt;periodical&gt;&lt;full-title&gt;West European Politics&lt;/full-title&gt;&lt;/periodical&gt;&lt;pages&gt;1167-1186&lt;/pages&gt;&lt;volume&gt;33&lt;/volume&gt;&lt;number&gt;6&lt;/number&gt;&lt;dates&gt;&lt;year&gt;2010&lt;/year&gt;&lt;/dates&gt;&lt;isbn&gt;0140-2382&amp;#xD;1743-9655&lt;/isbn&gt;&lt;urls&gt;&lt;/urls&gt;&lt;electronic-resource-num&gt;10.1080/01402382.2010.508901&lt;/electronic-resource-num&gt;&lt;/record&gt;&lt;/Cite&gt;&lt;/EndNote&gt;</w:instrText>
      </w:r>
      <w:r w:rsidR="004F251E" w:rsidRPr="001B3BA5">
        <w:rPr>
          <w:rFonts w:asciiTheme="majorBidi" w:hAnsiTheme="majorBidi" w:cstheme="majorBidi"/>
          <w:sz w:val="24"/>
          <w:szCs w:val="24"/>
          <w:lang w:val="en-GB"/>
        </w:rPr>
        <w:fldChar w:fldCharType="separate"/>
      </w:r>
      <w:r w:rsidR="004F251E" w:rsidRPr="001B3BA5">
        <w:rPr>
          <w:rFonts w:asciiTheme="majorBidi" w:hAnsiTheme="majorBidi" w:cstheme="majorBidi"/>
          <w:noProof/>
          <w:sz w:val="24"/>
          <w:szCs w:val="24"/>
          <w:lang w:val="en-GB"/>
        </w:rPr>
        <w:t>(Akkerman, Mudde, &amp; Zaslove, 2013; Mudde, 2010)</w:t>
      </w:r>
      <w:r w:rsidR="004F251E" w:rsidRPr="001B3BA5">
        <w:rPr>
          <w:rFonts w:asciiTheme="majorBidi" w:hAnsiTheme="majorBidi" w:cstheme="majorBidi"/>
          <w:sz w:val="24"/>
          <w:szCs w:val="24"/>
          <w:lang w:val="en-GB"/>
        </w:rPr>
        <w:fldChar w:fldCharType="end"/>
      </w:r>
      <w:r w:rsidR="00AD6A19" w:rsidRPr="001B3BA5">
        <w:rPr>
          <w:rFonts w:asciiTheme="majorBidi" w:hAnsiTheme="majorBidi" w:cstheme="majorBidi"/>
          <w:sz w:val="24"/>
          <w:szCs w:val="24"/>
          <w:lang w:val="en-GB"/>
        </w:rPr>
        <w:t>.</w:t>
      </w:r>
      <w:r w:rsidR="00210B06" w:rsidRPr="001B3BA5">
        <w:rPr>
          <w:rFonts w:asciiTheme="majorBidi" w:hAnsiTheme="majorBidi" w:cstheme="majorBidi"/>
          <w:sz w:val="24"/>
          <w:szCs w:val="24"/>
          <w:lang w:val="en-GB"/>
        </w:rPr>
        <w:t xml:space="preserve"> </w:t>
      </w:r>
      <w:r w:rsidR="00681428" w:rsidRPr="001B3BA5">
        <w:rPr>
          <w:rFonts w:asciiTheme="majorBidi" w:hAnsiTheme="majorBidi" w:cstheme="majorBidi"/>
          <w:sz w:val="24"/>
          <w:szCs w:val="24"/>
          <w:lang w:val="en-GB"/>
        </w:rPr>
        <w:t>This right</w:t>
      </w:r>
      <w:r w:rsidR="0069043E" w:rsidRPr="001B3BA5">
        <w:rPr>
          <w:rFonts w:asciiTheme="majorBidi" w:hAnsiTheme="majorBidi" w:cstheme="majorBidi"/>
          <w:sz w:val="24"/>
          <w:szCs w:val="24"/>
          <w:lang w:val="en-GB"/>
        </w:rPr>
        <w:t xml:space="preserve"> </w:t>
      </w:r>
      <w:r w:rsidR="00A87807" w:rsidRPr="001B3BA5">
        <w:rPr>
          <w:rFonts w:asciiTheme="majorBidi" w:hAnsiTheme="majorBidi" w:cstheme="majorBidi"/>
          <w:sz w:val="24"/>
          <w:szCs w:val="24"/>
          <w:lang w:val="en-GB"/>
        </w:rPr>
        <w:t xml:space="preserve">affords </w:t>
      </w:r>
      <w:r w:rsidR="0069043E" w:rsidRPr="001B3BA5">
        <w:rPr>
          <w:rFonts w:asciiTheme="majorBidi" w:hAnsiTheme="majorBidi" w:cstheme="majorBidi"/>
          <w:sz w:val="24"/>
          <w:szCs w:val="24"/>
          <w:lang w:val="en-GB"/>
        </w:rPr>
        <w:t xml:space="preserve">a sense of </w:t>
      </w:r>
      <w:r w:rsidR="0064071A" w:rsidRPr="001B3BA5">
        <w:rPr>
          <w:rFonts w:asciiTheme="majorBidi" w:hAnsiTheme="majorBidi" w:cstheme="majorBidi"/>
          <w:sz w:val="24"/>
          <w:szCs w:val="24"/>
          <w:lang w:val="en-GB"/>
        </w:rPr>
        <w:t xml:space="preserve">power and </w:t>
      </w:r>
      <w:r w:rsidR="0069043E" w:rsidRPr="001B3BA5">
        <w:rPr>
          <w:rFonts w:asciiTheme="majorBidi" w:hAnsiTheme="majorBidi" w:cstheme="majorBidi"/>
          <w:sz w:val="24"/>
          <w:szCs w:val="24"/>
          <w:lang w:val="en-GB"/>
        </w:rPr>
        <w:t>control</w:t>
      </w:r>
      <w:r w:rsidR="00A87807" w:rsidRPr="001B3BA5">
        <w:rPr>
          <w:rFonts w:asciiTheme="majorBidi" w:hAnsiTheme="majorBidi" w:cstheme="majorBidi"/>
          <w:sz w:val="24"/>
          <w:szCs w:val="24"/>
          <w:lang w:val="en-GB"/>
        </w:rPr>
        <w:t>,</w:t>
      </w:r>
      <w:r w:rsidR="0069043E" w:rsidRPr="001B3BA5">
        <w:rPr>
          <w:rFonts w:asciiTheme="majorBidi" w:hAnsiTheme="majorBidi" w:cstheme="majorBidi"/>
          <w:sz w:val="24"/>
          <w:szCs w:val="24"/>
          <w:lang w:val="en-GB"/>
        </w:rPr>
        <w:t xml:space="preserve"> </w:t>
      </w:r>
      <w:r w:rsidR="0072660F" w:rsidRPr="001B3BA5">
        <w:rPr>
          <w:rFonts w:asciiTheme="majorBidi" w:hAnsiTheme="majorBidi" w:cstheme="majorBidi"/>
          <w:sz w:val="24"/>
          <w:szCs w:val="24"/>
          <w:lang w:val="en-GB"/>
        </w:rPr>
        <w:t xml:space="preserve">which is part of the psychology of possession and </w:t>
      </w:r>
      <w:r w:rsidR="00981400" w:rsidRPr="001B3BA5">
        <w:rPr>
          <w:rFonts w:asciiTheme="majorBidi" w:hAnsiTheme="majorBidi" w:cstheme="majorBidi"/>
          <w:sz w:val="24"/>
          <w:szCs w:val="24"/>
          <w:lang w:val="en-GB"/>
        </w:rPr>
        <w:t>a</w:t>
      </w:r>
      <w:r w:rsidR="0069043E" w:rsidRPr="001B3BA5">
        <w:rPr>
          <w:rFonts w:asciiTheme="majorBidi" w:hAnsiTheme="majorBidi" w:cstheme="majorBidi"/>
          <w:sz w:val="24"/>
          <w:szCs w:val="24"/>
          <w:lang w:val="en-GB"/>
        </w:rPr>
        <w:t xml:space="preserve"> c</w:t>
      </w:r>
      <w:r w:rsidR="0064071A" w:rsidRPr="001B3BA5">
        <w:rPr>
          <w:rFonts w:asciiTheme="majorBidi" w:hAnsiTheme="majorBidi" w:cstheme="majorBidi"/>
          <w:sz w:val="24"/>
          <w:szCs w:val="24"/>
          <w:lang w:val="en-GB"/>
        </w:rPr>
        <w:t>entral</w:t>
      </w:r>
      <w:r w:rsidR="0069043E" w:rsidRPr="001B3BA5">
        <w:rPr>
          <w:rFonts w:asciiTheme="majorBidi" w:hAnsiTheme="majorBidi" w:cstheme="majorBidi"/>
          <w:sz w:val="24"/>
          <w:szCs w:val="24"/>
          <w:lang w:val="en-GB"/>
        </w:rPr>
        <w:t xml:space="preserve"> motive </w:t>
      </w:r>
      <w:r w:rsidR="00981400" w:rsidRPr="001B3BA5">
        <w:rPr>
          <w:rFonts w:asciiTheme="majorBidi" w:hAnsiTheme="majorBidi" w:cstheme="majorBidi"/>
          <w:sz w:val="24"/>
          <w:szCs w:val="24"/>
          <w:lang w:val="en-GB"/>
        </w:rPr>
        <w:t xml:space="preserve">behind the endorsement of </w:t>
      </w:r>
      <w:r w:rsidR="00681428" w:rsidRPr="001B3BA5">
        <w:rPr>
          <w:rFonts w:asciiTheme="majorBidi" w:hAnsiTheme="majorBidi" w:cstheme="majorBidi"/>
          <w:sz w:val="24"/>
          <w:szCs w:val="24"/>
          <w:lang w:val="en-GB"/>
        </w:rPr>
        <w:t xml:space="preserve">CPO </w:t>
      </w:r>
      <w:r w:rsidR="004F251E" w:rsidRPr="001B3BA5">
        <w:rPr>
          <w:rFonts w:asciiTheme="majorBidi" w:hAnsiTheme="majorBidi" w:cstheme="majorBidi"/>
          <w:sz w:val="24"/>
          <w:szCs w:val="24"/>
          <w:lang w:val="en-GB"/>
        </w:rPr>
        <w:fldChar w:fldCharType="begin">
          <w:fldData xml:space="preserve">PEVuZE5vdGU+PENpdGU+PEF1dGhvcj5Sb2NoYXQ8L0F1dGhvcj48WWVhcj4yMDE0PC9ZZWFyPjxS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</w:fldData>
        </w:fldChar>
      </w:r>
      <w:r w:rsidR="004F251E" w:rsidRPr="001B3BA5">
        <w:rPr>
          <w:rFonts w:asciiTheme="majorBidi" w:hAnsiTheme="majorBidi" w:cstheme="majorBidi"/>
          <w:sz w:val="24"/>
          <w:szCs w:val="24"/>
          <w:lang w:val="en-GB"/>
        </w:rPr>
        <w:instrText xml:space="preserve"> ADDIN EN.CITE </w:instrText>
      </w:r>
      <w:r w:rsidR="004F251E" w:rsidRPr="001B3BA5">
        <w:rPr>
          <w:rFonts w:asciiTheme="majorBidi" w:hAnsiTheme="majorBidi" w:cstheme="majorBidi"/>
          <w:sz w:val="24"/>
          <w:szCs w:val="24"/>
          <w:lang w:val="en-GB"/>
        </w:rPr>
        <w:fldChar w:fldCharType="begin">
          <w:fldData xml:space="preserve">PEVuZE5vdGU+PENpdGU+PEF1dGhvcj5Sb2NoYXQ8L0F1dGhvcj48WWVhcj4yMDE0PC9ZZWFyPjxS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</w:fldData>
        </w:fldChar>
      </w:r>
      <w:r w:rsidR="004F251E" w:rsidRPr="001B3BA5">
        <w:rPr>
          <w:rFonts w:asciiTheme="majorBidi" w:hAnsiTheme="majorBidi" w:cstheme="majorBidi"/>
          <w:sz w:val="24"/>
          <w:szCs w:val="24"/>
          <w:lang w:val="en-GB"/>
        </w:rPr>
        <w:instrText xml:space="preserve"> ADDIN EN.CITE.DATA </w:instrText>
      </w:r>
      <w:r w:rsidR="004F251E" w:rsidRPr="001B3BA5">
        <w:rPr>
          <w:rFonts w:asciiTheme="majorBidi" w:hAnsiTheme="majorBidi" w:cstheme="majorBidi"/>
          <w:sz w:val="24"/>
          <w:szCs w:val="24"/>
          <w:lang w:val="en-GB"/>
        </w:rPr>
      </w:r>
      <w:r w:rsidR="004F251E" w:rsidRPr="001B3BA5">
        <w:rPr>
          <w:rFonts w:asciiTheme="majorBidi" w:hAnsiTheme="majorBidi" w:cstheme="majorBidi"/>
          <w:sz w:val="24"/>
          <w:szCs w:val="24"/>
          <w:lang w:val="en-GB"/>
        </w:rPr>
        <w:fldChar w:fldCharType="end"/>
      </w:r>
      <w:r w:rsidR="004F251E" w:rsidRPr="001B3BA5">
        <w:rPr>
          <w:rFonts w:asciiTheme="majorBidi" w:hAnsiTheme="majorBidi" w:cstheme="majorBidi"/>
          <w:sz w:val="24"/>
          <w:szCs w:val="24"/>
          <w:lang w:val="en-GB"/>
        </w:rPr>
      </w:r>
      <w:r w:rsidR="004F251E" w:rsidRPr="001B3BA5">
        <w:rPr>
          <w:rFonts w:asciiTheme="majorBidi" w:hAnsiTheme="majorBidi" w:cstheme="majorBidi"/>
          <w:sz w:val="24"/>
          <w:szCs w:val="24"/>
          <w:lang w:val="en-GB"/>
        </w:rPr>
        <w:fldChar w:fldCharType="separate"/>
      </w:r>
      <w:r w:rsidR="004F251E" w:rsidRPr="001B3BA5">
        <w:rPr>
          <w:rFonts w:asciiTheme="majorBidi" w:hAnsiTheme="majorBidi" w:cstheme="majorBidi"/>
          <w:noProof/>
          <w:sz w:val="24"/>
          <w:szCs w:val="24"/>
          <w:lang w:val="en-GB"/>
        </w:rPr>
        <w:t>(Rochat, 2014; Verkuyten &amp; Martinovic, 2017)</w:t>
      </w:r>
      <w:r w:rsidR="004F251E" w:rsidRPr="001B3BA5">
        <w:rPr>
          <w:rFonts w:asciiTheme="majorBidi" w:hAnsiTheme="majorBidi" w:cstheme="majorBidi"/>
          <w:sz w:val="24"/>
          <w:szCs w:val="24"/>
          <w:lang w:val="en-GB"/>
        </w:rPr>
        <w:fldChar w:fldCharType="end"/>
      </w:r>
      <w:r w:rsidR="0069043E" w:rsidRPr="001B3BA5">
        <w:rPr>
          <w:rFonts w:asciiTheme="majorBidi" w:hAnsiTheme="majorBidi" w:cstheme="majorBidi"/>
          <w:sz w:val="24"/>
          <w:szCs w:val="24"/>
          <w:lang w:val="en-GB"/>
        </w:rPr>
        <w:t xml:space="preserve">. </w:t>
      </w:r>
      <w:r w:rsidR="001774EB" w:rsidRPr="001B3BA5">
        <w:rPr>
          <w:rFonts w:asciiTheme="majorBidi" w:hAnsiTheme="majorBidi" w:cstheme="majorBidi"/>
          <w:sz w:val="24"/>
          <w:szCs w:val="24"/>
          <w:lang w:val="en-GB"/>
        </w:rPr>
        <w:t>Give</w:t>
      </w:r>
      <w:r w:rsidR="008B1553" w:rsidRPr="001B3BA5">
        <w:rPr>
          <w:rFonts w:asciiTheme="majorBidi" w:hAnsiTheme="majorBidi" w:cstheme="majorBidi"/>
          <w:sz w:val="24"/>
          <w:szCs w:val="24"/>
          <w:lang w:val="en-GB"/>
        </w:rPr>
        <w:t>n</w:t>
      </w:r>
      <w:r w:rsidR="001774EB" w:rsidRPr="001B3BA5">
        <w:rPr>
          <w:rFonts w:asciiTheme="majorBidi" w:hAnsiTheme="majorBidi" w:cstheme="majorBidi"/>
          <w:sz w:val="24"/>
          <w:szCs w:val="24"/>
          <w:lang w:val="en-GB"/>
        </w:rPr>
        <w:t xml:space="preserve"> that</w:t>
      </w:r>
      <w:r w:rsidR="00DA79B6" w:rsidRPr="001B3BA5">
        <w:rPr>
          <w:rFonts w:asciiTheme="majorBidi" w:hAnsiTheme="majorBidi" w:cstheme="majorBidi"/>
          <w:sz w:val="24"/>
          <w:szCs w:val="24"/>
          <w:lang w:val="en-GB"/>
        </w:rPr>
        <w:t xml:space="preserve"> ownership contains </w:t>
      </w:r>
      <w:r w:rsidR="00A87807" w:rsidRPr="001B3BA5">
        <w:rPr>
          <w:rFonts w:asciiTheme="majorBidi" w:hAnsiTheme="majorBidi" w:cstheme="majorBidi"/>
          <w:sz w:val="24"/>
          <w:szCs w:val="24"/>
          <w:lang w:val="en-GB"/>
        </w:rPr>
        <w:t xml:space="preserve">not only </w:t>
      </w:r>
      <w:r w:rsidR="00DA79B6" w:rsidRPr="001B3BA5">
        <w:rPr>
          <w:rFonts w:asciiTheme="majorBidi" w:hAnsiTheme="majorBidi" w:cstheme="majorBidi"/>
          <w:sz w:val="24"/>
          <w:szCs w:val="24"/>
          <w:lang w:val="en-GB"/>
        </w:rPr>
        <w:t>the exclusive determination right, but also other rights</w:t>
      </w:r>
      <w:r w:rsidR="001B3BA5">
        <w:rPr>
          <w:rFonts w:asciiTheme="majorBidi" w:hAnsiTheme="majorBidi" w:cstheme="majorBidi"/>
          <w:sz w:val="24"/>
          <w:szCs w:val="24"/>
          <w:lang w:val="en-GB"/>
        </w:rPr>
        <w:t xml:space="preserve"> </w:t>
      </w:r>
      <w:r w:rsidR="001B3BA5">
        <w:rPr>
          <w:rFonts w:asciiTheme="majorBidi" w:hAnsiTheme="majorBidi" w:cstheme="majorBidi"/>
          <w:sz w:val="24"/>
          <w:szCs w:val="24"/>
          <w:lang w:val="en-GB"/>
        </w:rPr>
        <w:fldChar w:fldCharType="begin"/>
      </w:r>
      <w:r w:rsidR="001B3BA5">
        <w:rPr>
          <w:rFonts w:asciiTheme="majorBidi" w:hAnsiTheme="majorBidi" w:cstheme="majorBidi"/>
          <w:sz w:val="24"/>
          <w:szCs w:val="24"/>
          <w:lang w:val="en-GB"/>
        </w:rPr>
        <w:instrText xml:space="preserve"> ADDIN EN.CITE &lt;EndNote&gt;&lt;Cite&gt;&lt;Author&gt;Snare&lt;/Author&gt;&lt;Year&gt;1972&lt;/Year&gt;&lt;RecNum&gt;1154&lt;/RecNum&gt;&lt;Prefix&gt;right to use and transfer`; &lt;/Prefix&gt;&lt;DisplayText&gt;(right to use and transfer; Snare, 1972)&lt;/DisplayText&gt;&lt;record&gt;&lt;rec-number&gt;1154&lt;/rec-number&gt;&lt;foreign-keys&gt;&lt;key app="EN" db-id="es92r5v5dve2z0erx59pv50vtp29v0t9ef5f" timestamp="1515427830"&gt;1154&lt;/key&gt;&lt;/foreign-keys&gt;&lt;ref-type name="Journal Article"&gt;17&lt;/ref-type&gt;&lt;contributors&gt;&lt;authors&gt;&lt;author&gt;Snare, Frank&lt;/author&gt;&lt;/authors&gt;&lt;/contributors&gt;&lt;titles&gt;&lt;title&gt;The concept of property&lt;/title&gt;&lt;secondary-title&gt;American Philosophical Quarterly&lt;/secondary-title&gt;&lt;/titles&gt;&lt;periodical&gt;&lt;full-title&gt;American Philosophical Quarterly&lt;/full-title&gt;&lt;/periodical&gt;&lt;pages&gt;200-206&lt;/pages&gt;&lt;volume&gt;9&lt;/volume&gt;&lt;number&gt;2&lt;/number&gt;&lt;dates&gt;&lt;year&gt;1972&lt;/year&gt;&lt;/dates&gt;&lt;isbn&gt;0003-0481&lt;/isbn&gt;&lt;urls&gt;&lt;/urls&gt;&lt;/record&gt;&lt;/Cite&gt;&lt;/EndNote&gt;</w:instrText>
      </w:r>
      <w:r w:rsidR="001B3BA5">
        <w:rPr>
          <w:rFonts w:asciiTheme="majorBidi" w:hAnsiTheme="majorBidi" w:cstheme="majorBidi"/>
          <w:sz w:val="24"/>
          <w:szCs w:val="24"/>
          <w:lang w:val="en-GB"/>
        </w:rPr>
        <w:fldChar w:fldCharType="separate"/>
      </w:r>
      <w:r w:rsidR="001B3BA5">
        <w:rPr>
          <w:rFonts w:asciiTheme="majorBidi" w:hAnsiTheme="majorBidi" w:cstheme="majorBidi"/>
          <w:noProof/>
          <w:sz w:val="24"/>
          <w:szCs w:val="24"/>
          <w:lang w:val="en-GB"/>
        </w:rPr>
        <w:t>(right to use and transfer; Snare, 1972)</w:t>
      </w:r>
      <w:r w:rsidR="001B3BA5">
        <w:rPr>
          <w:rFonts w:asciiTheme="majorBidi" w:hAnsiTheme="majorBidi" w:cstheme="majorBidi"/>
          <w:sz w:val="24"/>
          <w:szCs w:val="24"/>
          <w:lang w:val="en-GB"/>
        </w:rPr>
        <w:fldChar w:fldCharType="end"/>
      </w:r>
      <w:r w:rsidR="001774EB" w:rsidRPr="001B3BA5">
        <w:rPr>
          <w:rFonts w:asciiTheme="majorBidi" w:hAnsiTheme="majorBidi" w:cstheme="majorBidi"/>
          <w:sz w:val="24"/>
          <w:szCs w:val="24"/>
          <w:lang w:val="en-GB"/>
        </w:rPr>
        <w:t>,</w:t>
      </w:r>
      <w:r w:rsidR="00A84DA4" w:rsidRPr="001B3BA5">
        <w:rPr>
          <w:rFonts w:asciiTheme="majorBidi" w:hAnsiTheme="majorBidi" w:cstheme="majorBidi"/>
          <w:sz w:val="24"/>
          <w:szCs w:val="24"/>
          <w:lang w:val="en-GB"/>
        </w:rPr>
        <w:t xml:space="preserve"> </w:t>
      </w:r>
      <w:r w:rsidR="001774EB" w:rsidRPr="001B3BA5">
        <w:rPr>
          <w:rFonts w:asciiTheme="majorBidi" w:hAnsiTheme="majorBidi" w:cstheme="majorBidi"/>
          <w:sz w:val="24"/>
          <w:szCs w:val="24"/>
          <w:lang w:val="en-GB"/>
        </w:rPr>
        <w:t xml:space="preserve">we distinguish conceptually </w:t>
      </w:r>
      <w:r w:rsidR="004D6803" w:rsidRPr="001B3BA5">
        <w:rPr>
          <w:rFonts w:asciiTheme="majorBidi" w:hAnsiTheme="majorBidi" w:cstheme="majorBidi"/>
          <w:sz w:val="24"/>
          <w:szCs w:val="24"/>
          <w:lang w:val="en-GB"/>
        </w:rPr>
        <w:t xml:space="preserve">and empirically </w:t>
      </w:r>
      <w:r w:rsidR="001774EB" w:rsidRPr="001B3BA5">
        <w:rPr>
          <w:rFonts w:asciiTheme="majorBidi" w:hAnsiTheme="majorBidi" w:cstheme="majorBidi"/>
          <w:sz w:val="24"/>
          <w:szCs w:val="24"/>
          <w:lang w:val="en-GB"/>
        </w:rPr>
        <w:t>between</w:t>
      </w:r>
      <w:r w:rsidR="00C664C6" w:rsidRPr="001B3BA5">
        <w:rPr>
          <w:rFonts w:asciiTheme="majorBidi" w:hAnsiTheme="majorBidi" w:cstheme="majorBidi"/>
          <w:sz w:val="24"/>
          <w:szCs w:val="24"/>
          <w:lang w:val="en-GB"/>
        </w:rPr>
        <w:t xml:space="preserve"> </w:t>
      </w:r>
      <w:r w:rsidR="00B41B02" w:rsidRPr="001B3BA5">
        <w:rPr>
          <w:rFonts w:asciiTheme="majorBidi" w:hAnsiTheme="majorBidi" w:cstheme="majorBidi"/>
          <w:sz w:val="24"/>
          <w:szCs w:val="24"/>
          <w:lang w:val="en-GB"/>
        </w:rPr>
        <w:t>CPO</w:t>
      </w:r>
      <w:r w:rsidR="00C664C6" w:rsidRPr="001B3BA5">
        <w:rPr>
          <w:rFonts w:asciiTheme="majorBidi" w:hAnsiTheme="majorBidi" w:cstheme="majorBidi"/>
          <w:sz w:val="24"/>
          <w:szCs w:val="24"/>
          <w:lang w:val="en-GB"/>
        </w:rPr>
        <w:t xml:space="preserve"> and</w:t>
      </w:r>
      <w:r w:rsidR="004F117F" w:rsidRPr="001B3BA5">
        <w:rPr>
          <w:rFonts w:asciiTheme="majorBidi" w:hAnsiTheme="majorBidi" w:cstheme="majorBidi"/>
          <w:sz w:val="24"/>
          <w:szCs w:val="24"/>
          <w:lang w:val="en-GB"/>
        </w:rPr>
        <w:t xml:space="preserve"> </w:t>
      </w:r>
      <w:r w:rsidR="00DC01FF" w:rsidRPr="001B3BA5">
        <w:rPr>
          <w:rFonts w:asciiTheme="majorBidi" w:hAnsiTheme="majorBidi" w:cstheme="majorBidi"/>
          <w:sz w:val="24"/>
          <w:szCs w:val="24"/>
          <w:lang w:val="en-GB"/>
        </w:rPr>
        <w:t>exclusive determination right</w:t>
      </w:r>
      <w:r w:rsidR="001774EB" w:rsidRPr="001B3BA5">
        <w:rPr>
          <w:rFonts w:asciiTheme="majorBidi" w:hAnsiTheme="majorBidi" w:cstheme="majorBidi"/>
          <w:sz w:val="24"/>
          <w:szCs w:val="24"/>
          <w:lang w:val="en-GB"/>
        </w:rPr>
        <w:t xml:space="preserve">, while acknowledging </w:t>
      </w:r>
      <w:r w:rsidR="00C664C6" w:rsidRPr="001B3BA5">
        <w:rPr>
          <w:rFonts w:asciiTheme="majorBidi" w:hAnsiTheme="majorBidi" w:cstheme="majorBidi"/>
          <w:sz w:val="24"/>
          <w:szCs w:val="24"/>
          <w:lang w:val="en-GB"/>
        </w:rPr>
        <w:t xml:space="preserve">the centrality of </w:t>
      </w:r>
      <w:r w:rsidR="00CE1D99" w:rsidRPr="001B3BA5">
        <w:rPr>
          <w:rFonts w:asciiTheme="majorBidi" w:hAnsiTheme="majorBidi" w:cstheme="majorBidi"/>
          <w:sz w:val="24"/>
          <w:szCs w:val="24"/>
          <w:lang w:val="en-GB"/>
        </w:rPr>
        <w:t xml:space="preserve">the </w:t>
      </w:r>
      <w:r w:rsidR="00DC01FF" w:rsidRPr="001B3BA5">
        <w:rPr>
          <w:rFonts w:asciiTheme="majorBidi" w:hAnsiTheme="majorBidi" w:cstheme="majorBidi"/>
          <w:sz w:val="24"/>
          <w:szCs w:val="24"/>
          <w:lang w:val="en-GB"/>
        </w:rPr>
        <w:t>exclusive determination right</w:t>
      </w:r>
      <w:r w:rsidR="00C664C6" w:rsidRPr="001B3BA5">
        <w:rPr>
          <w:rFonts w:asciiTheme="majorBidi" w:hAnsiTheme="majorBidi" w:cstheme="majorBidi"/>
          <w:sz w:val="24"/>
          <w:szCs w:val="24"/>
          <w:lang w:val="en-GB"/>
        </w:rPr>
        <w:t xml:space="preserve"> </w:t>
      </w:r>
      <w:r w:rsidR="002452FD" w:rsidRPr="001B3BA5">
        <w:rPr>
          <w:rFonts w:asciiTheme="majorBidi" w:hAnsiTheme="majorBidi" w:cstheme="majorBidi"/>
          <w:sz w:val="24"/>
          <w:szCs w:val="24"/>
          <w:lang w:val="en-GB"/>
        </w:rPr>
        <w:t xml:space="preserve">for </w:t>
      </w:r>
      <w:r w:rsidR="00B41B02" w:rsidRPr="001B3BA5">
        <w:rPr>
          <w:rFonts w:asciiTheme="majorBidi" w:hAnsiTheme="majorBidi" w:cstheme="majorBidi"/>
          <w:sz w:val="24"/>
          <w:szCs w:val="24"/>
          <w:lang w:val="en-GB"/>
        </w:rPr>
        <w:t>CPO</w:t>
      </w:r>
      <w:r w:rsidR="00C664C6" w:rsidRPr="001B3BA5">
        <w:rPr>
          <w:rFonts w:asciiTheme="majorBidi" w:hAnsiTheme="majorBidi" w:cstheme="majorBidi"/>
          <w:sz w:val="24"/>
          <w:szCs w:val="24"/>
          <w:lang w:val="en-GB"/>
        </w:rPr>
        <w:t>.</w:t>
      </w:r>
      <w:r w:rsidR="00EA14F5" w:rsidRPr="001B3BA5">
        <w:rPr>
          <w:rFonts w:asciiTheme="majorBidi" w:hAnsiTheme="majorBidi" w:cstheme="majorBidi"/>
          <w:sz w:val="24"/>
          <w:szCs w:val="24"/>
          <w:lang w:val="en-GB"/>
        </w:rPr>
        <w:t xml:space="preserve"> </w:t>
      </w:r>
    </w:p>
    <w:bookmarkEnd w:id="2"/>
    <w:p w14:paraId="3FBEE91E" w14:textId="6B95E221" w:rsidR="00F85F30" w:rsidRPr="001B3BA5" w:rsidRDefault="00BF14BC" w:rsidP="00584266">
      <w:pPr>
        <w:spacing w:after="0" w:line="480" w:lineRule="exact"/>
        <w:rPr>
          <w:rFonts w:asciiTheme="majorBidi" w:hAnsiTheme="majorBidi" w:cstheme="majorBidi"/>
          <w:b/>
          <w:sz w:val="24"/>
          <w:szCs w:val="24"/>
          <w:lang w:val="en-GB"/>
        </w:rPr>
      </w:pPr>
      <w:r w:rsidRPr="001B3BA5">
        <w:rPr>
          <w:rFonts w:asciiTheme="majorBidi" w:hAnsiTheme="majorBidi" w:cstheme="majorBidi"/>
          <w:b/>
          <w:sz w:val="24"/>
          <w:szCs w:val="24"/>
          <w:lang w:val="en-GB"/>
        </w:rPr>
        <w:t xml:space="preserve">Ownership </w:t>
      </w:r>
      <w:r w:rsidR="00D079F1" w:rsidRPr="001B3BA5">
        <w:rPr>
          <w:rFonts w:asciiTheme="majorBidi" w:hAnsiTheme="majorBidi" w:cstheme="majorBidi"/>
          <w:b/>
          <w:sz w:val="24"/>
          <w:szCs w:val="24"/>
          <w:lang w:val="en-GB"/>
        </w:rPr>
        <w:t xml:space="preserve">and </w:t>
      </w:r>
      <w:r w:rsidR="00F85F30" w:rsidRPr="001B3BA5">
        <w:rPr>
          <w:rFonts w:asciiTheme="majorBidi" w:hAnsiTheme="majorBidi" w:cstheme="majorBidi"/>
          <w:b/>
          <w:sz w:val="24"/>
          <w:szCs w:val="24"/>
          <w:lang w:val="en-GB"/>
        </w:rPr>
        <w:t xml:space="preserve">Attitudes Towards Immigrant Minorities and </w:t>
      </w:r>
      <w:r w:rsidR="00C1702C" w:rsidRPr="001B3BA5">
        <w:rPr>
          <w:rFonts w:asciiTheme="majorBidi" w:hAnsiTheme="majorBidi" w:cstheme="majorBidi"/>
          <w:b/>
          <w:sz w:val="24"/>
          <w:szCs w:val="24"/>
          <w:lang w:val="en-GB"/>
        </w:rPr>
        <w:t xml:space="preserve">European </w:t>
      </w:r>
      <w:r w:rsidR="006C0B37" w:rsidRPr="001B3BA5">
        <w:rPr>
          <w:rFonts w:asciiTheme="majorBidi" w:hAnsiTheme="majorBidi" w:cstheme="majorBidi"/>
          <w:b/>
          <w:sz w:val="24"/>
          <w:szCs w:val="24"/>
          <w:lang w:val="en-GB"/>
        </w:rPr>
        <w:t>Integration</w:t>
      </w:r>
    </w:p>
    <w:p w14:paraId="58171CDA" w14:textId="5F823D69" w:rsidR="00F85F30" w:rsidRPr="001B3BA5" w:rsidRDefault="00924DF7">
      <w:pPr>
        <w:spacing w:after="0" w:line="480" w:lineRule="exact"/>
        <w:ind w:firstLine="708"/>
        <w:rPr>
          <w:rFonts w:asciiTheme="majorBidi" w:hAnsiTheme="majorBidi" w:cstheme="majorBidi"/>
          <w:sz w:val="24"/>
          <w:szCs w:val="24"/>
          <w:lang w:val="en-GB"/>
        </w:rPr>
      </w:pPr>
      <w:bookmarkStart w:id="3" w:name="_Hlk34297567"/>
      <w:r w:rsidRPr="001B3BA5">
        <w:rPr>
          <w:rFonts w:ascii="Times New Roman" w:hAnsi="Times New Roman" w:cs="Times New Roman"/>
          <w:sz w:val="24"/>
          <w:szCs w:val="24"/>
          <w:lang w:val="en-GB"/>
        </w:rPr>
        <w:t>Populist right</w:t>
      </w:r>
      <w:r w:rsidR="009F1519" w:rsidRPr="001B3BA5">
        <w:rPr>
          <w:rFonts w:ascii="Times New Roman" w:hAnsi="Times New Roman" w:cs="Times New Roman"/>
          <w:sz w:val="24"/>
          <w:szCs w:val="24"/>
          <w:lang w:val="en-GB"/>
        </w:rPr>
        <w:t>-wing</w:t>
      </w:r>
      <w:r w:rsidRPr="001B3BA5">
        <w:rPr>
          <w:rFonts w:ascii="Times New Roman" w:hAnsi="Times New Roman" w:cs="Times New Roman"/>
          <w:sz w:val="24"/>
          <w:szCs w:val="24"/>
          <w:lang w:val="en-GB"/>
        </w:rPr>
        <w:t xml:space="preserve"> politicians often </w:t>
      </w:r>
      <w:r w:rsidR="00A162F1" w:rsidRPr="001B3BA5">
        <w:rPr>
          <w:rFonts w:ascii="Times New Roman" w:hAnsi="Times New Roman" w:cs="Times New Roman"/>
          <w:sz w:val="24"/>
          <w:szCs w:val="24"/>
          <w:lang w:val="en-GB"/>
        </w:rPr>
        <w:t xml:space="preserve">refer </w:t>
      </w:r>
      <w:r w:rsidRPr="001B3BA5">
        <w:rPr>
          <w:rFonts w:ascii="Times New Roman" w:hAnsi="Times New Roman" w:cs="Times New Roman"/>
          <w:sz w:val="24"/>
          <w:szCs w:val="24"/>
          <w:lang w:val="en-GB"/>
        </w:rPr>
        <w:t xml:space="preserve">explicitly to </w:t>
      </w:r>
      <w:r w:rsidR="009F1519" w:rsidRPr="001B3BA5">
        <w:rPr>
          <w:rFonts w:ascii="Times New Roman" w:hAnsi="Times New Roman" w:cs="Times New Roman"/>
          <w:sz w:val="24"/>
          <w:szCs w:val="24"/>
          <w:lang w:val="en-GB"/>
        </w:rPr>
        <w:t>CPO</w:t>
      </w:r>
      <w:r w:rsidRPr="001B3BA5">
        <w:rPr>
          <w:rFonts w:ascii="Times New Roman" w:hAnsi="Times New Roman" w:cs="Times New Roman"/>
          <w:sz w:val="24"/>
          <w:szCs w:val="24"/>
          <w:lang w:val="en-GB"/>
        </w:rPr>
        <w:t xml:space="preserve"> and </w:t>
      </w:r>
      <w:r w:rsidR="001F1B42" w:rsidRPr="001B3BA5">
        <w:rPr>
          <w:rFonts w:ascii="Times New Roman" w:hAnsi="Times New Roman" w:cs="Times New Roman"/>
          <w:sz w:val="24"/>
          <w:szCs w:val="24"/>
          <w:lang w:val="en-GB"/>
        </w:rPr>
        <w:t xml:space="preserve">the </w:t>
      </w:r>
      <w:r w:rsidR="00DC01FF" w:rsidRPr="001B3BA5">
        <w:rPr>
          <w:rFonts w:ascii="Times New Roman" w:hAnsi="Times New Roman" w:cs="Times New Roman"/>
          <w:sz w:val="24"/>
          <w:szCs w:val="24"/>
          <w:lang w:val="en-GB"/>
        </w:rPr>
        <w:t>exclusive determination right</w:t>
      </w:r>
      <w:r w:rsidRPr="001B3BA5">
        <w:rPr>
          <w:rFonts w:ascii="Times New Roman" w:hAnsi="Times New Roman" w:cs="Times New Roman"/>
          <w:sz w:val="24"/>
          <w:szCs w:val="24"/>
          <w:lang w:val="en-GB"/>
        </w:rPr>
        <w:t xml:space="preserve"> when combining their opposition to </w:t>
      </w:r>
      <w:r w:rsidRPr="001B3BA5">
        <w:rPr>
          <w:rFonts w:asciiTheme="majorBidi" w:hAnsiTheme="majorBidi" w:cstheme="majorBidi"/>
          <w:sz w:val="24"/>
          <w:szCs w:val="24"/>
          <w:lang w:val="en-GB"/>
        </w:rPr>
        <w:t xml:space="preserve">two key issues, </w:t>
      </w:r>
      <w:r w:rsidRPr="001B3BA5">
        <w:rPr>
          <w:rFonts w:ascii="Times New Roman" w:hAnsi="Times New Roman" w:cs="Times New Roman"/>
          <w:sz w:val="24"/>
          <w:szCs w:val="24"/>
          <w:lang w:val="en-GB"/>
        </w:rPr>
        <w:t xml:space="preserve">immigration and European integration </w:t>
      </w:r>
      <w:r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&lt;EndNote&gt;&lt;Cite&gt;&lt;Author&gt;Mudde&lt;/Author&gt;&lt;Year&gt;2007&lt;/Year&gt;&lt;RecNum&gt;532&lt;/RecNum&gt;&lt;DisplayText&gt;(Lubbers &amp;amp; Coenders, 2017; Mudde, 2007)&lt;/DisplayText&gt;&lt;record&gt;&lt;rec-number&gt;532&lt;/rec-number&gt;&lt;foreign-keys&gt;&lt;key app="EN" db-id="es92r5v5dve2z0erx59pv50vtp29v0t9ef5f" timestamp="0"&gt;532&lt;/key&gt;&lt;/foreign-keys&gt;&lt;ref-type name="Book"&gt;6&lt;/ref-type&gt;&lt;contributors&gt;&lt;authors&gt;&lt;author&gt;Mudde, Cas&lt;/author&gt;&lt;/authors&gt;&lt;/contributors&gt;&lt;titles&gt;&lt;title&gt;Populist radical right parties in Europe&lt;/title&gt;&lt;/titles&gt;&lt;volume&gt;22&lt;/volume&gt;&lt;number&gt;8&lt;/number&gt;&lt;dates&gt;&lt;year&gt;2007&lt;/year&gt;&lt;/dates&gt;&lt;pub-location&gt;Cambridge, UK&lt;/pub-location&gt;&lt;publisher&gt;Cambridge University Press&lt;/publisher&gt;&lt;urls&gt;&lt;/urls&gt;&lt;/record&gt;&lt;/Cite&gt;&lt;Cite&gt;&lt;Author&gt;Lubbers&lt;/Author&gt;&lt;Year&gt;2017&lt;/Year&gt;&lt;RecNum&gt;644&lt;/RecNum&gt;&lt;record&gt;&lt;rec-number&gt;644&lt;/rec-number&gt;&lt;foreign-keys&gt;&lt;key app="EN" db-id="es92r5v5dve2z0erx59pv50vtp29v0t9ef5f" timestamp="1505465387"&gt;644&lt;/key&gt;&lt;/foreign-keys&gt;&lt;ref-type name="Journal Article"&gt;17&lt;/ref-type&gt;&lt;contributors&gt;&lt;authors&gt;&lt;author&gt;Marcel Lubbers&lt;/author&gt;&lt;author&gt;Marcel Coenders&lt;/author&gt;&lt;/authors&gt;&lt;/contributors&gt;&lt;titles&gt;&lt;title&gt;Nationalistic attitudes and voting for the radical right in Europe&lt;/title&gt;&lt;secondary-title&gt;European Union Politics&lt;/secondary-title&gt;&lt;/titles&gt;&lt;periodical&gt;&lt;full-title&gt;European Union Politics&lt;/full-title&gt;&lt;/periodical&gt;&lt;pages&gt;98-118&lt;/pages&gt;&lt;volume&gt;18&lt;/volume&gt;&lt;number&gt;1&lt;/number&gt;&lt;keywords&gt;&lt;keyword&gt;Nationalism,national pride,radical right,voting behaviour&lt;/keyword&gt;&lt;/keywords&gt;&lt;dates&gt;&lt;year&gt;2017&lt;/year&gt;&lt;/dates&gt;&lt;urls&gt;&lt;related-urls&gt;&lt;url&gt;http://journals.sagepub.com/doi/abs/10.1177/1465116516678932&lt;/url&gt;&lt;/related-urls&gt;&lt;/urls&gt;&lt;electronic-resource-num&gt;10.1177/1465116516678932&lt;/electronic-resource-num&gt;&lt;/record&gt;&lt;/Cite&gt;&lt;/EndNote&gt;</w:instrText>
      </w:r>
      <w:r w:rsidRPr="001B3BA5">
        <w:rPr>
          <w:rFonts w:asciiTheme="majorBidi" w:hAnsiTheme="majorBidi" w:cstheme="majorBidi"/>
          <w:sz w:val="24"/>
          <w:szCs w:val="24"/>
          <w:lang w:val="en-GB"/>
        </w:rPr>
        <w:fldChar w:fldCharType="separate"/>
      </w:r>
      <w:r w:rsidRPr="001B3BA5">
        <w:rPr>
          <w:rFonts w:asciiTheme="majorBidi" w:hAnsiTheme="majorBidi" w:cstheme="majorBidi"/>
          <w:noProof/>
          <w:sz w:val="24"/>
          <w:szCs w:val="24"/>
          <w:lang w:val="en-GB"/>
        </w:rPr>
        <w:t>(Lubbers &amp; Coenders, 2017; Mudde, 2007)</w:t>
      </w:r>
      <w:r w:rsidRPr="001B3BA5">
        <w:rPr>
          <w:rFonts w:asciiTheme="majorBidi" w:hAnsiTheme="majorBidi" w:cstheme="majorBidi"/>
          <w:sz w:val="24"/>
          <w:szCs w:val="24"/>
          <w:lang w:val="en-GB"/>
        </w:rPr>
        <w:fldChar w:fldCharType="end"/>
      </w:r>
      <w:r w:rsidRPr="001B3BA5">
        <w:rPr>
          <w:rFonts w:ascii="Times New Roman" w:hAnsi="Times New Roman" w:cs="Times New Roman"/>
          <w:sz w:val="24"/>
          <w:szCs w:val="24"/>
          <w:lang w:val="en-GB"/>
        </w:rPr>
        <w:t>. This</w:t>
      </w:r>
      <w:r w:rsidR="009F1519" w:rsidRPr="001B3BA5">
        <w:rPr>
          <w:rFonts w:ascii="Times New Roman" w:hAnsi="Times New Roman" w:cs="Times New Roman"/>
          <w:sz w:val="24"/>
          <w:szCs w:val="24"/>
          <w:lang w:val="en-GB"/>
        </w:rPr>
        <w:t xml:space="preserve"> point</w:t>
      </w:r>
      <w:r w:rsidRPr="001B3BA5">
        <w:rPr>
          <w:rFonts w:ascii="Times New Roman" w:hAnsi="Times New Roman" w:cs="Times New Roman"/>
          <w:sz w:val="24"/>
          <w:szCs w:val="24"/>
          <w:lang w:val="en-GB"/>
        </w:rPr>
        <w:t xml:space="preserve"> is illustrated by a quote from</w:t>
      </w:r>
      <w:r w:rsidR="00A87807" w:rsidRPr="00A579E3">
        <w:rPr>
          <w:rFonts w:ascii="Times New Roman" w:hAnsi="Times New Roman" w:cs="Times New Roman"/>
          <w:sz w:val="24"/>
          <w:szCs w:val="24"/>
          <w:lang w:val="en-GB"/>
        </w:rPr>
        <w:t xml:space="preserve"> </w:t>
      </w:r>
      <w:r w:rsidR="00A87807" w:rsidRPr="001B3BA5">
        <w:rPr>
          <w:rFonts w:ascii="Times New Roman" w:hAnsi="Times New Roman" w:cs="Times New Roman"/>
          <w:sz w:val="24"/>
          <w:szCs w:val="24"/>
          <w:lang w:val="en-GB"/>
        </w:rPr>
        <w:t>a speech given by</w:t>
      </w:r>
      <w:r w:rsidRPr="001B3BA5">
        <w:rPr>
          <w:rFonts w:ascii="Times New Roman" w:hAnsi="Times New Roman" w:cs="Times New Roman"/>
          <w:sz w:val="24"/>
          <w:szCs w:val="24"/>
          <w:lang w:val="en-GB"/>
        </w:rPr>
        <w:t xml:space="preserve"> the leader of the </w:t>
      </w:r>
      <w:r w:rsidR="001B57BA" w:rsidRPr="001B3BA5">
        <w:rPr>
          <w:rFonts w:asciiTheme="majorBidi" w:hAnsiTheme="majorBidi" w:cstheme="majorBidi"/>
          <w:sz w:val="24"/>
          <w:szCs w:val="24"/>
          <w:lang w:val="en-GB"/>
        </w:rPr>
        <w:t>Dutch Party for Freedom</w:t>
      </w:r>
      <w:r w:rsidRPr="001B3BA5">
        <w:rPr>
          <w:rFonts w:ascii="Times New Roman" w:hAnsi="Times New Roman" w:cs="Times New Roman"/>
          <w:sz w:val="24"/>
          <w:szCs w:val="24"/>
          <w:lang w:val="en-GB"/>
        </w:rPr>
        <w:t xml:space="preserve">: </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When leaving the EU and Eurozone we will be in charge of our own rules again, like about who enters our country, immigration, and our own currency</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w:t>
      </w:r>
      <w:r w:rsidR="004F251E" w:rsidRPr="001B3BA5">
        <w:rPr>
          <w:rFonts w:ascii="Times New Roman" w:hAnsi="Times New Roman" w:cs="Times New Roman"/>
          <w:sz w:val="24"/>
          <w:szCs w:val="24"/>
          <w:lang w:val="en-GB"/>
        </w:rPr>
        <w:fldChar w:fldCharType="begin"/>
      </w:r>
      <w:r w:rsidR="004F251E" w:rsidRPr="001B3BA5">
        <w:rPr>
          <w:rFonts w:ascii="Times New Roman" w:hAnsi="Times New Roman" w:cs="Times New Roman"/>
          <w:sz w:val="24"/>
          <w:szCs w:val="24"/>
          <w:lang w:val="en-GB"/>
        </w:rPr>
        <w:instrText xml:space="preserve"> ADDIN EN.CITE &lt;EndNote&gt;&lt;Cite&gt;&lt;Author&gt;Wilders&lt;/Author&gt;&lt;Year&gt;2012&lt;/Year&gt;&lt;RecNum&gt;1487&lt;/RecNum&gt;&lt;DisplayText&gt;(Wilders, 2012)&lt;/DisplayText&gt;&lt;record&gt;&lt;rec-number&gt;1487&lt;/rec-number&gt;&lt;foreign-keys&gt;&lt;key app="EN" db-id="es92r5v5dve2z0erx59pv50vtp29v0t9ef5f" timestamp="1570436336"&gt;1487&lt;/key&gt;&lt;/foreign-keys&gt;&lt;ref-type name="Press Release"&gt;63&lt;/ref-type&gt;&lt;contributors&gt;&lt;authors&gt;&lt;author&gt;Geert Wilders&lt;/author&gt;&lt;/authors&gt;&lt;secondary-authors&gt;&lt;author&gt;PVV&lt;/author&gt;&lt;/secondary-authors&gt;&lt;/contributors&gt;&lt;titles&gt;&lt;title&gt;Wilders wil Nederland uit EU&lt;/title&gt;&lt;/titles&gt;&lt;dates&gt;&lt;year&gt;2012&lt;/year&gt;&lt;/dates&gt;&lt;urls&gt;&lt;related-urls&gt;&lt;url&gt;https://www.pvv.nl/index.php/component/content/article.html?id=5540:wilders-wil-nederland-uit-eu&lt;/url&gt;&lt;/related-urls&gt;&lt;/urls&gt;&lt;/record&gt;&lt;/Cite&gt;&lt;/EndNote&gt;</w:instrText>
      </w:r>
      <w:r w:rsidR="004F251E" w:rsidRPr="001B3BA5">
        <w:rPr>
          <w:rFonts w:ascii="Times New Roman" w:hAnsi="Times New Roman" w:cs="Times New Roman"/>
          <w:sz w:val="24"/>
          <w:szCs w:val="24"/>
          <w:lang w:val="en-GB"/>
        </w:rPr>
        <w:fldChar w:fldCharType="separate"/>
      </w:r>
      <w:r w:rsidR="004F251E" w:rsidRPr="001B3BA5">
        <w:rPr>
          <w:rFonts w:ascii="Times New Roman" w:hAnsi="Times New Roman" w:cs="Times New Roman"/>
          <w:noProof/>
          <w:sz w:val="24"/>
          <w:szCs w:val="24"/>
          <w:lang w:val="en-GB"/>
        </w:rPr>
        <w:t>(Wilders, 2012)</w:t>
      </w:r>
      <w:r w:rsidR="004F251E" w:rsidRPr="001B3BA5">
        <w:rPr>
          <w:rFonts w:ascii="Times New Roman" w:hAnsi="Times New Roman" w:cs="Times New Roman"/>
          <w:sz w:val="24"/>
          <w:szCs w:val="24"/>
          <w:lang w:val="en-GB"/>
        </w:rPr>
        <w:fldChar w:fldCharType="end"/>
      </w:r>
      <w:r w:rsidR="004D6803" w:rsidRPr="001B3BA5">
        <w:rPr>
          <w:rFonts w:ascii="Times New Roman" w:hAnsi="Times New Roman" w:cs="Times New Roman"/>
          <w:sz w:val="24"/>
          <w:szCs w:val="24"/>
          <w:lang w:val="en-GB"/>
        </w:rPr>
        <w:t>.</w:t>
      </w:r>
      <w:r w:rsidR="00D70C9C" w:rsidRPr="001B3BA5">
        <w:rPr>
          <w:rFonts w:asciiTheme="majorBidi" w:hAnsiTheme="majorBidi" w:cstheme="majorBidi"/>
          <w:sz w:val="24"/>
          <w:szCs w:val="24"/>
          <w:lang w:val="en-GB"/>
        </w:rPr>
        <w:t xml:space="preserve"> </w:t>
      </w:r>
      <w:r w:rsidR="00594FBA" w:rsidRPr="001B3BA5">
        <w:rPr>
          <w:rFonts w:asciiTheme="majorBidi" w:hAnsiTheme="majorBidi" w:cstheme="majorBidi"/>
          <w:sz w:val="24"/>
          <w:szCs w:val="24"/>
          <w:lang w:val="en-GB"/>
        </w:rPr>
        <w:t xml:space="preserve">Given that </w:t>
      </w:r>
      <w:r w:rsidR="009F1519" w:rsidRPr="001B3BA5">
        <w:rPr>
          <w:rFonts w:asciiTheme="majorBidi" w:hAnsiTheme="majorBidi" w:cstheme="majorBidi"/>
          <w:sz w:val="24"/>
          <w:szCs w:val="24"/>
          <w:lang w:val="en-GB"/>
        </w:rPr>
        <w:t xml:space="preserve">CPO </w:t>
      </w:r>
      <w:r w:rsidR="00F85F30" w:rsidRPr="001B3BA5">
        <w:rPr>
          <w:rFonts w:asciiTheme="majorBidi" w:hAnsiTheme="majorBidi" w:cstheme="majorBidi"/>
          <w:sz w:val="24"/>
          <w:szCs w:val="24"/>
          <w:lang w:val="en-GB"/>
        </w:rPr>
        <w:t xml:space="preserve">is often </w:t>
      </w:r>
      <w:r w:rsidR="00981400" w:rsidRPr="001B3BA5">
        <w:rPr>
          <w:rFonts w:asciiTheme="majorBidi" w:hAnsiTheme="majorBidi" w:cstheme="majorBidi"/>
          <w:sz w:val="24"/>
          <w:szCs w:val="24"/>
          <w:lang w:val="en-GB"/>
        </w:rPr>
        <w:t>based on</w:t>
      </w:r>
      <w:r w:rsidR="00F85F30" w:rsidRPr="001B3BA5">
        <w:rPr>
          <w:rFonts w:asciiTheme="majorBidi" w:hAnsiTheme="majorBidi" w:cstheme="majorBidi"/>
          <w:sz w:val="24"/>
          <w:szCs w:val="24"/>
          <w:lang w:val="en-GB"/>
        </w:rPr>
        <w:t xml:space="preserve"> arguments of autochthony (</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we were here first</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 and investment (</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we built this country</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 xml:space="preserve">) </w:t>
      </w:r>
      <w:r w:rsidR="00F85F30" w:rsidRPr="001B3BA5">
        <w:rPr>
          <w:rFonts w:asciiTheme="majorBidi" w:hAnsiTheme="majorBidi" w:cstheme="majorBidi"/>
          <w:sz w:val="24"/>
          <w:szCs w:val="24"/>
          <w:lang w:val="en-GB"/>
        </w:rPr>
        <w:fldChar w:fldCharType="begin"/>
      </w:r>
      <w:r w:rsidR="001B3BA5">
        <w:rPr>
          <w:rFonts w:asciiTheme="majorBidi" w:hAnsiTheme="majorBidi" w:cstheme="majorBidi"/>
          <w:sz w:val="24"/>
          <w:szCs w:val="24"/>
          <w:lang w:val="en-GB"/>
        </w:rPr>
        <w:instrText xml:space="preserve"> ADDIN EN.CITE &lt;EndNote&gt;&lt;Cite&gt;&lt;Author&gt;Verkuyten&lt;/Author&gt;&lt;Year&gt;2015&lt;/Year&gt;&lt;RecNum&gt;882&lt;/RecNum&gt;&lt;DisplayText&gt;(Verkuyten, Sierksma, &amp;amp; Thijs, 2015)&lt;/DisplayText&gt;&lt;record&gt;&lt;rec-number&gt;882&lt;/rec-number&gt;&lt;foreign-keys&gt;&lt;key app="EN" db-id="es92r5v5dve2z0erx59pv50vtp29v0t9ef5f" timestamp="1506434071"&gt;882&lt;/key&gt;&lt;key app="ENWeb" db-id=""&gt;0&lt;/key&gt;&lt;/foreign-keys&gt;&lt;ref-type name="Journal Article"&gt;17&lt;/ref-type&gt;&lt;contributors&gt;&lt;authors&gt;&lt;author&gt;Verkuyten, Maykel&lt;/author&gt;&lt;author&gt;Sierksma, Jellie&lt;/author&gt;&lt;author&gt;Thijs, Jochem&lt;/author&gt;&lt;/authors&gt;&lt;/contributors&gt;&lt;titles&gt;&lt;title&gt;First arrival and owning the land: How children reason about ownership of territory&lt;/title&gt;&lt;secondary-title&gt;Journal of Environmental Psychology&lt;/secondary-title&gt;&lt;/titles&gt;&lt;periodical&gt;&lt;full-title&gt;Journal of Environmental Psychology&lt;/full-title&gt;&lt;/periodical&gt;&lt;pages&gt;58-64&lt;/pages&gt;&lt;volume&gt;41&lt;/volume&gt;&lt;dates&gt;&lt;year&gt;2015&lt;/year&gt;&lt;/dates&gt;&lt;isbn&gt;02724944&lt;/isbn&gt;&lt;urls&gt;&lt;/urls&gt;&lt;electronic-resource-num&gt;10.1016/j.jenvp.2014.11.007&lt;/electronic-resource-num&gt;&lt;/record&gt;&lt;/Cite&gt;&lt;/EndNote&gt;</w:instrText>
      </w:r>
      <w:r w:rsidR="00F85F30" w:rsidRPr="001B3BA5">
        <w:rPr>
          <w:rFonts w:asciiTheme="majorBidi" w:hAnsiTheme="majorBidi" w:cstheme="majorBidi"/>
          <w:sz w:val="24"/>
          <w:szCs w:val="24"/>
          <w:lang w:val="en-GB"/>
        </w:rPr>
        <w:fldChar w:fldCharType="separate"/>
      </w:r>
      <w:r w:rsidR="001B3BA5">
        <w:rPr>
          <w:rFonts w:asciiTheme="majorBidi" w:hAnsiTheme="majorBidi" w:cstheme="majorBidi"/>
          <w:noProof/>
          <w:sz w:val="24"/>
          <w:szCs w:val="24"/>
          <w:lang w:val="en-GB"/>
        </w:rPr>
        <w:t>(Verkuyten, Sierksma, &amp; Thijs, 2015)</w:t>
      </w:r>
      <w:r w:rsidR="00F85F30" w:rsidRPr="001B3BA5">
        <w:rPr>
          <w:rFonts w:asciiTheme="majorBidi" w:hAnsiTheme="majorBidi" w:cstheme="majorBidi"/>
          <w:sz w:val="24"/>
          <w:szCs w:val="24"/>
          <w:lang w:val="en-GB"/>
        </w:rPr>
        <w:fldChar w:fldCharType="end"/>
      </w:r>
      <w:r w:rsidR="00F85F30" w:rsidRPr="001B3BA5">
        <w:rPr>
          <w:rFonts w:asciiTheme="majorBidi" w:hAnsiTheme="majorBidi" w:cstheme="majorBidi"/>
          <w:sz w:val="24"/>
          <w:szCs w:val="24"/>
          <w:lang w:val="en-GB"/>
        </w:rPr>
        <w:t>,</w:t>
      </w:r>
      <w:r w:rsidR="008E080E" w:rsidRPr="001B3BA5">
        <w:rPr>
          <w:rFonts w:asciiTheme="majorBidi" w:hAnsiTheme="majorBidi" w:cstheme="majorBidi"/>
          <w:sz w:val="24"/>
          <w:szCs w:val="24"/>
          <w:lang w:val="en-GB"/>
        </w:rPr>
        <w:t xml:space="preserve"> right-wing populism may not consider</w:t>
      </w:r>
      <w:r w:rsidR="00F85F30" w:rsidRPr="001B3BA5">
        <w:rPr>
          <w:rFonts w:asciiTheme="majorBidi" w:hAnsiTheme="majorBidi" w:cstheme="majorBidi"/>
          <w:sz w:val="24"/>
          <w:szCs w:val="24"/>
          <w:lang w:val="en-GB"/>
        </w:rPr>
        <w:t xml:space="preserve"> newcomers </w:t>
      </w:r>
      <w:r w:rsidR="008E080E" w:rsidRPr="001B3BA5">
        <w:rPr>
          <w:rFonts w:asciiTheme="majorBidi" w:hAnsiTheme="majorBidi" w:cstheme="majorBidi"/>
          <w:sz w:val="24"/>
          <w:szCs w:val="24"/>
          <w:lang w:val="en-GB"/>
        </w:rPr>
        <w:t xml:space="preserve">as </w:t>
      </w:r>
      <w:r w:rsidR="00F85F30" w:rsidRPr="001B3BA5">
        <w:rPr>
          <w:rFonts w:asciiTheme="majorBidi" w:hAnsiTheme="majorBidi" w:cstheme="majorBidi"/>
          <w:sz w:val="24"/>
          <w:szCs w:val="24"/>
          <w:lang w:val="en-GB"/>
        </w:rPr>
        <w:t xml:space="preserve">rightful owners of </w:t>
      </w:r>
      <w:r w:rsidR="008E080E" w:rsidRPr="001B3BA5">
        <w:rPr>
          <w:rFonts w:asciiTheme="majorBidi" w:hAnsiTheme="majorBidi" w:cstheme="majorBidi"/>
          <w:sz w:val="24"/>
          <w:szCs w:val="24"/>
          <w:lang w:val="en-GB"/>
        </w:rPr>
        <w:t xml:space="preserve">the </w:t>
      </w:r>
      <w:r w:rsidR="00F85F30" w:rsidRPr="001B3BA5">
        <w:rPr>
          <w:rFonts w:asciiTheme="majorBidi" w:hAnsiTheme="majorBidi" w:cstheme="majorBidi"/>
          <w:sz w:val="24"/>
          <w:szCs w:val="24"/>
          <w:lang w:val="en-GB"/>
        </w:rPr>
        <w:t>country. Therefore, th</w:t>
      </w:r>
      <w:r w:rsidR="008E080E" w:rsidRPr="001B3BA5">
        <w:rPr>
          <w:rFonts w:asciiTheme="majorBidi" w:hAnsiTheme="majorBidi" w:cstheme="majorBidi"/>
          <w:sz w:val="24"/>
          <w:szCs w:val="24"/>
          <w:lang w:val="en-GB"/>
        </w:rPr>
        <w:t>is ideology may not regard the</w:t>
      </w:r>
      <w:r w:rsidR="00F85F30" w:rsidRPr="001B3BA5">
        <w:rPr>
          <w:rFonts w:asciiTheme="majorBidi" w:hAnsiTheme="majorBidi" w:cstheme="majorBidi"/>
          <w:sz w:val="24"/>
          <w:szCs w:val="24"/>
          <w:lang w:val="en-GB"/>
        </w:rPr>
        <w:t xml:space="preserve"> exclusion of immigrant minorities as unjust or discriminatory, but </w:t>
      </w:r>
      <w:r w:rsidR="008E080E" w:rsidRPr="001B3BA5">
        <w:rPr>
          <w:rFonts w:asciiTheme="majorBidi" w:hAnsiTheme="majorBidi" w:cstheme="majorBidi"/>
          <w:sz w:val="24"/>
          <w:szCs w:val="24"/>
          <w:lang w:val="en-GB"/>
        </w:rPr>
        <w:t xml:space="preserve">rather </w:t>
      </w:r>
      <w:r w:rsidR="00F85F30" w:rsidRPr="001B3BA5">
        <w:rPr>
          <w:rFonts w:asciiTheme="majorBidi" w:hAnsiTheme="majorBidi" w:cstheme="majorBidi"/>
          <w:sz w:val="24"/>
          <w:szCs w:val="24"/>
          <w:lang w:val="en-GB"/>
        </w:rPr>
        <w:t xml:space="preserve">as a self-evident right that </w:t>
      </w:r>
      <w:r w:rsidR="008E080E" w:rsidRPr="001B3BA5">
        <w:rPr>
          <w:rFonts w:asciiTheme="majorBidi" w:hAnsiTheme="majorBidi" w:cstheme="majorBidi"/>
          <w:sz w:val="24"/>
          <w:szCs w:val="24"/>
          <w:lang w:val="en-GB"/>
        </w:rPr>
        <w:t xml:space="preserve">accompanies </w:t>
      </w:r>
      <w:r w:rsidR="00B41B02" w:rsidRPr="001B3BA5">
        <w:rPr>
          <w:rFonts w:asciiTheme="majorBidi" w:hAnsiTheme="majorBidi" w:cstheme="majorBidi"/>
          <w:sz w:val="24"/>
          <w:szCs w:val="24"/>
          <w:lang w:val="en-GB"/>
        </w:rPr>
        <w:t>CPO</w:t>
      </w:r>
      <w:r w:rsidR="000F63EB" w:rsidRPr="001B3BA5">
        <w:rPr>
          <w:rFonts w:asciiTheme="majorBidi" w:hAnsiTheme="majorBidi" w:cstheme="majorBidi"/>
          <w:sz w:val="24"/>
          <w:szCs w:val="24"/>
          <w:lang w:val="en-GB"/>
        </w:rPr>
        <w:t xml:space="preserve"> </w:t>
      </w:r>
      <w:r w:rsidR="00F85F30" w:rsidRPr="001B3BA5">
        <w:rPr>
          <w:rFonts w:asciiTheme="majorBidi" w:hAnsiTheme="majorBidi" w:cstheme="majorBidi"/>
          <w:sz w:val="24"/>
          <w:szCs w:val="24"/>
          <w:lang w:val="en-GB"/>
        </w:rPr>
        <w:fldChar w:fldCharType="begin">
          <w:fldData xml:space="preserve">PEVuZE5vdGU+PENpdGU+PEF1dGhvcj5WZXJrdXl0ZW48L0F1dGhvcj48WWVhcj4yMDE3PC9ZZWFy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==
</w:fldData>
        </w:fldChar>
      </w:r>
      <w:r w:rsidR="0056663E" w:rsidRPr="001B3BA5">
        <w:rPr>
          <w:rFonts w:asciiTheme="majorBidi" w:hAnsiTheme="majorBidi" w:cstheme="majorBidi"/>
          <w:sz w:val="24"/>
          <w:szCs w:val="24"/>
          <w:lang w:val="en-GB"/>
        </w:rPr>
        <w:instrText xml:space="preserve"> ADDIN EN.CITE </w:instrText>
      </w:r>
      <w:r w:rsidR="0056663E" w:rsidRPr="001B3BA5">
        <w:rPr>
          <w:rFonts w:asciiTheme="majorBidi" w:hAnsiTheme="majorBidi" w:cstheme="majorBidi"/>
          <w:sz w:val="24"/>
          <w:szCs w:val="24"/>
          <w:lang w:val="en-GB"/>
        </w:rPr>
        <w:fldChar w:fldCharType="begin">
          <w:fldData xml:space="preserve">PEVuZE5vdGU+PENpdGU+PEF1dGhvcj5WZXJrdXl0ZW48L0F1dGhvcj48WWVhcj4yMDE3PC9ZZWFy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==
</w:fldData>
        </w:fldChar>
      </w:r>
      <w:r w:rsidR="0056663E" w:rsidRPr="001B3BA5">
        <w:rPr>
          <w:rFonts w:asciiTheme="majorBidi" w:hAnsiTheme="majorBidi" w:cstheme="majorBidi"/>
          <w:sz w:val="24"/>
          <w:szCs w:val="24"/>
          <w:lang w:val="en-GB"/>
        </w:rPr>
        <w:instrText xml:space="preserve"> ADDIN EN.CITE.DATA </w:instrText>
      </w:r>
      <w:r w:rsidR="0056663E" w:rsidRPr="001B3BA5">
        <w:rPr>
          <w:rFonts w:asciiTheme="majorBidi" w:hAnsiTheme="majorBidi" w:cstheme="majorBidi"/>
          <w:sz w:val="24"/>
          <w:szCs w:val="24"/>
          <w:lang w:val="en-GB"/>
        </w:rPr>
      </w:r>
      <w:r w:rsidR="0056663E" w:rsidRPr="001B3BA5">
        <w:rPr>
          <w:rFonts w:asciiTheme="majorBidi" w:hAnsiTheme="majorBidi" w:cstheme="majorBidi"/>
          <w:sz w:val="24"/>
          <w:szCs w:val="24"/>
          <w:lang w:val="en-GB"/>
        </w:rPr>
        <w:fldChar w:fldCharType="end"/>
      </w:r>
      <w:r w:rsidR="00F85F30" w:rsidRPr="001B3BA5">
        <w:rPr>
          <w:rFonts w:asciiTheme="majorBidi" w:hAnsiTheme="majorBidi" w:cstheme="majorBidi"/>
          <w:sz w:val="24"/>
          <w:szCs w:val="24"/>
          <w:lang w:val="en-GB"/>
        </w:rPr>
      </w:r>
      <w:r w:rsidR="00F85F30" w:rsidRPr="001B3BA5">
        <w:rPr>
          <w:rFonts w:asciiTheme="majorBidi" w:hAnsiTheme="majorBidi" w:cstheme="majorBidi"/>
          <w:sz w:val="24"/>
          <w:szCs w:val="24"/>
          <w:lang w:val="en-GB"/>
        </w:rPr>
        <w:fldChar w:fldCharType="separate"/>
      </w:r>
      <w:r w:rsidR="00F85F30" w:rsidRPr="001B3BA5">
        <w:rPr>
          <w:rFonts w:asciiTheme="majorBidi" w:hAnsiTheme="majorBidi" w:cstheme="majorBidi"/>
          <w:noProof/>
          <w:sz w:val="24"/>
          <w:szCs w:val="24"/>
          <w:lang w:val="en-GB"/>
        </w:rPr>
        <w:t>(Merrill, 1998; Verkuyten &amp; Martinovic, 2017)</w:t>
      </w:r>
      <w:r w:rsidR="00F85F30" w:rsidRPr="001B3BA5">
        <w:rPr>
          <w:rFonts w:asciiTheme="majorBidi" w:hAnsiTheme="majorBidi" w:cstheme="majorBidi"/>
          <w:sz w:val="24"/>
          <w:szCs w:val="24"/>
          <w:lang w:val="en-GB"/>
        </w:rPr>
        <w:fldChar w:fldCharType="end"/>
      </w:r>
      <w:r w:rsidR="00F85F30" w:rsidRPr="001B3BA5">
        <w:rPr>
          <w:rFonts w:asciiTheme="majorBidi" w:hAnsiTheme="majorBidi" w:cstheme="majorBidi"/>
          <w:sz w:val="24"/>
          <w:szCs w:val="24"/>
          <w:lang w:val="en-GB"/>
        </w:rPr>
        <w:t>.</w:t>
      </w:r>
      <w:r w:rsidR="008E080E" w:rsidRPr="001B3BA5">
        <w:rPr>
          <w:rFonts w:asciiTheme="majorBidi" w:hAnsiTheme="majorBidi" w:cstheme="majorBidi"/>
          <w:sz w:val="24"/>
          <w:szCs w:val="24"/>
          <w:lang w:val="en-GB"/>
        </w:rPr>
        <w:t xml:space="preserve"> </w:t>
      </w:r>
      <w:r w:rsidR="002326E1" w:rsidRPr="001B3BA5">
        <w:rPr>
          <w:rFonts w:asciiTheme="majorBidi" w:hAnsiTheme="majorBidi" w:cstheme="majorBidi"/>
          <w:sz w:val="24"/>
          <w:szCs w:val="24"/>
          <w:lang w:val="en-GB"/>
        </w:rPr>
        <w:t xml:space="preserve">CPO can be used to </w:t>
      </w:r>
      <w:r w:rsidR="00981400" w:rsidRPr="001B3BA5">
        <w:rPr>
          <w:rFonts w:asciiTheme="majorBidi" w:hAnsiTheme="majorBidi" w:cstheme="majorBidi"/>
          <w:sz w:val="24"/>
          <w:szCs w:val="24"/>
          <w:lang w:val="en-GB"/>
        </w:rPr>
        <w:t>define</w:t>
      </w:r>
      <w:r w:rsidR="002326E1" w:rsidRPr="001B3BA5">
        <w:rPr>
          <w:rFonts w:asciiTheme="majorBidi" w:hAnsiTheme="majorBidi" w:cstheme="majorBidi"/>
          <w:sz w:val="24"/>
          <w:szCs w:val="24"/>
          <w:lang w:val="en-GB"/>
        </w:rPr>
        <w:t xml:space="preserve"> </w:t>
      </w:r>
      <w:r w:rsidR="00080741" w:rsidRPr="001B3BA5">
        <w:rPr>
          <w:rFonts w:asciiTheme="majorBidi" w:hAnsiTheme="majorBidi" w:cstheme="majorBidi"/>
          <w:sz w:val="24"/>
          <w:szCs w:val="24"/>
          <w:lang w:val="en-GB"/>
        </w:rPr>
        <w:t>group-based hierarchies</w:t>
      </w:r>
      <w:r w:rsidR="002326E1" w:rsidRPr="001B3BA5">
        <w:rPr>
          <w:rFonts w:asciiTheme="majorBidi" w:hAnsiTheme="majorBidi" w:cstheme="majorBidi"/>
          <w:sz w:val="24"/>
          <w:szCs w:val="24"/>
          <w:lang w:val="en-GB"/>
        </w:rPr>
        <w:t xml:space="preserve"> without </w:t>
      </w:r>
      <w:r w:rsidR="00981400" w:rsidRPr="001B3BA5">
        <w:rPr>
          <w:rFonts w:asciiTheme="majorBidi" w:hAnsiTheme="majorBidi" w:cstheme="majorBidi"/>
          <w:sz w:val="24"/>
          <w:szCs w:val="24"/>
          <w:lang w:val="en-GB"/>
        </w:rPr>
        <w:t>raising moral questions</w:t>
      </w:r>
      <w:r w:rsidR="00A87807" w:rsidRPr="001B3BA5">
        <w:rPr>
          <w:rFonts w:asciiTheme="majorBidi" w:hAnsiTheme="majorBidi" w:cstheme="majorBidi"/>
          <w:sz w:val="24"/>
          <w:szCs w:val="24"/>
          <w:lang w:val="en-GB"/>
        </w:rPr>
        <w:t>,</w:t>
      </w:r>
      <w:r w:rsidR="002326E1" w:rsidRPr="001B3BA5">
        <w:rPr>
          <w:rFonts w:asciiTheme="majorBidi" w:hAnsiTheme="majorBidi" w:cstheme="majorBidi"/>
          <w:sz w:val="24"/>
          <w:szCs w:val="24"/>
          <w:lang w:val="en-GB"/>
        </w:rPr>
        <w:t xml:space="preserve"> because </w:t>
      </w:r>
      <w:r w:rsidR="002069D1" w:rsidRPr="001B3BA5">
        <w:rPr>
          <w:rFonts w:asciiTheme="majorBidi" w:hAnsiTheme="majorBidi" w:cstheme="majorBidi"/>
          <w:sz w:val="24"/>
          <w:szCs w:val="24"/>
          <w:lang w:val="en-GB"/>
        </w:rPr>
        <w:t xml:space="preserve">ownership </w:t>
      </w:r>
      <w:r w:rsidR="00981400" w:rsidRPr="001B3BA5">
        <w:rPr>
          <w:rFonts w:asciiTheme="majorBidi" w:hAnsiTheme="majorBidi" w:cstheme="majorBidi"/>
          <w:sz w:val="24"/>
          <w:szCs w:val="24"/>
          <w:lang w:val="en-GB"/>
        </w:rPr>
        <w:t>involve</w:t>
      </w:r>
      <w:r w:rsidR="0072660F" w:rsidRPr="001B3BA5">
        <w:rPr>
          <w:rFonts w:asciiTheme="majorBidi" w:hAnsiTheme="majorBidi" w:cstheme="majorBidi"/>
          <w:sz w:val="24"/>
          <w:szCs w:val="24"/>
          <w:lang w:val="en-GB"/>
        </w:rPr>
        <w:t>s</w:t>
      </w:r>
      <w:r w:rsidR="002069D1" w:rsidRPr="001B3BA5">
        <w:rPr>
          <w:rFonts w:asciiTheme="majorBidi" w:hAnsiTheme="majorBidi" w:cstheme="majorBidi"/>
          <w:sz w:val="24"/>
          <w:szCs w:val="24"/>
          <w:lang w:val="en-GB"/>
        </w:rPr>
        <w:t xml:space="preserve"> a consensually shared </w:t>
      </w:r>
      <w:r w:rsidR="0072660F" w:rsidRPr="001B3BA5">
        <w:rPr>
          <w:rFonts w:asciiTheme="majorBidi" w:hAnsiTheme="majorBidi" w:cstheme="majorBidi"/>
          <w:sz w:val="24"/>
          <w:szCs w:val="24"/>
          <w:lang w:val="en-GB"/>
        </w:rPr>
        <w:t>understanding about how</w:t>
      </w:r>
      <w:r w:rsidR="002069D1" w:rsidRPr="001B3BA5">
        <w:rPr>
          <w:rFonts w:asciiTheme="majorBidi" w:hAnsiTheme="majorBidi" w:cstheme="majorBidi"/>
          <w:sz w:val="24"/>
          <w:szCs w:val="24"/>
          <w:lang w:val="en-GB"/>
        </w:rPr>
        <w:t xml:space="preserve"> to determine entitle</w:t>
      </w:r>
      <w:r w:rsidR="0072660F" w:rsidRPr="001B3BA5">
        <w:rPr>
          <w:rFonts w:asciiTheme="majorBidi" w:hAnsiTheme="majorBidi" w:cstheme="majorBidi"/>
          <w:sz w:val="24"/>
          <w:szCs w:val="24"/>
          <w:lang w:val="en-GB"/>
        </w:rPr>
        <w:t>ments</w:t>
      </w:r>
      <w:r w:rsidR="002069D1" w:rsidRPr="001B3BA5">
        <w:rPr>
          <w:rFonts w:asciiTheme="majorBidi" w:hAnsiTheme="majorBidi" w:cstheme="majorBidi"/>
          <w:sz w:val="24"/>
          <w:szCs w:val="24"/>
          <w:lang w:val="en-GB"/>
        </w:rPr>
        <w:t xml:space="preserve"> </w:t>
      </w:r>
      <w:r w:rsidR="004F251E" w:rsidRPr="001B3BA5">
        <w:rPr>
          <w:rFonts w:asciiTheme="majorBidi" w:hAnsiTheme="majorBidi" w:cstheme="majorBidi"/>
          <w:sz w:val="24"/>
          <w:szCs w:val="24"/>
          <w:lang w:val="en-GB"/>
        </w:rPr>
        <w:fldChar w:fldCharType="begin"/>
      </w:r>
      <w:r w:rsidR="004F251E" w:rsidRPr="001B3BA5">
        <w:rPr>
          <w:rFonts w:asciiTheme="majorBidi" w:hAnsiTheme="majorBidi" w:cstheme="majorBidi"/>
          <w:sz w:val="24"/>
          <w:szCs w:val="24"/>
          <w:lang w:val="en-GB"/>
        </w:rPr>
        <w:instrText xml:space="preserve"> ADDIN EN.CITE &lt;EndNote&gt;&lt;Cite&gt;&lt;Author&gt;Costa-Lopes&lt;/Author&gt;&lt;Year&gt;2013&lt;/Year&gt;&lt;RecNum&gt;1571&lt;/RecNum&gt;&lt;DisplayText&gt;(Costa-Lopes, Dovidio, Pereira, &amp;amp; Jost, 2013)&lt;/DisplayText&gt;&lt;record&gt;&lt;rec-number&gt;1571&lt;/rec-number&gt;&lt;foreign-keys&gt;&lt;key app="EN" db-id="es92r5v5dve2z0erx59pv50vtp29v0t9ef5f" timestamp="1583922357"&gt;1571&lt;/key&gt;&lt;key app="ENWeb" db-id=""&gt;0&lt;/key&gt;&lt;/foreign-keys&gt;&lt;ref-type name="Journal Article"&gt;17&lt;/ref-type&gt;&lt;contributors&gt;&lt;authors&gt;&lt;author&gt;Costa-Lopes, Rui&lt;/author&gt;&lt;author&gt;Dovidio, John F.&lt;/author&gt;&lt;author&gt;Pereira, Cícero Roberto&lt;/author&gt;&lt;author&gt;Jost, John T.&lt;/author&gt;&lt;/authors&gt;&lt;/contributors&gt;&lt;titles&gt;&lt;title&gt;Social psychological perspectives on the legitimation of social inequality: Past, present and future&lt;/title&gt;&lt;secondary-title&gt;European Journal of Social Psychology&lt;/secondary-title&gt;&lt;/titles&gt;&lt;periodical&gt;&lt;full-title&gt;European Journal of Social Psychology&lt;/full-title&gt;&lt;/periodical&gt;&lt;pages&gt;229-237&lt;/pages&gt;&lt;volume&gt;43&lt;/volume&gt;&lt;number&gt;4&lt;/number&gt;&lt;dates&gt;&lt;year&gt;2013&lt;/year&gt;&lt;/dates&gt;&lt;isbn&gt;00462772&lt;/isbn&gt;&lt;urls&gt;&lt;/urls&gt;&lt;electronic-resource-num&gt;10.1002/ejsp.1966&lt;/electronic-resource-num&gt;&lt;/record&gt;&lt;/Cite&gt;&lt;/EndNote&gt;</w:instrText>
      </w:r>
      <w:r w:rsidR="004F251E" w:rsidRPr="001B3BA5">
        <w:rPr>
          <w:rFonts w:asciiTheme="majorBidi" w:hAnsiTheme="majorBidi" w:cstheme="majorBidi"/>
          <w:sz w:val="24"/>
          <w:szCs w:val="24"/>
          <w:lang w:val="en-GB"/>
        </w:rPr>
        <w:fldChar w:fldCharType="separate"/>
      </w:r>
      <w:r w:rsidR="004F251E" w:rsidRPr="001B3BA5">
        <w:rPr>
          <w:rFonts w:asciiTheme="majorBidi" w:hAnsiTheme="majorBidi" w:cstheme="majorBidi"/>
          <w:noProof/>
          <w:sz w:val="24"/>
          <w:szCs w:val="24"/>
          <w:lang w:val="en-GB"/>
        </w:rPr>
        <w:t>(Costa-Lopes, Dovidio, Pereira, &amp; Jost, 2013)</w:t>
      </w:r>
      <w:r w:rsidR="004F251E" w:rsidRPr="001B3BA5">
        <w:rPr>
          <w:rFonts w:asciiTheme="majorBidi" w:hAnsiTheme="majorBidi" w:cstheme="majorBidi"/>
          <w:sz w:val="24"/>
          <w:szCs w:val="24"/>
          <w:lang w:val="en-GB"/>
        </w:rPr>
        <w:fldChar w:fldCharType="end"/>
      </w:r>
      <w:r w:rsidR="002069D1" w:rsidRPr="001B3BA5">
        <w:rPr>
          <w:rFonts w:asciiTheme="majorBidi" w:hAnsiTheme="majorBidi" w:cstheme="majorBidi"/>
          <w:sz w:val="24"/>
          <w:szCs w:val="24"/>
          <w:lang w:val="en-GB"/>
        </w:rPr>
        <w:t>.</w:t>
      </w:r>
      <w:r w:rsidR="003C747F" w:rsidRPr="001B3BA5">
        <w:rPr>
          <w:rFonts w:asciiTheme="majorBidi" w:hAnsiTheme="majorBidi" w:cstheme="majorBidi"/>
          <w:sz w:val="24"/>
          <w:szCs w:val="24"/>
          <w:lang w:val="en-GB"/>
        </w:rPr>
        <w:t xml:space="preserve"> </w:t>
      </w:r>
      <w:r w:rsidR="00D91ECF" w:rsidRPr="001B3BA5">
        <w:rPr>
          <w:rFonts w:asciiTheme="majorBidi" w:hAnsiTheme="majorBidi" w:cstheme="majorBidi"/>
          <w:sz w:val="24"/>
          <w:szCs w:val="24"/>
          <w:lang w:val="en-GB"/>
        </w:rPr>
        <w:t>G</w:t>
      </w:r>
      <w:r w:rsidR="003C747F" w:rsidRPr="001B3BA5">
        <w:rPr>
          <w:rFonts w:asciiTheme="majorBidi" w:hAnsiTheme="majorBidi" w:cstheme="majorBidi"/>
          <w:sz w:val="24"/>
          <w:szCs w:val="24"/>
          <w:lang w:val="en-GB"/>
        </w:rPr>
        <w:t>eneral sense</w:t>
      </w:r>
      <w:r w:rsidR="004C519A" w:rsidRPr="001B3BA5">
        <w:rPr>
          <w:rFonts w:asciiTheme="majorBidi" w:hAnsiTheme="majorBidi" w:cstheme="majorBidi"/>
          <w:sz w:val="24"/>
          <w:szCs w:val="24"/>
          <w:lang w:val="en-GB"/>
        </w:rPr>
        <w:t>s</w:t>
      </w:r>
      <w:r w:rsidR="003C747F" w:rsidRPr="001B3BA5">
        <w:rPr>
          <w:rFonts w:asciiTheme="majorBidi" w:hAnsiTheme="majorBidi" w:cstheme="majorBidi"/>
          <w:sz w:val="24"/>
          <w:szCs w:val="24"/>
          <w:lang w:val="en-GB"/>
        </w:rPr>
        <w:t xml:space="preserve"> of </w:t>
      </w:r>
      <w:r w:rsidR="00080741" w:rsidRPr="001B3BA5">
        <w:rPr>
          <w:rFonts w:asciiTheme="majorBidi" w:hAnsiTheme="majorBidi" w:cstheme="majorBidi"/>
          <w:sz w:val="24"/>
          <w:szCs w:val="24"/>
          <w:lang w:val="en-GB"/>
        </w:rPr>
        <w:t xml:space="preserve">both </w:t>
      </w:r>
      <w:r w:rsidR="003C747F" w:rsidRPr="001B3BA5">
        <w:rPr>
          <w:rFonts w:asciiTheme="majorBidi" w:hAnsiTheme="majorBidi" w:cstheme="majorBidi"/>
          <w:sz w:val="24"/>
          <w:szCs w:val="24"/>
          <w:lang w:val="en-GB"/>
        </w:rPr>
        <w:t xml:space="preserve">personal and group entitlement </w:t>
      </w:r>
      <w:r w:rsidR="00D91ECF" w:rsidRPr="001B3BA5">
        <w:rPr>
          <w:rFonts w:asciiTheme="majorBidi" w:hAnsiTheme="majorBidi" w:cstheme="majorBidi"/>
          <w:sz w:val="24"/>
          <w:szCs w:val="24"/>
          <w:lang w:val="en-GB"/>
        </w:rPr>
        <w:t>are</w:t>
      </w:r>
      <w:r w:rsidR="003C747F" w:rsidRPr="001B3BA5">
        <w:rPr>
          <w:rFonts w:asciiTheme="majorBidi" w:hAnsiTheme="majorBidi" w:cstheme="majorBidi"/>
          <w:sz w:val="24"/>
          <w:szCs w:val="24"/>
          <w:lang w:val="en-GB"/>
        </w:rPr>
        <w:t xml:space="preserve"> related to more negative outgroup attitudes</w:t>
      </w:r>
      <w:r w:rsidR="00A87807" w:rsidRPr="001B3BA5">
        <w:rPr>
          <w:rFonts w:asciiTheme="majorBidi" w:hAnsiTheme="majorBidi" w:cstheme="majorBidi"/>
          <w:sz w:val="24"/>
          <w:szCs w:val="24"/>
          <w:lang w:val="en-GB"/>
        </w:rPr>
        <w:t>, as</w:t>
      </w:r>
      <w:r w:rsidR="00D2700E" w:rsidRPr="001B3BA5">
        <w:rPr>
          <w:rFonts w:asciiTheme="majorBidi" w:hAnsiTheme="majorBidi" w:cstheme="majorBidi"/>
          <w:sz w:val="24"/>
          <w:szCs w:val="24"/>
          <w:lang w:val="en-GB"/>
        </w:rPr>
        <w:t xml:space="preserve"> they </w:t>
      </w:r>
      <w:r w:rsidR="00981400" w:rsidRPr="001B3BA5">
        <w:rPr>
          <w:rFonts w:asciiTheme="majorBidi" w:hAnsiTheme="majorBidi" w:cstheme="majorBidi"/>
          <w:sz w:val="24"/>
          <w:szCs w:val="24"/>
          <w:lang w:val="en-GB"/>
        </w:rPr>
        <w:t>imply</w:t>
      </w:r>
      <w:r w:rsidR="00080741" w:rsidRPr="001B3BA5">
        <w:rPr>
          <w:rFonts w:asciiTheme="majorBidi" w:hAnsiTheme="majorBidi" w:cstheme="majorBidi"/>
          <w:sz w:val="24"/>
          <w:szCs w:val="24"/>
          <w:lang w:val="en-GB"/>
        </w:rPr>
        <w:t xml:space="preserve"> </w:t>
      </w:r>
      <w:r w:rsidR="00981400" w:rsidRPr="001B3BA5">
        <w:rPr>
          <w:rFonts w:asciiTheme="majorBidi" w:hAnsiTheme="majorBidi" w:cstheme="majorBidi"/>
          <w:sz w:val="24"/>
          <w:szCs w:val="24"/>
          <w:lang w:val="en-GB"/>
        </w:rPr>
        <w:t xml:space="preserve">acceptable </w:t>
      </w:r>
      <w:r w:rsidR="00080741" w:rsidRPr="001B3BA5">
        <w:rPr>
          <w:rFonts w:asciiTheme="majorBidi" w:hAnsiTheme="majorBidi" w:cstheme="majorBidi"/>
          <w:sz w:val="24"/>
          <w:szCs w:val="24"/>
          <w:lang w:val="en-GB"/>
        </w:rPr>
        <w:t xml:space="preserve">differences between individuals and groups </w:t>
      </w:r>
      <w:r w:rsidR="004F251E" w:rsidRPr="001B3BA5">
        <w:rPr>
          <w:rFonts w:asciiTheme="majorBidi" w:hAnsiTheme="majorBidi" w:cstheme="majorBidi"/>
          <w:sz w:val="24"/>
          <w:szCs w:val="24"/>
          <w:lang w:val="en-GB"/>
        </w:rPr>
        <w:fldChar w:fldCharType="begin"/>
      </w:r>
      <w:r w:rsidR="0052482B" w:rsidRPr="001B3BA5">
        <w:rPr>
          <w:rFonts w:asciiTheme="majorBidi" w:hAnsiTheme="majorBidi" w:cstheme="majorBidi"/>
          <w:sz w:val="24"/>
          <w:szCs w:val="24"/>
          <w:lang w:val="en-GB"/>
        </w:rPr>
        <w:instrText xml:space="preserve"> ADDIN EN.CITE &lt;EndNote&gt;&lt;Cite&gt;&lt;Author&gt;Anastasio&lt;/Author&gt;&lt;Year&gt;2014&lt;/Year&gt;&lt;RecNum&gt;1098&lt;/RecNum&gt;&lt;DisplayText&gt;(Anastasio &amp;amp; Rose, 2014; Blumer, 1958)&lt;/DisplayText&gt;&lt;record&gt;&lt;rec-number&gt;1098&lt;/rec-number&gt;&lt;foreign-keys&gt;&lt;key app="EN" db-id="es92r5v5dve2z0erx59pv50vtp29v0t9ef5f" timestamp="1509352892"&gt;1098&lt;/key&gt;&lt;key app="ENWeb" db-id=""&gt;0&lt;/key&gt;&lt;/foreign-keys&gt;&lt;ref-type name="Journal Article"&gt;17&lt;/ref-type&gt;&lt;contributors&gt;&lt;authors&gt;&lt;author&gt;Anastasio, Phyllis A.&lt;/author&gt;&lt;author&gt;Rose, Karen C.&lt;/author&gt;&lt;/authors&gt;&lt;/contributors&gt;&lt;titles&gt;&lt;title&gt;Beyond deserving more&lt;/title&gt;&lt;secondary-title&gt;Social Psychological and Personality Science&lt;/secondary-title&gt;&lt;/titles&gt;&lt;periodical&gt;&lt;full-title&gt;Social Psychological and Personality Science&lt;/full-title&gt;&lt;/periodical&gt;&lt;pages&gt;593-600&lt;/pages&gt;&lt;volume&gt;5&lt;/volume&gt;&lt;number&gt;5&lt;/number&gt;&lt;dates&gt;&lt;year&gt;2014&lt;/year&gt;&lt;/dates&gt;&lt;isbn&gt;1948-5506&amp;#xD;1948-5514&lt;/isbn&gt;&lt;urls&gt;&lt;/urls&gt;&lt;electronic-resource-num&gt;10.1177/1948550613519683&lt;/electronic-resource-num&gt;&lt;/record&gt;&lt;/Cite&gt;&lt;Cite&gt;&lt;Author&gt;Blumer&lt;/Author&gt;&lt;Year&gt;1958&lt;/Year&gt;&lt;RecNum&gt;1292&lt;/RecNum&gt;&lt;record&gt;&lt;rec-number&gt;1292&lt;/rec-number&gt;&lt;foreign-keys&gt;&lt;key app="EN" db-id="es92r5v5dve2z0erx59pv50vtp29v0t9ef5f" timestamp="1530690766"&gt;1292&lt;/key&gt;&lt;/foreign-keys&gt;&lt;ref-type name="Journal Article"&gt;17&lt;/ref-type&gt;&lt;contributors&gt;&lt;authors&gt;&lt;author&gt;Blumer, Herbert&lt;/author&gt;&lt;/authors&gt;&lt;/contributors&gt;&lt;titles&gt;&lt;title&gt;Race prejudice as a sense of group position&lt;/title&gt;&lt;secondary-title&gt;Pacific Sociological Review&lt;/secondary-title&gt;&lt;/titles&gt;&lt;periodical&gt;&lt;full-title&gt;Pacific Sociological Review&lt;/full-title&gt;&lt;/periodical&gt;&lt;pages&gt;3-7&lt;/pages&gt;&lt;volume&gt;1&lt;/volume&gt;&lt;number&gt;1&lt;/number&gt;&lt;dates&gt;&lt;year&gt;1958&lt;/year&gt;&lt;/dates&gt;&lt;isbn&gt;0030-8919&lt;/isbn&gt;&lt;urls&gt;&lt;/urls&gt;&lt;/record&gt;&lt;/Cite&gt;&lt;/EndNote&gt;</w:instrText>
      </w:r>
      <w:r w:rsidR="004F251E" w:rsidRPr="001B3BA5">
        <w:rPr>
          <w:rFonts w:asciiTheme="majorBidi" w:hAnsiTheme="majorBidi" w:cstheme="majorBidi"/>
          <w:sz w:val="24"/>
          <w:szCs w:val="24"/>
          <w:lang w:val="en-GB"/>
        </w:rPr>
        <w:fldChar w:fldCharType="separate"/>
      </w:r>
      <w:r w:rsidR="006D1272" w:rsidRPr="001B3BA5">
        <w:rPr>
          <w:rFonts w:asciiTheme="majorBidi" w:hAnsiTheme="majorBidi" w:cstheme="majorBidi"/>
          <w:noProof/>
          <w:sz w:val="24"/>
          <w:szCs w:val="24"/>
          <w:lang w:val="en-GB"/>
        </w:rPr>
        <w:t>(Anastasio &amp; Rose, 2014; Blumer, 1958)</w:t>
      </w:r>
      <w:r w:rsidR="004F251E" w:rsidRPr="001B3BA5">
        <w:rPr>
          <w:rFonts w:asciiTheme="majorBidi" w:hAnsiTheme="majorBidi" w:cstheme="majorBidi"/>
          <w:sz w:val="24"/>
          <w:szCs w:val="24"/>
          <w:lang w:val="en-GB"/>
        </w:rPr>
        <w:fldChar w:fldCharType="end"/>
      </w:r>
      <w:r w:rsidR="006D1272" w:rsidRPr="001B3BA5">
        <w:rPr>
          <w:rFonts w:asciiTheme="majorBidi" w:hAnsiTheme="majorBidi" w:cstheme="majorBidi"/>
          <w:sz w:val="24"/>
          <w:szCs w:val="24"/>
          <w:lang w:val="en-GB"/>
        </w:rPr>
        <w:t>.</w:t>
      </w:r>
      <w:r w:rsidR="00AD757F" w:rsidRPr="001B3BA5">
        <w:rPr>
          <w:rFonts w:asciiTheme="majorBidi" w:hAnsiTheme="majorBidi" w:cstheme="majorBidi"/>
          <w:sz w:val="24"/>
          <w:szCs w:val="24"/>
          <w:lang w:val="en-GB"/>
        </w:rPr>
        <w:t xml:space="preserve"> </w:t>
      </w:r>
      <w:r w:rsidR="008E080E" w:rsidRPr="001B3BA5">
        <w:rPr>
          <w:rFonts w:asciiTheme="majorBidi" w:hAnsiTheme="majorBidi" w:cstheme="majorBidi"/>
          <w:sz w:val="24"/>
          <w:szCs w:val="24"/>
          <w:lang w:val="en-GB"/>
        </w:rPr>
        <w:t>Right-wing populis</w:t>
      </w:r>
      <w:r w:rsidR="00D70C9C" w:rsidRPr="001B3BA5">
        <w:rPr>
          <w:rFonts w:asciiTheme="majorBidi" w:hAnsiTheme="majorBidi" w:cstheme="majorBidi"/>
          <w:sz w:val="24"/>
          <w:szCs w:val="24"/>
          <w:lang w:val="en-GB"/>
        </w:rPr>
        <w:t>ts</w:t>
      </w:r>
      <w:r w:rsidR="009F1519" w:rsidRPr="001B3BA5">
        <w:rPr>
          <w:rFonts w:asciiTheme="majorBidi" w:hAnsiTheme="majorBidi" w:cstheme="majorBidi"/>
          <w:sz w:val="24"/>
          <w:szCs w:val="24"/>
          <w:lang w:val="en-GB"/>
        </w:rPr>
        <w:t>, then,</w:t>
      </w:r>
      <w:r w:rsidR="008E080E" w:rsidRPr="001B3BA5">
        <w:rPr>
          <w:rFonts w:asciiTheme="majorBidi" w:hAnsiTheme="majorBidi" w:cstheme="majorBidi"/>
          <w:sz w:val="24"/>
          <w:szCs w:val="24"/>
          <w:lang w:val="en-GB"/>
        </w:rPr>
        <w:t xml:space="preserve"> may use </w:t>
      </w:r>
      <w:r w:rsidR="002452FD" w:rsidRPr="001B3BA5">
        <w:rPr>
          <w:rFonts w:asciiTheme="majorBidi" w:hAnsiTheme="majorBidi" w:cstheme="majorBidi"/>
          <w:sz w:val="24"/>
          <w:szCs w:val="24"/>
          <w:lang w:val="en-GB"/>
        </w:rPr>
        <w:t xml:space="preserve">the rhetoric of </w:t>
      </w:r>
      <w:r w:rsidR="00B41B02" w:rsidRPr="001B3BA5">
        <w:rPr>
          <w:rFonts w:asciiTheme="majorBidi" w:hAnsiTheme="majorBidi" w:cstheme="majorBidi"/>
          <w:sz w:val="24"/>
          <w:szCs w:val="24"/>
          <w:lang w:val="en-GB"/>
        </w:rPr>
        <w:t>CPO</w:t>
      </w:r>
      <w:r w:rsidR="007651F3" w:rsidRPr="001B3BA5">
        <w:rPr>
          <w:rFonts w:asciiTheme="majorBidi" w:hAnsiTheme="majorBidi" w:cstheme="majorBidi"/>
          <w:sz w:val="24"/>
          <w:szCs w:val="24"/>
          <w:lang w:val="en-GB"/>
        </w:rPr>
        <w:t xml:space="preserve"> and its </w:t>
      </w:r>
      <w:r w:rsidR="00DC01FF" w:rsidRPr="001B3BA5">
        <w:rPr>
          <w:rFonts w:asciiTheme="majorBidi" w:hAnsiTheme="majorBidi" w:cstheme="majorBidi"/>
          <w:sz w:val="24"/>
          <w:szCs w:val="24"/>
          <w:lang w:val="en-GB"/>
        </w:rPr>
        <w:t>exclusive determination right</w:t>
      </w:r>
      <w:r w:rsidR="00F85F30" w:rsidRPr="001B3BA5">
        <w:rPr>
          <w:rFonts w:asciiTheme="majorBidi" w:hAnsiTheme="majorBidi" w:cstheme="majorBidi"/>
          <w:sz w:val="24"/>
          <w:szCs w:val="24"/>
          <w:lang w:val="en-GB"/>
        </w:rPr>
        <w:t xml:space="preserve"> </w:t>
      </w:r>
      <w:r w:rsidR="00981400" w:rsidRPr="001B3BA5">
        <w:rPr>
          <w:rFonts w:asciiTheme="majorBidi" w:hAnsiTheme="majorBidi" w:cstheme="majorBidi"/>
          <w:sz w:val="24"/>
          <w:szCs w:val="24"/>
          <w:lang w:val="en-GB"/>
        </w:rPr>
        <w:t>as a basis for</w:t>
      </w:r>
      <w:r w:rsidR="008E080E" w:rsidRPr="001B3BA5">
        <w:rPr>
          <w:rFonts w:asciiTheme="majorBidi" w:hAnsiTheme="majorBidi" w:cstheme="majorBidi"/>
          <w:sz w:val="24"/>
          <w:szCs w:val="24"/>
          <w:lang w:val="en-GB"/>
        </w:rPr>
        <w:t xml:space="preserve"> </w:t>
      </w:r>
      <w:r w:rsidR="00F85F30" w:rsidRPr="001B3BA5">
        <w:rPr>
          <w:rFonts w:asciiTheme="majorBidi" w:hAnsiTheme="majorBidi" w:cstheme="majorBidi"/>
          <w:sz w:val="24"/>
          <w:szCs w:val="24"/>
          <w:lang w:val="en-GB"/>
        </w:rPr>
        <w:t>opposi</w:t>
      </w:r>
      <w:r w:rsidR="00A87807" w:rsidRPr="001B3BA5">
        <w:rPr>
          <w:rFonts w:asciiTheme="majorBidi" w:hAnsiTheme="majorBidi" w:cstheme="majorBidi"/>
          <w:sz w:val="24"/>
          <w:szCs w:val="24"/>
          <w:lang w:val="en-GB"/>
        </w:rPr>
        <w:t>ng</w:t>
      </w:r>
      <w:r w:rsidR="008E080E" w:rsidRPr="001B3BA5">
        <w:rPr>
          <w:rFonts w:asciiTheme="majorBidi" w:hAnsiTheme="majorBidi" w:cstheme="majorBidi"/>
          <w:sz w:val="24"/>
          <w:szCs w:val="24"/>
          <w:lang w:val="en-GB"/>
        </w:rPr>
        <w:t xml:space="preserve"> immigrants </w:t>
      </w:r>
      <w:r w:rsidR="00C414EA"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&lt;EndNote&gt;&lt;Cite&gt;&lt;Author&gt;Fine&lt;/Author&gt;&lt;Year&gt;2013&lt;/Year&gt;&lt;RecNum&gt;1457&lt;/RecNum&gt;&lt;DisplayText&gt;(Fine, 2013)&lt;/DisplayText&gt;&lt;record&gt;&lt;rec-number&gt;1457&lt;/rec-number&gt;&lt;foreign-keys&gt;&lt;key app="EN" db-id="es92r5v5dve2z0erx59pv50vtp29v0t9ef5f" timestamp="1562854853"&gt;1457&lt;/key&gt;&lt;/foreign-keys&gt;&lt;ref-type name="Journal Article"&gt;17&lt;/ref-type&gt;&lt;contributors&gt;&lt;authors&gt;&lt;author&gt;Fine, Sarah&lt;/author&gt;&lt;/authors&gt;&lt;/contributors&gt;&lt;titles&gt;&lt;title&gt;The ethics of immigration: Self‐determination and the right to exclude&lt;/title&gt;&lt;secondary-title&gt;Philosophy Compass&lt;/secondary-title&gt;&lt;/titles&gt;&lt;periodical&gt;&lt;full-title&gt;Philosophy Compass&lt;/full-title&gt;&lt;/periodical&gt;&lt;pages&gt;254-268&lt;/pages&gt;&lt;volume&gt;8&lt;/volume&gt;&lt;number&gt;3&lt;/number&gt;&lt;dates&gt;&lt;year&gt;2013&lt;/year&gt;&lt;/dates&gt;&lt;isbn&gt;1747-9991&lt;/isbn&gt;&lt;urls&gt;&lt;/urls&gt;&lt;electronic-resource-num&gt;10.1111/phc3.12019&lt;/electronic-resource-num&gt;&lt;/record&gt;&lt;/Cite&gt;&lt;/EndNote&gt;</w:instrText>
      </w:r>
      <w:r w:rsidR="00C414EA" w:rsidRPr="001B3BA5">
        <w:rPr>
          <w:rFonts w:asciiTheme="majorBidi" w:hAnsiTheme="majorBidi" w:cstheme="majorBidi"/>
          <w:sz w:val="24"/>
          <w:szCs w:val="24"/>
          <w:lang w:val="en-GB"/>
        </w:rPr>
        <w:fldChar w:fldCharType="separate"/>
      </w:r>
      <w:r w:rsidR="00C414EA" w:rsidRPr="001B3BA5">
        <w:rPr>
          <w:rFonts w:asciiTheme="majorBidi" w:hAnsiTheme="majorBidi" w:cstheme="majorBidi"/>
          <w:noProof/>
          <w:sz w:val="24"/>
          <w:szCs w:val="24"/>
          <w:lang w:val="en-GB"/>
        </w:rPr>
        <w:t>(Fine, 2013)</w:t>
      </w:r>
      <w:r w:rsidR="00C414EA" w:rsidRPr="001B3BA5">
        <w:rPr>
          <w:rFonts w:asciiTheme="majorBidi" w:hAnsiTheme="majorBidi" w:cstheme="majorBidi"/>
          <w:sz w:val="24"/>
          <w:szCs w:val="24"/>
          <w:lang w:val="en-GB"/>
        </w:rPr>
        <w:fldChar w:fldCharType="end"/>
      </w:r>
      <w:r w:rsidR="00F85F30" w:rsidRPr="001B3BA5">
        <w:rPr>
          <w:rFonts w:asciiTheme="majorBidi" w:hAnsiTheme="majorBidi" w:cstheme="majorBidi"/>
          <w:sz w:val="24"/>
          <w:szCs w:val="24"/>
          <w:lang w:val="en-GB"/>
        </w:rPr>
        <w:t>.</w:t>
      </w:r>
    </w:p>
    <w:bookmarkEnd w:id="3"/>
    <w:p w14:paraId="09BAAC64" w14:textId="5A25D968" w:rsidR="006543FF" w:rsidRPr="001B3BA5" w:rsidRDefault="000F63EB">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C</w:t>
      </w:r>
      <w:r w:rsidR="00B41B02" w:rsidRPr="001B3BA5">
        <w:rPr>
          <w:rFonts w:asciiTheme="majorBidi" w:hAnsiTheme="majorBidi" w:cstheme="majorBidi"/>
          <w:sz w:val="24"/>
          <w:szCs w:val="24"/>
          <w:lang w:val="en-GB"/>
        </w:rPr>
        <w:t>PO</w:t>
      </w:r>
      <w:r w:rsidRPr="001B3BA5">
        <w:rPr>
          <w:rFonts w:asciiTheme="majorBidi" w:hAnsiTheme="majorBidi" w:cstheme="majorBidi"/>
          <w:sz w:val="24"/>
          <w:szCs w:val="24"/>
          <w:lang w:val="en-GB"/>
        </w:rPr>
        <w:t xml:space="preserve"> </w:t>
      </w:r>
      <w:r w:rsidR="00A64810" w:rsidRPr="001B3BA5">
        <w:rPr>
          <w:rFonts w:asciiTheme="majorBidi" w:hAnsiTheme="majorBidi" w:cstheme="majorBidi"/>
          <w:sz w:val="24"/>
          <w:szCs w:val="24"/>
          <w:lang w:val="en-GB"/>
        </w:rPr>
        <w:t xml:space="preserve">and its </w:t>
      </w:r>
      <w:r w:rsidR="00DC01FF" w:rsidRPr="001B3BA5">
        <w:rPr>
          <w:rFonts w:asciiTheme="majorBidi" w:hAnsiTheme="majorBidi" w:cstheme="majorBidi"/>
          <w:sz w:val="24"/>
          <w:szCs w:val="24"/>
          <w:lang w:val="en-GB"/>
        </w:rPr>
        <w:t>exclusive determination right</w:t>
      </w:r>
      <w:r w:rsidR="00A64810" w:rsidRPr="001B3BA5">
        <w:rPr>
          <w:rFonts w:asciiTheme="majorBidi" w:hAnsiTheme="majorBidi" w:cstheme="majorBidi"/>
          <w:sz w:val="24"/>
          <w:szCs w:val="24"/>
          <w:lang w:val="en-GB"/>
        </w:rPr>
        <w:t xml:space="preserve"> may also be associated with opposition to European </w:t>
      </w:r>
      <w:r w:rsidR="006C0B37" w:rsidRPr="001B3BA5">
        <w:rPr>
          <w:rFonts w:asciiTheme="majorBidi" w:hAnsiTheme="majorBidi" w:cstheme="majorBidi"/>
          <w:sz w:val="24"/>
          <w:szCs w:val="24"/>
          <w:lang w:val="en-GB"/>
        </w:rPr>
        <w:t>integration</w:t>
      </w:r>
      <w:r w:rsidR="00A64810" w:rsidRPr="001B3BA5">
        <w:rPr>
          <w:rFonts w:asciiTheme="majorBidi" w:hAnsiTheme="majorBidi" w:cstheme="majorBidi"/>
          <w:sz w:val="24"/>
          <w:szCs w:val="24"/>
          <w:lang w:val="en-GB"/>
        </w:rPr>
        <w:t xml:space="preserve">. Involvement of the EU in what are perceived to be national matters may be regarded as </w:t>
      </w:r>
      <w:r w:rsidR="00981400" w:rsidRPr="001B3BA5">
        <w:rPr>
          <w:rFonts w:asciiTheme="majorBidi" w:hAnsiTheme="majorBidi" w:cstheme="majorBidi"/>
          <w:sz w:val="24"/>
          <w:szCs w:val="24"/>
          <w:lang w:val="en-GB"/>
        </w:rPr>
        <w:t xml:space="preserve">international elite </w:t>
      </w:r>
      <w:r w:rsidR="00A64810" w:rsidRPr="001B3BA5">
        <w:rPr>
          <w:rFonts w:asciiTheme="majorBidi" w:hAnsiTheme="majorBidi" w:cstheme="majorBidi"/>
          <w:sz w:val="24"/>
          <w:szCs w:val="24"/>
          <w:lang w:val="en-GB"/>
        </w:rPr>
        <w:t xml:space="preserve">interfering with the exclusive right to </w:t>
      </w:r>
      <w:r w:rsidR="009F1519" w:rsidRPr="001B3BA5">
        <w:rPr>
          <w:rFonts w:asciiTheme="majorBidi" w:hAnsiTheme="majorBidi" w:cstheme="majorBidi"/>
          <w:sz w:val="24"/>
          <w:szCs w:val="24"/>
          <w:lang w:val="en-GB"/>
        </w:rPr>
        <w:t xml:space="preserve">make decisions </w:t>
      </w:r>
      <w:r w:rsidR="00A64810" w:rsidRPr="001B3BA5">
        <w:rPr>
          <w:rFonts w:asciiTheme="majorBidi" w:hAnsiTheme="majorBidi" w:cstheme="majorBidi"/>
          <w:sz w:val="24"/>
          <w:szCs w:val="24"/>
          <w:lang w:val="en-GB"/>
        </w:rPr>
        <w:t>about one</w:t>
      </w:r>
      <w:r w:rsidR="00B146E8" w:rsidRPr="001B3BA5">
        <w:rPr>
          <w:rFonts w:asciiTheme="majorBidi" w:hAnsiTheme="majorBidi" w:cstheme="majorBidi"/>
          <w:sz w:val="24"/>
          <w:szCs w:val="24"/>
          <w:lang w:val="en-GB"/>
        </w:rPr>
        <w:t>’</w:t>
      </w:r>
      <w:r w:rsidR="00A64810" w:rsidRPr="001B3BA5">
        <w:rPr>
          <w:rFonts w:asciiTheme="majorBidi" w:hAnsiTheme="majorBidi" w:cstheme="majorBidi"/>
          <w:sz w:val="24"/>
          <w:szCs w:val="24"/>
          <w:lang w:val="en-GB"/>
        </w:rPr>
        <w:t>s own country</w:t>
      </w:r>
      <w:r w:rsidR="005E68CC" w:rsidRPr="001B3BA5">
        <w:rPr>
          <w:rFonts w:asciiTheme="majorBidi" w:hAnsiTheme="majorBidi" w:cstheme="majorBidi"/>
          <w:sz w:val="24"/>
          <w:szCs w:val="24"/>
          <w:lang w:val="en-GB"/>
        </w:rPr>
        <w:t>, which taps into the vertical ‘people-elite’ distinction of right-wing populism</w:t>
      </w:r>
      <w:r w:rsidR="00A64810" w:rsidRPr="001B3BA5">
        <w:rPr>
          <w:rFonts w:asciiTheme="majorBidi" w:hAnsiTheme="majorBidi" w:cstheme="majorBidi"/>
          <w:sz w:val="24"/>
          <w:szCs w:val="24"/>
          <w:lang w:val="en-GB"/>
        </w:rPr>
        <w:t xml:space="preserve"> </w:t>
      </w:r>
      <w:r w:rsidR="00A64810"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&lt;EndNote&gt;&lt;Cite&gt;&lt;Author&gt;Føllesdal&lt;/Author&gt;&lt;Year&gt;1998&lt;/Year&gt;&lt;RecNum&gt;1258&lt;/RecNum&gt;&lt;DisplayText&gt;(Føllesdal, 1998)&lt;/DisplayText&gt;&lt;record&gt;&lt;rec-number&gt;1258&lt;/rec-number&gt;&lt;foreign-keys&gt;&lt;key app="EN" db-id="es92r5v5dve2z0erx59pv50vtp29v0t9ef5f" timestamp="1529927904"&gt;1258&lt;/key&gt;&lt;/foreign-keys&gt;&lt;ref-type name="Journal Article"&gt;17&lt;/ref-type&gt;&lt;contributors&gt;&lt;authors&gt;&lt;author&gt;Føllesdal, Andreas&lt;/author&gt;&lt;/authors&gt;&lt;/contributors&gt;&lt;titles&gt;&lt;title&gt;Survey article: subsidiarity&lt;/title&gt;&lt;secondary-title&gt;Journal of Political Philosophy&lt;/secondary-title&gt;&lt;/titles&gt;&lt;periodical&gt;&lt;full-title&gt;Journal of Political Philosophy&lt;/full-title&gt;&lt;/periodical&gt;&lt;pages&gt;190-218&lt;/pages&gt;&lt;volume&gt;6&lt;/volume&gt;&lt;number&gt;2&lt;/number&gt;&lt;dates&gt;&lt;year&gt;1998&lt;/year&gt;&lt;/dates&gt;&lt;isbn&gt;1467-9760&lt;/isbn&gt;&lt;urls&gt;&lt;/urls&gt;&lt;electronic-resource-num&gt;10.1111/1467-9760.00052&lt;/electronic-resource-num&gt;&lt;/record&gt;&lt;/Cite&gt;&lt;/EndNote&gt;</w:instrText>
      </w:r>
      <w:r w:rsidR="00A64810" w:rsidRPr="001B3BA5">
        <w:rPr>
          <w:rFonts w:asciiTheme="majorBidi" w:hAnsiTheme="majorBidi" w:cstheme="majorBidi"/>
          <w:sz w:val="24"/>
          <w:szCs w:val="24"/>
          <w:lang w:val="en-GB"/>
        </w:rPr>
        <w:fldChar w:fldCharType="separate"/>
      </w:r>
      <w:r w:rsidR="008B1553" w:rsidRPr="001B3BA5">
        <w:rPr>
          <w:rFonts w:asciiTheme="majorBidi" w:hAnsiTheme="majorBidi" w:cstheme="majorBidi"/>
          <w:noProof/>
          <w:sz w:val="24"/>
          <w:szCs w:val="24"/>
          <w:lang w:val="en-GB"/>
        </w:rPr>
        <w:t>(Føllesdal, 1998)</w:t>
      </w:r>
      <w:r w:rsidR="00A64810" w:rsidRPr="001B3BA5">
        <w:rPr>
          <w:rFonts w:asciiTheme="majorBidi" w:hAnsiTheme="majorBidi" w:cstheme="majorBidi"/>
          <w:sz w:val="24"/>
          <w:szCs w:val="24"/>
          <w:lang w:val="en-GB"/>
        </w:rPr>
        <w:fldChar w:fldCharType="end"/>
      </w:r>
      <w:r w:rsidR="00A64810" w:rsidRPr="001B3BA5">
        <w:rPr>
          <w:rFonts w:asciiTheme="majorBidi" w:hAnsiTheme="majorBidi" w:cstheme="majorBidi"/>
          <w:sz w:val="24"/>
          <w:szCs w:val="24"/>
          <w:lang w:val="en-GB"/>
        </w:rPr>
        <w:t xml:space="preserve">. </w:t>
      </w:r>
      <w:r w:rsidR="00356794" w:rsidRPr="001B3BA5">
        <w:rPr>
          <w:rFonts w:asciiTheme="majorBidi" w:hAnsiTheme="majorBidi" w:cstheme="majorBidi"/>
          <w:sz w:val="24"/>
          <w:szCs w:val="24"/>
          <w:lang w:val="en-GB"/>
        </w:rPr>
        <w:t>European integration</w:t>
      </w:r>
      <w:r w:rsidR="00A64810" w:rsidRPr="001B3BA5">
        <w:rPr>
          <w:rFonts w:asciiTheme="majorBidi" w:hAnsiTheme="majorBidi" w:cstheme="majorBidi"/>
          <w:sz w:val="24"/>
          <w:szCs w:val="24"/>
          <w:lang w:val="en-GB"/>
        </w:rPr>
        <w:t xml:space="preserve"> ha</w:t>
      </w:r>
      <w:r w:rsidR="007037C8" w:rsidRPr="001B3BA5">
        <w:rPr>
          <w:rFonts w:asciiTheme="majorBidi" w:hAnsiTheme="majorBidi" w:cstheme="majorBidi"/>
          <w:sz w:val="24"/>
          <w:szCs w:val="24"/>
          <w:lang w:val="en-GB"/>
        </w:rPr>
        <w:t>s</w:t>
      </w:r>
      <w:r w:rsidR="00A64810" w:rsidRPr="001B3BA5">
        <w:rPr>
          <w:rFonts w:asciiTheme="majorBidi" w:hAnsiTheme="majorBidi" w:cstheme="majorBidi"/>
          <w:sz w:val="24"/>
          <w:szCs w:val="24"/>
          <w:lang w:val="en-GB"/>
        </w:rPr>
        <w:t xml:space="preserve"> led to common policies in a range of domains, such as security (Europol) </w:t>
      </w:r>
      <w:r w:rsidR="00E336F5" w:rsidRPr="001B3BA5">
        <w:rPr>
          <w:rFonts w:asciiTheme="majorBidi" w:hAnsiTheme="majorBidi" w:cstheme="majorBidi"/>
          <w:sz w:val="24"/>
          <w:szCs w:val="24"/>
          <w:lang w:val="en-GB"/>
        </w:rPr>
        <w:t>and</w:t>
      </w:r>
      <w:r w:rsidR="00A64810" w:rsidRPr="001B3BA5">
        <w:rPr>
          <w:rFonts w:asciiTheme="majorBidi" w:hAnsiTheme="majorBidi" w:cstheme="majorBidi"/>
          <w:sz w:val="24"/>
          <w:szCs w:val="24"/>
          <w:lang w:val="en-GB"/>
        </w:rPr>
        <w:t xml:space="preserve"> monetary </w:t>
      </w:r>
      <w:r w:rsidR="00A579E3">
        <w:rPr>
          <w:rFonts w:asciiTheme="majorBidi" w:hAnsiTheme="majorBidi" w:cstheme="majorBidi"/>
          <w:sz w:val="24"/>
          <w:szCs w:val="24"/>
          <w:lang w:val="en-GB"/>
        </w:rPr>
        <w:fldChar w:fldCharType="begin"/>
      </w:r>
      <w:r w:rsidR="00A579E3">
        <w:rPr>
          <w:rFonts w:asciiTheme="majorBidi" w:hAnsiTheme="majorBidi" w:cstheme="majorBidi"/>
          <w:sz w:val="24"/>
          <w:szCs w:val="24"/>
          <w:lang w:val="en-GB"/>
        </w:rPr>
        <w:instrText xml:space="preserve"> ADDIN EN.CITE &lt;EndNote&gt;&lt;Cite&gt;&lt;Author&gt;European Parliament&lt;/Author&gt;&lt;Year&gt;2014&lt;/Year&gt;&lt;RecNum&gt;1489&lt;/RecNum&gt;&lt;Prefix&gt;the Euro`; &lt;/Prefix&gt;&lt;DisplayText&gt;(the Euro; European Parliament, 2014)&lt;/DisplayText&gt;&lt;record&gt;&lt;rec-number&gt;1489&lt;/rec-number&gt;&lt;foreign-keys&gt;&lt;key app="EN" db-id="es92r5v5dve2z0erx59pv50vtp29v0t9ef5f" timestamp="1570439145"&gt;1489&lt;/key&gt;&lt;/foreign-keys&gt;&lt;ref-type name="Web Page"&gt;12&lt;/ref-type&gt;&lt;contributors&gt;&lt;authors&gt;&lt;author&gt;European Parliament,&lt;/author&gt;&lt;/authors&gt;&lt;/contributors&gt;&lt;titles&gt;&lt;title&gt;Policies&lt;/title&gt;&lt;/titles&gt;&lt;volume&gt;2019&lt;/volume&gt;&lt;number&gt;7-10-2019&lt;/number&gt;&lt;dates&gt;&lt;year&gt;2014&lt;/year&gt;&lt;/dates&gt;&lt;urls&gt;&lt;related-urls&gt;&lt;url&gt;https://europarlamentti.info/en/values-and-objectives/policies/&lt;/url&gt;&lt;/related-urls&gt;&lt;/urls&gt;&lt;/record&gt;&lt;/Cite&gt;&lt;/EndNote&gt;</w:instrText>
      </w:r>
      <w:r w:rsidR="00A579E3">
        <w:rPr>
          <w:rFonts w:asciiTheme="majorBidi" w:hAnsiTheme="majorBidi" w:cstheme="majorBidi"/>
          <w:sz w:val="24"/>
          <w:szCs w:val="24"/>
          <w:lang w:val="en-GB"/>
        </w:rPr>
        <w:fldChar w:fldCharType="separate"/>
      </w:r>
      <w:r w:rsidR="00A579E3">
        <w:rPr>
          <w:rFonts w:asciiTheme="majorBidi" w:hAnsiTheme="majorBidi" w:cstheme="majorBidi"/>
          <w:noProof/>
          <w:sz w:val="24"/>
          <w:szCs w:val="24"/>
          <w:lang w:val="en-GB"/>
        </w:rPr>
        <w:t>(the Euro; European Parliament, 2014)</w:t>
      </w:r>
      <w:r w:rsidR="00A579E3">
        <w:rPr>
          <w:rFonts w:asciiTheme="majorBidi" w:hAnsiTheme="majorBidi" w:cstheme="majorBidi"/>
          <w:sz w:val="24"/>
          <w:szCs w:val="24"/>
          <w:lang w:val="en-GB"/>
        </w:rPr>
        <w:fldChar w:fldCharType="end"/>
      </w:r>
      <w:r w:rsidR="00A579E3">
        <w:rPr>
          <w:rFonts w:asciiTheme="majorBidi" w:hAnsiTheme="majorBidi" w:cstheme="majorBidi"/>
          <w:sz w:val="24"/>
          <w:szCs w:val="24"/>
          <w:lang w:val="en-GB"/>
        </w:rPr>
        <w:t xml:space="preserve"> </w:t>
      </w:r>
      <w:r w:rsidR="007037C8" w:rsidRPr="001B3BA5">
        <w:rPr>
          <w:rFonts w:asciiTheme="majorBidi" w:hAnsiTheme="majorBidi" w:cstheme="majorBidi"/>
          <w:sz w:val="24"/>
          <w:szCs w:val="24"/>
          <w:lang w:val="en-GB"/>
        </w:rPr>
        <w:t xml:space="preserve">all of which can be seen as examples of </w:t>
      </w:r>
      <w:r w:rsidR="00B146E8" w:rsidRPr="001B3BA5">
        <w:rPr>
          <w:rFonts w:asciiTheme="majorBidi" w:hAnsiTheme="majorBidi" w:cstheme="majorBidi"/>
          <w:sz w:val="24"/>
          <w:szCs w:val="24"/>
          <w:lang w:val="en-GB"/>
        </w:rPr>
        <w:t>‘</w:t>
      </w:r>
      <w:r w:rsidR="007037C8" w:rsidRPr="001B3BA5">
        <w:rPr>
          <w:rFonts w:asciiTheme="majorBidi" w:hAnsiTheme="majorBidi" w:cstheme="majorBidi"/>
          <w:sz w:val="24"/>
          <w:szCs w:val="24"/>
          <w:lang w:val="en-GB"/>
        </w:rPr>
        <w:t>interference</w:t>
      </w:r>
      <w:r w:rsidR="00B146E8" w:rsidRPr="001B3BA5">
        <w:rPr>
          <w:rFonts w:asciiTheme="majorBidi" w:hAnsiTheme="majorBidi" w:cstheme="majorBidi"/>
          <w:sz w:val="24"/>
          <w:szCs w:val="24"/>
          <w:lang w:val="en-GB"/>
        </w:rPr>
        <w:t>’</w:t>
      </w:r>
      <w:r w:rsidR="00800749" w:rsidRPr="001B3BA5">
        <w:rPr>
          <w:rFonts w:asciiTheme="majorBidi" w:hAnsiTheme="majorBidi" w:cstheme="majorBidi"/>
          <w:sz w:val="24"/>
          <w:szCs w:val="24"/>
          <w:lang w:val="en-GB"/>
        </w:rPr>
        <w:t xml:space="preserve"> by the EU elite not listening to the people </w:t>
      </w:r>
      <w:r w:rsidR="00F30C42" w:rsidRPr="001B3BA5">
        <w:rPr>
          <w:rFonts w:asciiTheme="majorBidi" w:hAnsiTheme="majorBidi" w:cstheme="majorBidi"/>
          <w:sz w:val="24"/>
          <w:szCs w:val="24"/>
          <w:lang w:val="en-GB"/>
        </w:rPr>
        <w:fldChar w:fldCharType="begin"/>
      </w:r>
      <w:r w:rsidR="0052482B" w:rsidRPr="001B3BA5">
        <w:rPr>
          <w:rFonts w:asciiTheme="majorBidi" w:hAnsiTheme="majorBidi" w:cstheme="majorBidi"/>
          <w:sz w:val="24"/>
          <w:szCs w:val="24"/>
          <w:lang w:val="en-GB"/>
        </w:rPr>
        <w:instrText xml:space="preserve"> ADDIN EN.CITE &lt;EndNote&gt;&lt;Cite&gt;&lt;Author&gt;Harmsen&lt;/Author&gt;&lt;Year&gt;2010&lt;/Year&gt;&lt;RecNum&gt;1578&lt;/RecNum&gt;&lt;DisplayText&gt;(Harmsen, 2010)&lt;/DisplayText&gt;&lt;record&gt;&lt;rec-number&gt;1578&lt;/rec-number&gt;&lt;foreign-keys&gt;&lt;key app="EN" db-id="es92r5v5dve2z0erx59pv50vtp29v0t9ef5f" timestamp="1583936485"&gt;1578&lt;/key&gt;&lt;key app="ENWeb" db-id=""&gt;0&lt;/key&gt;&lt;/foreign-keys&gt;&lt;ref-type name="Journal Article"&gt;17&lt;/ref-type&gt;&lt;contributors&gt;&lt;authors&gt;&lt;author&gt;Harmsen, Robert&lt;/author&gt;&lt;/authors&gt;&lt;/contributors&gt;&lt;titles&gt;&lt;title&gt;Concluding comment: On understanding the relationship between populism and Euroscepticism&lt;/title&gt;&lt;secondary-title&gt;Perspectives on European Politics and Society&lt;/secondary-title&gt;&lt;/titles&gt;&lt;periodical&gt;&lt;full-title&gt;Perspectives on European Politics and Society&lt;/full-title&gt;&lt;/periodical&gt;&lt;pages&gt;333-341&lt;/pages&gt;&lt;volume&gt;11&lt;/volume&gt;&lt;number&gt;3&lt;/number&gt;&lt;dates&gt;&lt;year&gt;2010&lt;/year&gt;&lt;/dates&gt;&lt;isbn&gt;1570-5854&amp;#xD;1568-0258&lt;/isbn&gt;&lt;urls&gt;&lt;/urls&gt;&lt;electronic-resource-num&gt;10.1080/15705854.2010.503036&lt;/electronic-resource-num&gt;&lt;/record&gt;&lt;/Cite&gt;&lt;/EndNote&gt;</w:instrText>
      </w:r>
      <w:r w:rsidR="00F30C42" w:rsidRPr="001B3BA5">
        <w:rPr>
          <w:rFonts w:asciiTheme="majorBidi" w:hAnsiTheme="majorBidi" w:cstheme="majorBidi"/>
          <w:sz w:val="24"/>
          <w:szCs w:val="24"/>
          <w:lang w:val="en-GB"/>
        </w:rPr>
        <w:fldChar w:fldCharType="separate"/>
      </w:r>
      <w:r w:rsidR="00F30C42" w:rsidRPr="001B3BA5">
        <w:rPr>
          <w:rFonts w:asciiTheme="majorBidi" w:hAnsiTheme="majorBidi" w:cstheme="majorBidi"/>
          <w:noProof/>
          <w:sz w:val="24"/>
          <w:szCs w:val="24"/>
          <w:lang w:val="en-GB"/>
        </w:rPr>
        <w:t>(Harmsen, 2010)</w:t>
      </w:r>
      <w:r w:rsidR="00F30C42" w:rsidRPr="001B3BA5">
        <w:rPr>
          <w:rFonts w:asciiTheme="majorBidi" w:hAnsiTheme="majorBidi" w:cstheme="majorBidi"/>
          <w:sz w:val="24"/>
          <w:szCs w:val="24"/>
          <w:lang w:val="en-GB"/>
        </w:rPr>
        <w:fldChar w:fldCharType="end"/>
      </w:r>
      <w:r w:rsidR="00800749" w:rsidRPr="001B3BA5">
        <w:rPr>
          <w:rFonts w:asciiTheme="majorBidi" w:hAnsiTheme="majorBidi" w:cstheme="majorBidi"/>
          <w:sz w:val="24"/>
          <w:szCs w:val="24"/>
          <w:lang w:val="en-GB"/>
        </w:rPr>
        <w:t>.</w:t>
      </w:r>
      <w:r w:rsidR="00A64810" w:rsidRPr="001B3BA5">
        <w:rPr>
          <w:rFonts w:asciiTheme="majorBidi" w:hAnsiTheme="majorBidi" w:cstheme="majorBidi"/>
          <w:sz w:val="24"/>
          <w:szCs w:val="24"/>
          <w:lang w:val="en-GB"/>
        </w:rPr>
        <w:t xml:space="preserve"> </w:t>
      </w:r>
      <w:r w:rsidR="00074C4F" w:rsidRPr="001B3BA5">
        <w:rPr>
          <w:rFonts w:asciiTheme="majorBidi" w:hAnsiTheme="majorBidi" w:cstheme="majorBidi"/>
          <w:sz w:val="24"/>
          <w:szCs w:val="24"/>
          <w:lang w:val="en-GB"/>
        </w:rPr>
        <w:t>In particular t</w:t>
      </w:r>
      <w:r w:rsidR="004D6803" w:rsidRPr="001B3BA5">
        <w:rPr>
          <w:rFonts w:asciiTheme="majorBidi" w:hAnsiTheme="majorBidi" w:cstheme="majorBidi"/>
          <w:sz w:val="24"/>
          <w:szCs w:val="24"/>
          <w:lang w:val="en-GB"/>
        </w:rPr>
        <w:t>he</w:t>
      </w:r>
      <w:r w:rsidR="00F85F30" w:rsidRPr="001B3BA5">
        <w:rPr>
          <w:rFonts w:asciiTheme="majorBidi" w:hAnsiTheme="majorBidi" w:cstheme="majorBidi"/>
          <w:sz w:val="24"/>
          <w:szCs w:val="24"/>
          <w:lang w:val="en-GB"/>
        </w:rPr>
        <w:t xml:space="preserve"> Schengen Agreement that assured the free movement of European citizens across European nation states </w:t>
      </w:r>
      <w:r w:rsidR="00F85F30" w:rsidRPr="001B3BA5">
        <w:rPr>
          <w:rFonts w:asciiTheme="majorBidi" w:hAnsiTheme="majorBidi" w:cstheme="majorBidi"/>
          <w:sz w:val="24"/>
          <w:szCs w:val="24"/>
          <w:lang w:val="en-GB"/>
        </w:rPr>
        <w:fldChar w:fldCharType="begin"/>
      </w:r>
      <w:r w:rsidR="00F85F30" w:rsidRPr="001B3BA5">
        <w:rPr>
          <w:rFonts w:asciiTheme="majorBidi" w:hAnsiTheme="majorBidi" w:cstheme="majorBidi"/>
          <w:sz w:val="24"/>
          <w:szCs w:val="24"/>
          <w:lang w:val="en-GB"/>
        </w:rPr>
        <w:instrText xml:space="preserve"> ADDIN EN.CITE &lt;EndNote&gt;&lt;Cite&gt;&lt;Author&gt;Baldoni&lt;/Author&gt;&lt;Year&gt;2003&lt;/Year&gt;&lt;RecNum&gt;1261&lt;/RecNum&gt;&lt;DisplayText&gt;(Baldoni, 2003)&lt;/DisplayText&gt;&lt;record&gt;&lt;rec-number&gt;1261&lt;/rec-number&gt;&lt;foreign-keys&gt;&lt;key app="EN" db-id="es92r5v5dve2z0erx59pv50vtp29v0t9ef5f" timestamp="1529928361"&gt;1261&lt;/key&gt;&lt;/foreign-keys&gt;&lt;ref-type name="Journal Article"&gt;17&lt;/ref-type&gt;&lt;contributors&gt;&lt;authors&gt;&lt;author&gt;Baldoni, Emiliana&lt;/author&gt;&lt;/authors&gt;&lt;/contributors&gt;&lt;titles&gt;&lt;title&gt;The free movement of persons in the European Union: A legal-historical overview&lt;/title&gt;&lt;secondary-title&gt;State of the Art Report, Pioneur Working Paper&lt;/secondary-title&gt;&lt;/titles&gt;&lt;periodical&gt;&lt;full-title&gt;State of the Art Report, Pioneur Working Paper&lt;/full-title&gt;&lt;/periodical&gt;&lt;volume&gt;2&lt;/volume&gt;&lt;dates&gt;&lt;year&gt;2003&lt;/year&gt;&lt;/dates&gt;&lt;urls&gt;&lt;/urls&gt;&lt;/record&gt;&lt;/Cite&gt;&lt;/EndNote&gt;</w:instrText>
      </w:r>
      <w:r w:rsidR="00F85F30" w:rsidRPr="001B3BA5">
        <w:rPr>
          <w:rFonts w:asciiTheme="majorBidi" w:hAnsiTheme="majorBidi" w:cstheme="majorBidi"/>
          <w:sz w:val="24"/>
          <w:szCs w:val="24"/>
          <w:lang w:val="en-GB"/>
        </w:rPr>
        <w:fldChar w:fldCharType="separate"/>
      </w:r>
      <w:r w:rsidR="00F85F30" w:rsidRPr="001B3BA5">
        <w:rPr>
          <w:rFonts w:asciiTheme="majorBidi" w:hAnsiTheme="majorBidi" w:cstheme="majorBidi"/>
          <w:noProof/>
          <w:sz w:val="24"/>
          <w:szCs w:val="24"/>
          <w:lang w:val="en-GB"/>
        </w:rPr>
        <w:t>(Baldoni, 2003)</w:t>
      </w:r>
      <w:r w:rsidR="00F85F30" w:rsidRPr="001B3BA5">
        <w:rPr>
          <w:rFonts w:asciiTheme="majorBidi" w:hAnsiTheme="majorBidi" w:cstheme="majorBidi"/>
          <w:sz w:val="24"/>
          <w:szCs w:val="24"/>
          <w:lang w:val="en-GB"/>
        </w:rPr>
        <w:fldChar w:fldCharType="end"/>
      </w:r>
      <w:r w:rsidR="00F85F30" w:rsidRPr="001B3BA5">
        <w:rPr>
          <w:rFonts w:asciiTheme="majorBidi" w:hAnsiTheme="majorBidi" w:cstheme="majorBidi"/>
          <w:sz w:val="24"/>
          <w:szCs w:val="24"/>
          <w:lang w:val="en-GB"/>
        </w:rPr>
        <w:t>, and increasingly central</w:t>
      </w:r>
      <w:r w:rsidR="008643F0" w:rsidRPr="001B3BA5">
        <w:rPr>
          <w:rFonts w:asciiTheme="majorBidi" w:hAnsiTheme="majorBidi" w:cstheme="majorBidi"/>
          <w:sz w:val="24"/>
          <w:szCs w:val="24"/>
          <w:lang w:val="en-GB"/>
        </w:rPr>
        <w:t>ise</w:t>
      </w:r>
      <w:r w:rsidR="00F85F30" w:rsidRPr="001B3BA5">
        <w:rPr>
          <w:rFonts w:asciiTheme="majorBidi" w:hAnsiTheme="majorBidi" w:cstheme="majorBidi"/>
          <w:sz w:val="24"/>
          <w:szCs w:val="24"/>
          <w:lang w:val="en-GB"/>
        </w:rPr>
        <w:t xml:space="preserve">d immigration and asylum policies concerning immigration from outside the EU </w:t>
      </w:r>
      <w:r w:rsidR="00F85F30"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&lt;EndNote&gt;&lt;Cite&gt;&lt;Author&gt;Hatton&lt;/Author&gt;&lt;Year&gt;2015&lt;/Year&gt;&lt;RecNum&gt;1280&lt;/RecNum&gt;&lt;DisplayText&gt;(Hatton, 2015)&lt;/DisplayText&gt;&lt;record&gt;&lt;rec-number&gt;1280&lt;/rec-number&gt;&lt;foreign-keys&gt;&lt;key app="EN" db-id="es92r5v5dve2z0erx59pv50vtp29v0t9ef5f" timestamp="1530191994"&gt;1280&lt;/key&gt;&lt;key app="ENWeb" db-id=""&gt;0&lt;/key&gt;&lt;/foreign-keys&gt;&lt;ref-type name="Journal Article"&gt;17&lt;/ref-type&gt;&lt;contributors&gt;&lt;authors&gt;&lt;author&gt;Hatton, Timothy J.&lt;/author&gt;&lt;/authors&gt;&lt;/contributors&gt;&lt;titles&gt;&lt;title&gt;Asylum policy in the EU: The case for deeper integration&lt;/title&gt;&lt;secondary-title&gt;CESifo Economic Studies&lt;/secondary-title&gt;&lt;/titles&gt;&lt;periodical&gt;&lt;full-title&gt;CESifo Economic Studies&lt;/full-title&gt;&lt;/periodical&gt;&lt;pages&gt;605-637&lt;/pages&gt;&lt;volume&gt;61&lt;/volume&gt;&lt;number&gt;3-4&lt;/number&gt;&lt;dates&gt;&lt;year&gt;2015&lt;/year&gt;&lt;/dates&gt;&lt;isbn&gt;1610-241X&amp;#xD;1612-7501&lt;/isbn&gt;&lt;urls&gt;&lt;/urls&gt;&lt;electronic-resource-num&gt;10.1093/cesifo/ifv002&lt;/electronic-resource-num&gt;&lt;/record&gt;&lt;/Cite&gt;&lt;/EndNote&gt;</w:instrText>
      </w:r>
      <w:r w:rsidR="00F85F30" w:rsidRPr="001B3BA5">
        <w:rPr>
          <w:rFonts w:asciiTheme="majorBidi" w:hAnsiTheme="majorBidi" w:cstheme="majorBidi"/>
          <w:sz w:val="24"/>
          <w:szCs w:val="24"/>
          <w:lang w:val="en-GB"/>
        </w:rPr>
        <w:fldChar w:fldCharType="separate"/>
      </w:r>
      <w:r w:rsidR="00F85F30" w:rsidRPr="001B3BA5">
        <w:rPr>
          <w:rFonts w:asciiTheme="majorBidi" w:hAnsiTheme="majorBidi" w:cstheme="majorBidi"/>
          <w:noProof/>
          <w:sz w:val="24"/>
          <w:szCs w:val="24"/>
          <w:lang w:val="en-GB"/>
        </w:rPr>
        <w:t>(Hatton, 2015)</w:t>
      </w:r>
      <w:r w:rsidR="00F85F30" w:rsidRPr="001B3BA5">
        <w:rPr>
          <w:rFonts w:asciiTheme="majorBidi" w:hAnsiTheme="majorBidi" w:cstheme="majorBidi"/>
          <w:sz w:val="24"/>
          <w:szCs w:val="24"/>
          <w:lang w:val="en-GB"/>
        </w:rPr>
        <w:fldChar w:fldCharType="end"/>
      </w:r>
      <w:r w:rsidR="00F85F30" w:rsidRPr="001B3BA5">
        <w:rPr>
          <w:rFonts w:asciiTheme="majorBidi" w:hAnsiTheme="majorBidi" w:cstheme="majorBidi"/>
          <w:sz w:val="24"/>
          <w:szCs w:val="24"/>
          <w:lang w:val="en-GB"/>
        </w:rPr>
        <w:t>, may</w:t>
      </w:r>
      <w:r w:rsidR="00356794"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 xml:space="preserve"> </w:t>
      </w:r>
      <w:r w:rsidR="00356794" w:rsidRPr="001B3BA5">
        <w:rPr>
          <w:rFonts w:asciiTheme="majorBidi" w:hAnsiTheme="majorBidi" w:cstheme="majorBidi"/>
          <w:sz w:val="24"/>
          <w:szCs w:val="24"/>
          <w:lang w:val="en-GB"/>
        </w:rPr>
        <w:t xml:space="preserve">from the perspective of </w:t>
      </w:r>
      <w:r w:rsidR="00B146E8" w:rsidRPr="001B3BA5">
        <w:rPr>
          <w:rFonts w:asciiTheme="majorBidi" w:hAnsiTheme="majorBidi" w:cstheme="majorBidi"/>
          <w:sz w:val="24"/>
          <w:szCs w:val="24"/>
          <w:lang w:val="en-GB"/>
        </w:rPr>
        <w:t>‘</w:t>
      </w:r>
      <w:r w:rsidR="00356794" w:rsidRPr="001B3BA5">
        <w:rPr>
          <w:rFonts w:asciiTheme="majorBidi" w:hAnsiTheme="majorBidi" w:cstheme="majorBidi"/>
          <w:sz w:val="24"/>
          <w:szCs w:val="24"/>
          <w:lang w:val="en-GB"/>
        </w:rPr>
        <w:t>our</w:t>
      </w:r>
      <w:r w:rsidR="00B146E8" w:rsidRPr="001B3BA5">
        <w:rPr>
          <w:rFonts w:asciiTheme="majorBidi" w:hAnsiTheme="majorBidi" w:cstheme="majorBidi"/>
          <w:sz w:val="24"/>
          <w:szCs w:val="24"/>
          <w:lang w:val="en-GB"/>
        </w:rPr>
        <w:t>’</w:t>
      </w:r>
      <w:r w:rsidR="00356794" w:rsidRPr="001B3BA5">
        <w:rPr>
          <w:rFonts w:asciiTheme="majorBidi" w:hAnsiTheme="majorBidi" w:cstheme="majorBidi"/>
          <w:sz w:val="24"/>
          <w:szCs w:val="24"/>
          <w:lang w:val="en-GB"/>
        </w:rPr>
        <w:t xml:space="preserve"> country, </w:t>
      </w:r>
      <w:r w:rsidR="00F85F30" w:rsidRPr="001B3BA5">
        <w:rPr>
          <w:rFonts w:asciiTheme="majorBidi" w:hAnsiTheme="majorBidi" w:cstheme="majorBidi"/>
          <w:sz w:val="24"/>
          <w:szCs w:val="24"/>
          <w:lang w:val="en-GB"/>
        </w:rPr>
        <w:t xml:space="preserve">be </w:t>
      </w:r>
      <w:r w:rsidR="00292402" w:rsidRPr="001B3BA5">
        <w:rPr>
          <w:rFonts w:asciiTheme="majorBidi" w:hAnsiTheme="majorBidi" w:cstheme="majorBidi"/>
          <w:sz w:val="24"/>
          <w:szCs w:val="24"/>
          <w:lang w:val="en-GB"/>
        </w:rPr>
        <w:t>regarded</w:t>
      </w:r>
      <w:r w:rsidR="00F85F30" w:rsidRPr="001B3BA5">
        <w:rPr>
          <w:rFonts w:asciiTheme="majorBidi" w:hAnsiTheme="majorBidi" w:cstheme="majorBidi"/>
          <w:sz w:val="24"/>
          <w:szCs w:val="24"/>
          <w:lang w:val="en-GB"/>
        </w:rPr>
        <w:t xml:space="preserve"> </w:t>
      </w:r>
      <w:r w:rsidR="00292402" w:rsidRPr="001B3BA5">
        <w:rPr>
          <w:rFonts w:asciiTheme="majorBidi" w:hAnsiTheme="majorBidi" w:cstheme="majorBidi"/>
          <w:sz w:val="24"/>
          <w:szCs w:val="24"/>
          <w:lang w:val="en-GB"/>
        </w:rPr>
        <w:t xml:space="preserve">as </w:t>
      </w:r>
      <w:r w:rsidR="00F85F30" w:rsidRPr="001B3BA5">
        <w:rPr>
          <w:rFonts w:asciiTheme="majorBidi" w:hAnsiTheme="majorBidi" w:cstheme="majorBidi"/>
          <w:sz w:val="24"/>
          <w:szCs w:val="24"/>
          <w:lang w:val="en-GB"/>
        </w:rPr>
        <w:t xml:space="preserve">incompatible with </w:t>
      </w:r>
      <w:r w:rsidR="00B146E8" w:rsidRPr="001B3BA5">
        <w:rPr>
          <w:rFonts w:asciiTheme="majorBidi" w:hAnsiTheme="majorBidi" w:cstheme="majorBidi"/>
          <w:sz w:val="24"/>
          <w:szCs w:val="24"/>
          <w:lang w:val="en-GB"/>
        </w:rPr>
        <w:t>‘</w:t>
      </w:r>
      <w:r w:rsidR="00356794" w:rsidRPr="001B3BA5">
        <w:rPr>
          <w:rFonts w:asciiTheme="majorBidi" w:hAnsiTheme="majorBidi" w:cstheme="majorBidi"/>
          <w:sz w:val="24"/>
          <w:szCs w:val="24"/>
          <w:lang w:val="en-GB"/>
        </w:rPr>
        <w:t>our</w:t>
      </w:r>
      <w:r w:rsidR="00B146E8" w:rsidRPr="001B3BA5">
        <w:rPr>
          <w:rFonts w:asciiTheme="majorBidi" w:hAnsiTheme="majorBidi" w:cstheme="majorBidi"/>
          <w:sz w:val="24"/>
          <w:szCs w:val="24"/>
          <w:lang w:val="en-GB"/>
        </w:rPr>
        <w:t>’</w:t>
      </w:r>
      <w:r w:rsidR="00356794" w:rsidRPr="001B3BA5">
        <w:rPr>
          <w:rFonts w:asciiTheme="majorBidi" w:hAnsiTheme="majorBidi" w:cstheme="majorBidi"/>
          <w:sz w:val="24"/>
          <w:szCs w:val="24"/>
          <w:lang w:val="en-GB"/>
        </w:rPr>
        <w:t xml:space="preserve"> </w:t>
      </w:r>
      <w:r w:rsidR="00A64810" w:rsidRPr="001B3BA5">
        <w:rPr>
          <w:rFonts w:asciiTheme="majorBidi" w:hAnsiTheme="majorBidi" w:cstheme="majorBidi"/>
          <w:sz w:val="24"/>
          <w:szCs w:val="24"/>
          <w:lang w:val="en-GB"/>
        </w:rPr>
        <w:t xml:space="preserve">right to </w:t>
      </w:r>
      <w:r w:rsidR="001F1B42" w:rsidRPr="001B3BA5">
        <w:rPr>
          <w:rFonts w:asciiTheme="majorBidi" w:hAnsiTheme="majorBidi" w:cstheme="majorBidi"/>
          <w:sz w:val="24"/>
          <w:szCs w:val="24"/>
          <w:lang w:val="en-GB"/>
        </w:rPr>
        <w:t xml:space="preserve">determine </w:t>
      </w:r>
      <w:r w:rsidR="00673405" w:rsidRPr="001B3BA5">
        <w:rPr>
          <w:rFonts w:asciiTheme="majorBidi" w:hAnsiTheme="majorBidi" w:cstheme="majorBidi"/>
          <w:sz w:val="24"/>
          <w:szCs w:val="24"/>
          <w:lang w:val="en-GB"/>
        </w:rPr>
        <w:t>about the entry of</w:t>
      </w:r>
      <w:r w:rsidR="00272704" w:rsidRPr="001B3BA5">
        <w:rPr>
          <w:rFonts w:asciiTheme="majorBidi" w:hAnsiTheme="majorBidi" w:cstheme="majorBidi"/>
          <w:sz w:val="24"/>
          <w:szCs w:val="24"/>
          <w:lang w:val="en-GB"/>
        </w:rPr>
        <w:t xml:space="preserve"> </w:t>
      </w:r>
      <w:r w:rsidR="00673405" w:rsidRPr="001B3BA5">
        <w:rPr>
          <w:rFonts w:asciiTheme="majorBidi" w:hAnsiTheme="majorBidi" w:cstheme="majorBidi"/>
          <w:sz w:val="24"/>
          <w:szCs w:val="24"/>
          <w:lang w:val="en-GB"/>
        </w:rPr>
        <w:t>newcomers</w:t>
      </w:r>
      <w:r w:rsidR="00F85F30" w:rsidRPr="001B3BA5">
        <w:rPr>
          <w:rFonts w:asciiTheme="majorBidi" w:hAnsiTheme="majorBidi" w:cstheme="majorBidi"/>
          <w:sz w:val="24"/>
          <w:szCs w:val="24"/>
          <w:lang w:val="en-GB"/>
        </w:rPr>
        <w:t>.</w:t>
      </w:r>
    </w:p>
    <w:p w14:paraId="2E8878AF" w14:textId="4FA8395C" w:rsidR="003E114A" w:rsidRPr="001B3BA5" w:rsidRDefault="003E114A">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Consequently, we hypothes</w:t>
      </w:r>
      <w:r w:rsidR="008643F0" w:rsidRPr="001B3BA5">
        <w:rPr>
          <w:rFonts w:asciiTheme="majorBidi" w:hAnsiTheme="majorBidi" w:cstheme="majorBidi"/>
          <w:sz w:val="24"/>
          <w:szCs w:val="24"/>
          <w:lang w:val="en-GB"/>
        </w:rPr>
        <w:t>ise</w:t>
      </w:r>
      <w:r w:rsidRPr="001B3BA5">
        <w:rPr>
          <w:rFonts w:asciiTheme="majorBidi" w:hAnsiTheme="majorBidi" w:cstheme="majorBidi"/>
          <w:sz w:val="24"/>
          <w:szCs w:val="24"/>
          <w:lang w:val="en-GB"/>
        </w:rPr>
        <w:t xml:space="preserve"> that CPO </w:t>
      </w:r>
      <w:r w:rsidR="00A162F1" w:rsidRPr="001B3BA5">
        <w:rPr>
          <w:rFonts w:asciiTheme="majorBidi" w:hAnsiTheme="majorBidi" w:cstheme="majorBidi"/>
          <w:sz w:val="24"/>
          <w:szCs w:val="24"/>
          <w:lang w:val="en-GB"/>
        </w:rPr>
        <w:t>is</w:t>
      </w:r>
      <w:r w:rsidRPr="001B3BA5">
        <w:rPr>
          <w:rFonts w:asciiTheme="majorBidi" w:hAnsiTheme="majorBidi" w:cstheme="majorBidi"/>
          <w:sz w:val="24"/>
          <w:szCs w:val="24"/>
          <w:lang w:val="en-GB"/>
        </w:rPr>
        <w:t xml:space="preserve"> associated with more negative attitudes towards immigrant minorities (</w:t>
      </w:r>
      <w:r w:rsidRPr="001B3BA5">
        <w:rPr>
          <w:rFonts w:asciiTheme="majorBidi" w:hAnsiTheme="majorBidi" w:cstheme="majorBidi"/>
          <w:iCs/>
          <w:sz w:val="24"/>
          <w:szCs w:val="24"/>
          <w:lang w:val="en-GB"/>
        </w:rPr>
        <w:t>H1a</w:t>
      </w:r>
      <w:r w:rsidRPr="001B3BA5">
        <w:rPr>
          <w:rFonts w:asciiTheme="majorBidi" w:hAnsiTheme="majorBidi" w:cstheme="majorBidi"/>
          <w:sz w:val="24"/>
          <w:szCs w:val="24"/>
          <w:lang w:val="en-GB"/>
        </w:rPr>
        <w:t>) and European integration (</w:t>
      </w:r>
      <w:r w:rsidRPr="001B3BA5">
        <w:rPr>
          <w:rFonts w:asciiTheme="majorBidi" w:hAnsiTheme="majorBidi" w:cstheme="majorBidi"/>
          <w:iCs/>
          <w:sz w:val="24"/>
          <w:szCs w:val="24"/>
          <w:lang w:val="en-GB"/>
        </w:rPr>
        <w:t>H1b</w:t>
      </w:r>
      <w:r w:rsidRPr="001B3BA5">
        <w:rPr>
          <w:rFonts w:asciiTheme="majorBidi" w:hAnsiTheme="majorBidi" w:cstheme="majorBidi"/>
          <w:sz w:val="24"/>
          <w:szCs w:val="24"/>
          <w:lang w:val="en-GB"/>
        </w:rPr>
        <w:t>)</w:t>
      </w:r>
      <w:r w:rsidR="00A162F1"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and</w:t>
      </w:r>
      <w:r w:rsidR="00074C4F" w:rsidRPr="001B3BA5">
        <w:rPr>
          <w:rFonts w:asciiTheme="majorBidi" w:hAnsiTheme="majorBidi" w:cstheme="majorBidi"/>
          <w:sz w:val="24"/>
          <w:szCs w:val="24"/>
          <w:lang w:val="en-GB"/>
        </w:rPr>
        <w:t xml:space="preserve"> that</w:t>
      </w:r>
      <w:r w:rsidRPr="001B3BA5">
        <w:rPr>
          <w:rFonts w:asciiTheme="majorBidi" w:hAnsiTheme="majorBidi" w:cstheme="majorBidi"/>
          <w:sz w:val="24"/>
          <w:szCs w:val="24"/>
          <w:lang w:val="en-GB"/>
        </w:rPr>
        <w:t xml:space="preserve"> </w:t>
      </w:r>
      <w:r w:rsidR="00673405" w:rsidRPr="001B3BA5">
        <w:rPr>
          <w:rFonts w:asciiTheme="majorBidi" w:hAnsiTheme="majorBidi" w:cstheme="majorBidi"/>
          <w:sz w:val="24"/>
          <w:szCs w:val="24"/>
          <w:lang w:val="en-GB"/>
        </w:rPr>
        <w:t xml:space="preserve">the perceived </w:t>
      </w:r>
      <w:r w:rsidR="00DC01FF" w:rsidRPr="001B3BA5">
        <w:rPr>
          <w:rFonts w:asciiTheme="majorBidi" w:hAnsiTheme="majorBidi" w:cstheme="majorBidi"/>
          <w:sz w:val="24"/>
          <w:szCs w:val="24"/>
          <w:lang w:val="en-GB"/>
        </w:rPr>
        <w:t>exclusive determination right</w:t>
      </w:r>
      <w:r w:rsidRPr="001B3BA5">
        <w:rPr>
          <w:rFonts w:asciiTheme="majorBidi" w:hAnsiTheme="majorBidi" w:cstheme="majorBidi"/>
          <w:sz w:val="24"/>
          <w:szCs w:val="24"/>
          <w:lang w:val="en-GB"/>
        </w:rPr>
        <w:t xml:space="preserve"> mediate</w:t>
      </w:r>
      <w:r w:rsidR="00673405" w:rsidRPr="001B3BA5">
        <w:rPr>
          <w:rFonts w:asciiTheme="majorBidi" w:hAnsiTheme="majorBidi" w:cstheme="majorBidi"/>
          <w:sz w:val="24"/>
          <w:szCs w:val="24"/>
          <w:lang w:val="en-GB"/>
        </w:rPr>
        <w:t>s</w:t>
      </w:r>
      <w:r w:rsidRPr="001B3BA5">
        <w:rPr>
          <w:rFonts w:asciiTheme="majorBidi" w:hAnsiTheme="majorBidi" w:cstheme="majorBidi"/>
          <w:sz w:val="24"/>
          <w:szCs w:val="24"/>
          <w:lang w:val="en-GB"/>
        </w:rPr>
        <w:t xml:space="preserve"> </w:t>
      </w:r>
      <w:r w:rsidR="00074C4F" w:rsidRPr="001B3BA5">
        <w:rPr>
          <w:rFonts w:asciiTheme="majorBidi" w:hAnsiTheme="majorBidi" w:cstheme="majorBidi"/>
          <w:sz w:val="24"/>
          <w:szCs w:val="24"/>
          <w:lang w:val="en-GB"/>
        </w:rPr>
        <w:t>these associations</w:t>
      </w:r>
      <w:r w:rsidRPr="001B3BA5">
        <w:rPr>
          <w:rFonts w:asciiTheme="majorBidi" w:hAnsiTheme="majorBidi" w:cstheme="majorBidi"/>
          <w:sz w:val="24"/>
          <w:szCs w:val="24"/>
          <w:lang w:val="en-GB"/>
        </w:rPr>
        <w:t xml:space="preserve"> (</w:t>
      </w:r>
      <w:r w:rsidRPr="001B3BA5">
        <w:rPr>
          <w:rFonts w:asciiTheme="majorBidi" w:hAnsiTheme="majorBidi" w:cstheme="majorBidi"/>
          <w:iCs/>
          <w:sz w:val="24"/>
          <w:szCs w:val="24"/>
          <w:lang w:val="en-GB"/>
        </w:rPr>
        <w:t>H2a</w:t>
      </w:r>
      <w:r w:rsidRPr="001B3BA5">
        <w:rPr>
          <w:rFonts w:asciiTheme="majorBidi" w:hAnsiTheme="majorBidi" w:cstheme="majorBidi"/>
          <w:sz w:val="24"/>
          <w:szCs w:val="24"/>
          <w:lang w:val="en-GB"/>
        </w:rPr>
        <w:t xml:space="preserve"> </w:t>
      </w:r>
      <w:r w:rsidR="00910F1A" w:rsidRPr="001B3BA5">
        <w:rPr>
          <w:rFonts w:asciiTheme="majorBidi" w:hAnsiTheme="majorBidi" w:cstheme="majorBidi"/>
          <w:sz w:val="24"/>
          <w:szCs w:val="24"/>
          <w:lang w:val="en-GB"/>
        </w:rPr>
        <w:t xml:space="preserve">and </w:t>
      </w:r>
      <w:r w:rsidRPr="001B3BA5">
        <w:rPr>
          <w:rFonts w:asciiTheme="majorBidi" w:hAnsiTheme="majorBidi" w:cstheme="majorBidi"/>
          <w:sz w:val="24"/>
          <w:szCs w:val="24"/>
          <w:lang w:val="en-GB"/>
        </w:rPr>
        <w:t xml:space="preserve">H2b). </w:t>
      </w:r>
    </w:p>
    <w:p w14:paraId="5BC68CB8" w14:textId="03AD65C1" w:rsidR="00F85F30" w:rsidRPr="001B3BA5" w:rsidRDefault="00074C4F" w:rsidP="00584266">
      <w:pPr>
        <w:spacing w:after="0" w:line="480" w:lineRule="exact"/>
        <w:rPr>
          <w:rFonts w:asciiTheme="majorBidi" w:hAnsiTheme="majorBidi" w:cstheme="majorBidi"/>
          <w:b/>
          <w:sz w:val="24"/>
          <w:szCs w:val="24"/>
          <w:lang w:val="en-GB"/>
        </w:rPr>
      </w:pPr>
      <w:r w:rsidRPr="001B3BA5">
        <w:rPr>
          <w:rFonts w:asciiTheme="majorBidi" w:hAnsiTheme="majorBidi" w:cstheme="majorBidi"/>
          <w:b/>
          <w:sz w:val="24"/>
          <w:szCs w:val="24"/>
          <w:lang w:val="en-GB"/>
        </w:rPr>
        <w:t>Pro-</w:t>
      </w:r>
      <w:r w:rsidR="00F85F30" w:rsidRPr="001B3BA5">
        <w:rPr>
          <w:rFonts w:asciiTheme="majorBidi" w:hAnsiTheme="majorBidi" w:cstheme="majorBidi"/>
          <w:b/>
          <w:sz w:val="24"/>
          <w:szCs w:val="24"/>
          <w:lang w:val="en-GB"/>
        </w:rPr>
        <w:t>Brexit</w:t>
      </w:r>
      <w:r w:rsidRPr="001B3BA5">
        <w:rPr>
          <w:rFonts w:asciiTheme="majorBidi" w:hAnsiTheme="majorBidi" w:cstheme="majorBidi"/>
          <w:b/>
          <w:sz w:val="24"/>
          <w:szCs w:val="24"/>
          <w:lang w:val="en-GB"/>
        </w:rPr>
        <w:t xml:space="preserve"> </w:t>
      </w:r>
      <w:r w:rsidR="00910F1A" w:rsidRPr="001B3BA5">
        <w:rPr>
          <w:rFonts w:asciiTheme="majorBidi" w:hAnsiTheme="majorBidi" w:cstheme="majorBidi"/>
          <w:b/>
          <w:sz w:val="24"/>
          <w:szCs w:val="24"/>
          <w:lang w:val="en-GB"/>
        </w:rPr>
        <w:t>V</w:t>
      </w:r>
      <w:r w:rsidRPr="001B3BA5">
        <w:rPr>
          <w:rFonts w:asciiTheme="majorBidi" w:hAnsiTheme="majorBidi" w:cstheme="majorBidi"/>
          <w:b/>
          <w:sz w:val="24"/>
          <w:szCs w:val="24"/>
          <w:lang w:val="en-GB"/>
        </w:rPr>
        <w:t>ote</w:t>
      </w:r>
    </w:p>
    <w:p w14:paraId="4D392CCE" w14:textId="4AB415D2" w:rsidR="003E7B15" w:rsidRPr="001B3BA5" w:rsidRDefault="003E7B15">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 xml:space="preserve">A </w:t>
      </w:r>
      <w:r w:rsidR="00CA7139" w:rsidRPr="001B3BA5">
        <w:rPr>
          <w:rFonts w:asciiTheme="majorBidi" w:hAnsiTheme="majorBidi" w:cstheme="majorBidi"/>
          <w:sz w:val="24"/>
          <w:szCs w:val="24"/>
          <w:lang w:val="en-GB"/>
        </w:rPr>
        <w:t xml:space="preserve">key </w:t>
      </w:r>
      <w:r w:rsidRPr="001B3BA5">
        <w:rPr>
          <w:rFonts w:asciiTheme="majorBidi" w:hAnsiTheme="majorBidi" w:cstheme="majorBidi"/>
          <w:sz w:val="24"/>
          <w:szCs w:val="24"/>
          <w:lang w:val="en-GB"/>
        </w:rPr>
        <w:t xml:space="preserve">element of </w:t>
      </w:r>
      <w:r w:rsidR="00CD1548" w:rsidRPr="001B3BA5">
        <w:rPr>
          <w:rFonts w:asciiTheme="majorBidi" w:hAnsiTheme="majorBidi" w:cstheme="majorBidi"/>
          <w:sz w:val="24"/>
          <w:szCs w:val="24"/>
          <w:lang w:val="en-GB"/>
        </w:rPr>
        <w:t xml:space="preserve">ownership </w:t>
      </w:r>
      <w:r w:rsidRPr="001B3BA5">
        <w:rPr>
          <w:rFonts w:asciiTheme="majorBidi" w:hAnsiTheme="majorBidi" w:cstheme="majorBidi"/>
          <w:sz w:val="24"/>
          <w:szCs w:val="24"/>
          <w:lang w:val="en-GB"/>
        </w:rPr>
        <w:t>is establish</w:t>
      </w:r>
      <w:r w:rsidR="00CA7139" w:rsidRPr="001B3BA5">
        <w:rPr>
          <w:rFonts w:asciiTheme="majorBidi" w:hAnsiTheme="majorBidi" w:cstheme="majorBidi"/>
          <w:sz w:val="24"/>
          <w:szCs w:val="24"/>
          <w:lang w:val="en-GB"/>
        </w:rPr>
        <w:t>ing</w:t>
      </w:r>
      <w:r w:rsidRPr="001B3BA5">
        <w:rPr>
          <w:rFonts w:asciiTheme="majorBidi" w:hAnsiTheme="majorBidi" w:cstheme="majorBidi"/>
          <w:sz w:val="24"/>
          <w:szCs w:val="24"/>
          <w:lang w:val="en-GB"/>
        </w:rPr>
        <w:t>, communicat</w:t>
      </w:r>
      <w:r w:rsidR="00CA7139" w:rsidRPr="001B3BA5">
        <w:rPr>
          <w:rFonts w:asciiTheme="majorBidi" w:hAnsiTheme="majorBidi" w:cstheme="majorBidi"/>
          <w:sz w:val="24"/>
          <w:szCs w:val="24"/>
          <w:lang w:val="en-GB"/>
        </w:rPr>
        <w:t>ing</w:t>
      </w:r>
      <w:r w:rsidRPr="001B3BA5">
        <w:rPr>
          <w:rFonts w:asciiTheme="majorBidi" w:hAnsiTheme="majorBidi" w:cstheme="majorBidi"/>
          <w:sz w:val="24"/>
          <w:szCs w:val="24"/>
          <w:lang w:val="en-GB"/>
        </w:rPr>
        <w:t>, and maintain</w:t>
      </w:r>
      <w:r w:rsidR="00CA7139" w:rsidRPr="001B3BA5">
        <w:rPr>
          <w:rFonts w:asciiTheme="majorBidi" w:hAnsiTheme="majorBidi" w:cstheme="majorBidi"/>
          <w:sz w:val="24"/>
          <w:szCs w:val="24"/>
          <w:lang w:val="en-GB"/>
        </w:rPr>
        <w:t>ing</w:t>
      </w:r>
      <w:r w:rsidRPr="001B3BA5">
        <w:rPr>
          <w:rFonts w:asciiTheme="majorBidi" w:hAnsiTheme="majorBidi" w:cstheme="majorBidi"/>
          <w:sz w:val="24"/>
          <w:szCs w:val="24"/>
          <w:lang w:val="en-GB"/>
        </w:rPr>
        <w:t xml:space="preserve"> what is owned </w:t>
      </w:r>
      <w:r w:rsidRPr="001B3BA5">
        <w:rPr>
          <w:rFonts w:asciiTheme="majorBidi" w:hAnsiTheme="majorBidi" w:cstheme="majorBidi"/>
          <w:sz w:val="24"/>
          <w:szCs w:val="24"/>
          <w:lang w:val="en-GB"/>
        </w:rPr>
        <w:fldChar w:fldCharType="begin"/>
      </w:r>
      <w:r w:rsidR="003576F1" w:rsidRPr="001B3BA5">
        <w:rPr>
          <w:rFonts w:asciiTheme="majorBidi" w:hAnsiTheme="majorBidi" w:cstheme="majorBidi"/>
          <w:sz w:val="24"/>
          <w:szCs w:val="24"/>
          <w:lang w:val="en-GB"/>
        </w:rPr>
        <w:instrText xml:space="preserve"> ADDIN EN.CITE &lt;EndNote&gt;&lt;Cite&gt;&lt;Author&gt;Brown&lt;/Author&gt;&lt;Year&gt;2005&lt;/Year&gt;&lt;RecNum&gt;648&lt;/RecNum&gt;&lt;DisplayText&gt;(G. Brown, Lawrence, &amp;amp; Robinson, 2005)&lt;/DisplayText&gt;&lt;record&gt;&lt;rec-number&gt;648&lt;/rec-number&gt;&lt;foreign-keys&gt;&lt;key app="EN" db-id="es92r5v5dve2z0erx59pv50vtp29v0t9ef5f" timestamp="1505988004"&gt;648&lt;/key&gt;&lt;/foreign-keys&gt;&lt;ref-type name="Journal Article"&gt;17&lt;/ref-type&gt;&lt;contributors&gt;&lt;authors&gt;&lt;author&gt;Brown, Graham&lt;/author&gt;&lt;author&gt;Lawrence, Thomas B.&lt;/author&gt;&lt;author&gt;Robinson, Sandra L.&lt;/author&gt;&lt;/authors&gt;&lt;/contributors&gt;&lt;titles&gt;&lt;title&gt;Territoriality in organizations&lt;/title&gt;&lt;secondary-title&gt;The Academy of Management Review&lt;/secondary-title&gt;&lt;/titles&gt;&lt;periodical&gt;&lt;full-title&gt;The Academy of Management Review&lt;/full-title&gt;&lt;/periodical&gt;&lt;pages&gt;577-594&lt;/pages&gt;&lt;volume&gt;30&lt;/volume&gt;&lt;number&gt;3&lt;/number&gt;&lt;dates&gt;&lt;year&gt;2005&lt;/year&gt;&lt;/dates&gt;&lt;publisher&gt;Academy of Management&lt;/publisher&gt;&lt;isbn&gt;03637425&lt;/isbn&gt;&lt;urls&gt;&lt;related-urls&gt;&lt;url&gt;http://www.jstor.org/stable/20159145&lt;/url&gt;&lt;/related-urls&gt;&lt;/urls&gt;&lt;custom1&gt;Full publication date: Jul., 2005&lt;/custom1&gt;&lt;electronic-resource-num&gt;10.2307/20159145&lt;/electronic-resource-num&gt;&lt;/record&gt;&lt;/Cite&gt;&lt;/EndNote&gt;</w:instrText>
      </w:r>
      <w:r w:rsidRPr="001B3BA5">
        <w:rPr>
          <w:rFonts w:asciiTheme="majorBidi" w:hAnsiTheme="majorBidi" w:cstheme="majorBidi"/>
          <w:sz w:val="24"/>
          <w:szCs w:val="24"/>
          <w:lang w:val="en-GB"/>
        </w:rPr>
        <w:fldChar w:fldCharType="separate"/>
      </w:r>
      <w:r w:rsidR="003576F1" w:rsidRPr="001B3BA5">
        <w:rPr>
          <w:rFonts w:asciiTheme="majorBidi" w:hAnsiTheme="majorBidi" w:cstheme="majorBidi"/>
          <w:noProof/>
          <w:sz w:val="24"/>
          <w:szCs w:val="24"/>
          <w:lang w:val="en-GB"/>
        </w:rPr>
        <w:t>(G. Brown, Lawrence, &amp; Robinson, 2005)</w:t>
      </w:r>
      <w:r w:rsidRPr="001B3BA5">
        <w:rPr>
          <w:rFonts w:asciiTheme="majorBidi" w:hAnsiTheme="majorBidi" w:cstheme="majorBidi"/>
          <w:sz w:val="24"/>
          <w:szCs w:val="24"/>
          <w:lang w:val="en-GB"/>
        </w:rPr>
        <w:fldChar w:fldCharType="end"/>
      </w:r>
      <w:r w:rsidRPr="001B3BA5">
        <w:rPr>
          <w:rFonts w:asciiTheme="majorBidi" w:hAnsiTheme="majorBidi" w:cstheme="majorBidi"/>
          <w:sz w:val="24"/>
          <w:szCs w:val="24"/>
          <w:lang w:val="en-GB"/>
        </w:rPr>
        <w:t>. To do so, it is necessary to exclude others</w:t>
      </w:r>
      <w:r w:rsidR="008B1553"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and take action when the exclusivity of </w:t>
      </w:r>
      <w:r w:rsidR="00673405" w:rsidRPr="001B3BA5">
        <w:rPr>
          <w:rFonts w:asciiTheme="majorBidi" w:hAnsiTheme="majorBidi" w:cstheme="majorBidi"/>
          <w:sz w:val="24"/>
          <w:szCs w:val="24"/>
          <w:lang w:val="en-GB"/>
        </w:rPr>
        <w:t xml:space="preserve">one’s </w:t>
      </w:r>
      <w:r w:rsidRPr="001B3BA5">
        <w:rPr>
          <w:rFonts w:asciiTheme="majorBidi" w:hAnsiTheme="majorBidi" w:cstheme="majorBidi"/>
          <w:sz w:val="24"/>
          <w:szCs w:val="24"/>
          <w:lang w:val="en-GB"/>
        </w:rPr>
        <w:t>right</w:t>
      </w:r>
      <w:r w:rsidR="00673405" w:rsidRPr="001B3BA5">
        <w:rPr>
          <w:rFonts w:asciiTheme="majorBidi" w:hAnsiTheme="majorBidi" w:cstheme="majorBidi"/>
          <w:sz w:val="24"/>
          <w:szCs w:val="24"/>
          <w:lang w:val="en-GB"/>
        </w:rPr>
        <w:t>s</w:t>
      </w:r>
      <w:r w:rsidRPr="001B3BA5">
        <w:rPr>
          <w:rFonts w:asciiTheme="majorBidi" w:hAnsiTheme="majorBidi" w:cstheme="majorBidi"/>
          <w:sz w:val="24"/>
          <w:szCs w:val="24"/>
          <w:lang w:val="en-GB"/>
        </w:rPr>
        <w:t xml:space="preserve"> </w:t>
      </w:r>
      <w:r w:rsidR="000F1C86" w:rsidRPr="001B3BA5">
        <w:rPr>
          <w:rFonts w:asciiTheme="majorBidi" w:hAnsiTheme="majorBidi" w:cstheme="majorBidi"/>
          <w:sz w:val="24"/>
          <w:szCs w:val="24"/>
          <w:lang w:val="en-GB"/>
        </w:rPr>
        <w:t>is</w:t>
      </w:r>
      <w:r w:rsidRPr="001B3BA5">
        <w:rPr>
          <w:rFonts w:asciiTheme="majorBidi" w:hAnsiTheme="majorBidi" w:cstheme="majorBidi"/>
          <w:sz w:val="24"/>
          <w:szCs w:val="24"/>
          <w:lang w:val="en-GB"/>
        </w:rPr>
        <w:t xml:space="preserve"> not guaranteed</w:t>
      </w:r>
      <w:r w:rsidR="00057090">
        <w:rPr>
          <w:rFonts w:asciiTheme="majorBidi" w:hAnsiTheme="majorBidi" w:cstheme="majorBidi"/>
          <w:sz w:val="24"/>
          <w:szCs w:val="24"/>
          <w:lang w:val="en-GB"/>
        </w:rPr>
        <w:t>.</w:t>
      </w:r>
      <w:r w:rsidR="00D1180C" w:rsidRPr="001B3BA5">
        <w:rPr>
          <w:rFonts w:asciiTheme="majorBidi" w:hAnsiTheme="majorBidi" w:cstheme="majorBidi"/>
          <w:sz w:val="24"/>
          <w:szCs w:val="24"/>
          <w:lang w:val="en-GB"/>
        </w:rPr>
        <w:t xml:space="preserve"> V</w:t>
      </w:r>
      <w:r w:rsidRPr="001B3BA5">
        <w:rPr>
          <w:rFonts w:asciiTheme="majorBidi" w:hAnsiTheme="majorBidi" w:cstheme="majorBidi"/>
          <w:sz w:val="24"/>
          <w:szCs w:val="24"/>
          <w:lang w:val="en-GB"/>
        </w:rPr>
        <w:t xml:space="preserve">oting </w:t>
      </w:r>
      <w:r w:rsidR="00074C4F" w:rsidRPr="001B3BA5">
        <w:rPr>
          <w:rFonts w:asciiTheme="majorBidi" w:hAnsiTheme="majorBidi" w:cstheme="majorBidi"/>
          <w:sz w:val="24"/>
          <w:szCs w:val="24"/>
          <w:lang w:val="en-GB"/>
        </w:rPr>
        <w:t xml:space="preserve">is such </w:t>
      </w:r>
      <w:r w:rsidR="00910F1A" w:rsidRPr="001B3BA5">
        <w:rPr>
          <w:rFonts w:asciiTheme="majorBidi" w:hAnsiTheme="majorBidi" w:cstheme="majorBidi"/>
          <w:sz w:val="24"/>
          <w:szCs w:val="24"/>
          <w:lang w:val="en-GB"/>
        </w:rPr>
        <w:t xml:space="preserve">an </w:t>
      </w:r>
      <w:r w:rsidR="00074C4F" w:rsidRPr="001B3BA5">
        <w:rPr>
          <w:rFonts w:asciiTheme="majorBidi" w:hAnsiTheme="majorBidi" w:cstheme="majorBidi"/>
          <w:sz w:val="24"/>
          <w:szCs w:val="24"/>
          <w:lang w:val="en-GB"/>
        </w:rPr>
        <w:t>action</w:t>
      </w:r>
      <w:r w:rsidRPr="001B3BA5">
        <w:rPr>
          <w:rFonts w:asciiTheme="majorBidi" w:hAnsiTheme="majorBidi" w:cstheme="majorBidi"/>
          <w:sz w:val="24"/>
          <w:szCs w:val="24"/>
          <w:lang w:val="en-GB"/>
        </w:rPr>
        <w:t>.</w:t>
      </w:r>
    </w:p>
    <w:p w14:paraId="2578BA99" w14:textId="56F4AB5D" w:rsidR="003E7B15" w:rsidRPr="001B3BA5" w:rsidRDefault="003E7B15">
      <w:pPr>
        <w:spacing w:after="0" w:line="480" w:lineRule="exact"/>
        <w:ind w:firstLine="708"/>
        <w:rPr>
          <w:rFonts w:asciiTheme="majorBidi" w:hAnsiTheme="majorBidi" w:cstheme="majorBidi"/>
          <w:sz w:val="24"/>
          <w:szCs w:val="24"/>
          <w:lang w:val="en-GB"/>
        </w:rPr>
      </w:pPr>
      <w:bookmarkStart w:id="4" w:name="_Hlk21333336"/>
      <w:r w:rsidRPr="001B3BA5">
        <w:rPr>
          <w:rFonts w:asciiTheme="majorBidi" w:hAnsiTheme="majorBidi" w:cstheme="majorBidi"/>
          <w:sz w:val="24"/>
          <w:szCs w:val="24"/>
          <w:lang w:val="en-GB"/>
        </w:rPr>
        <w:t xml:space="preserve">The 2016 Brexit referendum was a political event that may have been influenced by </w:t>
      </w:r>
      <w:r w:rsidR="00A42509" w:rsidRPr="001B3BA5">
        <w:rPr>
          <w:rFonts w:asciiTheme="majorBidi" w:hAnsiTheme="majorBidi" w:cstheme="majorBidi"/>
          <w:sz w:val="24"/>
          <w:szCs w:val="24"/>
          <w:lang w:val="en-GB"/>
        </w:rPr>
        <w:t>ownership</w:t>
      </w:r>
      <w:r w:rsidRPr="001B3BA5">
        <w:rPr>
          <w:rFonts w:asciiTheme="majorBidi" w:hAnsiTheme="majorBidi" w:cstheme="majorBidi"/>
          <w:sz w:val="24"/>
          <w:szCs w:val="24"/>
          <w:lang w:val="en-GB"/>
        </w:rPr>
        <w:t xml:space="preserve"> </w:t>
      </w:r>
      <w:r w:rsidR="00845F85" w:rsidRPr="001B3BA5">
        <w:rPr>
          <w:rFonts w:asciiTheme="majorBidi" w:hAnsiTheme="majorBidi" w:cstheme="majorBidi"/>
          <w:sz w:val="24"/>
          <w:szCs w:val="24"/>
          <w:lang w:val="en-GB"/>
        </w:rPr>
        <w:t>concerns</w:t>
      </w:r>
      <w:r w:rsidRPr="001B3BA5">
        <w:rPr>
          <w:rFonts w:asciiTheme="majorBidi" w:hAnsiTheme="majorBidi" w:cstheme="majorBidi"/>
          <w:sz w:val="24"/>
          <w:szCs w:val="24"/>
          <w:lang w:val="en-GB"/>
        </w:rPr>
        <w:t xml:space="preserve">. On 23 June 2016, 51.9% of the British </w:t>
      </w:r>
      <w:r w:rsidR="00A162F1" w:rsidRPr="001B3BA5">
        <w:rPr>
          <w:rFonts w:asciiTheme="majorBidi" w:hAnsiTheme="majorBidi" w:cstheme="majorBidi"/>
          <w:sz w:val="24"/>
          <w:szCs w:val="24"/>
          <w:lang w:val="en-GB"/>
        </w:rPr>
        <w:t xml:space="preserve">electorate </w:t>
      </w:r>
      <w:r w:rsidRPr="001B3BA5">
        <w:rPr>
          <w:rFonts w:asciiTheme="majorBidi" w:hAnsiTheme="majorBidi" w:cstheme="majorBidi"/>
          <w:sz w:val="24"/>
          <w:szCs w:val="24"/>
          <w:lang w:val="en-GB"/>
        </w:rPr>
        <w:t xml:space="preserve">voted to leave the EU. </w:t>
      </w:r>
      <w:bookmarkEnd w:id="4"/>
      <w:r w:rsidR="00924DF7" w:rsidRPr="001B3BA5">
        <w:rPr>
          <w:rFonts w:asciiTheme="majorBidi" w:hAnsiTheme="majorBidi" w:cstheme="majorBidi"/>
          <w:sz w:val="24"/>
          <w:szCs w:val="24"/>
          <w:lang w:val="en-GB"/>
        </w:rPr>
        <w:t>Many</w:t>
      </w:r>
      <w:r w:rsidR="004F117F"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voters and politicians perceived the referendum as an opportunity to regain control over what is </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ours</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fldChar w:fldCharType="begin">
          <w:fldData xml:space="preserve">PEVuZE5vdGU+PENpdGU+PEF1dGhvcj5Ib2JvbHQ8L0F1dGhvcj48WWVhcj4yMDE2PC9ZZWFyPjxS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</w:fldData>
        </w:fldChar>
      </w:r>
      <w:r w:rsidR="00A8146C" w:rsidRPr="001B3BA5">
        <w:rPr>
          <w:rFonts w:asciiTheme="majorBidi" w:hAnsiTheme="majorBidi" w:cstheme="majorBidi"/>
          <w:sz w:val="24"/>
          <w:szCs w:val="24"/>
          <w:lang w:val="en-GB"/>
        </w:rPr>
        <w:instrText xml:space="preserve"> ADDIN EN.CITE </w:instrText>
      </w:r>
      <w:r w:rsidR="00A8146C" w:rsidRPr="001B3BA5">
        <w:rPr>
          <w:rFonts w:asciiTheme="majorBidi" w:hAnsiTheme="majorBidi" w:cstheme="majorBidi"/>
          <w:sz w:val="24"/>
          <w:szCs w:val="24"/>
          <w:lang w:val="en-GB"/>
        </w:rPr>
        <w:fldChar w:fldCharType="begin">
          <w:fldData xml:space="preserve">PEVuZE5vdGU+PENpdGU+PEF1dGhvcj5Ib2JvbHQ8L0F1dGhvcj48WWVhcj4yMDE2PC9ZZWFyPjxS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</w:fldData>
        </w:fldChar>
      </w:r>
      <w:r w:rsidR="00A8146C" w:rsidRPr="001B3BA5">
        <w:rPr>
          <w:rFonts w:asciiTheme="majorBidi" w:hAnsiTheme="majorBidi" w:cstheme="majorBidi"/>
          <w:sz w:val="24"/>
          <w:szCs w:val="24"/>
          <w:lang w:val="en-GB"/>
        </w:rPr>
        <w:instrText xml:space="preserve"> ADDIN EN.CITE.DATA </w:instrText>
      </w:r>
      <w:r w:rsidR="00A8146C" w:rsidRPr="001B3BA5">
        <w:rPr>
          <w:rFonts w:asciiTheme="majorBidi" w:hAnsiTheme="majorBidi" w:cstheme="majorBidi"/>
          <w:sz w:val="24"/>
          <w:szCs w:val="24"/>
          <w:lang w:val="en-GB"/>
        </w:rPr>
      </w:r>
      <w:r w:rsidR="00A8146C" w:rsidRPr="001B3BA5">
        <w:rPr>
          <w:rFonts w:asciiTheme="majorBidi" w:hAnsiTheme="majorBidi" w:cstheme="majorBidi"/>
          <w:sz w:val="24"/>
          <w:szCs w:val="24"/>
          <w:lang w:val="en-GB"/>
        </w:rPr>
        <w:fldChar w:fldCharType="end"/>
      </w:r>
      <w:r w:rsidRPr="001B3BA5">
        <w:rPr>
          <w:rFonts w:asciiTheme="majorBidi" w:hAnsiTheme="majorBidi" w:cstheme="majorBidi"/>
          <w:sz w:val="24"/>
          <w:szCs w:val="24"/>
          <w:lang w:val="en-GB"/>
        </w:rPr>
      </w:r>
      <w:r w:rsidRPr="001B3BA5">
        <w:rPr>
          <w:rFonts w:asciiTheme="majorBidi" w:hAnsiTheme="majorBidi" w:cstheme="majorBidi"/>
          <w:sz w:val="24"/>
          <w:szCs w:val="24"/>
          <w:lang w:val="en-GB"/>
        </w:rPr>
        <w:fldChar w:fldCharType="separate"/>
      </w:r>
      <w:r w:rsidRPr="001B3BA5">
        <w:rPr>
          <w:rFonts w:asciiTheme="majorBidi" w:hAnsiTheme="majorBidi" w:cstheme="majorBidi"/>
          <w:noProof/>
          <w:sz w:val="24"/>
          <w:szCs w:val="24"/>
          <w:lang w:val="en-GB"/>
        </w:rPr>
        <w:t>(Andreouli &amp; Nicholson, 2018; Capelos &amp; Katsanidou, 2018; Hobolt, 2016; Portice &amp; Reicher, 2018)</w:t>
      </w:r>
      <w:r w:rsidRPr="001B3BA5">
        <w:rPr>
          <w:rFonts w:asciiTheme="majorBidi" w:hAnsiTheme="majorBidi" w:cstheme="majorBidi"/>
          <w:sz w:val="24"/>
          <w:szCs w:val="24"/>
          <w:lang w:val="en-GB"/>
        </w:rPr>
        <w:fldChar w:fldCharType="end"/>
      </w:r>
      <w:r w:rsidRPr="001B3BA5">
        <w:rPr>
          <w:rFonts w:asciiTheme="majorBidi" w:hAnsiTheme="majorBidi" w:cstheme="majorBidi"/>
          <w:sz w:val="24"/>
          <w:szCs w:val="24"/>
          <w:lang w:val="en-GB"/>
        </w:rPr>
        <w:t xml:space="preserve">. </w:t>
      </w:r>
      <w:r w:rsidR="00074C4F" w:rsidRPr="001B3BA5">
        <w:rPr>
          <w:rFonts w:asciiTheme="majorBidi" w:hAnsiTheme="majorBidi" w:cstheme="majorBidi"/>
          <w:sz w:val="24"/>
          <w:szCs w:val="24"/>
          <w:lang w:val="en-GB"/>
        </w:rPr>
        <w:t>C</w:t>
      </w:r>
      <w:r w:rsidRPr="001B3BA5">
        <w:rPr>
          <w:rFonts w:asciiTheme="majorBidi" w:hAnsiTheme="majorBidi" w:cstheme="majorBidi"/>
          <w:sz w:val="24"/>
          <w:szCs w:val="24"/>
          <w:lang w:val="en-GB"/>
        </w:rPr>
        <w:t xml:space="preserve">ontrolling national legislation and borders were the most salient themes among Leave supporters </w:t>
      </w:r>
      <w:r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&lt;EndNote&gt;&lt;Cite&gt;&lt;Author&gt;Andreouli&lt;/Author&gt;&lt;Year&gt;2018&lt;/Year&gt;&lt;RecNum&gt;1364&lt;/RecNum&gt;&lt;DisplayText&gt;(Andreouli &amp;amp; Nicholson, 2018)&lt;/DisplayText&gt;&lt;record&gt;&lt;rec-number&gt;1364&lt;/rec-number&gt;&lt;foreign-keys&gt;&lt;key app="EN" db-id="es92r5v5dve2z0erx59pv50vtp29v0t9ef5f" timestamp="1550150585"&gt;1364&lt;/key&gt;&lt;key app="ENWeb" db-id=""&gt;0&lt;/key&gt;&lt;/foreign-keys&gt;&lt;ref-type name="Journal Article"&gt;17&lt;/ref-type&gt;&lt;contributors&gt;&lt;authors&gt;&lt;author&gt;Andreouli, Eleni&lt;/author&gt;&lt;author&gt;Nicholson, Cathy&lt;/author&gt;&lt;/authors&gt;&lt;/contributors&gt;&lt;titles&gt;&lt;title&gt;Brexit and everyday politics: An analysis of focus‐group data on the EU referendum&lt;/title&gt;&lt;secondary-title&gt;Political Psychology&lt;/secondary-title&gt;&lt;/titles&gt;&lt;periodical&gt;&lt;full-title&gt;Political Psychology&lt;/full-title&gt;&lt;/periodical&gt;&lt;pages&gt;1323-1338&lt;/pages&gt;&lt;volume&gt;39&lt;/volume&gt;&lt;number&gt;6&lt;/number&gt;&lt;dates&gt;&lt;year&gt;2018&lt;/year&gt;&lt;/dates&gt;&lt;isbn&gt;0162-895X&amp;#xD;1467-9221&lt;/isbn&gt;&lt;urls&gt;&lt;/urls&gt;&lt;electronic-resource-num&gt;10.1111/pops.12544&lt;/electronic-resource-num&gt;&lt;/record&gt;&lt;/Cite&gt;&lt;/EndNote&gt;</w:instrText>
      </w:r>
      <w:r w:rsidRPr="001B3BA5">
        <w:rPr>
          <w:rFonts w:asciiTheme="majorBidi" w:hAnsiTheme="majorBidi" w:cstheme="majorBidi"/>
          <w:sz w:val="24"/>
          <w:szCs w:val="24"/>
          <w:lang w:val="en-GB"/>
        </w:rPr>
        <w:fldChar w:fldCharType="separate"/>
      </w:r>
      <w:r w:rsidRPr="001B3BA5">
        <w:rPr>
          <w:rFonts w:asciiTheme="majorBidi" w:hAnsiTheme="majorBidi" w:cstheme="majorBidi"/>
          <w:noProof/>
          <w:sz w:val="24"/>
          <w:szCs w:val="24"/>
          <w:lang w:val="en-GB"/>
        </w:rPr>
        <w:t>(Andreouli &amp; Nicholson, 2018)</w:t>
      </w:r>
      <w:r w:rsidRPr="001B3BA5">
        <w:rPr>
          <w:rFonts w:asciiTheme="majorBidi" w:hAnsiTheme="majorBidi" w:cstheme="majorBidi"/>
          <w:sz w:val="24"/>
          <w:szCs w:val="24"/>
          <w:lang w:val="en-GB"/>
        </w:rPr>
        <w:fldChar w:fldCharType="end"/>
      </w:r>
      <w:r w:rsidR="000A12FB"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and</w:t>
      </w:r>
      <w:r w:rsidR="000A12FB" w:rsidRPr="001B3BA5">
        <w:rPr>
          <w:rFonts w:asciiTheme="majorBidi" w:hAnsiTheme="majorBidi" w:cstheme="majorBidi"/>
          <w:sz w:val="24"/>
          <w:szCs w:val="24"/>
          <w:lang w:val="en-GB"/>
        </w:rPr>
        <w:t xml:space="preserve"> the</w:t>
      </w:r>
      <w:r w:rsidRPr="001B3BA5">
        <w:rPr>
          <w:rFonts w:asciiTheme="majorBidi" w:hAnsiTheme="majorBidi" w:cstheme="majorBidi"/>
          <w:sz w:val="24"/>
          <w:szCs w:val="24"/>
          <w:lang w:val="en-GB"/>
        </w:rPr>
        <w:t xml:space="preserve"> </w:t>
      </w:r>
      <w:r w:rsidR="001B57BA" w:rsidRPr="001B3BA5">
        <w:rPr>
          <w:rFonts w:asciiTheme="majorBidi" w:hAnsiTheme="majorBidi" w:cstheme="majorBidi"/>
          <w:sz w:val="24"/>
          <w:szCs w:val="24"/>
          <w:lang w:val="en-GB"/>
        </w:rPr>
        <w:t>United Kingdom Independe</w:t>
      </w:r>
      <w:r w:rsidR="00A162F1" w:rsidRPr="001B3BA5">
        <w:rPr>
          <w:rFonts w:asciiTheme="majorBidi" w:hAnsiTheme="majorBidi" w:cstheme="majorBidi"/>
          <w:sz w:val="24"/>
          <w:szCs w:val="24"/>
          <w:lang w:val="en-GB"/>
        </w:rPr>
        <w:t xml:space="preserve">nce </w:t>
      </w:r>
      <w:r w:rsidR="001B57BA" w:rsidRPr="001B3BA5">
        <w:rPr>
          <w:rFonts w:asciiTheme="majorBidi" w:hAnsiTheme="majorBidi" w:cstheme="majorBidi"/>
          <w:sz w:val="24"/>
          <w:szCs w:val="24"/>
          <w:lang w:val="en-GB"/>
        </w:rPr>
        <w:t xml:space="preserve">Party </w:t>
      </w:r>
      <w:r w:rsidRPr="001B3BA5">
        <w:rPr>
          <w:rFonts w:asciiTheme="majorBidi" w:hAnsiTheme="majorBidi" w:cstheme="majorBidi"/>
          <w:sz w:val="24"/>
          <w:szCs w:val="24"/>
          <w:lang w:val="en-GB"/>
        </w:rPr>
        <w:t xml:space="preserve">campaigned for </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leave</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with the characteristic slogan </w:t>
      </w:r>
      <w:r w:rsidR="00B146E8" w:rsidRPr="001B3BA5">
        <w:rPr>
          <w:rFonts w:asciiTheme="majorBidi" w:hAnsiTheme="majorBidi" w:cstheme="majorBidi"/>
          <w:sz w:val="24"/>
          <w:szCs w:val="24"/>
          <w:lang w:val="en-GB"/>
        </w:rPr>
        <w:t>‘</w:t>
      </w:r>
      <w:r w:rsidRPr="001B3BA5">
        <w:rPr>
          <w:rFonts w:asciiTheme="majorBidi" w:hAnsiTheme="majorBidi" w:cstheme="majorBidi"/>
          <w:iCs/>
          <w:sz w:val="24"/>
          <w:szCs w:val="24"/>
          <w:lang w:val="en-GB"/>
        </w:rPr>
        <w:t>Take back control of our country.</w:t>
      </w:r>
      <w:r w:rsidR="00B146E8" w:rsidRPr="001B3BA5">
        <w:rPr>
          <w:rFonts w:asciiTheme="majorBidi" w:hAnsiTheme="majorBidi" w:cstheme="majorBidi"/>
          <w:iCs/>
          <w:sz w:val="24"/>
          <w:szCs w:val="24"/>
          <w:lang w:val="en-GB"/>
        </w:rPr>
        <w:t>’</w:t>
      </w:r>
    </w:p>
    <w:p w14:paraId="49D009B2" w14:textId="035DAAF1" w:rsidR="00845F85" w:rsidRPr="001B3BA5" w:rsidRDefault="000A12FB">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We proceeded to</w:t>
      </w:r>
      <w:r w:rsidR="003E7B15" w:rsidRPr="001B3BA5">
        <w:rPr>
          <w:rFonts w:asciiTheme="majorBidi" w:hAnsiTheme="majorBidi" w:cstheme="majorBidi"/>
          <w:sz w:val="24"/>
          <w:szCs w:val="24"/>
          <w:lang w:val="en-GB"/>
        </w:rPr>
        <w:t xml:space="preserve"> </w:t>
      </w:r>
      <w:r w:rsidR="00845F85" w:rsidRPr="001B3BA5">
        <w:rPr>
          <w:rFonts w:asciiTheme="majorBidi" w:hAnsiTheme="majorBidi" w:cstheme="majorBidi"/>
          <w:sz w:val="24"/>
          <w:szCs w:val="24"/>
          <w:lang w:val="en-GB"/>
        </w:rPr>
        <w:t xml:space="preserve">examine </w:t>
      </w:r>
      <w:r w:rsidR="003E7B15" w:rsidRPr="001B3BA5">
        <w:rPr>
          <w:rFonts w:asciiTheme="majorBidi" w:hAnsiTheme="majorBidi" w:cstheme="majorBidi"/>
          <w:sz w:val="24"/>
          <w:szCs w:val="24"/>
          <w:lang w:val="en-GB"/>
        </w:rPr>
        <w:t xml:space="preserve">whether the </w:t>
      </w:r>
      <w:r w:rsidR="00DA283B" w:rsidRPr="001B3BA5">
        <w:rPr>
          <w:rFonts w:asciiTheme="majorBidi" w:hAnsiTheme="majorBidi" w:cstheme="majorBidi"/>
          <w:sz w:val="24"/>
          <w:szCs w:val="24"/>
          <w:lang w:val="en-GB"/>
        </w:rPr>
        <w:t>negative</w:t>
      </w:r>
      <w:r w:rsidR="00F04BD5" w:rsidRPr="001B3BA5">
        <w:rPr>
          <w:rFonts w:asciiTheme="majorBidi" w:hAnsiTheme="majorBidi" w:cstheme="majorBidi"/>
          <w:sz w:val="24"/>
          <w:szCs w:val="24"/>
          <w:lang w:val="en-GB"/>
        </w:rPr>
        <w:t xml:space="preserve"> </w:t>
      </w:r>
      <w:r w:rsidR="003E7B15" w:rsidRPr="001B3BA5">
        <w:rPr>
          <w:rFonts w:asciiTheme="majorBidi" w:hAnsiTheme="majorBidi" w:cstheme="majorBidi"/>
          <w:sz w:val="24"/>
          <w:szCs w:val="24"/>
          <w:lang w:val="en-GB"/>
        </w:rPr>
        <w:t xml:space="preserve">attitudinal consequences of </w:t>
      </w:r>
      <w:r w:rsidR="00CD1548" w:rsidRPr="001B3BA5">
        <w:rPr>
          <w:rFonts w:asciiTheme="majorBidi" w:hAnsiTheme="majorBidi" w:cstheme="majorBidi"/>
          <w:sz w:val="24"/>
          <w:szCs w:val="24"/>
          <w:lang w:val="en-GB"/>
        </w:rPr>
        <w:t xml:space="preserve">ownership </w:t>
      </w:r>
      <w:r w:rsidR="003E7B15" w:rsidRPr="001B3BA5">
        <w:rPr>
          <w:rFonts w:asciiTheme="majorBidi" w:hAnsiTheme="majorBidi" w:cstheme="majorBidi"/>
          <w:sz w:val="24"/>
          <w:szCs w:val="24"/>
          <w:lang w:val="en-GB"/>
        </w:rPr>
        <w:t xml:space="preserve">translate into </w:t>
      </w:r>
      <w:r w:rsidR="00845F85" w:rsidRPr="001B3BA5">
        <w:rPr>
          <w:rFonts w:asciiTheme="majorBidi" w:hAnsiTheme="majorBidi" w:cstheme="majorBidi"/>
          <w:sz w:val="24"/>
          <w:szCs w:val="24"/>
          <w:lang w:val="en-GB"/>
        </w:rPr>
        <w:t xml:space="preserve">a </w:t>
      </w:r>
      <w:r w:rsidR="00800749" w:rsidRPr="001B3BA5">
        <w:rPr>
          <w:rFonts w:asciiTheme="majorBidi" w:hAnsiTheme="majorBidi" w:cstheme="majorBidi"/>
          <w:sz w:val="24"/>
          <w:szCs w:val="24"/>
          <w:lang w:val="en-GB"/>
        </w:rPr>
        <w:t>pro</w:t>
      </w:r>
      <w:r w:rsidR="00074C4F" w:rsidRPr="001B3BA5">
        <w:rPr>
          <w:rFonts w:asciiTheme="majorBidi" w:hAnsiTheme="majorBidi" w:cstheme="majorBidi"/>
          <w:sz w:val="24"/>
          <w:szCs w:val="24"/>
          <w:lang w:val="en-GB"/>
        </w:rPr>
        <w:t>-</w:t>
      </w:r>
      <w:r w:rsidR="00A162F1" w:rsidRPr="001B3BA5">
        <w:rPr>
          <w:rFonts w:asciiTheme="majorBidi" w:hAnsiTheme="majorBidi" w:cstheme="majorBidi"/>
          <w:sz w:val="24"/>
          <w:szCs w:val="24"/>
          <w:lang w:val="en-GB"/>
        </w:rPr>
        <w:t xml:space="preserve">Brexit </w:t>
      </w:r>
      <w:r w:rsidR="00845F85" w:rsidRPr="001B3BA5">
        <w:rPr>
          <w:rFonts w:asciiTheme="majorBidi" w:hAnsiTheme="majorBidi" w:cstheme="majorBidi"/>
          <w:sz w:val="24"/>
          <w:szCs w:val="24"/>
          <w:lang w:val="en-GB"/>
        </w:rPr>
        <w:t xml:space="preserve">vote, thereby focusing on </w:t>
      </w:r>
      <w:r w:rsidR="003E7B15" w:rsidRPr="001B3BA5">
        <w:rPr>
          <w:rFonts w:asciiTheme="majorBidi" w:hAnsiTheme="majorBidi" w:cstheme="majorBidi"/>
          <w:sz w:val="24"/>
          <w:szCs w:val="24"/>
          <w:lang w:val="en-GB"/>
        </w:rPr>
        <w:t>behavio</w:t>
      </w:r>
      <w:r w:rsidR="008643F0" w:rsidRPr="001B3BA5">
        <w:rPr>
          <w:rFonts w:asciiTheme="majorBidi" w:hAnsiTheme="majorBidi" w:cstheme="majorBidi"/>
          <w:sz w:val="24"/>
          <w:szCs w:val="24"/>
          <w:lang w:val="en-GB"/>
        </w:rPr>
        <w:t>u</w:t>
      </w:r>
      <w:r w:rsidR="003E7B15" w:rsidRPr="001B3BA5">
        <w:rPr>
          <w:rFonts w:asciiTheme="majorBidi" w:hAnsiTheme="majorBidi" w:cstheme="majorBidi"/>
          <w:sz w:val="24"/>
          <w:szCs w:val="24"/>
          <w:lang w:val="en-GB"/>
        </w:rPr>
        <w:t xml:space="preserve">r. </w:t>
      </w:r>
      <w:r w:rsidR="00DA283B" w:rsidRPr="001B3BA5">
        <w:rPr>
          <w:rFonts w:asciiTheme="majorBidi" w:hAnsiTheme="majorBidi" w:cstheme="majorBidi"/>
          <w:sz w:val="24"/>
          <w:szCs w:val="24"/>
          <w:lang w:val="en-GB"/>
        </w:rPr>
        <w:t>C</w:t>
      </w:r>
      <w:r w:rsidR="003E7B15" w:rsidRPr="001B3BA5">
        <w:rPr>
          <w:rFonts w:asciiTheme="majorBidi" w:hAnsiTheme="majorBidi" w:cstheme="majorBidi"/>
          <w:sz w:val="24"/>
          <w:szCs w:val="24"/>
          <w:lang w:val="en-GB"/>
        </w:rPr>
        <w:t>oncerns about immigrants</w:t>
      </w:r>
      <w:r w:rsidR="00B146E8" w:rsidRPr="001B3BA5">
        <w:rPr>
          <w:rFonts w:asciiTheme="majorBidi" w:hAnsiTheme="majorBidi" w:cstheme="majorBidi"/>
          <w:sz w:val="24"/>
          <w:szCs w:val="24"/>
          <w:lang w:val="en-GB"/>
        </w:rPr>
        <w:t>’</w:t>
      </w:r>
      <w:r w:rsidR="003E7B15" w:rsidRPr="001B3BA5">
        <w:rPr>
          <w:rFonts w:asciiTheme="majorBidi" w:hAnsiTheme="majorBidi" w:cstheme="majorBidi"/>
          <w:sz w:val="24"/>
          <w:szCs w:val="24"/>
          <w:lang w:val="en-GB"/>
        </w:rPr>
        <w:t xml:space="preserve"> negative impact on the British economy, culture, and welfare state</w:t>
      </w:r>
      <w:r w:rsidR="00DA283B" w:rsidRPr="001B3BA5">
        <w:rPr>
          <w:rFonts w:asciiTheme="majorBidi" w:hAnsiTheme="majorBidi" w:cstheme="majorBidi"/>
          <w:sz w:val="24"/>
          <w:szCs w:val="24"/>
          <w:lang w:val="en-GB"/>
        </w:rPr>
        <w:t xml:space="preserve"> </w:t>
      </w:r>
      <w:r w:rsidR="003E7B15" w:rsidRPr="001B3BA5">
        <w:rPr>
          <w:rFonts w:asciiTheme="majorBidi" w:hAnsiTheme="majorBidi" w:cstheme="majorBidi"/>
          <w:sz w:val="24"/>
          <w:szCs w:val="24"/>
          <w:lang w:val="en-GB"/>
        </w:rPr>
        <w:t xml:space="preserve">were drivers of the </w:t>
      </w:r>
      <w:r w:rsidR="00DA283B" w:rsidRPr="001B3BA5">
        <w:rPr>
          <w:rFonts w:asciiTheme="majorBidi" w:hAnsiTheme="majorBidi" w:cstheme="majorBidi"/>
          <w:sz w:val="24"/>
          <w:szCs w:val="24"/>
          <w:lang w:val="en-GB"/>
        </w:rPr>
        <w:t>pro</w:t>
      </w:r>
      <w:r w:rsidR="00074C4F" w:rsidRPr="001B3BA5">
        <w:rPr>
          <w:rFonts w:asciiTheme="majorBidi" w:hAnsiTheme="majorBidi" w:cstheme="majorBidi"/>
          <w:sz w:val="24"/>
          <w:szCs w:val="24"/>
          <w:lang w:val="en-GB"/>
        </w:rPr>
        <w:t>-</w:t>
      </w:r>
      <w:r w:rsidR="003E7B15" w:rsidRPr="001B3BA5">
        <w:rPr>
          <w:rFonts w:asciiTheme="majorBidi" w:hAnsiTheme="majorBidi" w:cstheme="majorBidi"/>
          <w:sz w:val="24"/>
          <w:szCs w:val="24"/>
          <w:lang w:val="en-GB"/>
        </w:rPr>
        <w:t xml:space="preserve">Brexit vote </w:t>
      </w:r>
      <w:r w:rsidR="003E7B15"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&lt;EndNote&gt;&lt;Cite&gt;&lt;Author&gt;Hutchings&lt;/Author&gt;&lt;Year&gt;2019&lt;/Year&gt;&lt;RecNum&gt;1415&lt;/RecNum&gt;&lt;DisplayText&gt;(Goodwin &amp;amp; Milazzo, 2017; Hutchings &amp;amp; Sullivan, 2019)&lt;/DisplayText&gt;&lt;record&gt;&lt;rec-number&gt;1415&lt;/rec-number&gt;&lt;foreign-keys&gt;&lt;key app="EN" db-id="es92r5v5dve2z0erx59pv50vtp29v0t9ef5f" timestamp="1555315418"&gt;1415&lt;/key&gt;&lt;key app="ENWeb" db-id=""&gt;0&lt;/key&gt;&lt;/foreign-keys&gt;&lt;ref-type name="Journal Article"&gt;17&lt;/ref-type&gt;&lt;contributors&gt;&lt;authors&gt;&lt;author&gt;Hutchings, Paul B.&lt;/author&gt;&lt;author&gt;Sullivan, Katie E.&lt;/author&gt;&lt;/authors&gt;&lt;/contributors&gt;&lt;titles&gt;&lt;title&gt;Prejudice and the Brexit vote: A tangled web&lt;/title&gt;&lt;secondary-title&gt;Palgrave Communications&lt;/secondary-title&gt;&lt;/titles&gt;&lt;periodical&gt;&lt;full-title&gt;Palgrave Communications&lt;/full-title&gt;&lt;/periodical&gt;&lt;volume&gt;5&lt;/volume&gt;&lt;number&gt;1&lt;/number&gt;&lt;dates&gt;&lt;year&gt;2019&lt;/year&gt;&lt;/dates&gt;&lt;isbn&gt;2055-1045&lt;/isbn&gt;&lt;urls&gt;&lt;/urls&gt;&lt;custom7&gt;5&lt;/custom7&gt;&lt;electronic-resource-num&gt;10.1057/s41599-018-0214-5&lt;/electronic-resource-num&gt;&lt;/record&gt;&lt;/Cite&gt;&lt;Cite&gt;&lt;Author&gt;Goodwin&lt;/Author&gt;&lt;Year&gt;2017&lt;/Year&gt;&lt;RecNum&gt;1322&lt;/RecNum&gt;&lt;record&gt;&lt;rec-number&gt;1322&lt;/rec-number&gt;&lt;foreign-keys&gt;&lt;key app="EN" db-id="es92r5v5dve2z0erx59pv50vtp29v0t9ef5f" timestamp="1539323798"&gt;1322&lt;/key&gt;&lt;key app="ENWeb" db-id=""&gt;0&lt;/key&gt;&lt;/foreign-keys&gt;&lt;ref-type name="Journal Article"&gt;17&lt;/ref-type&gt;&lt;contributors&gt;&lt;authors&gt;&lt;author&gt;Goodwin, Matthew&lt;/author&gt;&lt;author&gt;Milazzo, Caitlin&lt;/author&gt;&lt;/authors&gt;&lt;/contributors&gt;&lt;titles&gt;&lt;title&gt;Taking back control? Investigating the role of immigration in the 2016 vote for Brexit&lt;/title&gt;&lt;secondary-title&gt;The British Journal of Politics and International Relations&lt;/secondary-title&gt;&lt;/titles&gt;&lt;periodical&gt;&lt;full-title&gt;The British Journal of Politics and International Relations&lt;/full-title&gt;&lt;/periodical&gt;&lt;pages&gt;450-464&lt;/pages&gt;&lt;volume&gt;19&lt;/volume&gt;&lt;number&gt;3&lt;/number&gt;&lt;dates&gt;&lt;year&gt;2017&lt;/year&gt;&lt;/dates&gt;&lt;isbn&gt;1369-1481&amp;#xD;1467-856X&lt;/isbn&gt;&lt;urls&gt;&lt;/urls&gt;&lt;electronic-resource-num&gt;10.1177/1369148117710799&lt;/electronic-resource-num&gt;&lt;/record&gt;&lt;/Cite&gt;&lt;/EndNote&gt;</w:instrText>
      </w:r>
      <w:r w:rsidR="003E7B15" w:rsidRPr="001B3BA5">
        <w:rPr>
          <w:rFonts w:asciiTheme="majorBidi" w:hAnsiTheme="majorBidi" w:cstheme="majorBidi"/>
          <w:sz w:val="24"/>
          <w:szCs w:val="24"/>
          <w:lang w:val="en-GB"/>
        </w:rPr>
        <w:fldChar w:fldCharType="separate"/>
      </w:r>
      <w:r w:rsidR="00E8251F" w:rsidRPr="001B3BA5">
        <w:rPr>
          <w:rFonts w:asciiTheme="majorBidi" w:hAnsiTheme="majorBidi" w:cstheme="majorBidi"/>
          <w:noProof/>
          <w:sz w:val="24"/>
          <w:szCs w:val="24"/>
          <w:lang w:val="en-GB"/>
        </w:rPr>
        <w:t>(Goodwin &amp; Milazzo, 2017; Hutchings &amp; Sullivan, 2019)</w:t>
      </w:r>
      <w:r w:rsidR="003E7B15" w:rsidRPr="001B3BA5">
        <w:rPr>
          <w:rFonts w:asciiTheme="majorBidi" w:hAnsiTheme="majorBidi" w:cstheme="majorBidi"/>
          <w:sz w:val="24"/>
          <w:szCs w:val="24"/>
          <w:lang w:val="en-GB"/>
        </w:rPr>
        <w:fldChar w:fldCharType="end"/>
      </w:r>
      <w:r w:rsidR="003E7B15" w:rsidRPr="001B3BA5">
        <w:rPr>
          <w:rFonts w:asciiTheme="majorBidi" w:hAnsiTheme="majorBidi" w:cstheme="majorBidi"/>
          <w:sz w:val="24"/>
          <w:szCs w:val="24"/>
          <w:lang w:val="en-GB"/>
        </w:rPr>
        <w:t xml:space="preserve">. </w:t>
      </w:r>
      <w:r w:rsidR="0060333C" w:rsidRPr="001B3BA5">
        <w:rPr>
          <w:rFonts w:asciiTheme="majorBidi" w:hAnsiTheme="majorBidi" w:cstheme="majorBidi"/>
          <w:sz w:val="24"/>
          <w:szCs w:val="24"/>
          <w:lang w:val="en-GB"/>
        </w:rPr>
        <w:t>The v</w:t>
      </w:r>
      <w:r w:rsidR="003E7B15" w:rsidRPr="001B3BA5">
        <w:rPr>
          <w:rFonts w:asciiTheme="majorBidi" w:hAnsiTheme="majorBidi" w:cstheme="majorBidi"/>
          <w:sz w:val="24"/>
          <w:szCs w:val="24"/>
          <w:lang w:val="en-GB"/>
        </w:rPr>
        <w:t xml:space="preserve">ote </w:t>
      </w:r>
      <w:r w:rsidR="005439CD" w:rsidRPr="001B3BA5">
        <w:rPr>
          <w:rFonts w:asciiTheme="majorBidi" w:hAnsiTheme="majorBidi" w:cstheme="majorBidi"/>
          <w:sz w:val="24"/>
          <w:szCs w:val="24"/>
          <w:lang w:val="en-GB"/>
        </w:rPr>
        <w:t>is</w:t>
      </w:r>
      <w:r w:rsidR="003E7B15" w:rsidRPr="001B3BA5">
        <w:rPr>
          <w:rFonts w:asciiTheme="majorBidi" w:hAnsiTheme="majorBidi" w:cstheme="majorBidi"/>
          <w:sz w:val="24"/>
          <w:szCs w:val="24"/>
          <w:lang w:val="en-GB"/>
        </w:rPr>
        <w:t xml:space="preserve"> further explained by </w:t>
      </w:r>
      <w:r w:rsidR="00064912" w:rsidRPr="001B3BA5">
        <w:rPr>
          <w:rFonts w:asciiTheme="majorBidi" w:hAnsiTheme="majorBidi" w:cstheme="majorBidi"/>
          <w:sz w:val="24"/>
          <w:szCs w:val="24"/>
          <w:lang w:val="en-GB"/>
        </w:rPr>
        <w:t xml:space="preserve">negative </w:t>
      </w:r>
      <w:r w:rsidR="003E7B15" w:rsidRPr="001B3BA5">
        <w:rPr>
          <w:rFonts w:asciiTheme="majorBidi" w:hAnsiTheme="majorBidi" w:cstheme="majorBidi"/>
          <w:sz w:val="24"/>
          <w:szCs w:val="24"/>
          <w:lang w:val="en-GB"/>
        </w:rPr>
        <w:t xml:space="preserve">attitudes towards European </w:t>
      </w:r>
      <w:r w:rsidR="00C1702C" w:rsidRPr="001B3BA5">
        <w:rPr>
          <w:rFonts w:asciiTheme="majorBidi" w:hAnsiTheme="majorBidi" w:cstheme="majorBidi"/>
          <w:sz w:val="24"/>
          <w:szCs w:val="24"/>
          <w:lang w:val="en-GB"/>
        </w:rPr>
        <w:t>integration</w:t>
      </w:r>
      <w:r w:rsidR="003E7B15" w:rsidRPr="001B3BA5">
        <w:rPr>
          <w:rFonts w:asciiTheme="majorBidi" w:hAnsiTheme="majorBidi" w:cstheme="majorBidi"/>
          <w:sz w:val="24"/>
          <w:szCs w:val="24"/>
          <w:lang w:val="en-GB"/>
        </w:rPr>
        <w:t xml:space="preserve">, and specifically by cost and benefit concerns </w:t>
      </w:r>
      <w:r w:rsidR="00064912" w:rsidRPr="001B3BA5">
        <w:rPr>
          <w:rFonts w:asciiTheme="majorBidi" w:hAnsiTheme="majorBidi" w:cstheme="majorBidi"/>
          <w:sz w:val="24"/>
          <w:szCs w:val="24"/>
          <w:lang w:val="en-GB"/>
        </w:rPr>
        <w:t>of the</w:t>
      </w:r>
      <w:r w:rsidR="003E7B15" w:rsidRPr="001B3BA5">
        <w:rPr>
          <w:rFonts w:asciiTheme="majorBidi" w:hAnsiTheme="majorBidi" w:cstheme="majorBidi"/>
          <w:sz w:val="24"/>
          <w:szCs w:val="24"/>
          <w:lang w:val="en-GB"/>
        </w:rPr>
        <w:t xml:space="preserve"> integration </w:t>
      </w:r>
      <w:r w:rsidR="00064912" w:rsidRPr="001B3BA5">
        <w:rPr>
          <w:rFonts w:asciiTheme="majorBidi" w:hAnsiTheme="majorBidi" w:cstheme="majorBidi"/>
          <w:sz w:val="24"/>
          <w:szCs w:val="24"/>
          <w:lang w:val="en-GB"/>
        </w:rPr>
        <w:t>for</w:t>
      </w:r>
      <w:r w:rsidR="003E7B15" w:rsidRPr="001B3BA5">
        <w:rPr>
          <w:rFonts w:asciiTheme="majorBidi" w:hAnsiTheme="majorBidi" w:cstheme="majorBidi"/>
          <w:sz w:val="24"/>
          <w:szCs w:val="24"/>
          <w:lang w:val="en-GB"/>
        </w:rPr>
        <w:t xml:space="preserve"> employment, welfare, and freedom of movement</w:t>
      </w:r>
      <w:r w:rsidR="00E8251F" w:rsidRPr="001B3BA5">
        <w:rPr>
          <w:rFonts w:asciiTheme="majorBidi" w:hAnsiTheme="majorBidi" w:cstheme="majorBidi"/>
          <w:sz w:val="24"/>
          <w:szCs w:val="24"/>
          <w:lang w:val="en-GB"/>
        </w:rPr>
        <w:t xml:space="preserve"> </w:t>
      </w:r>
      <w:r w:rsidR="00E8251F"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&lt;EndNote&gt;&lt;Cite&gt;&lt;Author&gt;Vasilopoulou&lt;/Author&gt;&lt;Year&gt;2016&lt;/Year&gt;&lt;RecNum&gt;1476&lt;/RecNum&gt;&lt;DisplayText&gt;(Vasilopoulou, 2016)&lt;/DisplayText&gt;&lt;record&gt;&lt;rec-number&gt;1476&lt;/rec-number&gt;&lt;foreign-keys&gt;&lt;key app="EN" db-id="es92r5v5dve2z0erx59pv50vtp29v0t9ef5f" timestamp="1569922831"&gt;1476&lt;/key&gt;&lt;/foreign-keys&gt;&lt;ref-type name="Journal Article"&gt;17&lt;/ref-type&gt;&lt;contributors&gt;&lt;authors&gt;&lt;author&gt;Vasilopoulou, Sofia&lt;/author&gt;&lt;/authors&gt;&lt;/contributors&gt;&lt;titles&gt;&lt;title&gt;UK Euroscepticism and the Brexit referendum&lt;/title&gt;&lt;secondary-title&gt;The Political Quarterly&lt;/secondary-title&gt;&lt;/titles&gt;&lt;periodical&gt;&lt;full-title&gt;The Political Quarterly&lt;/full-title&gt;&lt;/periodical&gt;&lt;pages&gt;219-227&lt;/pages&gt;&lt;volume&gt;87&lt;/volume&gt;&lt;number&gt;2&lt;/number&gt;&lt;dates&gt;&lt;year&gt;2016&lt;/year&gt;&lt;/dates&gt;&lt;isbn&gt;0032-3179&lt;/isbn&gt;&lt;urls&gt;&lt;/urls&gt;&lt;electronic-resource-num&gt;10.1111/1467-923X.12258&lt;/electronic-resource-num&gt;&lt;/record&gt;&lt;/Cite&gt;&lt;/EndNote&gt;</w:instrText>
      </w:r>
      <w:r w:rsidR="00E8251F" w:rsidRPr="001B3BA5">
        <w:rPr>
          <w:rFonts w:asciiTheme="majorBidi" w:hAnsiTheme="majorBidi" w:cstheme="majorBidi"/>
          <w:sz w:val="24"/>
          <w:szCs w:val="24"/>
          <w:lang w:val="en-GB"/>
        </w:rPr>
        <w:fldChar w:fldCharType="separate"/>
      </w:r>
      <w:r w:rsidR="00E8251F" w:rsidRPr="001B3BA5">
        <w:rPr>
          <w:rFonts w:asciiTheme="majorBidi" w:hAnsiTheme="majorBidi" w:cstheme="majorBidi"/>
          <w:noProof/>
          <w:sz w:val="24"/>
          <w:szCs w:val="24"/>
          <w:lang w:val="en-GB"/>
        </w:rPr>
        <w:t>(Vasilopoulou, 2016)</w:t>
      </w:r>
      <w:r w:rsidR="00E8251F" w:rsidRPr="001B3BA5">
        <w:rPr>
          <w:rFonts w:asciiTheme="majorBidi" w:hAnsiTheme="majorBidi" w:cstheme="majorBidi"/>
          <w:sz w:val="24"/>
          <w:szCs w:val="24"/>
          <w:lang w:val="en-GB"/>
        </w:rPr>
        <w:fldChar w:fldCharType="end"/>
      </w:r>
      <w:r w:rsidR="003E7B15" w:rsidRPr="001B3BA5">
        <w:rPr>
          <w:rFonts w:asciiTheme="majorBidi" w:hAnsiTheme="majorBidi" w:cstheme="majorBidi"/>
          <w:sz w:val="24"/>
          <w:szCs w:val="24"/>
          <w:lang w:val="en-GB"/>
        </w:rPr>
        <w:t xml:space="preserve">. </w:t>
      </w:r>
      <w:bookmarkStart w:id="5" w:name="_Hlk21954379"/>
      <w:r w:rsidRPr="001B3BA5">
        <w:rPr>
          <w:rFonts w:asciiTheme="majorBidi" w:hAnsiTheme="majorBidi" w:cstheme="majorBidi"/>
          <w:sz w:val="24"/>
          <w:szCs w:val="24"/>
          <w:lang w:val="en-GB"/>
        </w:rPr>
        <w:t>As such</w:t>
      </w:r>
      <w:r w:rsidR="003E7B15" w:rsidRPr="001B3BA5">
        <w:rPr>
          <w:rFonts w:asciiTheme="majorBidi" w:hAnsiTheme="majorBidi" w:cstheme="majorBidi"/>
          <w:sz w:val="24"/>
          <w:szCs w:val="24"/>
          <w:lang w:val="en-GB"/>
        </w:rPr>
        <w:t xml:space="preserve">, we </w:t>
      </w:r>
      <w:r w:rsidR="00845F85" w:rsidRPr="001B3BA5">
        <w:rPr>
          <w:rFonts w:asciiTheme="majorBidi" w:hAnsiTheme="majorBidi" w:cstheme="majorBidi"/>
          <w:sz w:val="24"/>
          <w:szCs w:val="24"/>
          <w:lang w:val="en-GB"/>
        </w:rPr>
        <w:t xml:space="preserve">expect </w:t>
      </w:r>
      <w:r w:rsidR="00B41B02" w:rsidRPr="001B3BA5">
        <w:rPr>
          <w:rFonts w:asciiTheme="majorBidi" w:hAnsiTheme="majorBidi" w:cstheme="majorBidi"/>
          <w:sz w:val="24"/>
          <w:szCs w:val="24"/>
          <w:lang w:val="en-GB"/>
        </w:rPr>
        <w:t>CPO</w:t>
      </w:r>
      <w:r w:rsidR="00845F85" w:rsidRPr="001B3BA5">
        <w:rPr>
          <w:rFonts w:asciiTheme="majorBidi" w:hAnsiTheme="majorBidi" w:cstheme="majorBidi"/>
          <w:sz w:val="24"/>
          <w:szCs w:val="24"/>
          <w:lang w:val="en-GB"/>
        </w:rPr>
        <w:t xml:space="preserve"> to be associated with </w:t>
      </w:r>
      <w:bookmarkStart w:id="6" w:name="_Hlk23414235"/>
      <w:r w:rsidR="00845F85" w:rsidRPr="001B3BA5">
        <w:rPr>
          <w:rFonts w:asciiTheme="majorBidi" w:hAnsiTheme="majorBidi" w:cstheme="majorBidi"/>
          <w:sz w:val="24"/>
          <w:szCs w:val="24"/>
          <w:lang w:val="en-GB"/>
        </w:rPr>
        <w:t>a higher likelihood of pro-Brexit vot</w:t>
      </w:r>
      <w:r w:rsidR="00047508" w:rsidRPr="001B3BA5">
        <w:rPr>
          <w:rFonts w:asciiTheme="majorBidi" w:hAnsiTheme="majorBidi" w:cstheme="majorBidi"/>
          <w:sz w:val="24"/>
          <w:szCs w:val="24"/>
          <w:lang w:val="en-GB"/>
        </w:rPr>
        <w:t>ing</w:t>
      </w:r>
      <w:r w:rsidR="00845F85" w:rsidRPr="001B3BA5">
        <w:rPr>
          <w:rFonts w:asciiTheme="majorBidi" w:hAnsiTheme="majorBidi" w:cstheme="majorBidi"/>
          <w:sz w:val="24"/>
          <w:szCs w:val="24"/>
          <w:lang w:val="en-GB"/>
        </w:rPr>
        <w:t xml:space="preserve"> </w:t>
      </w:r>
      <w:r w:rsidR="008A0313" w:rsidRPr="001B3BA5">
        <w:rPr>
          <w:rFonts w:asciiTheme="majorBidi" w:hAnsiTheme="majorBidi" w:cstheme="majorBidi"/>
          <w:sz w:val="24"/>
          <w:szCs w:val="24"/>
          <w:lang w:val="en-GB"/>
        </w:rPr>
        <w:t xml:space="preserve">(H3) </w:t>
      </w:r>
      <w:r w:rsidR="00F3750C" w:rsidRPr="001B3BA5">
        <w:rPr>
          <w:rFonts w:asciiTheme="majorBidi" w:hAnsiTheme="majorBidi" w:cstheme="majorBidi"/>
          <w:sz w:val="24"/>
          <w:szCs w:val="24"/>
          <w:lang w:val="en-GB"/>
        </w:rPr>
        <w:t xml:space="preserve">via </w:t>
      </w:r>
      <w:r w:rsidR="008A0313" w:rsidRPr="001B3BA5">
        <w:rPr>
          <w:rFonts w:asciiTheme="majorBidi" w:hAnsiTheme="majorBidi" w:cstheme="majorBidi"/>
          <w:sz w:val="24"/>
          <w:szCs w:val="24"/>
          <w:lang w:val="en-GB"/>
        </w:rPr>
        <w:t>exclusive determination right (H3a)</w:t>
      </w:r>
      <w:r w:rsidR="001D5045" w:rsidRPr="001B3BA5">
        <w:rPr>
          <w:rFonts w:asciiTheme="majorBidi" w:hAnsiTheme="majorBidi" w:cstheme="majorBidi"/>
          <w:sz w:val="24"/>
          <w:szCs w:val="24"/>
          <w:lang w:val="en-GB"/>
        </w:rPr>
        <w:t xml:space="preserve"> and</w:t>
      </w:r>
      <w:r w:rsidR="00910F1A" w:rsidRPr="001B3BA5">
        <w:rPr>
          <w:rFonts w:asciiTheme="majorBidi" w:hAnsiTheme="majorBidi" w:cstheme="majorBidi"/>
          <w:sz w:val="24"/>
          <w:szCs w:val="24"/>
          <w:lang w:val="en-GB"/>
        </w:rPr>
        <w:t>,</w:t>
      </w:r>
      <w:r w:rsidR="001D5045" w:rsidRPr="001B3BA5">
        <w:rPr>
          <w:rFonts w:asciiTheme="majorBidi" w:hAnsiTheme="majorBidi" w:cstheme="majorBidi"/>
          <w:sz w:val="24"/>
          <w:szCs w:val="24"/>
          <w:lang w:val="en-GB"/>
        </w:rPr>
        <w:t xml:space="preserve"> </w:t>
      </w:r>
      <w:r w:rsidR="00D1180C" w:rsidRPr="001B3BA5">
        <w:rPr>
          <w:rFonts w:asciiTheme="majorBidi" w:hAnsiTheme="majorBidi" w:cstheme="majorBidi"/>
          <w:sz w:val="24"/>
          <w:szCs w:val="24"/>
          <w:lang w:val="en-GB"/>
        </w:rPr>
        <w:t>in turn</w:t>
      </w:r>
      <w:r w:rsidR="001D5045" w:rsidRPr="001B3BA5">
        <w:rPr>
          <w:rFonts w:asciiTheme="majorBidi" w:hAnsiTheme="majorBidi" w:cstheme="majorBidi"/>
          <w:sz w:val="24"/>
          <w:szCs w:val="24"/>
          <w:lang w:val="en-GB"/>
        </w:rPr>
        <w:t xml:space="preserve">, </w:t>
      </w:r>
      <w:r w:rsidR="00F3750C" w:rsidRPr="001B3BA5">
        <w:rPr>
          <w:rFonts w:asciiTheme="majorBidi" w:hAnsiTheme="majorBidi" w:cstheme="majorBidi"/>
          <w:sz w:val="24"/>
          <w:szCs w:val="24"/>
          <w:lang w:val="en-GB"/>
        </w:rPr>
        <w:t>negative attitudes towards immigrant minorities</w:t>
      </w:r>
      <w:r w:rsidR="001D5045" w:rsidRPr="001B3BA5">
        <w:rPr>
          <w:rFonts w:asciiTheme="majorBidi" w:hAnsiTheme="majorBidi" w:cstheme="majorBidi"/>
          <w:sz w:val="24"/>
          <w:szCs w:val="24"/>
          <w:lang w:val="en-GB"/>
        </w:rPr>
        <w:t xml:space="preserve"> (H3b)</w:t>
      </w:r>
      <w:r w:rsidR="00F3750C" w:rsidRPr="001B3BA5">
        <w:rPr>
          <w:rFonts w:asciiTheme="majorBidi" w:hAnsiTheme="majorBidi" w:cstheme="majorBidi"/>
          <w:sz w:val="24"/>
          <w:szCs w:val="24"/>
          <w:lang w:val="en-GB"/>
        </w:rPr>
        <w:t xml:space="preserve"> and European integration </w:t>
      </w:r>
      <w:bookmarkEnd w:id="6"/>
      <w:r w:rsidR="00F3750C" w:rsidRPr="001B3BA5">
        <w:rPr>
          <w:rFonts w:asciiTheme="majorBidi" w:hAnsiTheme="majorBidi" w:cstheme="majorBidi"/>
          <w:sz w:val="24"/>
          <w:szCs w:val="24"/>
          <w:lang w:val="en-GB"/>
        </w:rPr>
        <w:t>(H3</w:t>
      </w:r>
      <w:r w:rsidR="001D5045" w:rsidRPr="001B3BA5">
        <w:rPr>
          <w:rFonts w:asciiTheme="majorBidi" w:hAnsiTheme="majorBidi" w:cstheme="majorBidi"/>
          <w:sz w:val="24"/>
          <w:szCs w:val="24"/>
          <w:lang w:val="en-GB"/>
        </w:rPr>
        <w:t>c</w:t>
      </w:r>
      <w:r w:rsidR="00F3750C" w:rsidRPr="001B3BA5">
        <w:rPr>
          <w:rFonts w:asciiTheme="majorBidi" w:hAnsiTheme="majorBidi" w:cstheme="majorBidi"/>
          <w:sz w:val="24"/>
          <w:szCs w:val="24"/>
          <w:lang w:val="en-GB"/>
        </w:rPr>
        <w:t>).</w:t>
      </w:r>
    </w:p>
    <w:p w14:paraId="21215219" w14:textId="1EB2DA0B" w:rsidR="00D3601E" w:rsidRPr="001B3BA5" w:rsidRDefault="00B87AA8">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 xml:space="preserve">Although it is possible that CPO </w:t>
      </w:r>
      <w:r w:rsidR="004E4966" w:rsidRPr="001B3BA5">
        <w:rPr>
          <w:rFonts w:asciiTheme="majorBidi" w:hAnsiTheme="majorBidi" w:cstheme="majorBidi"/>
          <w:sz w:val="24"/>
          <w:szCs w:val="24"/>
          <w:lang w:val="en-GB"/>
        </w:rPr>
        <w:t>is</w:t>
      </w:r>
      <w:r w:rsidRPr="001B3BA5">
        <w:rPr>
          <w:rFonts w:asciiTheme="majorBidi" w:hAnsiTheme="majorBidi" w:cstheme="majorBidi"/>
          <w:sz w:val="24"/>
          <w:szCs w:val="24"/>
          <w:lang w:val="en-GB"/>
        </w:rPr>
        <w:t xml:space="preserve"> used to justify one’s </w:t>
      </w:r>
      <w:r w:rsidR="00DA283B" w:rsidRPr="001B3BA5">
        <w:rPr>
          <w:rFonts w:asciiTheme="majorBidi" w:hAnsiTheme="majorBidi" w:cstheme="majorBidi"/>
          <w:sz w:val="24"/>
          <w:szCs w:val="24"/>
          <w:lang w:val="en-GB"/>
        </w:rPr>
        <w:t xml:space="preserve">pre-existing </w:t>
      </w:r>
      <w:r w:rsidRPr="001B3BA5">
        <w:rPr>
          <w:rFonts w:asciiTheme="majorBidi" w:hAnsiTheme="majorBidi" w:cstheme="majorBidi"/>
          <w:sz w:val="24"/>
          <w:szCs w:val="24"/>
          <w:lang w:val="en-GB"/>
        </w:rPr>
        <w:t>negative attitudes</w:t>
      </w:r>
      <w:r w:rsidR="00DA283B" w:rsidRPr="001B3BA5">
        <w:rPr>
          <w:rFonts w:asciiTheme="majorBidi" w:hAnsiTheme="majorBidi" w:cstheme="majorBidi"/>
          <w:sz w:val="24"/>
          <w:szCs w:val="24"/>
          <w:lang w:val="en-GB"/>
        </w:rPr>
        <w:t xml:space="preserve"> towards immigrants and the EU</w:t>
      </w:r>
      <w:r w:rsidR="00E54786" w:rsidRPr="001B3BA5">
        <w:rPr>
          <w:rFonts w:asciiTheme="majorBidi" w:hAnsiTheme="majorBidi" w:cstheme="majorBidi"/>
          <w:sz w:val="24"/>
          <w:szCs w:val="24"/>
          <w:lang w:val="en-GB"/>
        </w:rPr>
        <w:t xml:space="preserve"> </w:t>
      </w:r>
      <w:r w:rsidR="00D1180C" w:rsidRPr="001B3BA5">
        <w:rPr>
          <w:rFonts w:asciiTheme="majorBidi" w:hAnsiTheme="majorBidi" w:cstheme="majorBidi"/>
          <w:sz w:val="24"/>
          <w:szCs w:val="24"/>
          <w:lang w:val="en-GB"/>
        </w:rPr>
        <w:t xml:space="preserve">or </w:t>
      </w:r>
      <w:r w:rsidR="00E54786" w:rsidRPr="001B3BA5">
        <w:rPr>
          <w:rFonts w:asciiTheme="majorBidi" w:hAnsiTheme="majorBidi" w:cstheme="majorBidi"/>
          <w:sz w:val="24"/>
          <w:szCs w:val="24"/>
          <w:lang w:val="en-GB"/>
        </w:rPr>
        <w:t>Brexit voting</w:t>
      </w:r>
      <w:r w:rsidRPr="001B3BA5">
        <w:rPr>
          <w:rFonts w:asciiTheme="majorBidi" w:hAnsiTheme="majorBidi" w:cstheme="majorBidi"/>
          <w:sz w:val="24"/>
          <w:szCs w:val="24"/>
          <w:lang w:val="en-GB"/>
        </w:rPr>
        <w:t>, w</w:t>
      </w:r>
      <w:r w:rsidR="00D3601E" w:rsidRPr="001B3BA5">
        <w:rPr>
          <w:rFonts w:asciiTheme="majorBidi" w:hAnsiTheme="majorBidi" w:cstheme="majorBidi"/>
          <w:sz w:val="24"/>
          <w:szCs w:val="24"/>
          <w:lang w:val="en-GB"/>
        </w:rPr>
        <w:t xml:space="preserve">e </w:t>
      </w:r>
      <w:r w:rsidR="00800749" w:rsidRPr="001B3BA5">
        <w:rPr>
          <w:rFonts w:asciiTheme="majorBidi" w:hAnsiTheme="majorBidi" w:cstheme="majorBidi"/>
          <w:sz w:val="24"/>
          <w:szCs w:val="24"/>
          <w:lang w:val="en-GB"/>
        </w:rPr>
        <w:t>argue</w:t>
      </w:r>
      <w:r w:rsidR="00D3601E" w:rsidRPr="001B3BA5">
        <w:rPr>
          <w:rFonts w:asciiTheme="majorBidi" w:hAnsiTheme="majorBidi" w:cstheme="majorBidi"/>
          <w:sz w:val="24"/>
          <w:szCs w:val="24"/>
          <w:lang w:val="en-GB"/>
        </w:rPr>
        <w:t xml:space="preserve"> </w:t>
      </w:r>
      <w:r w:rsidR="00A54554" w:rsidRPr="001B3BA5">
        <w:rPr>
          <w:rFonts w:asciiTheme="majorBidi" w:hAnsiTheme="majorBidi" w:cstheme="majorBidi"/>
          <w:sz w:val="24"/>
          <w:szCs w:val="24"/>
          <w:lang w:val="en-GB"/>
        </w:rPr>
        <w:t xml:space="preserve">that </w:t>
      </w:r>
      <w:r w:rsidR="00D3601E" w:rsidRPr="001B3BA5">
        <w:rPr>
          <w:rFonts w:asciiTheme="majorBidi" w:hAnsiTheme="majorBidi" w:cstheme="majorBidi"/>
          <w:sz w:val="24"/>
          <w:szCs w:val="24"/>
          <w:lang w:val="en-GB"/>
        </w:rPr>
        <w:t xml:space="preserve">CPO </w:t>
      </w:r>
      <w:r w:rsidR="00800749" w:rsidRPr="001B3BA5">
        <w:rPr>
          <w:rFonts w:asciiTheme="majorBidi" w:hAnsiTheme="majorBidi" w:cstheme="majorBidi"/>
          <w:sz w:val="24"/>
          <w:szCs w:val="24"/>
          <w:lang w:val="en-GB"/>
        </w:rPr>
        <w:t>influenc</w:t>
      </w:r>
      <w:r w:rsidR="00A54554" w:rsidRPr="001B3BA5">
        <w:rPr>
          <w:rFonts w:asciiTheme="majorBidi" w:hAnsiTheme="majorBidi" w:cstheme="majorBidi"/>
          <w:sz w:val="24"/>
          <w:szCs w:val="24"/>
          <w:lang w:val="en-GB"/>
        </w:rPr>
        <w:t>es</w:t>
      </w:r>
      <w:r w:rsidR="00D3601E" w:rsidRPr="001B3BA5">
        <w:rPr>
          <w:rFonts w:asciiTheme="majorBidi" w:hAnsiTheme="majorBidi" w:cstheme="majorBidi"/>
          <w:sz w:val="24"/>
          <w:szCs w:val="24"/>
          <w:lang w:val="en-GB"/>
        </w:rPr>
        <w:t xml:space="preserve"> </w:t>
      </w:r>
      <w:r w:rsidR="00DA283B" w:rsidRPr="001B3BA5">
        <w:rPr>
          <w:rFonts w:asciiTheme="majorBidi" w:hAnsiTheme="majorBidi" w:cstheme="majorBidi"/>
          <w:sz w:val="24"/>
          <w:szCs w:val="24"/>
          <w:lang w:val="en-GB"/>
        </w:rPr>
        <w:t>these</w:t>
      </w:r>
      <w:r w:rsidR="00D3601E" w:rsidRPr="001B3BA5">
        <w:rPr>
          <w:rFonts w:asciiTheme="majorBidi" w:hAnsiTheme="majorBidi" w:cstheme="majorBidi"/>
          <w:sz w:val="24"/>
          <w:szCs w:val="24"/>
          <w:lang w:val="en-GB"/>
        </w:rPr>
        <w:t xml:space="preserve"> attitudes and voting behavio</w:t>
      </w:r>
      <w:r w:rsidR="008643F0" w:rsidRPr="001B3BA5">
        <w:rPr>
          <w:rFonts w:asciiTheme="majorBidi" w:hAnsiTheme="majorBidi" w:cstheme="majorBidi"/>
          <w:sz w:val="24"/>
          <w:szCs w:val="24"/>
          <w:lang w:val="en-GB"/>
        </w:rPr>
        <w:t>u</w:t>
      </w:r>
      <w:r w:rsidR="00D3601E" w:rsidRPr="001B3BA5">
        <w:rPr>
          <w:rFonts w:asciiTheme="majorBidi" w:hAnsiTheme="majorBidi" w:cstheme="majorBidi"/>
          <w:sz w:val="24"/>
          <w:szCs w:val="24"/>
          <w:lang w:val="en-GB"/>
        </w:rPr>
        <w:t>r</w:t>
      </w:r>
      <w:r w:rsidRPr="001B3BA5">
        <w:rPr>
          <w:rFonts w:asciiTheme="majorBidi" w:hAnsiTheme="majorBidi" w:cstheme="majorBidi"/>
          <w:sz w:val="24"/>
          <w:szCs w:val="24"/>
          <w:lang w:val="en-GB"/>
        </w:rPr>
        <w:t xml:space="preserve">. </w:t>
      </w:r>
      <w:r w:rsidR="00D3601E" w:rsidRPr="001B3BA5">
        <w:rPr>
          <w:rFonts w:asciiTheme="majorBidi" w:hAnsiTheme="majorBidi" w:cstheme="majorBidi"/>
          <w:sz w:val="24"/>
          <w:szCs w:val="24"/>
          <w:lang w:val="en-GB"/>
        </w:rPr>
        <w:t xml:space="preserve">CPO </w:t>
      </w:r>
      <w:r w:rsidR="00800749" w:rsidRPr="001B3BA5">
        <w:rPr>
          <w:rFonts w:asciiTheme="majorBidi" w:hAnsiTheme="majorBidi" w:cstheme="majorBidi"/>
          <w:sz w:val="24"/>
          <w:szCs w:val="24"/>
          <w:lang w:val="en-GB"/>
        </w:rPr>
        <w:t>i</w:t>
      </w:r>
      <w:r w:rsidR="00D3601E" w:rsidRPr="001B3BA5">
        <w:rPr>
          <w:rFonts w:asciiTheme="majorBidi" w:hAnsiTheme="majorBidi" w:cstheme="majorBidi"/>
          <w:sz w:val="24"/>
          <w:szCs w:val="24"/>
          <w:lang w:val="en-GB"/>
        </w:rPr>
        <w:t xml:space="preserve">s a </w:t>
      </w:r>
      <w:r w:rsidR="00800749" w:rsidRPr="001B3BA5">
        <w:rPr>
          <w:rFonts w:asciiTheme="majorBidi" w:hAnsiTheme="majorBidi" w:cstheme="majorBidi"/>
          <w:sz w:val="24"/>
          <w:szCs w:val="24"/>
          <w:lang w:val="en-GB"/>
        </w:rPr>
        <w:t xml:space="preserve">general </w:t>
      </w:r>
      <w:r w:rsidR="000A3A8F" w:rsidRPr="001B3BA5">
        <w:rPr>
          <w:rFonts w:asciiTheme="majorBidi" w:hAnsiTheme="majorBidi" w:cstheme="majorBidi"/>
          <w:sz w:val="24"/>
          <w:szCs w:val="24"/>
          <w:lang w:val="en-GB"/>
        </w:rPr>
        <w:t xml:space="preserve">underlying </w:t>
      </w:r>
      <w:r w:rsidR="00D3601E" w:rsidRPr="001B3BA5">
        <w:rPr>
          <w:rFonts w:asciiTheme="majorBidi" w:hAnsiTheme="majorBidi" w:cstheme="majorBidi"/>
          <w:sz w:val="24"/>
          <w:szCs w:val="24"/>
          <w:lang w:val="en-GB"/>
        </w:rPr>
        <w:t xml:space="preserve">belief </w:t>
      </w:r>
      <w:r w:rsidR="00DA283B" w:rsidRPr="001B3BA5">
        <w:rPr>
          <w:rFonts w:asciiTheme="majorBidi" w:hAnsiTheme="majorBidi" w:cstheme="majorBidi"/>
          <w:sz w:val="24"/>
          <w:szCs w:val="24"/>
          <w:lang w:val="en-GB"/>
        </w:rPr>
        <w:t xml:space="preserve">about what is ‘ours’ </w:t>
      </w:r>
      <w:r w:rsidR="00D3601E" w:rsidRPr="001B3BA5">
        <w:rPr>
          <w:rFonts w:asciiTheme="majorBidi" w:hAnsiTheme="majorBidi" w:cstheme="majorBidi"/>
          <w:sz w:val="24"/>
          <w:szCs w:val="24"/>
          <w:lang w:val="en-GB"/>
        </w:rPr>
        <w:t>that translates into more specific attitudes</w:t>
      </w:r>
      <w:r w:rsidRPr="001B3BA5">
        <w:rPr>
          <w:rFonts w:asciiTheme="majorBidi" w:hAnsiTheme="majorBidi" w:cstheme="majorBidi"/>
          <w:sz w:val="24"/>
          <w:szCs w:val="24"/>
          <w:lang w:val="en-GB"/>
        </w:rPr>
        <w:t xml:space="preserve"> </w:t>
      </w:r>
      <w:r w:rsidR="000A3A8F" w:rsidRPr="001B3BA5">
        <w:rPr>
          <w:rFonts w:asciiTheme="majorBidi" w:hAnsiTheme="majorBidi" w:cstheme="majorBidi"/>
          <w:sz w:val="24"/>
          <w:szCs w:val="24"/>
          <w:lang w:val="en-GB"/>
        </w:rPr>
        <w:t>vary</w:t>
      </w:r>
      <w:r w:rsidR="00910F1A" w:rsidRPr="001B3BA5">
        <w:rPr>
          <w:rFonts w:asciiTheme="majorBidi" w:hAnsiTheme="majorBidi" w:cstheme="majorBidi"/>
          <w:sz w:val="24"/>
          <w:szCs w:val="24"/>
          <w:lang w:val="en-GB"/>
        </w:rPr>
        <w:t>ing</w:t>
      </w:r>
      <w:r w:rsidR="000A3A8F" w:rsidRPr="001B3BA5">
        <w:rPr>
          <w:rFonts w:asciiTheme="majorBidi" w:hAnsiTheme="majorBidi" w:cstheme="majorBidi"/>
          <w:sz w:val="24"/>
          <w:szCs w:val="24"/>
          <w:lang w:val="en-GB"/>
        </w:rPr>
        <w:t xml:space="preserve"> in ideological relevance </w:t>
      </w:r>
      <w:r w:rsidR="00A54554" w:rsidRPr="001B3BA5">
        <w:rPr>
          <w:rFonts w:asciiTheme="majorBidi" w:hAnsiTheme="majorBidi" w:cstheme="majorBidi"/>
          <w:sz w:val="24"/>
          <w:szCs w:val="24"/>
          <w:lang w:val="en-GB"/>
        </w:rPr>
        <w:t xml:space="preserve">across </w:t>
      </w:r>
      <w:r w:rsidR="000A3A8F" w:rsidRPr="001B3BA5">
        <w:rPr>
          <w:rFonts w:asciiTheme="majorBidi" w:hAnsiTheme="majorBidi" w:cstheme="majorBidi"/>
          <w:sz w:val="24"/>
          <w:szCs w:val="24"/>
          <w:lang w:val="en-GB"/>
        </w:rPr>
        <w:t xml:space="preserve">context and time </w:t>
      </w:r>
      <w:r w:rsidR="00F30C42" w:rsidRPr="001B3BA5">
        <w:rPr>
          <w:rFonts w:asciiTheme="majorBidi" w:hAnsiTheme="majorBidi" w:cstheme="majorBidi"/>
          <w:sz w:val="24"/>
          <w:szCs w:val="24"/>
          <w:lang w:val="en-GB"/>
        </w:rPr>
        <w:fldChar w:fldCharType="begin"/>
      </w:r>
      <w:r w:rsidR="00F30C42" w:rsidRPr="001B3BA5">
        <w:rPr>
          <w:rFonts w:asciiTheme="majorBidi" w:hAnsiTheme="majorBidi" w:cstheme="majorBidi"/>
          <w:sz w:val="24"/>
          <w:szCs w:val="24"/>
          <w:lang w:val="en-GB"/>
        </w:rPr>
        <w:instrText xml:space="preserve"> ADDIN EN.CITE &lt;EndNote&gt;&lt;Cite&gt;&lt;Author&gt;Verkuyten&lt;/Author&gt;&lt;Year&gt;2017&lt;/Year&gt;&lt;RecNum&gt;1088&lt;/RecNum&gt;&lt;DisplayText&gt;(Verkuyten &amp;amp; Martinovic, 2017)&lt;/DisplayText&gt;&lt;record&gt;&lt;rec-number&gt;1088&lt;/rec-number&gt;&lt;foreign-keys&gt;&lt;key app="EN" db-id="es92r5v5dve2z0erx59pv50vtp29v0t9ef5f" timestamp="1507274941"&gt;1088&lt;/key&gt;&lt;key app="ENWeb" db-id=""&gt;0&lt;/key&gt;&lt;/foreign-keys&gt;&lt;ref-type name="Journal Article"&gt;17&lt;/ref-type&gt;&lt;contributors&gt;&lt;authors&gt;&lt;author&gt;Verkuyten, Maykel&lt;/author&gt;&lt;author&gt;Martinovic, Borja&lt;/author&gt;&lt;/authors&gt;&lt;/contributors&gt;&lt;auth-address&gt;Interdisciplinary Social Science/Ercomer, Utrecht University.&lt;/auth-address&gt;&lt;titles&gt;&lt;title&gt;Collective psychological ownership and intergroup relations&lt;/title&gt;&lt;secondary-title&gt;Perspectives on Psychological Science&lt;/secondary-title&gt;&lt;/titles&gt;&lt;periodical&gt;&lt;full-title&gt;Perspectives on Psychological Science&lt;/full-title&gt;&lt;/periodical&gt;&lt;pages&gt;1021-1039&lt;/pages&gt;&lt;volume&gt;12&lt;/volume&gt;&lt;number&gt;6&lt;/number&gt;&lt;keywords&gt;&lt;keyword&gt;culture/diversity&lt;/keyword&gt;&lt;keyword&gt;intergroup relations&lt;/keyword&gt;&lt;keyword&gt;intragroup processes&lt;/keyword&gt;&lt;keyword&gt;ownership&lt;/keyword&gt;&lt;/keywords&gt;&lt;dates&gt;&lt;year&gt;2017&lt;/year&gt;&lt;pub-dates&gt;&lt;date&gt;Sep 01&lt;/date&gt;&lt;/pub-dates&gt;&lt;/dates&gt;&lt;isbn&gt;1745-6924 (Electronic)&amp;#xD;1745-6916 (Linking)&lt;/isbn&gt;&lt;accession-num&gt;28937914&lt;/accession-num&gt;&lt;urls&gt;&lt;related-urls&gt;&lt;url&gt;&lt;style face="underline" font="default" size="100%"&gt;https://www.ncbi.nlm.nih.gov/pubmed/28937914&lt;/style&gt;&lt;/url&gt;&lt;/related-urls&gt;&lt;/urls&gt;&lt;electronic-resource-num&gt;10.1177/1745691617706514&lt;/electronic-resource-num&gt;&lt;/record&gt;&lt;/Cite&gt;&lt;/EndNote&gt;</w:instrText>
      </w:r>
      <w:r w:rsidR="00F30C42" w:rsidRPr="001B3BA5">
        <w:rPr>
          <w:rFonts w:asciiTheme="majorBidi" w:hAnsiTheme="majorBidi" w:cstheme="majorBidi"/>
          <w:sz w:val="24"/>
          <w:szCs w:val="24"/>
          <w:lang w:val="en-GB"/>
        </w:rPr>
        <w:fldChar w:fldCharType="separate"/>
      </w:r>
      <w:r w:rsidR="00F30C42" w:rsidRPr="001B3BA5">
        <w:rPr>
          <w:rFonts w:asciiTheme="majorBidi" w:hAnsiTheme="majorBidi" w:cstheme="majorBidi"/>
          <w:noProof/>
          <w:sz w:val="24"/>
          <w:szCs w:val="24"/>
          <w:lang w:val="en-GB"/>
        </w:rPr>
        <w:t>(Verkuyten &amp; Martinovic, 2017)</w:t>
      </w:r>
      <w:r w:rsidR="00F30C42" w:rsidRPr="001B3BA5">
        <w:rPr>
          <w:rFonts w:asciiTheme="majorBidi" w:hAnsiTheme="majorBidi" w:cstheme="majorBidi"/>
          <w:sz w:val="24"/>
          <w:szCs w:val="24"/>
          <w:lang w:val="en-GB"/>
        </w:rPr>
        <w:fldChar w:fldCharType="end"/>
      </w:r>
      <w:r w:rsidR="00A54554" w:rsidRPr="001B3BA5">
        <w:rPr>
          <w:rFonts w:asciiTheme="majorBidi" w:hAnsiTheme="majorBidi" w:cstheme="majorBidi"/>
          <w:sz w:val="24"/>
          <w:szCs w:val="24"/>
          <w:lang w:val="en-GB"/>
        </w:rPr>
        <w:t>. This is</w:t>
      </w:r>
      <w:r w:rsidR="00D3601E" w:rsidRPr="001B3BA5">
        <w:rPr>
          <w:rFonts w:asciiTheme="majorBidi" w:hAnsiTheme="majorBidi" w:cstheme="majorBidi"/>
          <w:sz w:val="24"/>
          <w:szCs w:val="24"/>
          <w:lang w:val="en-GB"/>
        </w:rPr>
        <w:t xml:space="preserve"> </w:t>
      </w:r>
      <w:r w:rsidR="00800749" w:rsidRPr="001B3BA5">
        <w:rPr>
          <w:rFonts w:asciiTheme="majorBidi" w:hAnsiTheme="majorBidi" w:cstheme="majorBidi"/>
          <w:sz w:val="24"/>
          <w:szCs w:val="24"/>
          <w:lang w:val="en-GB"/>
        </w:rPr>
        <w:t xml:space="preserve">similar to </w:t>
      </w:r>
      <w:r w:rsidR="00DA283B" w:rsidRPr="001B3BA5">
        <w:rPr>
          <w:rFonts w:asciiTheme="majorBidi" w:hAnsiTheme="majorBidi" w:cstheme="majorBidi"/>
          <w:sz w:val="24"/>
          <w:szCs w:val="24"/>
          <w:lang w:val="en-GB"/>
        </w:rPr>
        <w:t>ideological beliefs</w:t>
      </w:r>
      <w:r w:rsidR="000A3A8F" w:rsidRPr="001B3BA5">
        <w:rPr>
          <w:rFonts w:asciiTheme="majorBidi" w:hAnsiTheme="majorBidi" w:cstheme="majorBidi"/>
          <w:sz w:val="24"/>
          <w:szCs w:val="24"/>
          <w:lang w:val="en-GB"/>
        </w:rPr>
        <w:t xml:space="preserve"> </w:t>
      </w:r>
      <w:r w:rsidR="00132648" w:rsidRPr="001B3BA5">
        <w:rPr>
          <w:rFonts w:asciiTheme="majorBidi" w:hAnsiTheme="majorBidi" w:cstheme="majorBidi"/>
          <w:sz w:val="24"/>
          <w:szCs w:val="24"/>
          <w:lang w:val="en-GB"/>
        </w:rPr>
        <w:t>influencing specific attitudes (</w:t>
      </w:r>
      <w:r w:rsidR="00DA283B" w:rsidRPr="001B3BA5">
        <w:rPr>
          <w:rFonts w:asciiTheme="majorBidi" w:hAnsiTheme="majorBidi" w:cstheme="majorBidi"/>
          <w:sz w:val="24"/>
          <w:szCs w:val="24"/>
          <w:lang w:val="en-GB"/>
        </w:rPr>
        <w:t>Jost, 2006</w:t>
      </w:r>
      <w:r w:rsidR="00132648" w:rsidRPr="001B3BA5">
        <w:rPr>
          <w:rFonts w:asciiTheme="majorBidi" w:hAnsiTheme="majorBidi" w:cstheme="majorBidi"/>
          <w:sz w:val="24"/>
          <w:szCs w:val="24"/>
          <w:lang w:val="en-GB"/>
        </w:rPr>
        <w:t xml:space="preserve">) and </w:t>
      </w:r>
      <w:r w:rsidR="00631BAC" w:rsidRPr="001B3BA5">
        <w:rPr>
          <w:rFonts w:asciiTheme="majorBidi" w:hAnsiTheme="majorBidi" w:cstheme="majorBidi"/>
          <w:sz w:val="24"/>
          <w:szCs w:val="24"/>
          <w:lang w:val="en-GB"/>
        </w:rPr>
        <w:t xml:space="preserve">nationalism </w:t>
      </w:r>
      <w:r w:rsidR="00800749" w:rsidRPr="001B3BA5">
        <w:rPr>
          <w:rFonts w:asciiTheme="majorBidi" w:hAnsiTheme="majorBidi" w:cstheme="majorBidi"/>
          <w:sz w:val="24"/>
          <w:szCs w:val="24"/>
          <w:lang w:val="en-GB"/>
        </w:rPr>
        <w:t>driving out-group attitudes</w:t>
      </w:r>
      <w:r w:rsidR="00D3601E" w:rsidRPr="001B3BA5">
        <w:rPr>
          <w:rFonts w:asciiTheme="majorBidi" w:hAnsiTheme="majorBidi" w:cstheme="majorBidi"/>
          <w:sz w:val="24"/>
          <w:szCs w:val="24"/>
          <w:lang w:val="en-GB"/>
        </w:rPr>
        <w:t xml:space="preserve"> </w:t>
      </w:r>
      <w:r w:rsidR="00F30C42" w:rsidRPr="001B3BA5">
        <w:rPr>
          <w:rFonts w:asciiTheme="majorBidi" w:hAnsiTheme="majorBidi" w:cstheme="majorBidi"/>
          <w:sz w:val="24"/>
          <w:szCs w:val="24"/>
          <w:lang w:val="en-GB"/>
        </w:rPr>
        <w:fldChar w:fldCharType="begin"/>
      </w:r>
      <w:r w:rsidR="0052482B" w:rsidRPr="001B3BA5">
        <w:rPr>
          <w:rFonts w:asciiTheme="majorBidi" w:hAnsiTheme="majorBidi" w:cstheme="majorBidi"/>
          <w:sz w:val="24"/>
          <w:szCs w:val="24"/>
          <w:lang w:val="en-GB"/>
        </w:rPr>
        <w:instrText xml:space="preserve"> ADDIN EN.CITE &lt;EndNote&gt;&lt;Cite&gt;&lt;Author&gt;Wagner&lt;/Author&gt;&lt;Year&gt;2010&lt;/Year&gt;&lt;RecNum&gt;1567&lt;/RecNum&gt;&lt;IDText&gt;2012&lt;/IDText&gt;&lt;DisplayText&gt;(Wagner, Becker, Christ, Pettigrew, &amp;amp; Schmidt, 2010)&lt;/DisplayText&gt;&lt;record&gt;&lt;rec-number&gt;1567&lt;/rec-number&gt;&lt;foreign-keys&gt;&lt;key app="EN" db-id="es92r5v5dve2z0erx59pv50vtp29v0t9ef5f" timestamp="1583334727"&gt;1567&lt;/key&gt;&lt;key app="ENWeb" db-id=""&gt;0&lt;/key&gt;&lt;/foreign-keys&gt;&lt;ref-type name="Journal Article"&gt;17&lt;/ref-type&gt;&lt;contributors&gt;&lt;authors&gt;&lt;author&gt;Wagner, U.&lt;/author&gt;&lt;author&gt;Becker, J. C.&lt;/author&gt;&lt;author&gt;Christ, O.&lt;/author&gt;&lt;author&gt;Pettigrew, T. F.&lt;/author&gt;&lt;author&gt;Schmidt, P.&lt;/author&gt;&lt;/authors&gt;&lt;/contributors&gt;&lt;titles&gt;&lt;title&gt;A longitudinal test of the relation between German nationalism, patriotism, and outgroup derogation&lt;/title&gt;&lt;secondary-title&gt;European Sociological Review&lt;/secondary-title&gt;&lt;/titles&gt;&lt;periodical&gt;&lt;full-title&gt;European Sociological Review&lt;/full-title&gt;&lt;/periodical&gt;&lt;pages&gt;319-332&lt;/pages&gt;&lt;volume&gt;28&lt;/volume&gt;&lt;number&gt;3&lt;/number&gt;&lt;dates&gt;&lt;year&gt;2010&lt;/year&gt;&lt;/dates&gt;&lt;isbn&gt;0266-7215&amp;#xD;1468-2672&lt;/isbn&gt;&lt;urls&gt;&lt;/urls&gt;&lt;electronic-resource-num&gt;10.1093/esr/jcq066&lt;/electronic-resource-num&gt;&lt;/record&gt;&lt;/Cite&gt;&lt;/EndNote&gt;</w:instrText>
      </w:r>
      <w:r w:rsidR="00F30C42" w:rsidRPr="001B3BA5">
        <w:rPr>
          <w:rFonts w:asciiTheme="majorBidi" w:hAnsiTheme="majorBidi" w:cstheme="majorBidi"/>
          <w:sz w:val="24"/>
          <w:szCs w:val="24"/>
          <w:lang w:val="en-GB"/>
        </w:rPr>
        <w:fldChar w:fldCharType="separate"/>
      </w:r>
      <w:r w:rsidR="00F30C42" w:rsidRPr="001B3BA5">
        <w:rPr>
          <w:rFonts w:asciiTheme="majorBidi" w:hAnsiTheme="majorBidi" w:cstheme="majorBidi"/>
          <w:noProof/>
          <w:sz w:val="24"/>
          <w:szCs w:val="24"/>
          <w:lang w:val="en-GB"/>
        </w:rPr>
        <w:t>(Wagner, Becker, Christ, Pettigrew, &amp; Schmidt, 2010)</w:t>
      </w:r>
      <w:r w:rsidR="00F30C42" w:rsidRPr="001B3BA5">
        <w:rPr>
          <w:rFonts w:asciiTheme="majorBidi" w:hAnsiTheme="majorBidi" w:cstheme="majorBidi"/>
          <w:sz w:val="24"/>
          <w:szCs w:val="24"/>
          <w:lang w:val="en-GB"/>
        </w:rPr>
        <w:fldChar w:fldCharType="end"/>
      </w:r>
      <w:r w:rsidR="00D3601E" w:rsidRPr="001B3BA5">
        <w:rPr>
          <w:rFonts w:asciiTheme="majorBidi" w:hAnsiTheme="majorBidi" w:cstheme="majorBidi"/>
          <w:sz w:val="24"/>
          <w:szCs w:val="24"/>
          <w:lang w:val="en-GB"/>
        </w:rPr>
        <w:t>. Moreover, based on voting behavio</w:t>
      </w:r>
      <w:r w:rsidR="008643F0" w:rsidRPr="001B3BA5">
        <w:rPr>
          <w:rFonts w:asciiTheme="majorBidi" w:hAnsiTheme="majorBidi" w:cstheme="majorBidi"/>
          <w:sz w:val="24"/>
          <w:szCs w:val="24"/>
          <w:lang w:val="en-GB"/>
        </w:rPr>
        <w:t>u</w:t>
      </w:r>
      <w:r w:rsidR="00D3601E" w:rsidRPr="001B3BA5">
        <w:rPr>
          <w:rFonts w:asciiTheme="majorBidi" w:hAnsiTheme="majorBidi" w:cstheme="majorBidi"/>
          <w:sz w:val="24"/>
          <w:szCs w:val="24"/>
          <w:lang w:val="en-GB"/>
        </w:rPr>
        <w:t xml:space="preserve">r theory, we </w:t>
      </w:r>
      <w:r w:rsidR="00910F1A" w:rsidRPr="001B3BA5">
        <w:rPr>
          <w:rFonts w:asciiTheme="majorBidi" w:hAnsiTheme="majorBidi" w:cstheme="majorBidi"/>
          <w:sz w:val="24"/>
          <w:szCs w:val="24"/>
          <w:lang w:val="en-GB"/>
        </w:rPr>
        <w:t xml:space="preserve">posit </w:t>
      </w:r>
      <w:r w:rsidR="00D3601E" w:rsidRPr="001B3BA5">
        <w:rPr>
          <w:rFonts w:asciiTheme="majorBidi" w:hAnsiTheme="majorBidi" w:cstheme="majorBidi"/>
          <w:sz w:val="24"/>
          <w:szCs w:val="24"/>
          <w:lang w:val="en-GB"/>
        </w:rPr>
        <w:t xml:space="preserve">that people cast their votes motivated by their beliefs and attitudes </w:t>
      </w:r>
      <w:r w:rsidR="00F30C42" w:rsidRPr="001B3BA5">
        <w:rPr>
          <w:rFonts w:asciiTheme="majorBidi" w:hAnsiTheme="majorBidi" w:cstheme="majorBidi"/>
          <w:sz w:val="24"/>
          <w:szCs w:val="24"/>
          <w:lang w:val="en-GB"/>
        </w:rPr>
        <w:fldChar w:fldCharType="begin"/>
      </w:r>
      <w:r w:rsidR="0052482B" w:rsidRPr="001B3BA5">
        <w:rPr>
          <w:rFonts w:asciiTheme="majorBidi" w:hAnsiTheme="majorBidi" w:cstheme="majorBidi"/>
          <w:sz w:val="24"/>
          <w:szCs w:val="24"/>
          <w:lang w:val="en-GB"/>
        </w:rPr>
        <w:instrText xml:space="preserve"> ADDIN EN.CITE &lt;EndNote&gt;&lt;Cite&gt;&lt;Author&gt;Campbell&lt;/Author&gt;&lt;Year&gt;1980&lt;/Year&gt;&lt;RecNum&gt;1586&lt;/RecNum&gt;&lt;DisplayText&gt;(Campbell, Converse, Miller, &amp;amp; Stokes, 1980; Steenbergen, 2010)&lt;/DisplayText&gt;&lt;record&gt;&lt;rec-number&gt;1586&lt;/rec-number&gt;&lt;foreign-keys&gt;&lt;key app="EN" db-id="es92r5v5dve2z0erx59pv50vtp29v0t9ef5f" timestamp="1584361013"&gt;1586&lt;/key&gt;&lt;/foreign-keys&gt;&lt;ref-type name="Book"&gt;6&lt;/ref-type&gt;&lt;contributors&gt;&lt;authors&gt;&lt;author&gt;Campbell, Angus&lt;/author&gt;&lt;author&gt;Converse, Philip E&lt;/author&gt;&lt;author&gt;Miller, Warren E&lt;/author&gt;&lt;author&gt;Stokes, Donald E&lt;/author&gt;&lt;/authors&gt;&lt;/contributors&gt;&lt;titles&gt;&lt;title&gt;The American voter&lt;/title&gt;&lt;/titles&gt;&lt;dates&gt;&lt;year&gt;1980&lt;/year&gt;&lt;/dates&gt;&lt;publisher&gt;University of Chicago Press&lt;/publisher&gt;&lt;isbn&gt;0226092542&lt;/isbn&gt;&lt;urls&gt;&lt;/urls&gt;&lt;/record&gt;&lt;/Cite&gt;&lt;Cite&gt;&lt;Author&gt;Steenbergen&lt;/Author&gt;&lt;Year&gt;2010&lt;/Year&gt;&lt;RecNum&gt;1588&lt;/RecNum&gt;&lt;record&gt;&lt;rec-number&gt;1588&lt;/rec-number&gt;&lt;foreign-keys&gt;&lt;key app="EN" db-id="es92r5v5dve2z0erx59pv50vtp29v0t9ef5f" timestamp="1584361080"&gt;1588&lt;/key&gt;&lt;/foreign-keys&gt;&lt;ref-type name="Book Section"&gt;5&lt;/ref-type&gt;&lt;contributors&gt;&lt;authors&gt;&lt;author&gt;Steenbergen, Marco R&lt;/author&gt;&lt;/authors&gt;&lt;/contributors&gt;&lt;titles&gt;&lt;title&gt;The new political psychology of voting&lt;/title&gt;&lt;secondary-title&gt;Information–Wahrnehmung–Emotion&lt;/secondary-title&gt;&lt;/titles&gt;&lt;pages&gt;13-31&lt;/pages&gt;&lt;dates&gt;&lt;year&gt;2010&lt;/year&gt;&lt;/dates&gt;&lt;publisher&gt;Springer&lt;/publisher&gt;&lt;urls&gt;&lt;/urls&gt;&lt;/record&gt;&lt;/Cite&gt;&lt;/EndNote&gt;</w:instrText>
      </w:r>
      <w:r w:rsidR="00F30C42" w:rsidRPr="001B3BA5">
        <w:rPr>
          <w:rFonts w:asciiTheme="majorBidi" w:hAnsiTheme="majorBidi" w:cstheme="majorBidi"/>
          <w:sz w:val="24"/>
          <w:szCs w:val="24"/>
          <w:lang w:val="en-GB"/>
        </w:rPr>
        <w:fldChar w:fldCharType="separate"/>
      </w:r>
      <w:r w:rsidR="00F30C42" w:rsidRPr="001B3BA5">
        <w:rPr>
          <w:rFonts w:asciiTheme="majorBidi" w:hAnsiTheme="majorBidi" w:cstheme="majorBidi"/>
          <w:noProof/>
          <w:sz w:val="24"/>
          <w:szCs w:val="24"/>
          <w:lang w:val="en-GB"/>
        </w:rPr>
        <w:t>(Campbell, Converse, Miller, &amp; Stokes, 1980; Steenbergen, 2010)</w:t>
      </w:r>
      <w:r w:rsidR="00F30C42" w:rsidRPr="001B3BA5">
        <w:rPr>
          <w:rFonts w:asciiTheme="majorBidi" w:hAnsiTheme="majorBidi" w:cstheme="majorBidi"/>
          <w:sz w:val="24"/>
          <w:szCs w:val="24"/>
          <w:lang w:val="en-GB"/>
        </w:rPr>
        <w:fldChar w:fldCharType="end"/>
      </w:r>
      <w:r w:rsidR="00DA283B" w:rsidRPr="001B3BA5">
        <w:rPr>
          <w:rFonts w:asciiTheme="majorBidi" w:hAnsiTheme="majorBidi" w:cstheme="majorBidi"/>
          <w:sz w:val="24"/>
          <w:szCs w:val="24"/>
          <w:lang w:val="en-GB"/>
        </w:rPr>
        <w:t>, and</w:t>
      </w:r>
      <w:r w:rsidR="00A54554" w:rsidRPr="001B3BA5">
        <w:rPr>
          <w:rFonts w:asciiTheme="majorBidi" w:hAnsiTheme="majorBidi" w:cstheme="majorBidi"/>
          <w:sz w:val="24"/>
          <w:szCs w:val="24"/>
          <w:lang w:val="en-GB"/>
        </w:rPr>
        <w:t xml:space="preserve"> a sense of</w:t>
      </w:r>
      <w:r w:rsidR="00DA283B" w:rsidRPr="001B3BA5">
        <w:rPr>
          <w:rFonts w:asciiTheme="majorBidi" w:hAnsiTheme="majorBidi" w:cstheme="majorBidi"/>
          <w:sz w:val="24"/>
          <w:szCs w:val="24"/>
          <w:lang w:val="en-GB"/>
        </w:rPr>
        <w:t xml:space="preserve"> </w:t>
      </w:r>
      <w:r w:rsidR="00B97F1C" w:rsidRPr="001B3BA5">
        <w:rPr>
          <w:rFonts w:asciiTheme="majorBidi" w:hAnsiTheme="majorBidi" w:cstheme="majorBidi"/>
          <w:sz w:val="24"/>
          <w:szCs w:val="24"/>
          <w:lang w:val="en-GB"/>
        </w:rPr>
        <w:t>group threat</w:t>
      </w:r>
      <w:r w:rsidRPr="001B3BA5">
        <w:rPr>
          <w:rFonts w:asciiTheme="majorBidi" w:hAnsiTheme="majorBidi" w:cstheme="majorBidi"/>
          <w:sz w:val="24"/>
          <w:szCs w:val="24"/>
          <w:lang w:val="en-GB"/>
        </w:rPr>
        <w:t xml:space="preserve"> drive</w:t>
      </w:r>
      <w:r w:rsidR="00A54554" w:rsidRPr="001B3BA5">
        <w:rPr>
          <w:rFonts w:asciiTheme="majorBidi" w:hAnsiTheme="majorBidi" w:cstheme="majorBidi"/>
          <w:sz w:val="24"/>
          <w:szCs w:val="24"/>
          <w:lang w:val="en-GB"/>
        </w:rPr>
        <w:t>s</w:t>
      </w:r>
      <w:r w:rsidRPr="001B3BA5">
        <w:rPr>
          <w:rFonts w:asciiTheme="majorBidi" w:hAnsiTheme="majorBidi" w:cstheme="majorBidi"/>
          <w:sz w:val="24"/>
          <w:szCs w:val="24"/>
          <w:lang w:val="en-GB"/>
        </w:rPr>
        <w:t xml:space="preserve"> </w:t>
      </w:r>
      <w:r w:rsidR="00B97F1C" w:rsidRPr="001B3BA5">
        <w:rPr>
          <w:rFonts w:asciiTheme="majorBidi" w:hAnsiTheme="majorBidi" w:cstheme="majorBidi"/>
          <w:sz w:val="24"/>
          <w:szCs w:val="24"/>
          <w:lang w:val="en-GB"/>
        </w:rPr>
        <w:t xml:space="preserve">rather than </w:t>
      </w:r>
      <w:r w:rsidRPr="001B3BA5">
        <w:rPr>
          <w:rFonts w:asciiTheme="majorBidi" w:hAnsiTheme="majorBidi" w:cstheme="majorBidi"/>
          <w:sz w:val="24"/>
          <w:szCs w:val="24"/>
          <w:lang w:val="en-GB"/>
        </w:rPr>
        <w:t>result</w:t>
      </w:r>
      <w:r w:rsidR="00A54554" w:rsidRPr="001B3BA5">
        <w:rPr>
          <w:rFonts w:asciiTheme="majorBidi" w:hAnsiTheme="majorBidi" w:cstheme="majorBidi"/>
          <w:sz w:val="24"/>
          <w:szCs w:val="24"/>
          <w:lang w:val="en-GB"/>
        </w:rPr>
        <w:t>s</w:t>
      </w:r>
      <w:r w:rsidRPr="001B3BA5">
        <w:rPr>
          <w:rFonts w:asciiTheme="majorBidi" w:hAnsiTheme="majorBidi" w:cstheme="majorBidi"/>
          <w:sz w:val="24"/>
          <w:szCs w:val="24"/>
          <w:lang w:val="en-GB"/>
        </w:rPr>
        <w:t xml:space="preserve"> from</w:t>
      </w:r>
      <w:r w:rsidR="00B97F1C" w:rsidRPr="001B3BA5">
        <w:rPr>
          <w:rFonts w:asciiTheme="majorBidi" w:hAnsiTheme="majorBidi" w:cstheme="majorBidi"/>
          <w:sz w:val="24"/>
          <w:szCs w:val="24"/>
          <w:lang w:val="en-GB"/>
        </w:rPr>
        <w:t xml:space="preserve"> right-wing populist voting </w:t>
      </w:r>
      <w:r w:rsidR="00F30C42" w:rsidRPr="001B3BA5">
        <w:rPr>
          <w:rFonts w:asciiTheme="majorBidi" w:hAnsiTheme="majorBidi" w:cstheme="majorBidi"/>
          <w:sz w:val="24"/>
          <w:szCs w:val="24"/>
          <w:lang w:val="en-GB"/>
        </w:rPr>
        <w:fldChar w:fldCharType="begin">
          <w:fldData xml:space="preserve">PEVuZE5vdGU+PENpdGU+PEF1dGhvcj5CZXJuaW5nPC9BdXRob3I+PFllYXI+MjAxNjwvWWVhcj48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</w:fldData>
        </w:fldChar>
      </w:r>
      <w:r w:rsidR="00F30C42" w:rsidRPr="001B3BA5">
        <w:rPr>
          <w:rFonts w:asciiTheme="majorBidi" w:hAnsiTheme="majorBidi" w:cstheme="majorBidi"/>
          <w:sz w:val="24"/>
          <w:szCs w:val="24"/>
          <w:lang w:val="en-GB"/>
        </w:rPr>
        <w:instrText xml:space="preserve"> ADDIN EN.CITE </w:instrText>
      </w:r>
      <w:r w:rsidR="00F30C42" w:rsidRPr="001B3BA5">
        <w:rPr>
          <w:rFonts w:asciiTheme="majorBidi" w:hAnsiTheme="majorBidi" w:cstheme="majorBidi"/>
          <w:sz w:val="24"/>
          <w:szCs w:val="24"/>
          <w:lang w:val="en-GB"/>
        </w:rPr>
        <w:fldChar w:fldCharType="begin">
          <w:fldData xml:space="preserve">PEVuZE5vdGU+PENpdGU+PEF1dGhvcj5CZXJuaW5nPC9BdXRob3I+PFllYXI+MjAxNjwvWWVhcj48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</w:fldData>
        </w:fldChar>
      </w:r>
      <w:r w:rsidR="00F30C42" w:rsidRPr="001B3BA5">
        <w:rPr>
          <w:rFonts w:asciiTheme="majorBidi" w:hAnsiTheme="majorBidi" w:cstheme="majorBidi"/>
          <w:sz w:val="24"/>
          <w:szCs w:val="24"/>
          <w:lang w:val="en-GB"/>
        </w:rPr>
        <w:instrText xml:space="preserve"> ADDIN EN.CITE.DATA </w:instrText>
      </w:r>
      <w:r w:rsidR="00F30C42" w:rsidRPr="001B3BA5">
        <w:rPr>
          <w:rFonts w:asciiTheme="majorBidi" w:hAnsiTheme="majorBidi" w:cstheme="majorBidi"/>
          <w:sz w:val="24"/>
          <w:szCs w:val="24"/>
          <w:lang w:val="en-GB"/>
        </w:rPr>
      </w:r>
      <w:r w:rsidR="00F30C42" w:rsidRPr="001B3BA5">
        <w:rPr>
          <w:rFonts w:asciiTheme="majorBidi" w:hAnsiTheme="majorBidi" w:cstheme="majorBidi"/>
          <w:sz w:val="24"/>
          <w:szCs w:val="24"/>
          <w:lang w:val="en-GB"/>
        </w:rPr>
        <w:fldChar w:fldCharType="end"/>
      </w:r>
      <w:r w:rsidR="00F30C42" w:rsidRPr="001B3BA5">
        <w:rPr>
          <w:rFonts w:asciiTheme="majorBidi" w:hAnsiTheme="majorBidi" w:cstheme="majorBidi"/>
          <w:sz w:val="24"/>
          <w:szCs w:val="24"/>
          <w:lang w:val="en-GB"/>
        </w:rPr>
      </w:r>
      <w:r w:rsidR="00F30C42" w:rsidRPr="001B3BA5">
        <w:rPr>
          <w:rFonts w:asciiTheme="majorBidi" w:hAnsiTheme="majorBidi" w:cstheme="majorBidi"/>
          <w:sz w:val="24"/>
          <w:szCs w:val="24"/>
          <w:lang w:val="en-GB"/>
        </w:rPr>
        <w:fldChar w:fldCharType="separate"/>
      </w:r>
      <w:r w:rsidR="00F30C42" w:rsidRPr="001B3BA5">
        <w:rPr>
          <w:rFonts w:asciiTheme="majorBidi" w:hAnsiTheme="majorBidi" w:cstheme="majorBidi"/>
          <w:noProof/>
          <w:sz w:val="24"/>
          <w:szCs w:val="24"/>
          <w:lang w:val="en-GB"/>
        </w:rPr>
        <w:t>(Berning &amp; Schlueter, 2016)</w:t>
      </w:r>
      <w:r w:rsidR="00F30C42" w:rsidRPr="001B3BA5">
        <w:rPr>
          <w:rFonts w:asciiTheme="majorBidi" w:hAnsiTheme="majorBidi" w:cstheme="majorBidi"/>
          <w:sz w:val="24"/>
          <w:szCs w:val="24"/>
          <w:lang w:val="en-GB"/>
        </w:rPr>
        <w:fldChar w:fldCharType="end"/>
      </w:r>
      <w:r w:rsidR="00B97F1C" w:rsidRPr="001B3BA5">
        <w:rPr>
          <w:rFonts w:asciiTheme="majorBidi" w:hAnsiTheme="majorBidi" w:cstheme="majorBidi"/>
          <w:sz w:val="24"/>
          <w:szCs w:val="24"/>
          <w:lang w:val="en-GB"/>
        </w:rPr>
        <w:t xml:space="preserve">. </w:t>
      </w:r>
      <w:r w:rsidR="00910F1A" w:rsidRPr="001B3BA5">
        <w:rPr>
          <w:rFonts w:asciiTheme="majorBidi" w:hAnsiTheme="majorBidi" w:cstheme="majorBidi"/>
          <w:sz w:val="24"/>
          <w:szCs w:val="24"/>
          <w:lang w:val="en-GB"/>
        </w:rPr>
        <w:t>Admittedly, though</w:t>
      </w:r>
      <w:r w:rsidR="009F6A73" w:rsidRPr="001B3BA5">
        <w:rPr>
          <w:rFonts w:asciiTheme="majorBidi" w:hAnsiTheme="majorBidi" w:cstheme="majorBidi"/>
          <w:sz w:val="24"/>
          <w:szCs w:val="24"/>
          <w:lang w:val="en-GB"/>
        </w:rPr>
        <w:t>, o</w:t>
      </w:r>
      <w:r w:rsidR="00D3601E" w:rsidRPr="001B3BA5">
        <w:rPr>
          <w:rFonts w:asciiTheme="majorBidi" w:hAnsiTheme="majorBidi" w:cstheme="majorBidi"/>
          <w:sz w:val="24"/>
          <w:szCs w:val="24"/>
          <w:lang w:val="en-GB"/>
        </w:rPr>
        <w:t>ur research designs prevent conclusions about causality, and</w:t>
      </w:r>
      <w:r w:rsidR="00910F1A" w:rsidRPr="001B3BA5">
        <w:rPr>
          <w:rFonts w:asciiTheme="majorBidi" w:hAnsiTheme="majorBidi" w:cstheme="majorBidi"/>
          <w:sz w:val="24"/>
          <w:szCs w:val="24"/>
          <w:lang w:val="en-GB"/>
        </w:rPr>
        <w:t xml:space="preserve"> so</w:t>
      </w:r>
      <w:r w:rsidR="00D3601E" w:rsidRPr="001B3BA5">
        <w:rPr>
          <w:rFonts w:asciiTheme="majorBidi" w:hAnsiTheme="majorBidi" w:cstheme="majorBidi"/>
          <w:sz w:val="24"/>
          <w:szCs w:val="24"/>
          <w:lang w:val="en-GB"/>
        </w:rPr>
        <w:t xml:space="preserve"> </w:t>
      </w:r>
      <w:bookmarkStart w:id="7" w:name="_Hlk35245545"/>
      <w:r w:rsidR="00D3601E" w:rsidRPr="001B3BA5">
        <w:rPr>
          <w:rFonts w:asciiTheme="majorBidi" w:hAnsiTheme="majorBidi" w:cstheme="majorBidi"/>
          <w:sz w:val="24"/>
          <w:szCs w:val="24"/>
          <w:lang w:val="en-GB"/>
        </w:rPr>
        <w:t xml:space="preserve">we </w:t>
      </w:r>
      <w:r w:rsidR="009F6A73" w:rsidRPr="001B3BA5">
        <w:rPr>
          <w:rFonts w:asciiTheme="majorBidi" w:hAnsiTheme="majorBidi" w:cstheme="majorBidi"/>
          <w:sz w:val="24"/>
          <w:szCs w:val="24"/>
          <w:lang w:val="en-GB"/>
        </w:rPr>
        <w:t xml:space="preserve">cannot rule out the possibility </w:t>
      </w:r>
      <w:bookmarkEnd w:id="7"/>
      <w:r w:rsidR="00BB065F" w:rsidRPr="001B3BA5">
        <w:rPr>
          <w:rFonts w:asciiTheme="majorBidi" w:hAnsiTheme="majorBidi" w:cstheme="majorBidi"/>
          <w:sz w:val="24"/>
          <w:szCs w:val="24"/>
          <w:lang w:val="en-GB"/>
        </w:rPr>
        <w:t>of bidirectional associations</w:t>
      </w:r>
      <w:r w:rsidR="009F6A73" w:rsidRPr="001B3BA5">
        <w:rPr>
          <w:rFonts w:asciiTheme="majorBidi" w:hAnsiTheme="majorBidi" w:cstheme="majorBidi"/>
          <w:sz w:val="24"/>
          <w:szCs w:val="24"/>
          <w:lang w:val="en-GB"/>
        </w:rPr>
        <w:t>.</w:t>
      </w:r>
    </w:p>
    <w:p w14:paraId="781F8DE9" w14:textId="77777777" w:rsidR="006937C2" w:rsidRPr="001B3BA5" w:rsidRDefault="006937C2" w:rsidP="00584266">
      <w:pPr>
        <w:spacing w:after="0" w:line="480" w:lineRule="exact"/>
        <w:rPr>
          <w:rFonts w:asciiTheme="majorBidi" w:hAnsiTheme="majorBidi" w:cstheme="majorBidi"/>
          <w:b/>
          <w:sz w:val="24"/>
          <w:szCs w:val="24"/>
          <w:lang w:val="en-GB"/>
        </w:rPr>
      </w:pPr>
      <w:bookmarkStart w:id="8" w:name="_Hlk35247170"/>
      <w:bookmarkEnd w:id="5"/>
      <w:r w:rsidRPr="001B3BA5">
        <w:rPr>
          <w:rFonts w:asciiTheme="majorBidi" w:hAnsiTheme="majorBidi" w:cstheme="majorBidi"/>
          <w:b/>
          <w:sz w:val="24"/>
          <w:szCs w:val="24"/>
          <w:lang w:val="en-GB"/>
        </w:rPr>
        <w:t>Political Ideology</w:t>
      </w:r>
    </w:p>
    <w:bookmarkEnd w:id="8"/>
    <w:p w14:paraId="1ACA68E8" w14:textId="534CAD11" w:rsidR="005C1874" w:rsidRPr="001B3BA5" w:rsidRDefault="005C1874">
      <w:pPr>
        <w:spacing w:after="0" w:line="480" w:lineRule="exact"/>
        <w:ind w:firstLine="708"/>
        <w:rPr>
          <w:rFonts w:asciiTheme="majorBidi" w:hAnsiTheme="majorBidi" w:cstheme="majorBidi"/>
          <w:sz w:val="24"/>
          <w:szCs w:val="24"/>
          <w:lang w:val="en-GB"/>
        </w:rPr>
      </w:pPr>
      <w:r w:rsidRPr="001B3BA5">
        <w:rPr>
          <w:rFonts w:ascii="Times New Roman" w:hAnsi="Times New Roman" w:cs="Times New Roman"/>
          <w:sz w:val="24"/>
          <w:szCs w:val="24"/>
          <w:lang w:val="en-GB"/>
        </w:rPr>
        <w:t xml:space="preserve">Although a substantial </w:t>
      </w:r>
      <w:r w:rsidR="00A162F1" w:rsidRPr="001B3BA5">
        <w:rPr>
          <w:rFonts w:ascii="Times New Roman" w:hAnsi="Times New Roman" w:cs="Times New Roman"/>
          <w:sz w:val="24"/>
          <w:szCs w:val="24"/>
          <w:lang w:val="en-GB"/>
        </w:rPr>
        <w:t xml:space="preserve">portion of the electorate </w:t>
      </w:r>
      <w:r w:rsidRPr="001B3BA5">
        <w:rPr>
          <w:rFonts w:ascii="Times New Roman" w:hAnsi="Times New Roman" w:cs="Times New Roman"/>
          <w:sz w:val="24"/>
          <w:szCs w:val="24"/>
          <w:lang w:val="en-GB"/>
        </w:rPr>
        <w:t xml:space="preserve">might </w:t>
      </w:r>
      <w:r w:rsidR="00A162F1" w:rsidRPr="001B3BA5">
        <w:rPr>
          <w:rFonts w:ascii="Times New Roman" w:hAnsi="Times New Roman" w:cs="Times New Roman"/>
          <w:sz w:val="24"/>
          <w:szCs w:val="24"/>
          <w:lang w:val="en-GB"/>
        </w:rPr>
        <w:t xml:space="preserve">concur </w:t>
      </w:r>
      <w:r w:rsidRPr="001B3BA5">
        <w:rPr>
          <w:rFonts w:ascii="Times New Roman" w:hAnsi="Times New Roman" w:cs="Times New Roman"/>
          <w:sz w:val="24"/>
          <w:szCs w:val="24"/>
          <w:lang w:val="en-GB"/>
        </w:rPr>
        <w:t>with populist politicians</w:t>
      </w:r>
      <w:r w:rsidR="00A162F1" w:rsidRPr="001B3BA5">
        <w:rPr>
          <w:rFonts w:ascii="Times New Roman" w:hAnsi="Times New Roman" w:cs="Times New Roman"/>
          <w:sz w:val="24"/>
          <w:szCs w:val="24"/>
          <w:lang w:val="en-GB"/>
        </w:rPr>
        <w:t>’ slogans</w:t>
      </w:r>
      <w:r w:rsidRPr="001B3BA5">
        <w:rPr>
          <w:rFonts w:ascii="Times New Roman" w:hAnsi="Times New Roman" w:cs="Times New Roman"/>
          <w:sz w:val="24"/>
          <w:szCs w:val="24"/>
          <w:lang w:val="en-GB"/>
        </w:rPr>
        <w:t xml:space="preserve"> that the country is </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ours</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and therefore </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we</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have </w:t>
      </w:r>
      <w:r w:rsidR="00DC01FF" w:rsidRPr="001B3BA5">
        <w:rPr>
          <w:rFonts w:ascii="Times New Roman" w:hAnsi="Times New Roman" w:cs="Times New Roman"/>
          <w:sz w:val="24"/>
          <w:szCs w:val="24"/>
          <w:lang w:val="en-GB"/>
        </w:rPr>
        <w:t>exclusive determination right</w:t>
      </w:r>
      <w:r w:rsidRPr="001B3BA5">
        <w:rPr>
          <w:rFonts w:ascii="Times New Roman" w:hAnsi="Times New Roman" w:cs="Times New Roman"/>
          <w:sz w:val="24"/>
          <w:szCs w:val="24"/>
          <w:lang w:val="en-GB"/>
        </w:rPr>
        <w:t xml:space="preserve">s, not all </w:t>
      </w:r>
      <w:r w:rsidR="00414C20" w:rsidRPr="001B3BA5">
        <w:rPr>
          <w:rFonts w:ascii="Times New Roman" w:hAnsi="Times New Roman" w:cs="Times New Roman"/>
          <w:sz w:val="24"/>
          <w:szCs w:val="24"/>
          <w:lang w:val="en-GB"/>
        </w:rPr>
        <w:t>people</w:t>
      </w:r>
      <w:r w:rsidR="00A162F1" w:rsidRPr="001B3BA5">
        <w:rPr>
          <w:rFonts w:ascii="Times New Roman" w:hAnsi="Times New Roman" w:cs="Times New Roman"/>
          <w:sz w:val="24"/>
          <w:szCs w:val="24"/>
          <w:lang w:val="en-GB"/>
        </w:rPr>
        <w:t xml:space="preserve"> </w:t>
      </w:r>
      <w:r w:rsidR="00673405" w:rsidRPr="001B3BA5">
        <w:rPr>
          <w:rFonts w:ascii="Times New Roman" w:hAnsi="Times New Roman" w:cs="Times New Roman"/>
          <w:sz w:val="24"/>
          <w:szCs w:val="24"/>
          <w:lang w:val="en-GB"/>
        </w:rPr>
        <w:t>will</w:t>
      </w:r>
      <w:r w:rsidRPr="001B3BA5">
        <w:rPr>
          <w:rFonts w:ascii="Times New Roman" w:hAnsi="Times New Roman" w:cs="Times New Roman"/>
          <w:sz w:val="24"/>
          <w:szCs w:val="24"/>
          <w:lang w:val="en-GB"/>
        </w:rPr>
        <w:t xml:space="preserve"> </w:t>
      </w:r>
      <w:r w:rsidR="00A162F1" w:rsidRPr="001B3BA5">
        <w:rPr>
          <w:rFonts w:ascii="Times New Roman" w:hAnsi="Times New Roman" w:cs="Times New Roman"/>
          <w:sz w:val="24"/>
          <w:szCs w:val="24"/>
          <w:lang w:val="en-GB"/>
        </w:rPr>
        <w:t xml:space="preserve">consent </w:t>
      </w:r>
      <w:r w:rsidR="00262CA3" w:rsidRPr="001B3BA5">
        <w:rPr>
          <w:rFonts w:ascii="Times New Roman" w:hAnsi="Times New Roman" w:cs="Times New Roman"/>
          <w:sz w:val="24"/>
          <w:szCs w:val="24"/>
          <w:lang w:val="en-GB"/>
        </w:rPr>
        <w:t>with</w:t>
      </w:r>
      <w:r w:rsidRPr="001B3BA5">
        <w:rPr>
          <w:rFonts w:ascii="Times New Roman" w:hAnsi="Times New Roman" w:cs="Times New Roman"/>
          <w:sz w:val="24"/>
          <w:szCs w:val="24"/>
          <w:lang w:val="en-GB"/>
        </w:rPr>
        <w:t xml:space="preserve"> exclusionary attitudes and behavio</w:t>
      </w:r>
      <w:r w:rsidR="008643F0" w:rsidRPr="001B3BA5">
        <w:rPr>
          <w:rFonts w:ascii="Times New Roman" w:hAnsi="Times New Roman" w:cs="Times New Roman"/>
          <w:sz w:val="24"/>
          <w:szCs w:val="24"/>
          <w:lang w:val="en-GB"/>
        </w:rPr>
        <w:t>u</w:t>
      </w:r>
      <w:r w:rsidRPr="001B3BA5">
        <w:rPr>
          <w:rFonts w:ascii="Times New Roman" w:hAnsi="Times New Roman" w:cs="Times New Roman"/>
          <w:sz w:val="24"/>
          <w:szCs w:val="24"/>
          <w:lang w:val="en-GB"/>
        </w:rPr>
        <w:t xml:space="preserve">r. </w:t>
      </w:r>
      <w:r w:rsidR="00262CA3" w:rsidRPr="001B3BA5">
        <w:rPr>
          <w:rFonts w:ascii="Times New Roman" w:hAnsi="Times New Roman" w:cs="Times New Roman"/>
          <w:sz w:val="24"/>
          <w:szCs w:val="24"/>
          <w:lang w:val="en-GB"/>
        </w:rPr>
        <w:t>Such consent may be</w:t>
      </w:r>
      <w:r w:rsidRPr="001B3BA5">
        <w:rPr>
          <w:rFonts w:asciiTheme="majorBidi" w:hAnsiTheme="majorBidi" w:cstheme="majorBidi"/>
          <w:sz w:val="24"/>
          <w:szCs w:val="24"/>
          <w:lang w:val="en-GB"/>
        </w:rPr>
        <w:t xml:space="preserve"> primarily </w:t>
      </w:r>
      <w:r w:rsidR="00262CA3" w:rsidRPr="001B3BA5">
        <w:rPr>
          <w:rFonts w:asciiTheme="majorBidi" w:hAnsiTheme="majorBidi" w:cstheme="majorBidi"/>
          <w:sz w:val="24"/>
          <w:szCs w:val="24"/>
          <w:lang w:val="en-GB"/>
        </w:rPr>
        <w:t>found among</w:t>
      </w:r>
      <w:r w:rsidRPr="001B3BA5">
        <w:rPr>
          <w:rFonts w:asciiTheme="majorBidi" w:hAnsiTheme="majorBidi" w:cstheme="majorBidi"/>
          <w:sz w:val="24"/>
          <w:szCs w:val="24"/>
          <w:lang w:val="en-GB"/>
        </w:rPr>
        <w:t xml:space="preserve"> right-wing </w:t>
      </w:r>
      <w:r w:rsidR="00262CA3" w:rsidRPr="001B3BA5">
        <w:rPr>
          <w:rFonts w:asciiTheme="majorBidi" w:hAnsiTheme="majorBidi" w:cstheme="majorBidi"/>
          <w:sz w:val="24"/>
          <w:szCs w:val="24"/>
          <w:lang w:val="en-GB"/>
        </w:rPr>
        <w:t>individuals</w:t>
      </w:r>
      <w:r w:rsidRPr="001B3BA5">
        <w:rPr>
          <w:rFonts w:asciiTheme="majorBidi" w:hAnsiTheme="majorBidi" w:cstheme="majorBidi"/>
          <w:sz w:val="24"/>
          <w:szCs w:val="24"/>
          <w:lang w:val="en-GB"/>
        </w:rPr>
        <w:t xml:space="preserve">. </w:t>
      </w:r>
      <w:r w:rsidR="00910F1A" w:rsidRPr="001B3BA5">
        <w:rPr>
          <w:rFonts w:asciiTheme="majorBidi" w:hAnsiTheme="majorBidi" w:cstheme="majorBidi"/>
          <w:sz w:val="24"/>
          <w:szCs w:val="24"/>
          <w:lang w:val="en-GB"/>
        </w:rPr>
        <w:t>According to t</w:t>
      </w:r>
      <w:r w:rsidR="00132648" w:rsidRPr="001B3BA5">
        <w:rPr>
          <w:rFonts w:ascii="Times New Roman" w:hAnsi="Times New Roman" w:cs="Times New Roman"/>
          <w:sz w:val="24"/>
          <w:szCs w:val="24"/>
          <w:lang w:val="en-GB"/>
        </w:rPr>
        <w:t>he motivated social cognition model</w:t>
      </w:r>
      <w:r w:rsidR="007147DF" w:rsidRPr="001B3BA5">
        <w:rPr>
          <w:rFonts w:ascii="Times New Roman" w:hAnsi="Times New Roman" w:cs="Times New Roman"/>
          <w:sz w:val="24"/>
          <w:szCs w:val="24"/>
          <w:lang w:val="en-GB"/>
        </w:rPr>
        <w:t xml:space="preserve"> </w:t>
      </w:r>
      <w:r w:rsidR="0082720F" w:rsidRPr="001B3BA5">
        <w:rPr>
          <w:rFonts w:ascii="Times New Roman" w:hAnsi="Times New Roman" w:cs="Times New Roman"/>
          <w:sz w:val="24"/>
          <w:szCs w:val="24"/>
          <w:lang w:val="en-GB"/>
        </w:rPr>
        <w:fldChar w:fldCharType="begin"/>
      </w:r>
      <w:r w:rsidR="0082720F" w:rsidRPr="001B3BA5">
        <w:rPr>
          <w:rFonts w:ascii="Times New Roman" w:hAnsi="Times New Roman" w:cs="Times New Roman"/>
          <w:sz w:val="24"/>
          <w:szCs w:val="24"/>
          <w:lang w:val="en-GB"/>
        </w:rPr>
        <w:instrText xml:space="preserve"> ADDIN EN.CITE &lt;EndNote&gt;&lt;Cite&gt;&lt;Author&gt;Jost&lt;/Author&gt;&lt;Year&gt;2003&lt;/Year&gt;&lt;RecNum&gt;1585&lt;/RecNum&gt;&lt;DisplayText&gt;(Jost, Glaser, Kruglanski, &amp;amp; Sulloway, 2003)&lt;/DisplayText&gt;&lt;record&gt;&lt;rec-number&gt;1585&lt;/rec-number&gt;&lt;foreign-keys&gt;&lt;key app="EN" db-id="es92r5v5dve2z0erx59pv50vtp29v0t9ef5f" timestamp="1584360356"&gt;1585&lt;/key&gt;&lt;key app="ENWeb" db-id=""&gt;0&lt;/key&gt;&lt;/foreign-keys&gt;&lt;ref-type name="Journal Article"&gt;17&lt;/ref-type&gt;&lt;contributors&gt;&lt;authors&gt;&lt;author&gt;Jost, J. T.&lt;/author&gt;&lt;author&gt;Glaser, J.&lt;/author&gt;&lt;author&gt;Kruglanski, A. W.&lt;/author&gt;&lt;author&gt;Sulloway, F. J.&lt;/author&gt;&lt;/authors&gt;&lt;/contributors&gt;&lt;auth-address&gt;Graduate School of Business, Stanford University, California 94305, USA. jost_john@gsb.stanford.edu&lt;/auth-address&gt;&lt;titles&gt;&lt;title&gt;Political conservatism as motivated social cognition&lt;/title&gt;&lt;secondary-title&gt;Psychol Bull&lt;/secondary-title&gt;&lt;/titles&gt;&lt;periodical&gt;&lt;full-title&gt;Psychol Bull&lt;/full-title&gt;&lt;/periodical&gt;&lt;pages&gt;339-75&lt;/pages&gt;&lt;volume&gt;129&lt;/volume&gt;&lt;number&gt;3&lt;/number&gt;&lt;keywords&gt;&lt;keyword&gt;*Cognition&lt;/keyword&gt;&lt;keyword&gt;Humans&lt;/keyword&gt;&lt;keyword&gt;*Motivation&lt;/keyword&gt;&lt;keyword&gt;*Politics&lt;/keyword&gt;&lt;keyword&gt;*Social Perception&lt;/keyword&gt;&lt;/keywords&gt;&lt;dates&gt;&lt;year&gt;2003&lt;/year&gt;&lt;pub-dates&gt;&lt;date&gt;May&lt;/date&gt;&lt;/pub-dates&gt;&lt;/dates&gt;&lt;isbn&gt;0033-2909 (Print)&amp;#xD;0033-2909 (Linking)&lt;/isbn&gt;&lt;accession-num&gt;12784934&lt;/accession-num&gt;&lt;urls&gt;&lt;related-urls&gt;&lt;url&gt;https://www.ncbi.nlm.nih.gov/pubmed/12784934&lt;/url&gt;&lt;/related-urls&gt;&lt;/urls&gt;&lt;electronic-resource-num&gt;10.1037/0033-2909.129.3.339&lt;/electronic-resource-num&gt;&lt;/record&gt;&lt;/Cite&gt;&lt;/EndNote&gt;</w:instrText>
      </w:r>
      <w:r w:rsidR="0082720F" w:rsidRPr="001B3BA5">
        <w:rPr>
          <w:rFonts w:ascii="Times New Roman" w:hAnsi="Times New Roman" w:cs="Times New Roman"/>
          <w:sz w:val="24"/>
          <w:szCs w:val="24"/>
          <w:lang w:val="en-GB"/>
        </w:rPr>
        <w:fldChar w:fldCharType="separate"/>
      </w:r>
      <w:r w:rsidR="0082720F" w:rsidRPr="001B3BA5">
        <w:rPr>
          <w:rFonts w:ascii="Times New Roman" w:hAnsi="Times New Roman" w:cs="Times New Roman"/>
          <w:noProof/>
          <w:sz w:val="24"/>
          <w:szCs w:val="24"/>
          <w:lang w:val="en-GB"/>
        </w:rPr>
        <w:t>(Jost, Glaser, Kruglanski, &amp; Sulloway, 2003)</w:t>
      </w:r>
      <w:r w:rsidR="0082720F" w:rsidRPr="001B3BA5">
        <w:rPr>
          <w:rFonts w:ascii="Times New Roman" w:hAnsi="Times New Roman" w:cs="Times New Roman"/>
          <w:sz w:val="24"/>
          <w:szCs w:val="24"/>
          <w:lang w:val="en-GB"/>
        </w:rPr>
        <w:fldChar w:fldCharType="end"/>
      </w:r>
      <w:r w:rsidR="00910F1A" w:rsidRPr="001B3BA5">
        <w:rPr>
          <w:rFonts w:ascii="Times New Roman" w:hAnsi="Times New Roman" w:cs="Times New Roman"/>
          <w:sz w:val="24"/>
          <w:szCs w:val="24"/>
          <w:lang w:val="en-GB"/>
        </w:rPr>
        <w:t xml:space="preserve">, </w:t>
      </w:r>
      <w:r w:rsidR="00132648" w:rsidRPr="001B3BA5">
        <w:rPr>
          <w:rFonts w:ascii="Times New Roman" w:hAnsi="Times New Roman" w:cs="Times New Roman"/>
          <w:sz w:val="24"/>
          <w:szCs w:val="24"/>
          <w:lang w:val="en-GB"/>
        </w:rPr>
        <w:t xml:space="preserve">left-wing </w:t>
      </w:r>
      <w:r w:rsidR="00A54554" w:rsidRPr="001B3BA5">
        <w:rPr>
          <w:rFonts w:ascii="Times New Roman" w:hAnsi="Times New Roman" w:cs="Times New Roman"/>
          <w:sz w:val="24"/>
          <w:szCs w:val="24"/>
          <w:lang w:val="en-GB"/>
        </w:rPr>
        <w:t>and</w:t>
      </w:r>
      <w:r w:rsidR="00132648" w:rsidRPr="001B3BA5">
        <w:rPr>
          <w:rFonts w:ascii="Times New Roman" w:hAnsi="Times New Roman" w:cs="Times New Roman"/>
          <w:sz w:val="24"/>
          <w:szCs w:val="24"/>
          <w:lang w:val="en-GB"/>
        </w:rPr>
        <w:t xml:space="preserve"> right-wing </w:t>
      </w:r>
      <w:r w:rsidR="00910F1A" w:rsidRPr="001B3BA5">
        <w:rPr>
          <w:rFonts w:ascii="Times New Roman" w:hAnsi="Times New Roman" w:cs="Times New Roman"/>
          <w:sz w:val="24"/>
          <w:szCs w:val="24"/>
          <w:lang w:val="en-GB"/>
        </w:rPr>
        <w:t>individuals</w:t>
      </w:r>
      <w:r w:rsidR="00A54554" w:rsidRPr="001B3BA5">
        <w:rPr>
          <w:rFonts w:ascii="Times New Roman" w:hAnsi="Times New Roman" w:cs="Times New Roman"/>
          <w:sz w:val="24"/>
          <w:szCs w:val="24"/>
          <w:lang w:val="en-GB"/>
        </w:rPr>
        <w:t xml:space="preserve"> are distinguished in terms of their attitudes on two domains</w:t>
      </w:r>
      <w:r w:rsidR="00132648" w:rsidRPr="001B3BA5">
        <w:rPr>
          <w:rFonts w:ascii="Times New Roman" w:hAnsi="Times New Roman" w:cs="Times New Roman"/>
          <w:sz w:val="24"/>
          <w:szCs w:val="24"/>
          <w:lang w:val="en-GB"/>
        </w:rPr>
        <w:t>: tradition (</w:t>
      </w:r>
      <w:r w:rsidR="00910F1A" w:rsidRPr="001B3BA5">
        <w:rPr>
          <w:rFonts w:ascii="Times New Roman" w:hAnsi="Times New Roman" w:cs="Times New Roman"/>
          <w:sz w:val="24"/>
          <w:szCs w:val="24"/>
          <w:lang w:val="en-GB"/>
        </w:rPr>
        <w:t xml:space="preserve">vs. </w:t>
      </w:r>
      <w:r w:rsidR="00132648" w:rsidRPr="001B3BA5">
        <w:rPr>
          <w:rFonts w:ascii="Times New Roman" w:hAnsi="Times New Roman" w:cs="Times New Roman"/>
          <w:sz w:val="24"/>
          <w:szCs w:val="24"/>
          <w:lang w:val="en-GB"/>
        </w:rPr>
        <w:t>change) and equality (</w:t>
      </w:r>
      <w:r w:rsidR="00910F1A" w:rsidRPr="001B3BA5">
        <w:rPr>
          <w:rFonts w:ascii="Times New Roman" w:hAnsi="Times New Roman" w:cs="Times New Roman"/>
          <w:sz w:val="24"/>
          <w:szCs w:val="24"/>
          <w:lang w:val="en-GB"/>
        </w:rPr>
        <w:t xml:space="preserve">vs. </w:t>
      </w:r>
      <w:r w:rsidR="00132648" w:rsidRPr="001B3BA5">
        <w:rPr>
          <w:rFonts w:ascii="Times New Roman" w:hAnsi="Times New Roman" w:cs="Times New Roman"/>
          <w:sz w:val="24"/>
          <w:szCs w:val="24"/>
          <w:lang w:val="en-GB"/>
        </w:rPr>
        <w:t>dominance). People on the political right endorse traditionalism and conformity</w:t>
      </w:r>
      <w:r w:rsidR="00910F1A" w:rsidRPr="001B3BA5">
        <w:rPr>
          <w:rFonts w:ascii="Times New Roman" w:hAnsi="Times New Roman" w:cs="Times New Roman"/>
          <w:sz w:val="24"/>
          <w:szCs w:val="24"/>
          <w:lang w:val="en-GB"/>
        </w:rPr>
        <w:t>, while</w:t>
      </w:r>
      <w:r w:rsidR="00132648" w:rsidRPr="001B3BA5">
        <w:rPr>
          <w:rFonts w:ascii="Times New Roman" w:hAnsi="Times New Roman" w:cs="Times New Roman"/>
          <w:sz w:val="24"/>
          <w:szCs w:val="24"/>
          <w:lang w:val="en-GB"/>
        </w:rPr>
        <w:t xml:space="preserve"> justify</w:t>
      </w:r>
      <w:r w:rsidR="00910F1A" w:rsidRPr="001B3BA5">
        <w:rPr>
          <w:rFonts w:ascii="Times New Roman" w:hAnsi="Times New Roman" w:cs="Times New Roman"/>
          <w:sz w:val="24"/>
          <w:szCs w:val="24"/>
          <w:lang w:val="en-GB"/>
        </w:rPr>
        <w:t>ing</w:t>
      </w:r>
      <w:r w:rsidR="00132648" w:rsidRPr="001B3BA5">
        <w:rPr>
          <w:rFonts w:ascii="Times New Roman" w:hAnsi="Times New Roman" w:cs="Times New Roman"/>
          <w:sz w:val="24"/>
          <w:szCs w:val="24"/>
          <w:lang w:val="en-GB"/>
        </w:rPr>
        <w:t xml:space="preserve"> inequalities between individuals and groups. In contrast, a left-wing orientation is associated with openness to experiences </w:t>
      </w:r>
      <w:r w:rsidR="00910F1A" w:rsidRPr="001B3BA5">
        <w:rPr>
          <w:rFonts w:ascii="Times New Roman" w:hAnsi="Times New Roman" w:cs="Times New Roman"/>
          <w:sz w:val="24"/>
          <w:szCs w:val="24"/>
          <w:lang w:val="en-GB"/>
        </w:rPr>
        <w:t xml:space="preserve">as well as </w:t>
      </w:r>
      <w:r w:rsidR="00132648" w:rsidRPr="001B3BA5">
        <w:rPr>
          <w:rFonts w:ascii="Times New Roman" w:hAnsi="Times New Roman" w:cs="Times New Roman"/>
          <w:sz w:val="24"/>
          <w:szCs w:val="24"/>
          <w:lang w:val="en-GB"/>
        </w:rPr>
        <w:t xml:space="preserve">preferences for greater equality and </w:t>
      </w:r>
      <w:r w:rsidR="00910F1A" w:rsidRPr="001B3BA5">
        <w:rPr>
          <w:rFonts w:ascii="Times New Roman" w:hAnsi="Times New Roman" w:cs="Times New Roman"/>
          <w:sz w:val="24"/>
          <w:szCs w:val="24"/>
          <w:lang w:val="en-GB"/>
        </w:rPr>
        <w:t>diminish</w:t>
      </w:r>
      <w:r w:rsidR="00A54554" w:rsidRPr="001B3BA5">
        <w:rPr>
          <w:rFonts w:ascii="Times New Roman" w:hAnsi="Times New Roman" w:cs="Times New Roman"/>
          <w:sz w:val="24"/>
          <w:szCs w:val="24"/>
          <w:lang w:val="en-GB"/>
        </w:rPr>
        <w:t>ing</w:t>
      </w:r>
      <w:r w:rsidR="00910F1A" w:rsidRPr="001B3BA5">
        <w:rPr>
          <w:rFonts w:ascii="Times New Roman" w:hAnsi="Times New Roman" w:cs="Times New Roman"/>
          <w:sz w:val="24"/>
          <w:szCs w:val="24"/>
          <w:lang w:val="en-GB"/>
        </w:rPr>
        <w:t xml:space="preserve"> </w:t>
      </w:r>
      <w:r w:rsidR="00132648" w:rsidRPr="001B3BA5">
        <w:rPr>
          <w:rFonts w:ascii="Times New Roman" w:hAnsi="Times New Roman" w:cs="Times New Roman"/>
          <w:sz w:val="24"/>
          <w:szCs w:val="24"/>
          <w:lang w:val="en-GB"/>
        </w:rPr>
        <w:t>group dominance</w:t>
      </w:r>
      <w:r w:rsidR="00CE7F41" w:rsidRPr="001B3BA5">
        <w:rPr>
          <w:rFonts w:ascii="Times New Roman" w:hAnsi="Times New Roman" w:cs="Times New Roman"/>
          <w:sz w:val="24"/>
          <w:szCs w:val="24"/>
          <w:lang w:val="en-GB"/>
        </w:rPr>
        <w:t xml:space="preserve"> </w:t>
      </w:r>
      <w:r w:rsidR="003576F1" w:rsidRPr="001B3BA5">
        <w:rPr>
          <w:rFonts w:ascii="Times New Roman" w:hAnsi="Times New Roman" w:cs="Times New Roman"/>
          <w:sz w:val="24"/>
          <w:szCs w:val="24"/>
          <w:lang w:val="en-GB"/>
        </w:rPr>
        <w:fldChar w:fldCharType="begin"/>
      </w:r>
      <w:r w:rsidR="003576F1" w:rsidRPr="001B3BA5">
        <w:rPr>
          <w:rFonts w:ascii="Times New Roman" w:hAnsi="Times New Roman" w:cs="Times New Roman"/>
          <w:sz w:val="24"/>
          <w:szCs w:val="24"/>
          <w:lang w:val="en-GB"/>
        </w:rPr>
        <w:instrText xml:space="preserve"> ADDIN EN.CITE &lt;EndNote&gt;&lt;Cite&gt;&lt;Author&gt;Jost&lt;/Author&gt;&lt;Year&gt;2006&lt;/Year&gt;&lt;RecNum&gt;1343&lt;/RecNum&gt;&lt;DisplayText&gt;(Jost, 2006)&lt;/DisplayText&gt;&lt;record&gt;&lt;rec-number&gt;1343&lt;/rec-number&gt;&lt;foreign-keys&gt;&lt;key app="EN" db-id="es92r5v5dve2z0erx59pv50vtp29v0t9ef5f" timestamp="1543585937"&gt;1343&lt;/key&gt;&lt;key app="ENWeb" db-id=""&gt;0&lt;/key&gt;&lt;/foreign-keys&gt;&lt;ref-type name="Journal Article"&gt;17&lt;/ref-type&gt;&lt;contributors&gt;&lt;authors&gt;&lt;author&gt;Jost, J. T.&lt;/author&gt;&lt;/authors&gt;&lt;/contributors&gt;&lt;auth-address&gt;Department of Psychology, New York University, New York, NY 10003, USA. john.jost@nyu.edu&lt;/auth-address&gt;&lt;titles&gt;&lt;title&gt;The end of the end of ideology&lt;/title&gt;&lt;secondary-title&gt;American Psychologist&lt;/secondary-title&gt;&lt;/titles&gt;&lt;periodical&gt;&lt;full-title&gt;American Psychologist&lt;/full-title&gt;&lt;/periodical&gt;&lt;pages&gt;651-70&lt;/pages&gt;&lt;volume&gt;61&lt;/volume&gt;&lt;number&gt;7&lt;/number&gt;&lt;keywords&gt;&lt;keyword&gt;Humans&lt;/keyword&gt;&lt;keyword&gt;*Politics&lt;/keyword&gt;&lt;keyword&gt;*Psychology&lt;/keyword&gt;&lt;keyword&gt;*Public Opinion&lt;/keyword&gt;&lt;keyword&gt;United States&lt;/keyword&gt;&lt;/keywords&gt;&lt;dates&gt;&lt;year&gt;2006&lt;/year&gt;&lt;pub-dates&gt;&lt;date&gt;Oct&lt;/date&gt;&lt;/pub-dates&gt;&lt;/dates&gt;&lt;isbn&gt;0003-066X (Print)&amp;#xD;0003-066X (Linking)&lt;/isbn&gt;&lt;accession-num&gt;17032067&lt;/accession-num&gt;&lt;urls&gt;&lt;related-urls&gt;&lt;url&gt;https://www.ncbi.nlm.nih.gov/pubmed/17032067&lt;/url&gt;&lt;/related-urls&gt;&lt;/urls&gt;&lt;electronic-resource-num&gt;10.1037/0003-066X.61.7.651&lt;/electronic-resource-num&gt;&lt;/record&gt;&lt;/Cite&gt;&lt;/EndNote&gt;</w:instrText>
      </w:r>
      <w:r w:rsidR="003576F1" w:rsidRPr="001B3BA5">
        <w:rPr>
          <w:rFonts w:ascii="Times New Roman" w:hAnsi="Times New Roman" w:cs="Times New Roman"/>
          <w:sz w:val="24"/>
          <w:szCs w:val="24"/>
          <w:lang w:val="en-GB"/>
        </w:rPr>
        <w:fldChar w:fldCharType="separate"/>
      </w:r>
      <w:r w:rsidR="003576F1" w:rsidRPr="001B3BA5">
        <w:rPr>
          <w:rFonts w:ascii="Times New Roman" w:hAnsi="Times New Roman" w:cs="Times New Roman"/>
          <w:noProof/>
          <w:sz w:val="24"/>
          <w:szCs w:val="24"/>
          <w:lang w:val="en-GB"/>
        </w:rPr>
        <w:t>(Jost, 2006)</w:t>
      </w:r>
      <w:r w:rsidR="003576F1" w:rsidRPr="001B3BA5">
        <w:rPr>
          <w:rFonts w:ascii="Times New Roman" w:hAnsi="Times New Roman" w:cs="Times New Roman"/>
          <w:sz w:val="24"/>
          <w:szCs w:val="24"/>
          <w:lang w:val="en-GB"/>
        </w:rPr>
        <w:fldChar w:fldCharType="end"/>
      </w:r>
      <w:r w:rsidR="00CE7F41"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w:t>
      </w:r>
      <w:r w:rsidR="00910F1A" w:rsidRPr="001B3BA5">
        <w:rPr>
          <w:rFonts w:ascii="Times New Roman" w:hAnsi="Times New Roman" w:cs="Times New Roman"/>
          <w:sz w:val="24"/>
          <w:szCs w:val="24"/>
          <w:lang w:val="en-GB"/>
        </w:rPr>
        <w:t xml:space="preserve">Given that </w:t>
      </w:r>
      <w:r w:rsidR="00CE7F41" w:rsidRPr="001B3BA5">
        <w:rPr>
          <w:rFonts w:ascii="Times New Roman" w:hAnsi="Times New Roman" w:cs="Times New Roman"/>
          <w:sz w:val="24"/>
          <w:szCs w:val="24"/>
          <w:lang w:val="en-GB"/>
        </w:rPr>
        <w:t xml:space="preserve">right-wing </w:t>
      </w:r>
      <w:r w:rsidR="00910F1A" w:rsidRPr="001B3BA5">
        <w:rPr>
          <w:rFonts w:ascii="Times New Roman" w:hAnsi="Times New Roman" w:cs="Times New Roman"/>
          <w:sz w:val="24"/>
          <w:szCs w:val="24"/>
          <w:lang w:val="en-GB"/>
        </w:rPr>
        <w:t>individuals</w:t>
      </w:r>
      <w:r w:rsidR="00CE7F41" w:rsidRPr="001B3BA5">
        <w:rPr>
          <w:rFonts w:ascii="Times New Roman" w:hAnsi="Times New Roman" w:cs="Times New Roman"/>
          <w:sz w:val="24"/>
          <w:szCs w:val="24"/>
          <w:lang w:val="en-GB"/>
        </w:rPr>
        <w:t xml:space="preserve"> generally have </w:t>
      </w:r>
      <w:r w:rsidR="00910F1A" w:rsidRPr="001B3BA5">
        <w:rPr>
          <w:rFonts w:ascii="Times New Roman" w:hAnsi="Times New Roman" w:cs="Times New Roman"/>
          <w:sz w:val="24"/>
          <w:szCs w:val="24"/>
          <w:lang w:val="en-GB"/>
        </w:rPr>
        <w:t xml:space="preserve">fewer </w:t>
      </w:r>
      <w:r w:rsidR="00CE7F41" w:rsidRPr="001B3BA5">
        <w:rPr>
          <w:rFonts w:ascii="Times New Roman" w:hAnsi="Times New Roman" w:cs="Times New Roman"/>
          <w:sz w:val="24"/>
          <w:szCs w:val="24"/>
          <w:lang w:val="en-GB"/>
        </w:rPr>
        <w:t>problems with inequalities and value the status quo</w:t>
      </w:r>
      <w:r w:rsidR="00910F1A" w:rsidRPr="001B3BA5">
        <w:rPr>
          <w:rFonts w:ascii="Times New Roman" w:hAnsi="Times New Roman" w:cs="Times New Roman"/>
          <w:sz w:val="24"/>
          <w:szCs w:val="24"/>
          <w:lang w:val="en-GB"/>
        </w:rPr>
        <w:t>,</w:t>
      </w:r>
      <w:r w:rsidR="00CE7F41" w:rsidRPr="001B3BA5">
        <w:rPr>
          <w:rFonts w:ascii="Times New Roman" w:hAnsi="Times New Roman" w:cs="Times New Roman"/>
          <w:sz w:val="24"/>
          <w:szCs w:val="24"/>
          <w:lang w:val="en-GB"/>
        </w:rPr>
        <w:t xml:space="preserve"> </w:t>
      </w:r>
      <w:bookmarkStart w:id="9" w:name="_Hlk17987893"/>
      <w:r w:rsidR="00910F1A" w:rsidRPr="001B3BA5">
        <w:rPr>
          <w:rFonts w:ascii="Times New Roman" w:hAnsi="Times New Roman" w:cs="Times New Roman"/>
          <w:sz w:val="24"/>
          <w:szCs w:val="24"/>
          <w:lang w:val="en-GB"/>
        </w:rPr>
        <w:t>they will likely tr</w:t>
      </w:r>
      <w:r w:rsidRPr="001B3BA5">
        <w:rPr>
          <w:rFonts w:asciiTheme="majorBidi" w:hAnsiTheme="majorBidi" w:cstheme="majorBidi"/>
          <w:sz w:val="24"/>
          <w:szCs w:val="24"/>
          <w:lang w:val="en-GB"/>
        </w:rPr>
        <w:t xml:space="preserve">anslate </w:t>
      </w:r>
      <w:r w:rsidR="00064912" w:rsidRPr="001B3BA5">
        <w:rPr>
          <w:rFonts w:asciiTheme="majorBidi" w:hAnsiTheme="majorBidi" w:cstheme="majorBidi"/>
          <w:sz w:val="24"/>
          <w:szCs w:val="24"/>
          <w:lang w:val="en-GB"/>
        </w:rPr>
        <w:t>endorsement of</w:t>
      </w:r>
      <w:r w:rsidRPr="001B3BA5">
        <w:rPr>
          <w:rFonts w:asciiTheme="majorBidi" w:hAnsiTheme="majorBidi" w:cstheme="majorBidi"/>
          <w:sz w:val="24"/>
          <w:szCs w:val="24"/>
          <w:lang w:val="en-GB"/>
        </w:rPr>
        <w:t xml:space="preserve"> ownership and its </w:t>
      </w:r>
      <w:r w:rsidR="00DC01FF" w:rsidRPr="001B3BA5">
        <w:rPr>
          <w:rFonts w:asciiTheme="majorBidi" w:hAnsiTheme="majorBidi" w:cstheme="majorBidi"/>
          <w:sz w:val="24"/>
          <w:szCs w:val="24"/>
          <w:lang w:val="en-GB"/>
        </w:rPr>
        <w:t>exclusive determination right</w:t>
      </w:r>
      <w:r w:rsidRPr="001B3BA5">
        <w:rPr>
          <w:rFonts w:asciiTheme="majorBidi" w:hAnsiTheme="majorBidi" w:cstheme="majorBidi"/>
          <w:sz w:val="24"/>
          <w:szCs w:val="24"/>
          <w:lang w:val="en-GB"/>
        </w:rPr>
        <w:t xml:space="preserve"> into exclusionary </w:t>
      </w:r>
      <w:r w:rsidR="00DA283B" w:rsidRPr="001B3BA5">
        <w:rPr>
          <w:rFonts w:asciiTheme="majorBidi" w:hAnsiTheme="majorBidi" w:cstheme="majorBidi"/>
          <w:sz w:val="24"/>
          <w:szCs w:val="24"/>
          <w:lang w:val="en-GB"/>
        </w:rPr>
        <w:t>reactions</w:t>
      </w:r>
      <w:bookmarkEnd w:id="9"/>
      <w:r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&lt;EndNote&gt;&lt;Cite&gt;&lt;Author&gt;Mudde&lt;/Author&gt;&lt;Year&gt;2007&lt;/Year&gt;&lt;RecNum&gt;532&lt;/RecNum&gt;&lt;DisplayText&gt;(Mudde, 2007)&lt;/DisplayText&gt;&lt;record&gt;&lt;rec-number&gt;532&lt;/rec-number&gt;&lt;foreign-keys&gt;&lt;key app="EN" db-id="es92r5v5dve2z0erx59pv50vtp29v0t9ef5f" timestamp="0"&gt;532&lt;/key&gt;&lt;/foreign-keys&gt;&lt;ref-type name="Book"&gt;6&lt;/ref-type&gt;&lt;contributors&gt;&lt;authors&gt;&lt;author&gt;Mudde, Cas&lt;/author&gt;&lt;/authors&gt;&lt;/contributors&gt;&lt;titles&gt;&lt;title&gt;Populist radical right parties in Europe&lt;/title&gt;&lt;/titles&gt;&lt;volume&gt;22&lt;/volume&gt;&lt;number&gt;8&lt;/number&gt;&lt;dates&gt;&lt;year&gt;2007&lt;/year&gt;&lt;/dates&gt;&lt;pub-location&gt;Cambridge, UK&lt;/pub-location&gt;&lt;publisher&gt;Cambridge University Press&lt;/publisher&gt;&lt;urls&gt;&lt;/urls&gt;&lt;/record&gt;&lt;/Cite&gt;&lt;/EndNote&gt;</w:instrText>
      </w:r>
      <w:r w:rsidRPr="001B3BA5">
        <w:rPr>
          <w:rFonts w:asciiTheme="majorBidi" w:hAnsiTheme="majorBidi" w:cstheme="majorBidi"/>
          <w:sz w:val="24"/>
          <w:szCs w:val="24"/>
          <w:lang w:val="en-GB"/>
        </w:rPr>
        <w:fldChar w:fldCharType="separate"/>
      </w:r>
      <w:r w:rsidRPr="001B3BA5">
        <w:rPr>
          <w:rFonts w:asciiTheme="majorBidi" w:hAnsiTheme="majorBidi" w:cstheme="majorBidi"/>
          <w:noProof/>
          <w:sz w:val="24"/>
          <w:szCs w:val="24"/>
          <w:lang w:val="en-GB"/>
        </w:rPr>
        <w:t>(Mudde, 2007)</w:t>
      </w:r>
      <w:r w:rsidRPr="001B3BA5">
        <w:rPr>
          <w:rFonts w:asciiTheme="majorBidi" w:hAnsiTheme="majorBidi" w:cstheme="majorBidi"/>
          <w:sz w:val="24"/>
          <w:szCs w:val="24"/>
          <w:lang w:val="en-GB"/>
        </w:rPr>
        <w:fldChar w:fldCharType="end"/>
      </w:r>
      <w:r w:rsidR="00096C27" w:rsidRPr="001B3BA5">
        <w:rPr>
          <w:rFonts w:asciiTheme="majorBidi" w:hAnsiTheme="majorBidi" w:cstheme="majorBidi"/>
          <w:sz w:val="24"/>
          <w:szCs w:val="24"/>
          <w:lang w:val="en-GB"/>
        </w:rPr>
        <w:t xml:space="preserve">. </w:t>
      </w:r>
      <w:r w:rsidR="00871660" w:rsidRPr="001B3BA5">
        <w:rPr>
          <w:rFonts w:asciiTheme="majorBidi" w:hAnsiTheme="majorBidi" w:cstheme="majorBidi"/>
          <w:sz w:val="24"/>
          <w:szCs w:val="24"/>
          <w:lang w:val="en-GB"/>
        </w:rPr>
        <w:t>Hence</w:t>
      </w:r>
      <w:r w:rsidRPr="001B3BA5">
        <w:rPr>
          <w:rFonts w:asciiTheme="majorBidi" w:hAnsiTheme="majorBidi" w:cstheme="majorBidi"/>
          <w:sz w:val="24"/>
          <w:szCs w:val="24"/>
          <w:lang w:val="en-GB"/>
        </w:rPr>
        <w:t xml:space="preserve">, </w:t>
      </w:r>
      <w:bookmarkStart w:id="10" w:name="_Hlk17989573"/>
      <w:r w:rsidR="00A54554" w:rsidRPr="001B3BA5">
        <w:rPr>
          <w:rFonts w:asciiTheme="majorBidi" w:hAnsiTheme="majorBidi" w:cstheme="majorBidi"/>
          <w:sz w:val="24"/>
          <w:szCs w:val="24"/>
          <w:lang w:val="en-GB"/>
        </w:rPr>
        <w:t xml:space="preserve">we </w:t>
      </w:r>
      <w:r w:rsidR="00910F1A" w:rsidRPr="001B3BA5">
        <w:rPr>
          <w:rFonts w:asciiTheme="majorBidi" w:hAnsiTheme="majorBidi" w:cstheme="majorBidi"/>
          <w:sz w:val="24"/>
          <w:szCs w:val="24"/>
          <w:lang w:val="en-GB"/>
        </w:rPr>
        <w:t xml:space="preserve">will </w:t>
      </w:r>
      <w:r w:rsidR="00CE7F41" w:rsidRPr="001B3BA5">
        <w:rPr>
          <w:rFonts w:asciiTheme="majorBidi" w:hAnsiTheme="majorBidi" w:cstheme="majorBidi"/>
          <w:sz w:val="24"/>
          <w:szCs w:val="24"/>
          <w:lang w:val="en-GB"/>
        </w:rPr>
        <w:t>use</w:t>
      </w:r>
      <w:r w:rsidRPr="001B3BA5">
        <w:rPr>
          <w:rFonts w:asciiTheme="majorBidi" w:hAnsiTheme="majorBidi" w:cstheme="majorBidi"/>
          <w:sz w:val="24"/>
          <w:szCs w:val="24"/>
          <w:lang w:val="en-GB"/>
        </w:rPr>
        <w:t xml:space="preserve"> </w:t>
      </w:r>
      <w:r w:rsidR="00262CA3" w:rsidRPr="001B3BA5">
        <w:rPr>
          <w:rFonts w:asciiTheme="majorBidi" w:hAnsiTheme="majorBidi" w:cstheme="majorBidi"/>
          <w:sz w:val="24"/>
          <w:szCs w:val="24"/>
          <w:lang w:val="en-GB"/>
        </w:rPr>
        <w:t xml:space="preserve">the </w:t>
      </w:r>
      <w:r w:rsidR="00DC01FF" w:rsidRPr="001B3BA5">
        <w:rPr>
          <w:rFonts w:asciiTheme="majorBidi" w:hAnsiTheme="majorBidi" w:cstheme="majorBidi"/>
          <w:sz w:val="24"/>
          <w:szCs w:val="24"/>
          <w:lang w:val="en-GB"/>
        </w:rPr>
        <w:t>exclusive determination right</w:t>
      </w:r>
      <w:r w:rsidRPr="001B3BA5">
        <w:rPr>
          <w:rFonts w:asciiTheme="majorBidi" w:hAnsiTheme="majorBidi" w:cstheme="majorBidi"/>
          <w:sz w:val="24"/>
          <w:szCs w:val="24"/>
          <w:lang w:val="en-GB"/>
        </w:rPr>
        <w:t xml:space="preserve"> as a</w:t>
      </w:r>
      <w:r w:rsidR="00CE7F41" w:rsidRPr="001B3BA5">
        <w:rPr>
          <w:rFonts w:asciiTheme="majorBidi" w:hAnsiTheme="majorBidi" w:cstheme="majorBidi"/>
          <w:sz w:val="24"/>
          <w:szCs w:val="24"/>
          <w:lang w:val="en-GB"/>
        </w:rPr>
        <w:t xml:space="preserve"> basis</w:t>
      </w:r>
      <w:r w:rsidRPr="001B3BA5">
        <w:rPr>
          <w:rFonts w:asciiTheme="majorBidi" w:hAnsiTheme="majorBidi" w:cstheme="majorBidi"/>
          <w:sz w:val="24"/>
          <w:szCs w:val="24"/>
          <w:lang w:val="en-GB"/>
        </w:rPr>
        <w:t xml:space="preserve"> for exclusionary attitudes and behavio</w:t>
      </w:r>
      <w:r w:rsidR="008643F0" w:rsidRPr="001B3BA5">
        <w:rPr>
          <w:rFonts w:asciiTheme="majorBidi" w:hAnsiTheme="majorBidi" w:cstheme="majorBidi"/>
          <w:sz w:val="24"/>
          <w:szCs w:val="24"/>
          <w:lang w:val="en-GB"/>
        </w:rPr>
        <w:t>u</w:t>
      </w:r>
      <w:r w:rsidRPr="001B3BA5">
        <w:rPr>
          <w:rFonts w:asciiTheme="majorBidi" w:hAnsiTheme="majorBidi" w:cstheme="majorBidi"/>
          <w:sz w:val="24"/>
          <w:szCs w:val="24"/>
          <w:lang w:val="en-GB"/>
        </w:rPr>
        <w:t>r.</w:t>
      </w:r>
      <w:bookmarkEnd w:id="10"/>
      <w:r w:rsidRPr="001B3BA5">
        <w:rPr>
          <w:rFonts w:asciiTheme="majorBidi" w:hAnsiTheme="majorBidi" w:cstheme="majorBidi"/>
          <w:sz w:val="24"/>
          <w:szCs w:val="24"/>
          <w:lang w:val="en-GB"/>
        </w:rPr>
        <w:t xml:space="preserve"> </w:t>
      </w:r>
      <w:r w:rsidR="00BB065F" w:rsidRPr="001B3BA5">
        <w:rPr>
          <w:rFonts w:asciiTheme="majorBidi" w:hAnsiTheme="majorBidi" w:cstheme="majorBidi"/>
          <w:sz w:val="24"/>
          <w:szCs w:val="24"/>
          <w:lang w:val="en-GB"/>
        </w:rPr>
        <w:t>W</w:t>
      </w:r>
      <w:r w:rsidRPr="001B3BA5">
        <w:rPr>
          <w:rFonts w:asciiTheme="majorBidi" w:hAnsiTheme="majorBidi" w:cstheme="majorBidi"/>
          <w:sz w:val="24"/>
          <w:szCs w:val="24"/>
          <w:lang w:val="en-GB"/>
        </w:rPr>
        <w:t>e hypothes</w:t>
      </w:r>
      <w:r w:rsidR="008643F0" w:rsidRPr="001B3BA5">
        <w:rPr>
          <w:rFonts w:asciiTheme="majorBidi" w:hAnsiTheme="majorBidi" w:cstheme="majorBidi"/>
          <w:sz w:val="24"/>
          <w:szCs w:val="24"/>
          <w:lang w:val="en-GB"/>
        </w:rPr>
        <w:t>ise</w:t>
      </w:r>
      <w:r w:rsidRPr="001B3BA5">
        <w:rPr>
          <w:rFonts w:asciiTheme="majorBidi" w:hAnsiTheme="majorBidi" w:cstheme="majorBidi"/>
          <w:sz w:val="24"/>
          <w:szCs w:val="24"/>
          <w:lang w:val="en-GB"/>
        </w:rPr>
        <w:t xml:space="preserve"> that</w:t>
      </w:r>
      <w:r w:rsidR="00244E2E" w:rsidRPr="001B3BA5">
        <w:rPr>
          <w:rFonts w:asciiTheme="majorBidi" w:hAnsiTheme="majorBidi" w:cstheme="majorBidi"/>
          <w:sz w:val="24"/>
          <w:szCs w:val="24"/>
          <w:lang w:val="en-GB"/>
        </w:rPr>
        <w:t xml:space="preserve"> </w:t>
      </w:r>
      <w:r w:rsidR="00DB0311" w:rsidRPr="001B3BA5">
        <w:rPr>
          <w:rFonts w:asciiTheme="majorBidi" w:hAnsiTheme="majorBidi" w:cstheme="majorBidi"/>
          <w:sz w:val="24"/>
          <w:szCs w:val="24"/>
          <w:lang w:val="en-GB"/>
        </w:rPr>
        <w:t>the</w:t>
      </w:r>
      <w:r w:rsidRPr="001B3BA5">
        <w:rPr>
          <w:rFonts w:asciiTheme="majorBidi" w:hAnsiTheme="majorBidi" w:cstheme="majorBidi"/>
          <w:sz w:val="24"/>
          <w:szCs w:val="24"/>
          <w:lang w:val="en-GB"/>
        </w:rPr>
        <w:t xml:space="preserve"> </w:t>
      </w:r>
      <w:r w:rsidR="00DC01FF" w:rsidRPr="001B3BA5">
        <w:rPr>
          <w:rFonts w:asciiTheme="majorBidi" w:hAnsiTheme="majorBidi" w:cstheme="majorBidi"/>
          <w:sz w:val="24"/>
          <w:szCs w:val="24"/>
          <w:lang w:val="en-GB"/>
        </w:rPr>
        <w:t>exclusive determination right</w:t>
      </w:r>
      <w:r w:rsidRPr="001B3BA5">
        <w:rPr>
          <w:rFonts w:asciiTheme="majorBidi" w:hAnsiTheme="majorBidi" w:cstheme="majorBidi"/>
          <w:sz w:val="24"/>
          <w:szCs w:val="24"/>
          <w:lang w:val="en-GB"/>
        </w:rPr>
        <w:t xml:space="preserve"> </w:t>
      </w:r>
      <w:r w:rsidR="00DB0311" w:rsidRPr="001B3BA5">
        <w:rPr>
          <w:rFonts w:asciiTheme="majorBidi" w:hAnsiTheme="majorBidi" w:cstheme="majorBidi"/>
          <w:sz w:val="24"/>
          <w:szCs w:val="24"/>
          <w:lang w:val="en-GB"/>
        </w:rPr>
        <w:t xml:space="preserve">is </w:t>
      </w:r>
      <w:r w:rsidRPr="001B3BA5">
        <w:rPr>
          <w:rFonts w:asciiTheme="majorBidi" w:hAnsiTheme="majorBidi" w:cstheme="majorBidi"/>
          <w:sz w:val="24"/>
          <w:szCs w:val="24"/>
          <w:lang w:val="en-GB"/>
        </w:rPr>
        <w:t xml:space="preserve">especially related to more negative attitudes towards immigrant minorities and European </w:t>
      </w:r>
      <w:r w:rsidR="00C1702C" w:rsidRPr="001B3BA5">
        <w:rPr>
          <w:rFonts w:asciiTheme="majorBidi" w:hAnsiTheme="majorBidi" w:cstheme="majorBidi"/>
          <w:sz w:val="24"/>
          <w:szCs w:val="24"/>
          <w:lang w:val="en-GB"/>
        </w:rPr>
        <w:t>integration</w:t>
      </w:r>
      <w:r w:rsidR="00F04BD5"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among right-wing </w:t>
      </w:r>
      <w:r w:rsidR="00414C20" w:rsidRPr="001B3BA5">
        <w:rPr>
          <w:rFonts w:asciiTheme="majorBidi" w:hAnsiTheme="majorBidi" w:cstheme="majorBidi"/>
          <w:sz w:val="24"/>
          <w:szCs w:val="24"/>
          <w:lang w:val="en-GB"/>
        </w:rPr>
        <w:t xml:space="preserve">individuals </w:t>
      </w:r>
      <w:r w:rsidRPr="001B3BA5">
        <w:rPr>
          <w:rFonts w:asciiTheme="majorBidi" w:hAnsiTheme="majorBidi" w:cstheme="majorBidi"/>
          <w:sz w:val="24"/>
          <w:szCs w:val="24"/>
          <w:lang w:val="en-GB"/>
        </w:rPr>
        <w:t>(</w:t>
      </w:r>
      <w:r w:rsidRPr="001B3BA5">
        <w:rPr>
          <w:rFonts w:asciiTheme="majorBidi" w:hAnsiTheme="majorBidi" w:cstheme="majorBidi"/>
          <w:iCs/>
          <w:sz w:val="24"/>
          <w:szCs w:val="24"/>
          <w:lang w:val="en-GB"/>
        </w:rPr>
        <w:t>H4</w:t>
      </w:r>
      <w:r w:rsidRPr="001B3BA5">
        <w:rPr>
          <w:rFonts w:asciiTheme="majorBidi" w:hAnsiTheme="majorBidi" w:cstheme="majorBidi"/>
          <w:sz w:val="24"/>
          <w:szCs w:val="24"/>
          <w:lang w:val="en-GB"/>
        </w:rPr>
        <w:t>).</w:t>
      </w:r>
    </w:p>
    <w:p w14:paraId="0D8E4237" w14:textId="318FB0FC" w:rsidR="008359BD" w:rsidRPr="001B3BA5" w:rsidRDefault="008359BD" w:rsidP="00584266">
      <w:pPr>
        <w:spacing w:after="0" w:line="480" w:lineRule="exact"/>
        <w:rPr>
          <w:rFonts w:asciiTheme="majorBidi" w:hAnsiTheme="majorBidi" w:cstheme="majorBidi"/>
          <w:b/>
          <w:sz w:val="24"/>
          <w:szCs w:val="24"/>
          <w:lang w:val="en-GB"/>
        </w:rPr>
      </w:pPr>
      <w:r w:rsidRPr="001B3BA5">
        <w:rPr>
          <w:rFonts w:asciiTheme="majorBidi" w:hAnsiTheme="majorBidi" w:cstheme="majorBidi"/>
          <w:b/>
          <w:sz w:val="24"/>
          <w:szCs w:val="24"/>
          <w:lang w:val="en-GB"/>
        </w:rPr>
        <w:t>Potential Confounds</w:t>
      </w:r>
    </w:p>
    <w:p w14:paraId="283504DA" w14:textId="35A751BA" w:rsidR="00F75564" w:rsidRPr="001B3BA5" w:rsidRDefault="00E227A0">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 xml:space="preserve">We </w:t>
      </w:r>
      <w:r w:rsidR="00DA283B" w:rsidRPr="001B3BA5">
        <w:rPr>
          <w:rFonts w:asciiTheme="majorBidi" w:hAnsiTheme="majorBidi" w:cstheme="majorBidi"/>
          <w:sz w:val="24"/>
          <w:szCs w:val="24"/>
          <w:lang w:val="en-GB"/>
        </w:rPr>
        <w:t>further</w:t>
      </w:r>
      <w:r w:rsidRPr="001B3BA5">
        <w:rPr>
          <w:rFonts w:asciiTheme="majorBidi" w:hAnsiTheme="majorBidi" w:cstheme="majorBidi"/>
          <w:sz w:val="24"/>
          <w:szCs w:val="24"/>
          <w:lang w:val="en-GB"/>
        </w:rPr>
        <w:t xml:space="preserve"> examined </w:t>
      </w:r>
      <w:r w:rsidR="007001B2" w:rsidRPr="001B3BA5">
        <w:rPr>
          <w:rFonts w:asciiTheme="majorBidi" w:hAnsiTheme="majorBidi" w:cstheme="majorBidi"/>
          <w:sz w:val="24"/>
          <w:szCs w:val="24"/>
          <w:lang w:val="en-GB"/>
        </w:rPr>
        <w:t>whether the</w:t>
      </w:r>
      <w:r w:rsidR="00A54554" w:rsidRPr="001B3BA5">
        <w:rPr>
          <w:rFonts w:asciiTheme="majorBidi" w:hAnsiTheme="majorBidi" w:cstheme="majorBidi"/>
          <w:sz w:val="24"/>
          <w:szCs w:val="24"/>
          <w:lang w:val="en-GB"/>
        </w:rPr>
        <w:t>se</w:t>
      </w:r>
      <w:r w:rsidR="007001B2" w:rsidRPr="001B3BA5">
        <w:rPr>
          <w:rFonts w:asciiTheme="majorBidi" w:hAnsiTheme="majorBidi" w:cstheme="majorBidi"/>
          <w:sz w:val="24"/>
          <w:szCs w:val="24"/>
          <w:lang w:val="en-GB"/>
        </w:rPr>
        <w:t xml:space="preserve"> </w:t>
      </w:r>
      <w:r w:rsidR="00A54554" w:rsidRPr="001B3BA5">
        <w:rPr>
          <w:rFonts w:asciiTheme="majorBidi" w:hAnsiTheme="majorBidi" w:cstheme="majorBidi"/>
          <w:sz w:val="24"/>
          <w:szCs w:val="24"/>
          <w:lang w:val="en-GB"/>
        </w:rPr>
        <w:t>negative attitudes (and downstream consequences)</w:t>
      </w:r>
      <w:r w:rsidR="00247DE2">
        <w:rPr>
          <w:rFonts w:asciiTheme="majorBidi" w:hAnsiTheme="majorBidi" w:cstheme="majorBidi"/>
          <w:sz w:val="24"/>
          <w:szCs w:val="24"/>
          <w:lang w:val="en-GB"/>
        </w:rPr>
        <w:t xml:space="preserve"> </w:t>
      </w:r>
      <w:r w:rsidR="007001B2" w:rsidRPr="001B3BA5">
        <w:rPr>
          <w:rFonts w:asciiTheme="majorBidi" w:hAnsiTheme="majorBidi" w:cstheme="majorBidi"/>
          <w:sz w:val="24"/>
          <w:szCs w:val="24"/>
          <w:lang w:val="en-GB"/>
        </w:rPr>
        <w:t xml:space="preserve">are </w:t>
      </w:r>
      <w:r w:rsidR="00414C20" w:rsidRPr="001B3BA5">
        <w:rPr>
          <w:rFonts w:asciiTheme="majorBidi" w:hAnsiTheme="majorBidi" w:cstheme="majorBidi"/>
          <w:sz w:val="24"/>
          <w:szCs w:val="24"/>
          <w:lang w:val="en-GB"/>
        </w:rPr>
        <w:t xml:space="preserve">explained </w:t>
      </w:r>
      <w:r w:rsidR="007001B2" w:rsidRPr="001B3BA5">
        <w:rPr>
          <w:rFonts w:asciiTheme="majorBidi" w:hAnsiTheme="majorBidi" w:cstheme="majorBidi"/>
          <w:sz w:val="24"/>
          <w:szCs w:val="24"/>
          <w:lang w:val="en-GB"/>
        </w:rPr>
        <w:t xml:space="preserve">by </w:t>
      </w:r>
      <w:r w:rsidR="00B41B02" w:rsidRPr="001B3BA5">
        <w:rPr>
          <w:rFonts w:asciiTheme="majorBidi" w:hAnsiTheme="majorBidi" w:cstheme="majorBidi"/>
          <w:sz w:val="24"/>
          <w:szCs w:val="24"/>
          <w:lang w:val="en-GB"/>
        </w:rPr>
        <w:t>CPO</w:t>
      </w:r>
      <w:r w:rsidR="00F431EC" w:rsidRPr="001B3BA5">
        <w:rPr>
          <w:rFonts w:asciiTheme="majorBidi" w:hAnsiTheme="majorBidi" w:cstheme="majorBidi"/>
          <w:sz w:val="24"/>
          <w:szCs w:val="24"/>
          <w:lang w:val="en-GB"/>
        </w:rPr>
        <w:t xml:space="preserve"> </w:t>
      </w:r>
      <w:r w:rsidR="007001B2" w:rsidRPr="001B3BA5">
        <w:rPr>
          <w:rFonts w:asciiTheme="majorBidi" w:hAnsiTheme="majorBidi" w:cstheme="majorBidi"/>
          <w:sz w:val="24"/>
          <w:szCs w:val="24"/>
          <w:lang w:val="en-GB"/>
        </w:rPr>
        <w:t>above</w:t>
      </w:r>
      <w:r w:rsidR="00262CA3" w:rsidRPr="001B3BA5">
        <w:rPr>
          <w:rFonts w:asciiTheme="majorBidi" w:hAnsiTheme="majorBidi" w:cstheme="majorBidi"/>
          <w:sz w:val="24"/>
          <w:szCs w:val="24"/>
          <w:lang w:val="en-GB"/>
        </w:rPr>
        <w:t>-</w:t>
      </w:r>
      <w:r w:rsidR="007001B2" w:rsidRPr="001B3BA5">
        <w:rPr>
          <w:rFonts w:asciiTheme="majorBidi" w:hAnsiTheme="majorBidi" w:cstheme="majorBidi"/>
          <w:sz w:val="24"/>
          <w:szCs w:val="24"/>
          <w:lang w:val="en-GB"/>
        </w:rPr>
        <w:t>and</w:t>
      </w:r>
      <w:r w:rsidR="00262CA3" w:rsidRPr="001B3BA5">
        <w:rPr>
          <w:rFonts w:asciiTheme="majorBidi" w:hAnsiTheme="majorBidi" w:cstheme="majorBidi"/>
          <w:sz w:val="24"/>
          <w:szCs w:val="24"/>
          <w:lang w:val="en-GB"/>
        </w:rPr>
        <w:t>-</w:t>
      </w:r>
      <w:r w:rsidR="007001B2" w:rsidRPr="001B3BA5">
        <w:rPr>
          <w:rFonts w:asciiTheme="majorBidi" w:hAnsiTheme="majorBidi" w:cstheme="majorBidi"/>
          <w:sz w:val="24"/>
          <w:szCs w:val="24"/>
          <w:lang w:val="en-GB"/>
        </w:rPr>
        <w:t xml:space="preserve">beyond </w:t>
      </w:r>
      <w:r w:rsidR="00673405" w:rsidRPr="001B3BA5">
        <w:rPr>
          <w:rFonts w:asciiTheme="majorBidi" w:hAnsiTheme="majorBidi" w:cstheme="majorBidi"/>
          <w:sz w:val="24"/>
          <w:szCs w:val="24"/>
          <w:lang w:val="en-GB"/>
        </w:rPr>
        <w:t xml:space="preserve">other </w:t>
      </w:r>
      <w:r w:rsidR="00BB065F" w:rsidRPr="001B3BA5">
        <w:rPr>
          <w:rFonts w:asciiTheme="majorBidi" w:hAnsiTheme="majorBidi" w:cstheme="majorBidi"/>
          <w:sz w:val="24"/>
          <w:szCs w:val="24"/>
          <w:lang w:val="en-GB"/>
        </w:rPr>
        <w:t>relevant constructs.</w:t>
      </w:r>
      <w:r w:rsidR="007001B2" w:rsidRPr="001B3BA5">
        <w:rPr>
          <w:rFonts w:asciiTheme="majorBidi" w:hAnsiTheme="majorBidi" w:cstheme="majorBidi"/>
          <w:sz w:val="24"/>
          <w:szCs w:val="24"/>
          <w:lang w:val="en-GB"/>
        </w:rPr>
        <w:t xml:space="preserve"> </w:t>
      </w:r>
      <w:r w:rsidR="00B074BA" w:rsidRPr="001B3BA5">
        <w:rPr>
          <w:rFonts w:asciiTheme="majorBidi" w:hAnsiTheme="majorBidi" w:cstheme="majorBidi"/>
          <w:sz w:val="24"/>
          <w:szCs w:val="24"/>
          <w:lang w:val="en-GB"/>
        </w:rPr>
        <w:t xml:space="preserve">The </w:t>
      </w:r>
      <w:r w:rsidR="00DC01FF" w:rsidRPr="001B3BA5">
        <w:rPr>
          <w:rFonts w:asciiTheme="majorBidi" w:hAnsiTheme="majorBidi" w:cstheme="majorBidi"/>
          <w:sz w:val="24"/>
          <w:szCs w:val="24"/>
          <w:lang w:val="en-GB"/>
        </w:rPr>
        <w:t>exclusive determination right</w:t>
      </w:r>
      <w:r w:rsidR="00B074BA" w:rsidRPr="001B3BA5">
        <w:rPr>
          <w:rFonts w:asciiTheme="majorBidi" w:hAnsiTheme="majorBidi" w:cstheme="majorBidi"/>
          <w:sz w:val="24"/>
          <w:szCs w:val="24"/>
          <w:lang w:val="en-GB"/>
        </w:rPr>
        <w:t xml:space="preserve"> </w:t>
      </w:r>
      <w:r w:rsidR="00262CA3" w:rsidRPr="001B3BA5">
        <w:rPr>
          <w:rFonts w:asciiTheme="majorBidi" w:hAnsiTheme="majorBidi" w:cstheme="majorBidi"/>
          <w:sz w:val="24"/>
          <w:szCs w:val="24"/>
          <w:lang w:val="en-GB"/>
        </w:rPr>
        <w:t xml:space="preserve">affords </w:t>
      </w:r>
      <w:r w:rsidR="00064912" w:rsidRPr="001B3BA5">
        <w:rPr>
          <w:rFonts w:asciiTheme="majorBidi" w:hAnsiTheme="majorBidi" w:cstheme="majorBidi"/>
          <w:sz w:val="24"/>
          <w:szCs w:val="24"/>
          <w:lang w:val="en-GB"/>
        </w:rPr>
        <w:t>a sense of</w:t>
      </w:r>
      <w:r w:rsidR="00B074BA" w:rsidRPr="001B3BA5">
        <w:rPr>
          <w:rFonts w:asciiTheme="majorBidi" w:hAnsiTheme="majorBidi" w:cstheme="majorBidi"/>
          <w:sz w:val="24"/>
          <w:szCs w:val="24"/>
          <w:lang w:val="en-GB"/>
        </w:rPr>
        <w:t xml:space="preserve"> control, which is the primary need fulfilled by ownership</w:t>
      </w:r>
      <w:r w:rsidR="00C25874" w:rsidRPr="001B3BA5">
        <w:rPr>
          <w:rFonts w:asciiTheme="majorBidi" w:hAnsiTheme="majorBidi" w:cstheme="majorBidi"/>
          <w:sz w:val="24"/>
          <w:szCs w:val="24"/>
          <w:lang w:val="en-GB"/>
        </w:rPr>
        <w:t xml:space="preserve"> </w:t>
      </w:r>
      <w:r w:rsidR="00B074BA" w:rsidRPr="001B3BA5">
        <w:rPr>
          <w:rFonts w:asciiTheme="majorBidi" w:hAnsiTheme="majorBidi" w:cstheme="majorBidi"/>
          <w:sz w:val="24"/>
          <w:szCs w:val="24"/>
          <w:lang w:val="en-GB"/>
        </w:rPr>
        <w:fldChar w:fldCharType="begin"/>
      </w:r>
      <w:r w:rsidR="003068D3" w:rsidRPr="001B3BA5">
        <w:rPr>
          <w:rFonts w:asciiTheme="majorBidi" w:hAnsiTheme="majorBidi" w:cstheme="majorBidi"/>
          <w:sz w:val="24"/>
          <w:szCs w:val="24"/>
          <w:lang w:val="en-GB"/>
        </w:rPr>
        <w:instrText xml:space="preserve"> ADDIN EN.CITE &lt;EndNote&gt;&lt;Cite&gt;&lt;Author&gt;Beggan&lt;/Author&gt;&lt;Year&gt;1991&lt;/Year&gt;&lt;RecNum&gt;1453&lt;/RecNum&gt;&lt;DisplayText&gt;(Beggan, 1991; Furby, 1978)&lt;/DisplayText&gt;&lt;record&gt;&lt;rec-number&gt;1453&lt;/rec-number&gt;&lt;foreign-keys&gt;&lt;key app="EN" db-id="es92r5v5dve2z0erx59pv50vtp29v0t9ef5f" timestamp="1562851869"&gt;1453&lt;/key&gt;&lt;/foreign-keys&gt;&lt;ref-type name="Journal Article"&gt;17&lt;/ref-type&gt;&lt;contributors&gt;&lt;authors&gt;&lt;author&gt;Beggan, James K&lt;/author&gt;&lt;/authors&gt;&lt;/contributors&gt;&lt;titles&gt;&lt;title&gt;Using what you own to get what you need: The role of possessions in satisfying control motivation&lt;/title&gt;&lt;secondary-title&gt;Journal of Social Behavior and Personality&lt;/secondary-title&gt;&lt;/titles&gt;&lt;periodical&gt;&lt;full-title&gt;Journal of Social Behavior and Personality&lt;/full-title&gt;&lt;/periodical&gt;&lt;pages&gt;129-146&lt;/pages&gt;&lt;volume&gt;6&lt;/volume&gt;&lt;number&gt;6&lt;/number&gt;&lt;dates&gt;&lt;year&gt;1991&lt;/year&gt;&lt;/dates&gt;&lt;isbn&gt;0886-1641&lt;/isbn&gt;&lt;urls&gt;&lt;/urls&gt;&lt;/record&gt;&lt;/Cite&gt;&lt;Cite&gt;&lt;Author&gt;Furby&lt;/Author&gt;&lt;Year&gt;1978&lt;/Year&gt;&lt;RecNum&gt;1452&lt;/RecNum&gt;&lt;record&gt;&lt;rec-number&gt;1452&lt;/rec-number&gt;&lt;foreign-keys&gt;&lt;key app="EN" db-id="es92r5v5dve2z0erx59pv50vtp29v0t9ef5f" timestamp="1562851860"&gt;1452&lt;/key&gt;&lt;/foreign-keys&gt;&lt;ref-type name="Journal Article"&gt;17&lt;/ref-type&gt;&lt;contributors&gt;&lt;authors&gt;&lt;author&gt;Furby, Lita&lt;/author&gt;&lt;/authors&gt;&lt;/contributors&gt;&lt;titles&gt;&lt;title&gt;Possession in humans: An exploratory study of its meaning and motivation&lt;/title&gt;&lt;secondary-title&gt;Social Behavior and Personality: An International Journal&lt;/secondary-title&gt;&lt;/titles&gt;&lt;periodical&gt;&lt;full-title&gt;Social Behavior and Personality: an international journal&lt;/full-title&gt;&lt;/periodical&gt;&lt;pages&gt;49-65&lt;/pages&gt;&lt;volume&gt;6&lt;/volume&gt;&lt;number&gt;1&lt;/number&gt;&lt;dates&gt;&lt;year&gt;1978&lt;/year&gt;&lt;/dates&gt;&lt;isbn&gt;0301-2212&lt;/isbn&gt;&lt;urls&gt;&lt;/urls&gt;&lt;electronic-resource-num&gt;10.2224/sbp.1978.6.1.49&lt;/electronic-resource-num&gt;&lt;/record&gt;&lt;/Cite&gt;&lt;/EndNote&gt;</w:instrText>
      </w:r>
      <w:r w:rsidR="00B074BA" w:rsidRPr="001B3BA5">
        <w:rPr>
          <w:rFonts w:asciiTheme="majorBidi" w:hAnsiTheme="majorBidi" w:cstheme="majorBidi"/>
          <w:sz w:val="24"/>
          <w:szCs w:val="24"/>
          <w:lang w:val="en-GB"/>
        </w:rPr>
        <w:fldChar w:fldCharType="separate"/>
      </w:r>
      <w:r w:rsidR="003068D3" w:rsidRPr="001B3BA5">
        <w:rPr>
          <w:rFonts w:asciiTheme="majorBidi" w:hAnsiTheme="majorBidi" w:cstheme="majorBidi"/>
          <w:noProof/>
          <w:sz w:val="24"/>
          <w:szCs w:val="24"/>
          <w:lang w:val="en-GB"/>
        </w:rPr>
        <w:t>(Beggan, 1991; Furby, 1978)</w:t>
      </w:r>
      <w:r w:rsidR="00B074BA" w:rsidRPr="001B3BA5">
        <w:rPr>
          <w:rFonts w:asciiTheme="majorBidi" w:hAnsiTheme="majorBidi" w:cstheme="majorBidi"/>
          <w:sz w:val="24"/>
          <w:szCs w:val="24"/>
          <w:lang w:val="en-GB"/>
        </w:rPr>
        <w:fldChar w:fldCharType="end"/>
      </w:r>
      <w:r w:rsidR="00B074BA" w:rsidRPr="001B3BA5">
        <w:rPr>
          <w:rFonts w:asciiTheme="majorBidi" w:hAnsiTheme="majorBidi" w:cstheme="majorBidi"/>
          <w:sz w:val="24"/>
          <w:szCs w:val="24"/>
          <w:lang w:val="en-GB"/>
        </w:rPr>
        <w:t xml:space="preserve">. However, ownership </w:t>
      </w:r>
      <w:r w:rsidR="00064912" w:rsidRPr="001B3BA5">
        <w:rPr>
          <w:rFonts w:asciiTheme="majorBidi" w:hAnsiTheme="majorBidi" w:cstheme="majorBidi"/>
          <w:sz w:val="24"/>
          <w:szCs w:val="24"/>
          <w:lang w:val="en-GB"/>
        </w:rPr>
        <w:t xml:space="preserve">can </w:t>
      </w:r>
      <w:r w:rsidR="00C25874" w:rsidRPr="001B3BA5">
        <w:rPr>
          <w:rFonts w:asciiTheme="majorBidi" w:hAnsiTheme="majorBidi" w:cstheme="majorBidi"/>
          <w:sz w:val="24"/>
          <w:szCs w:val="24"/>
          <w:lang w:val="en-GB"/>
        </w:rPr>
        <w:t>additionally</w:t>
      </w:r>
      <w:r w:rsidR="00F3750C"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furnish </w:t>
      </w:r>
      <w:r w:rsidR="00064912" w:rsidRPr="001B3BA5">
        <w:rPr>
          <w:rFonts w:asciiTheme="majorBidi" w:hAnsiTheme="majorBidi" w:cstheme="majorBidi"/>
          <w:sz w:val="24"/>
          <w:szCs w:val="24"/>
          <w:lang w:val="en-GB"/>
        </w:rPr>
        <w:t xml:space="preserve">a sense of </w:t>
      </w:r>
      <w:r w:rsidR="00B074BA" w:rsidRPr="001B3BA5">
        <w:rPr>
          <w:rFonts w:asciiTheme="majorBidi" w:hAnsiTheme="majorBidi" w:cstheme="majorBidi"/>
          <w:sz w:val="24"/>
          <w:szCs w:val="24"/>
          <w:lang w:val="en-GB"/>
        </w:rPr>
        <w:t xml:space="preserve">identity and </w:t>
      </w:r>
      <w:r w:rsidR="00064912" w:rsidRPr="001B3BA5">
        <w:rPr>
          <w:rFonts w:asciiTheme="majorBidi" w:hAnsiTheme="majorBidi" w:cstheme="majorBidi"/>
          <w:sz w:val="24"/>
          <w:szCs w:val="24"/>
          <w:lang w:val="en-GB"/>
        </w:rPr>
        <w:t>belonging</w:t>
      </w:r>
      <w:r w:rsidRPr="001B3BA5">
        <w:rPr>
          <w:rFonts w:asciiTheme="majorBidi" w:hAnsiTheme="majorBidi" w:cstheme="majorBidi"/>
          <w:sz w:val="24"/>
          <w:szCs w:val="24"/>
          <w:lang w:val="en-GB"/>
        </w:rPr>
        <w:t>ness</w:t>
      </w:r>
      <w:r w:rsidR="00B074BA" w:rsidRPr="001B3BA5">
        <w:rPr>
          <w:rFonts w:asciiTheme="majorBidi" w:hAnsiTheme="majorBidi" w:cstheme="majorBidi"/>
          <w:sz w:val="24"/>
          <w:szCs w:val="24"/>
          <w:lang w:val="en-GB"/>
        </w:rPr>
        <w:t xml:space="preserve"> </w:t>
      </w:r>
      <w:r w:rsidR="00B074BA"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&lt;EndNote&gt;&lt;Cite&gt;&lt;Author&gt;Pierce&lt;/Author&gt;&lt;Year&gt;2001&lt;/Year&gt;&lt;RecNum&gt;1089&lt;/RecNum&gt;&lt;DisplayText&gt;(Pierce et al., 2001; Porteous, 1976)&lt;/DisplayText&gt;&lt;record&gt;&lt;rec-number&gt;1089&lt;/rec-number&gt;&lt;foreign-keys&gt;&lt;key app="EN" db-id="es92r5v5dve2z0erx59pv50vtp29v0t9ef5f" timestamp="1507635375"&gt;1089&lt;/key&gt;&lt;/foreign-keys&gt;&lt;ref-type name="Journal Article"&gt;17&lt;/ref-type&gt;&lt;contributors&gt;&lt;authors&gt;&lt;author&gt;Pierce, Jon L.&lt;/author&gt;&lt;author&gt;Kostova, Tatiana&lt;/author&gt;&lt;author&gt;Dirks, Kurt T.&lt;/author&gt;&lt;/authors&gt;&lt;/contributors&gt;&lt;titles&gt;&lt;title&gt;Toward a theory of psychological ownership in organizations&lt;/title&gt;&lt;secondary-title&gt;The Academy of Management Review&lt;/secondary-title&gt;&lt;/titles&gt;&lt;periodical&gt;&lt;full-title&gt;The Academy of Management Review&lt;/full-title&gt;&lt;/periodical&gt;&lt;pages&gt;298-310&lt;/pages&gt;&lt;volume&gt;26&lt;/volume&gt;&lt;number&gt;2&lt;/number&gt;&lt;dates&gt;&lt;year&gt;2001&lt;/year&gt;&lt;/dates&gt;&lt;publisher&gt;Academy of Management&lt;/publisher&gt;&lt;isbn&gt;03637425&lt;/isbn&gt;&lt;urls&gt;&lt;related-urls&gt;&lt;url&gt;&lt;style face="underline" font="default" size="100%"&gt;http://www.jstor.org/stable/259124&lt;/style&gt;&lt;/url&gt;&lt;/related-urls&gt;&lt;/urls&gt;&lt;custom1&gt;Full publication date: Apr., 2001&lt;/custom1&gt;&lt;electronic-resource-num&gt;10.2307/259124&lt;/electronic-resource-num&gt;&lt;/record&gt;&lt;/Cite&gt;&lt;Cite&gt;&lt;Author&gt;Porteous&lt;/Author&gt;&lt;Year&gt;1976&lt;/Year&gt;&lt;RecNum&gt;1456&lt;/RecNum&gt;&lt;record&gt;&lt;rec-number&gt;1456&lt;/rec-number&gt;&lt;foreign-keys&gt;&lt;key app="EN" db-id="es92r5v5dve2z0erx59pv50vtp29v0t9ef5f" timestamp="1562852253"&gt;1456&lt;/key&gt;&lt;/foreign-keys&gt;&lt;ref-type name="Journal Article"&gt;17&lt;/ref-type&gt;&lt;contributors&gt;&lt;authors&gt;&lt;author&gt;Porteous, J Douglas&lt;/author&gt;&lt;/authors&gt;&lt;/contributors&gt;&lt;titles&gt;&lt;title&gt;Home: The territorial core&lt;/title&gt;&lt;secondary-title&gt;Geographical Review&lt;/secondary-title&gt;&lt;/titles&gt;&lt;periodical&gt;&lt;full-title&gt;Geographical Review&lt;/full-title&gt;&lt;/periodical&gt;&lt;pages&gt;383-390&lt;/pages&gt;&lt;dates&gt;&lt;year&gt;1976&lt;/year&gt;&lt;/dates&gt;&lt;isbn&gt;0016-7428&lt;/isbn&gt;&lt;urls&gt;&lt;/urls&gt;&lt;electronic-resource-num&gt;10.1016/0272-4944(95)90022-5&lt;/electronic-resource-num&gt;&lt;/record&gt;&lt;/Cite&gt;&lt;/EndNote&gt;</w:instrText>
      </w:r>
      <w:r w:rsidR="00B074BA" w:rsidRPr="001B3BA5">
        <w:rPr>
          <w:rFonts w:asciiTheme="majorBidi" w:hAnsiTheme="majorBidi" w:cstheme="majorBidi"/>
          <w:sz w:val="24"/>
          <w:szCs w:val="24"/>
          <w:lang w:val="en-GB"/>
        </w:rPr>
        <w:fldChar w:fldCharType="separate"/>
      </w:r>
      <w:r w:rsidR="00B074BA" w:rsidRPr="001B3BA5">
        <w:rPr>
          <w:rFonts w:asciiTheme="majorBidi" w:hAnsiTheme="majorBidi" w:cstheme="majorBidi"/>
          <w:noProof/>
          <w:sz w:val="24"/>
          <w:szCs w:val="24"/>
          <w:lang w:val="en-GB"/>
        </w:rPr>
        <w:t>(Pierce et al., 2001; Porteous, 1976)</w:t>
      </w:r>
      <w:r w:rsidR="00B074BA" w:rsidRPr="001B3BA5">
        <w:rPr>
          <w:rFonts w:asciiTheme="majorBidi" w:hAnsiTheme="majorBidi" w:cstheme="majorBidi"/>
          <w:sz w:val="24"/>
          <w:szCs w:val="24"/>
          <w:lang w:val="en-GB"/>
        </w:rPr>
        <w:fldChar w:fldCharType="end"/>
      </w:r>
      <w:r w:rsidR="00B074BA" w:rsidRPr="001B3BA5">
        <w:rPr>
          <w:rFonts w:asciiTheme="majorBidi" w:hAnsiTheme="majorBidi" w:cstheme="majorBidi"/>
          <w:sz w:val="24"/>
          <w:szCs w:val="24"/>
          <w:lang w:val="en-GB"/>
        </w:rPr>
        <w:t xml:space="preserve">, </w:t>
      </w:r>
      <w:r w:rsidR="00617FC1" w:rsidRPr="001B3BA5">
        <w:rPr>
          <w:rFonts w:asciiTheme="majorBidi" w:hAnsiTheme="majorBidi" w:cstheme="majorBidi"/>
          <w:sz w:val="24"/>
          <w:szCs w:val="24"/>
          <w:lang w:val="en-GB"/>
        </w:rPr>
        <w:t xml:space="preserve">and </w:t>
      </w:r>
      <w:r w:rsidR="00A54554" w:rsidRPr="001B3BA5">
        <w:rPr>
          <w:rFonts w:asciiTheme="majorBidi" w:hAnsiTheme="majorBidi" w:cstheme="majorBidi"/>
          <w:sz w:val="24"/>
          <w:szCs w:val="24"/>
          <w:lang w:val="en-GB"/>
        </w:rPr>
        <w:t>indeed</w:t>
      </w:r>
      <w:r w:rsidR="00F3750C"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CPO is</w:t>
      </w:r>
      <w:r w:rsidR="00A54554" w:rsidRPr="001B3BA5">
        <w:rPr>
          <w:rFonts w:asciiTheme="majorBidi" w:hAnsiTheme="majorBidi" w:cstheme="majorBidi"/>
          <w:sz w:val="24"/>
          <w:szCs w:val="24"/>
          <w:lang w:val="en-GB"/>
        </w:rPr>
        <w:t xml:space="preserve"> related but relatively</w:t>
      </w:r>
      <w:r w:rsidRPr="001B3BA5">
        <w:rPr>
          <w:rFonts w:asciiTheme="majorBidi" w:hAnsiTheme="majorBidi" w:cstheme="majorBidi"/>
          <w:sz w:val="24"/>
          <w:szCs w:val="24"/>
          <w:lang w:val="en-GB"/>
        </w:rPr>
        <w:t xml:space="preserve"> </w:t>
      </w:r>
      <w:r w:rsidR="00C25874" w:rsidRPr="001B3BA5">
        <w:rPr>
          <w:rFonts w:asciiTheme="majorBidi" w:hAnsiTheme="majorBidi" w:cstheme="majorBidi"/>
          <w:sz w:val="24"/>
          <w:szCs w:val="24"/>
          <w:lang w:val="en-GB"/>
        </w:rPr>
        <w:t>independent</w:t>
      </w:r>
      <w:r w:rsidR="00A54554" w:rsidRPr="001B3BA5">
        <w:rPr>
          <w:rFonts w:asciiTheme="majorBidi" w:hAnsiTheme="majorBidi" w:cstheme="majorBidi"/>
          <w:sz w:val="24"/>
          <w:szCs w:val="24"/>
          <w:lang w:val="en-GB"/>
        </w:rPr>
        <w:t xml:space="preserve"> from</w:t>
      </w:r>
      <w:r w:rsidRPr="001B3BA5">
        <w:rPr>
          <w:rFonts w:asciiTheme="majorBidi" w:hAnsiTheme="majorBidi" w:cstheme="majorBidi"/>
          <w:sz w:val="24"/>
          <w:szCs w:val="24"/>
          <w:lang w:val="en-GB"/>
        </w:rPr>
        <w:t xml:space="preserve"> </w:t>
      </w:r>
      <w:r w:rsidR="00B074BA" w:rsidRPr="001B3BA5">
        <w:rPr>
          <w:rFonts w:asciiTheme="majorBidi" w:hAnsiTheme="majorBidi" w:cstheme="majorBidi"/>
          <w:sz w:val="24"/>
          <w:szCs w:val="24"/>
          <w:lang w:val="en-GB"/>
        </w:rPr>
        <w:t>national identification and place attachment</w:t>
      </w:r>
      <w:r w:rsidR="0031564F" w:rsidRPr="001B3BA5">
        <w:rPr>
          <w:rFonts w:asciiTheme="majorBidi" w:hAnsiTheme="majorBidi" w:cstheme="majorBidi"/>
          <w:sz w:val="24"/>
          <w:szCs w:val="24"/>
          <w:lang w:val="en-GB"/>
        </w:rPr>
        <w:t xml:space="preserve"> </w:t>
      </w:r>
      <w:r w:rsidR="0031564F" w:rsidRPr="001B3BA5">
        <w:rPr>
          <w:rFonts w:asciiTheme="majorBidi" w:hAnsiTheme="majorBidi" w:cstheme="majorBidi"/>
          <w:sz w:val="24"/>
          <w:szCs w:val="24"/>
          <w:lang w:val="en-GB"/>
        </w:rPr>
        <w:fldChar w:fldCharType="begin">
          <w:fldData xml:space="preserve">PEVuZE5vdGU+PENpdGU+PEF1dGhvcj5Ccnlsa2E8L0F1dGhvcj48WWVhcj4yMDE1PC9ZZWFyPjxS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</w:fldData>
        </w:fldChar>
      </w:r>
      <w:r w:rsidR="005E4F6F" w:rsidRPr="001B3BA5">
        <w:rPr>
          <w:rFonts w:asciiTheme="majorBidi" w:hAnsiTheme="majorBidi" w:cstheme="majorBidi"/>
          <w:sz w:val="24"/>
          <w:szCs w:val="24"/>
          <w:lang w:val="en-GB"/>
        </w:rPr>
        <w:instrText xml:space="preserve"> ADDIN EN.CITE </w:instrText>
      </w:r>
      <w:r w:rsidR="005E4F6F" w:rsidRPr="001B3BA5">
        <w:rPr>
          <w:rFonts w:asciiTheme="majorBidi" w:hAnsiTheme="majorBidi" w:cstheme="majorBidi"/>
          <w:sz w:val="24"/>
          <w:szCs w:val="24"/>
          <w:lang w:val="en-GB"/>
        </w:rPr>
        <w:fldChar w:fldCharType="begin">
          <w:fldData xml:space="preserve">PEVuZE5vdGU+PENpdGU+PEF1dGhvcj5Ccnlsa2E8L0F1dGhvcj48WWVhcj4yMDE1PC9ZZWFyPjxS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</w:fldData>
        </w:fldChar>
      </w:r>
      <w:r w:rsidR="005E4F6F" w:rsidRPr="001B3BA5">
        <w:rPr>
          <w:rFonts w:asciiTheme="majorBidi" w:hAnsiTheme="majorBidi" w:cstheme="majorBidi"/>
          <w:sz w:val="24"/>
          <w:szCs w:val="24"/>
          <w:lang w:val="en-GB"/>
        </w:rPr>
        <w:instrText xml:space="preserve"> ADDIN EN.CITE.DATA </w:instrText>
      </w:r>
      <w:r w:rsidR="005E4F6F" w:rsidRPr="001B3BA5">
        <w:rPr>
          <w:rFonts w:asciiTheme="majorBidi" w:hAnsiTheme="majorBidi" w:cstheme="majorBidi"/>
          <w:sz w:val="24"/>
          <w:szCs w:val="24"/>
          <w:lang w:val="en-GB"/>
        </w:rPr>
      </w:r>
      <w:r w:rsidR="005E4F6F" w:rsidRPr="001B3BA5">
        <w:rPr>
          <w:rFonts w:asciiTheme="majorBidi" w:hAnsiTheme="majorBidi" w:cstheme="majorBidi"/>
          <w:sz w:val="24"/>
          <w:szCs w:val="24"/>
          <w:lang w:val="en-GB"/>
        </w:rPr>
        <w:fldChar w:fldCharType="end"/>
      </w:r>
      <w:r w:rsidR="0031564F" w:rsidRPr="001B3BA5">
        <w:rPr>
          <w:rFonts w:asciiTheme="majorBidi" w:hAnsiTheme="majorBidi" w:cstheme="majorBidi"/>
          <w:sz w:val="24"/>
          <w:szCs w:val="24"/>
          <w:lang w:val="en-GB"/>
        </w:rPr>
      </w:r>
      <w:r w:rsidR="0031564F" w:rsidRPr="001B3BA5">
        <w:rPr>
          <w:rFonts w:asciiTheme="majorBidi" w:hAnsiTheme="majorBidi" w:cstheme="majorBidi"/>
          <w:sz w:val="24"/>
          <w:szCs w:val="24"/>
          <w:lang w:val="en-GB"/>
        </w:rPr>
        <w:fldChar w:fldCharType="separate"/>
      </w:r>
      <w:r w:rsidR="005E4F6F" w:rsidRPr="001B3BA5">
        <w:rPr>
          <w:rFonts w:asciiTheme="majorBidi" w:hAnsiTheme="majorBidi" w:cstheme="majorBidi"/>
          <w:noProof/>
          <w:sz w:val="24"/>
          <w:szCs w:val="24"/>
          <w:lang w:val="en-GB"/>
        </w:rPr>
        <w:t>(Brylka et al., 2015; Storz et al., 2020)</w:t>
      </w:r>
      <w:r w:rsidR="0031564F" w:rsidRPr="001B3BA5">
        <w:rPr>
          <w:rFonts w:asciiTheme="majorBidi" w:hAnsiTheme="majorBidi" w:cstheme="majorBidi"/>
          <w:sz w:val="24"/>
          <w:szCs w:val="24"/>
          <w:lang w:val="en-GB"/>
        </w:rPr>
        <w:fldChar w:fldCharType="end"/>
      </w:r>
      <w:r w:rsidR="004A1961" w:rsidRPr="001B3BA5">
        <w:rPr>
          <w:rFonts w:asciiTheme="majorBidi" w:hAnsiTheme="majorBidi" w:cstheme="majorBidi"/>
          <w:sz w:val="24"/>
          <w:szCs w:val="24"/>
          <w:lang w:val="en-GB"/>
        </w:rPr>
        <w:t>.</w:t>
      </w:r>
      <w:r w:rsidR="00617FC1" w:rsidRPr="001B3BA5">
        <w:rPr>
          <w:rFonts w:asciiTheme="majorBidi" w:hAnsiTheme="majorBidi" w:cstheme="majorBidi"/>
          <w:sz w:val="24"/>
          <w:szCs w:val="24"/>
          <w:lang w:val="en-GB"/>
        </w:rPr>
        <w:t xml:space="preserve"> Furthermore,</w:t>
      </w:r>
      <w:r w:rsidR="00B15BB0" w:rsidRPr="001B3BA5">
        <w:rPr>
          <w:rFonts w:asciiTheme="majorBidi" w:hAnsiTheme="majorBidi" w:cstheme="majorBidi"/>
          <w:sz w:val="24"/>
          <w:szCs w:val="24"/>
          <w:lang w:val="en-GB"/>
        </w:rPr>
        <w:t xml:space="preserve"> </w:t>
      </w:r>
      <w:r w:rsidR="00245F60" w:rsidRPr="001B3BA5">
        <w:rPr>
          <w:rFonts w:asciiTheme="majorBidi" w:hAnsiTheme="majorBidi" w:cstheme="majorBidi"/>
          <w:sz w:val="24"/>
          <w:szCs w:val="24"/>
          <w:lang w:val="en-GB"/>
        </w:rPr>
        <w:t xml:space="preserve">national identification </w:t>
      </w:r>
      <w:r w:rsidR="008A20F0" w:rsidRPr="001B3BA5">
        <w:rPr>
          <w:rFonts w:asciiTheme="majorBidi" w:hAnsiTheme="majorBidi" w:cstheme="majorBidi"/>
          <w:sz w:val="24"/>
          <w:szCs w:val="24"/>
          <w:lang w:val="en-GB"/>
        </w:rPr>
        <w:t>is a</w:t>
      </w:r>
      <w:r w:rsidR="00EB0153" w:rsidRPr="001B3BA5">
        <w:rPr>
          <w:rFonts w:asciiTheme="majorBidi" w:hAnsiTheme="majorBidi" w:cstheme="majorBidi"/>
          <w:sz w:val="24"/>
          <w:szCs w:val="24"/>
          <w:lang w:val="en-GB"/>
        </w:rPr>
        <w:t xml:space="preserve"> constituent</w:t>
      </w:r>
      <w:r w:rsidR="00245F60" w:rsidRPr="001B3BA5">
        <w:rPr>
          <w:rFonts w:asciiTheme="majorBidi" w:hAnsiTheme="majorBidi" w:cstheme="majorBidi"/>
          <w:sz w:val="24"/>
          <w:szCs w:val="24"/>
          <w:lang w:val="en-GB"/>
        </w:rPr>
        <w:t xml:space="preserve"> </w:t>
      </w:r>
      <w:r w:rsidR="008A20F0" w:rsidRPr="001B3BA5">
        <w:rPr>
          <w:rFonts w:asciiTheme="majorBidi" w:hAnsiTheme="majorBidi" w:cstheme="majorBidi"/>
          <w:sz w:val="24"/>
          <w:szCs w:val="24"/>
          <w:lang w:val="en-GB"/>
        </w:rPr>
        <w:t>aspect of</w:t>
      </w:r>
      <w:r w:rsidR="008F4A37" w:rsidRPr="001B3BA5">
        <w:rPr>
          <w:rFonts w:asciiTheme="majorBidi" w:hAnsiTheme="majorBidi" w:cstheme="majorBidi"/>
          <w:sz w:val="24"/>
          <w:szCs w:val="24"/>
          <w:lang w:val="en-GB"/>
        </w:rPr>
        <w:t xml:space="preserve"> </w:t>
      </w:r>
      <w:r w:rsidR="00245F60" w:rsidRPr="001B3BA5">
        <w:rPr>
          <w:rFonts w:asciiTheme="majorBidi" w:hAnsiTheme="majorBidi" w:cstheme="majorBidi"/>
          <w:sz w:val="24"/>
          <w:szCs w:val="24"/>
          <w:lang w:val="en-GB"/>
        </w:rPr>
        <w:t xml:space="preserve">right-wing populism </w:t>
      </w:r>
      <w:r w:rsidR="003576F1" w:rsidRPr="001B3BA5">
        <w:rPr>
          <w:rFonts w:asciiTheme="majorBidi" w:hAnsiTheme="majorBidi" w:cstheme="majorBidi"/>
          <w:sz w:val="24"/>
          <w:szCs w:val="24"/>
          <w:lang w:val="en-GB"/>
        </w:rPr>
        <w:fldChar w:fldCharType="begin"/>
      </w:r>
      <w:r w:rsidR="003576F1" w:rsidRPr="001B3BA5">
        <w:rPr>
          <w:rFonts w:asciiTheme="majorBidi" w:hAnsiTheme="majorBidi" w:cstheme="majorBidi"/>
          <w:sz w:val="24"/>
          <w:szCs w:val="24"/>
          <w:lang w:val="en-GB"/>
        </w:rPr>
        <w:instrText xml:space="preserve"> ADDIN EN.CITE &lt;EndNote&gt;&lt;Cite&gt;&lt;Author&gt;Lubbers&lt;/Author&gt;&lt;Year&gt;2019&lt;/Year&gt;&lt;RecNum&gt;1416&lt;/RecNum&gt;&lt;DisplayText&gt;(Brubaker, 2019; Lubbers, 2019)&lt;/DisplayText&gt;&lt;record&gt;&lt;rec-number&gt;1416&lt;/rec-number&gt;&lt;foreign-keys&gt;&lt;key app="EN" db-id="es92r5v5dve2z0erx59pv50vtp29v0t9ef5f" timestamp="1555315422"&gt;1416&lt;/key&gt;&lt;key app="ENWeb" db-id=""&gt;0&lt;/key&gt;&lt;/foreign-keys&gt;&lt;ref-type name="Journal Article"&gt;17&lt;/ref-type&gt;&lt;contributors&gt;&lt;authors&gt;&lt;author&gt;Lubbers, Marcel&lt;/author&gt;&lt;/authors&gt;&lt;/contributors&gt;&lt;titles&gt;&lt;title&gt;What kind of nationalism sets the radical right and its electorate apart from the rest? Pride in the nation&amp;apos;s history as part of nationalist nostalgia&lt;/title&gt;&lt;secondary-title&gt;Nations and Nationalism&lt;/secondary-title&gt;&lt;/titles&gt;&lt;periodical&gt;&lt;full-title&gt;Nations and Nationalism&lt;/full-title&gt;&lt;/periodical&gt;&lt;pages&gt;449-466&lt;/pages&gt;&lt;volume&gt;25&lt;/volume&gt;&lt;number&gt;2&lt;/number&gt;&lt;dates&gt;&lt;year&gt;2019&lt;/year&gt;&lt;/dates&gt;&lt;isbn&gt;1354-5078&amp;#xD;1469-8129&lt;/isbn&gt;&lt;urls&gt;&lt;/urls&gt;&lt;electronic-resource-num&gt;10.1111/nana.12517&lt;/electronic-resource-num&gt;&lt;/record&gt;&lt;/Cite&gt;&lt;Cite&gt;&lt;Author&gt;Brubaker&lt;/Author&gt;&lt;Year&gt;2019&lt;/Year&gt;&lt;RecNum&gt;1568&lt;/RecNum&gt;&lt;record&gt;&lt;rec-number&gt;1568&lt;/rec-number&gt;&lt;foreign-keys&gt;&lt;key app="EN" db-id="es92r5v5dve2z0erx59pv50vtp29v0t9ef5f" timestamp="1583400551"&gt;1568&lt;/key&gt;&lt;key app="ENWeb" db-id=""&gt;0&lt;/key&gt;&lt;/foreign-keys&gt;&lt;ref-type name="Journal Article"&gt;17&lt;/ref-type&gt;&lt;contributors&gt;&lt;authors&gt;&lt;author&gt;Brubaker, Rogers&lt;/author&gt;&lt;/authors&gt;&lt;/contributors&gt;&lt;titles&gt;&lt;title&gt;Populism and nationalism&lt;/title&gt;&lt;secondary-title&gt;Nations and Nationalism&lt;/secondary-title&gt;&lt;/titles&gt;&lt;periodical&gt;&lt;full-title&gt;Nations and Nationalism&lt;/full-title&gt;&lt;/periodical&gt;&lt;pages&gt;44-66&lt;/pages&gt;&lt;volume&gt;26&lt;/volume&gt;&lt;number&gt;1&lt;/number&gt;&lt;dates&gt;&lt;year&gt;2019&lt;/year&gt;&lt;/dates&gt;&lt;isbn&gt;1354-5078&amp;#xD;1469-8129&lt;/isbn&gt;&lt;urls&gt;&lt;/urls&gt;&lt;electronic-resource-num&gt;10.1111/nana.12522&lt;/electronic-resource-num&gt;&lt;/record&gt;&lt;/Cite&gt;&lt;/EndNote&gt;</w:instrText>
      </w:r>
      <w:r w:rsidR="003576F1" w:rsidRPr="001B3BA5">
        <w:rPr>
          <w:rFonts w:asciiTheme="majorBidi" w:hAnsiTheme="majorBidi" w:cstheme="majorBidi"/>
          <w:sz w:val="24"/>
          <w:szCs w:val="24"/>
          <w:lang w:val="en-GB"/>
        </w:rPr>
        <w:fldChar w:fldCharType="separate"/>
      </w:r>
      <w:r w:rsidR="003576F1" w:rsidRPr="001B3BA5">
        <w:rPr>
          <w:rFonts w:asciiTheme="majorBidi" w:hAnsiTheme="majorBidi" w:cstheme="majorBidi"/>
          <w:noProof/>
          <w:sz w:val="24"/>
          <w:szCs w:val="24"/>
          <w:lang w:val="en-GB"/>
        </w:rPr>
        <w:t>(Brubaker, 2019; Lubbers, 2019)</w:t>
      </w:r>
      <w:r w:rsidR="003576F1" w:rsidRPr="001B3BA5">
        <w:rPr>
          <w:rFonts w:asciiTheme="majorBidi" w:hAnsiTheme="majorBidi" w:cstheme="majorBidi"/>
          <w:sz w:val="24"/>
          <w:szCs w:val="24"/>
          <w:lang w:val="en-GB"/>
        </w:rPr>
        <w:fldChar w:fldCharType="end"/>
      </w:r>
      <w:r w:rsidR="00C25874" w:rsidRPr="001B3BA5">
        <w:rPr>
          <w:rFonts w:asciiTheme="majorBidi" w:hAnsiTheme="majorBidi" w:cstheme="majorBidi"/>
          <w:sz w:val="24"/>
          <w:szCs w:val="24"/>
          <w:lang w:val="en-GB"/>
        </w:rPr>
        <w:t xml:space="preserve"> </w:t>
      </w:r>
      <w:r w:rsidR="00FB4B83" w:rsidRPr="001B3BA5">
        <w:rPr>
          <w:rFonts w:asciiTheme="majorBidi" w:hAnsiTheme="majorBidi" w:cstheme="majorBidi"/>
          <w:sz w:val="24"/>
          <w:szCs w:val="24"/>
          <w:lang w:val="en-GB"/>
        </w:rPr>
        <w:t>that is</w:t>
      </w:r>
      <w:r w:rsidR="00617FC1" w:rsidRPr="001B3BA5">
        <w:rPr>
          <w:rFonts w:asciiTheme="majorBidi" w:hAnsiTheme="majorBidi" w:cstheme="majorBidi"/>
          <w:sz w:val="24"/>
          <w:szCs w:val="24"/>
          <w:lang w:val="en-GB"/>
        </w:rPr>
        <w:t xml:space="preserve"> </w:t>
      </w:r>
      <w:r w:rsidR="00A54554" w:rsidRPr="001B3BA5">
        <w:rPr>
          <w:rFonts w:asciiTheme="majorBidi" w:hAnsiTheme="majorBidi" w:cstheme="majorBidi"/>
          <w:sz w:val="24"/>
          <w:szCs w:val="24"/>
          <w:lang w:val="en-GB"/>
        </w:rPr>
        <w:t xml:space="preserve">linked </w:t>
      </w:r>
      <w:r w:rsidR="00617FC1" w:rsidRPr="001B3BA5">
        <w:rPr>
          <w:rFonts w:asciiTheme="majorBidi" w:hAnsiTheme="majorBidi" w:cstheme="majorBidi"/>
          <w:sz w:val="24"/>
          <w:szCs w:val="24"/>
          <w:lang w:val="en-GB"/>
        </w:rPr>
        <w:t xml:space="preserve">to </w:t>
      </w:r>
      <w:bookmarkStart w:id="11" w:name="_Hlk15034410"/>
      <w:r w:rsidR="00966909" w:rsidRPr="001B3BA5">
        <w:rPr>
          <w:rFonts w:asciiTheme="majorBidi" w:hAnsiTheme="majorBidi" w:cstheme="majorBidi"/>
          <w:sz w:val="24"/>
          <w:szCs w:val="24"/>
          <w:lang w:val="en-GB"/>
        </w:rPr>
        <w:t xml:space="preserve">negative attitudes towards immigrants </w:t>
      </w:r>
      <w:r w:rsidR="00966909"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&lt;EndNote&gt;&lt;Cite&gt;&lt;Author&gt;Pehrson&lt;/Author&gt;&lt;Year&gt;2009&lt;/Year&gt;&lt;RecNum&gt;1467&lt;/RecNum&gt;&lt;DisplayText&gt;(Pehrson, Vignoles, &amp;amp; Brown, 2009)&lt;/DisplayText&gt;&lt;record&gt;&lt;rec-number&gt;1467&lt;/rec-number&gt;&lt;foreign-keys&gt;&lt;key app="EN" db-id="es92r5v5dve2z0erx59pv50vtp29v0t9ef5f" timestamp="1564133218"&gt;1467&lt;/key&gt;&lt;/foreign-keys&gt;&lt;ref-type name="Journal Article"&gt;17&lt;/ref-type&gt;&lt;contributors&gt;&lt;authors&gt;&lt;author&gt;Pehrson, Samuel&lt;/author&gt;&lt;author&gt;Vignoles, Vivian L&lt;/author&gt;&lt;author&gt;Brown, Rupert&lt;/author&gt;&lt;/authors&gt;&lt;/contributors&gt;&lt;titles&gt;&lt;title&gt;National identification and anti-immigrant prejudice: Individual and contextual effects of national definitions&lt;/title&gt;&lt;secondary-title&gt;Social Psychology Quarterly&lt;/secondary-title&gt;&lt;/titles&gt;&lt;periodical&gt;&lt;full-title&gt;Social Psychology Quarterly&lt;/full-title&gt;&lt;/periodical&gt;&lt;pages&gt;24-38&lt;/pages&gt;&lt;volume&gt;72&lt;/volume&gt;&lt;number&gt;1&lt;/number&gt;&lt;dates&gt;&lt;year&gt;2009&lt;/year&gt;&lt;/dates&gt;&lt;isbn&gt;0190-2725&lt;/isbn&gt;&lt;urls&gt;&lt;/urls&gt;&lt;electronic-resource-num&gt;10.1177/019027250907200104&lt;/electronic-resource-num&gt;&lt;/record&gt;&lt;/Cite&gt;&lt;/EndNote&gt;</w:instrText>
      </w:r>
      <w:r w:rsidR="00966909" w:rsidRPr="001B3BA5">
        <w:rPr>
          <w:rFonts w:asciiTheme="majorBidi" w:hAnsiTheme="majorBidi" w:cstheme="majorBidi"/>
          <w:sz w:val="24"/>
          <w:szCs w:val="24"/>
          <w:lang w:val="en-GB"/>
        </w:rPr>
        <w:fldChar w:fldCharType="separate"/>
      </w:r>
      <w:r w:rsidR="00966909" w:rsidRPr="001B3BA5">
        <w:rPr>
          <w:rFonts w:asciiTheme="majorBidi" w:hAnsiTheme="majorBidi" w:cstheme="majorBidi"/>
          <w:noProof/>
          <w:sz w:val="24"/>
          <w:szCs w:val="24"/>
          <w:lang w:val="en-GB"/>
        </w:rPr>
        <w:t>(Pehrson, Vignoles, &amp; Brown, 2009)</w:t>
      </w:r>
      <w:r w:rsidR="00966909" w:rsidRPr="001B3BA5">
        <w:rPr>
          <w:rFonts w:asciiTheme="majorBidi" w:hAnsiTheme="majorBidi" w:cstheme="majorBidi"/>
          <w:sz w:val="24"/>
          <w:szCs w:val="24"/>
          <w:lang w:val="en-GB"/>
        </w:rPr>
        <w:fldChar w:fldCharType="end"/>
      </w:r>
      <w:r w:rsidR="008A20F0" w:rsidRPr="001B3BA5">
        <w:rPr>
          <w:rFonts w:asciiTheme="majorBidi" w:hAnsiTheme="majorBidi" w:cstheme="majorBidi"/>
          <w:sz w:val="24"/>
          <w:szCs w:val="24"/>
          <w:lang w:val="en-GB"/>
        </w:rPr>
        <w:t>,</w:t>
      </w:r>
      <w:r w:rsidR="00966909" w:rsidRPr="001B3BA5">
        <w:rPr>
          <w:rFonts w:asciiTheme="majorBidi" w:hAnsiTheme="majorBidi" w:cstheme="majorBidi"/>
          <w:sz w:val="24"/>
          <w:szCs w:val="24"/>
          <w:lang w:val="en-GB"/>
        </w:rPr>
        <w:t xml:space="preserve"> the EU </w:t>
      </w:r>
      <w:r w:rsidR="00966909"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&lt;EndNote&gt;&lt;Cite&gt;&lt;Author&gt;Carey&lt;/Author&gt;&lt;Year&gt;2002&lt;/Year&gt;&lt;RecNum&gt;1378&lt;/RecNum&gt;&lt;DisplayText&gt;(Carey, 2002)&lt;/DisplayText&gt;&lt;record&gt;&lt;rec-number&gt;1378&lt;/rec-number&gt;&lt;foreign-keys&gt;&lt;key app="EN" db-id="es92r5v5dve2z0erx59pv50vtp29v0t9ef5f" timestamp="1550650128"&gt;1378&lt;/key&gt;&lt;/foreign-keys&gt;&lt;ref-type name="Journal Article"&gt;17&lt;/ref-type&gt;&lt;contributors&gt;&lt;authors&gt;&lt;author&gt;Carey, Sean&lt;/author&gt;&lt;/authors&gt;&lt;/contributors&gt;&lt;titles&gt;&lt;title&gt;Undivided loyalties: is national identity an obstacle to European integration?&lt;/title&gt;&lt;secondary-title&gt;European union politics&lt;/secondary-title&gt;&lt;/titles&gt;&lt;periodical&gt;&lt;full-title&gt;European Union Politics&lt;/full-title&gt;&lt;/periodical&gt;&lt;pages&gt;387-413&lt;/pages&gt;&lt;volume&gt;3&lt;/volume&gt;&lt;number&gt;4&lt;/number&gt;&lt;dates&gt;&lt;year&gt;2002&lt;/year&gt;&lt;/dates&gt;&lt;isbn&gt;1465-1165&lt;/isbn&gt;&lt;urls&gt;&lt;/urls&gt;&lt;electronic-resource-num&gt;10.1177/1465116502003004001&lt;/electronic-resource-num&gt;&lt;/record&gt;&lt;/Cite&gt;&lt;/EndNote&gt;</w:instrText>
      </w:r>
      <w:r w:rsidR="00966909" w:rsidRPr="001B3BA5">
        <w:rPr>
          <w:rFonts w:asciiTheme="majorBidi" w:hAnsiTheme="majorBidi" w:cstheme="majorBidi"/>
          <w:sz w:val="24"/>
          <w:szCs w:val="24"/>
          <w:lang w:val="en-GB"/>
        </w:rPr>
        <w:fldChar w:fldCharType="separate"/>
      </w:r>
      <w:r w:rsidR="00966909" w:rsidRPr="001B3BA5">
        <w:rPr>
          <w:rFonts w:asciiTheme="majorBidi" w:hAnsiTheme="majorBidi" w:cstheme="majorBidi"/>
          <w:noProof/>
          <w:sz w:val="24"/>
          <w:szCs w:val="24"/>
          <w:lang w:val="en-GB"/>
        </w:rPr>
        <w:t>(Carey, 2002)</w:t>
      </w:r>
      <w:r w:rsidR="00966909" w:rsidRPr="001B3BA5">
        <w:rPr>
          <w:rFonts w:asciiTheme="majorBidi" w:hAnsiTheme="majorBidi" w:cstheme="majorBidi"/>
          <w:sz w:val="24"/>
          <w:szCs w:val="24"/>
          <w:lang w:val="en-GB"/>
        </w:rPr>
        <w:fldChar w:fldCharType="end"/>
      </w:r>
      <w:r w:rsidR="00966909" w:rsidRPr="001B3BA5">
        <w:rPr>
          <w:rFonts w:asciiTheme="majorBidi" w:hAnsiTheme="majorBidi" w:cstheme="majorBidi"/>
          <w:sz w:val="24"/>
          <w:szCs w:val="24"/>
          <w:lang w:val="en-GB"/>
        </w:rPr>
        <w:t xml:space="preserve">, and the </w:t>
      </w:r>
      <w:r w:rsidR="008A20F0" w:rsidRPr="001B3BA5">
        <w:rPr>
          <w:rFonts w:asciiTheme="majorBidi" w:hAnsiTheme="majorBidi" w:cstheme="majorBidi"/>
          <w:sz w:val="24"/>
          <w:szCs w:val="24"/>
          <w:lang w:val="en-GB"/>
        </w:rPr>
        <w:t>pro</w:t>
      </w:r>
      <w:r w:rsidR="00A54554" w:rsidRPr="001B3BA5">
        <w:rPr>
          <w:rFonts w:asciiTheme="majorBidi" w:hAnsiTheme="majorBidi" w:cstheme="majorBidi"/>
          <w:sz w:val="24"/>
          <w:szCs w:val="24"/>
          <w:lang w:val="en-GB"/>
        </w:rPr>
        <w:t>-</w:t>
      </w:r>
      <w:r w:rsidR="00966909" w:rsidRPr="001B3BA5">
        <w:rPr>
          <w:rFonts w:asciiTheme="majorBidi" w:hAnsiTheme="majorBidi" w:cstheme="majorBidi"/>
          <w:sz w:val="24"/>
          <w:szCs w:val="24"/>
          <w:lang w:val="en-GB"/>
        </w:rPr>
        <w:t xml:space="preserve">Brexit vote </w:t>
      </w:r>
      <w:r w:rsidR="00966909"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&lt;EndNote&gt;&lt;Cite&gt;&lt;Author&gt;Hobolt&lt;/Author&gt;&lt;Year&gt;2016&lt;/Year&gt;&lt;RecNum&gt;1281&lt;/RecNum&gt;&lt;DisplayText&gt;(Hobolt, 2016)&lt;/DisplayText&gt;&lt;record&gt;&lt;rec-number&gt;1281&lt;/rec-number&gt;&lt;foreign-keys&gt;&lt;key app="EN" db-id="es92r5v5dve2z0erx59pv50vtp29v0t9ef5f" timestamp="1530191999"&gt;1281&lt;/key&gt;&lt;key app="ENWeb" db-id=""&gt;0&lt;/key&gt;&lt;/foreign-keys&gt;&lt;ref-type name="Journal Article"&gt;17&lt;/ref-type&gt;&lt;contributors&gt;&lt;authors&gt;&lt;author&gt;Hobolt, Sara B.&lt;/author&gt;&lt;/authors&gt;&lt;/contributors&gt;&lt;titles&gt;&lt;title&gt;The Brexit vote: A divided nation, a divided continent&lt;/title&gt;&lt;secondary-title&gt;Journal of European Public Policy&lt;/secondary-title&gt;&lt;/titles&gt;&lt;periodical&gt;&lt;full-title&gt;Journal of European Public Policy&lt;/full-title&gt;&lt;/periodical&gt;&lt;pages&gt;1259-1277&lt;/pages&gt;&lt;volume&gt;23&lt;/volume&gt;&lt;number&gt;9&lt;/number&gt;&lt;dates&gt;&lt;year&gt;2016&lt;/year&gt;&lt;/dates&gt;&lt;isbn&gt;1350-1763&amp;#xD;1466-4429&lt;/isbn&gt;&lt;urls&gt;&lt;/urls&gt;&lt;electronic-resource-num&gt;10.1080/13501763.2016.1225785&lt;/electronic-resource-num&gt;&lt;/record&gt;&lt;/Cite&gt;&lt;/EndNote&gt;</w:instrText>
      </w:r>
      <w:r w:rsidR="00966909" w:rsidRPr="001B3BA5">
        <w:rPr>
          <w:rFonts w:asciiTheme="majorBidi" w:hAnsiTheme="majorBidi" w:cstheme="majorBidi"/>
          <w:sz w:val="24"/>
          <w:szCs w:val="24"/>
          <w:lang w:val="en-GB"/>
        </w:rPr>
        <w:fldChar w:fldCharType="separate"/>
      </w:r>
      <w:r w:rsidR="00966909" w:rsidRPr="001B3BA5">
        <w:rPr>
          <w:rFonts w:asciiTheme="majorBidi" w:hAnsiTheme="majorBidi" w:cstheme="majorBidi"/>
          <w:noProof/>
          <w:sz w:val="24"/>
          <w:szCs w:val="24"/>
          <w:lang w:val="en-GB"/>
        </w:rPr>
        <w:t>(Hobolt, 2016)</w:t>
      </w:r>
      <w:r w:rsidR="00966909" w:rsidRPr="001B3BA5">
        <w:rPr>
          <w:rFonts w:asciiTheme="majorBidi" w:hAnsiTheme="majorBidi" w:cstheme="majorBidi"/>
          <w:sz w:val="24"/>
          <w:szCs w:val="24"/>
          <w:lang w:val="en-GB"/>
        </w:rPr>
        <w:fldChar w:fldCharType="end"/>
      </w:r>
      <w:bookmarkEnd w:id="11"/>
      <w:r w:rsidR="00B074BA" w:rsidRPr="001B3BA5">
        <w:rPr>
          <w:rFonts w:asciiTheme="majorBidi" w:hAnsiTheme="majorBidi" w:cstheme="majorBidi"/>
          <w:sz w:val="24"/>
          <w:szCs w:val="24"/>
          <w:lang w:val="en-GB"/>
        </w:rPr>
        <w:t xml:space="preserve">. Place attachment entails a positive affective bond between an individual and a specific territory </w:t>
      </w:r>
      <w:r w:rsidR="00B074BA" w:rsidRPr="001B3BA5">
        <w:rPr>
          <w:rFonts w:asciiTheme="majorBidi" w:hAnsiTheme="majorBidi" w:cstheme="majorBidi"/>
          <w:sz w:val="24"/>
          <w:szCs w:val="24"/>
          <w:lang w:val="en-GB"/>
        </w:rPr>
        <w:fldChar w:fldCharType="begin"/>
      </w:r>
      <w:r w:rsidR="00B074BA" w:rsidRPr="001B3BA5">
        <w:rPr>
          <w:rFonts w:asciiTheme="majorBidi" w:hAnsiTheme="majorBidi" w:cstheme="majorBidi"/>
          <w:sz w:val="24"/>
          <w:szCs w:val="24"/>
          <w:lang w:val="en-GB"/>
        </w:rPr>
        <w:instrText xml:space="preserve"> ADDIN EN.CITE &lt;EndNote&gt;&lt;Cite&gt;&lt;Author&gt;Scannell&lt;/Author&gt;&lt;Year&gt;2010&lt;/Year&gt;&lt;RecNum&gt;1233&lt;/RecNum&gt;&lt;DisplayText&gt;(Scannell &amp;amp; Gifford, 2010)&lt;/DisplayText&gt;&lt;record&gt;&lt;rec-number&gt;1233&lt;/rec-number&gt;&lt;foreign-keys&gt;&lt;key app="EN" db-id="es92r5v5dve2z0erx59pv50vtp29v0t9ef5f" timestamp="1525788152"&gt;1233&lt;/key&gt;&lt;key app="ENWeb" db-id=""&gt;0&lt;/key&gt;&lt;/foreign-keys&gt;&lt;ref-type name="Journal Article"&gt;17&lt;/ref-type&gt;&lt;contributors&gt;&lt;authors&gt;&lt;author&gt;Scannell, Leila&lt;/author&gt;&lt;author&gt;Gifford, Robert&lt;/author&gt;&lt;/authors&gt;&lt;/contributors&gt;&lt;titles&gt;&lt;title&gt;Defining place attachment: A tripartite organizing framework&lt;/title&gt;&lt;secondary-title&gt;Journal of Environmental Psychology&lt;/secondary-title&gt;&lt;/titles&gt;&lt;periodical&gt;&lt;full-title&gt;Journal of Environmental Psychology&lt;/full-title&gt;&lt;/periodical&gt;&lt;pages&gt;1-10&lt;/pages&gt;&lt;volume&gt;30&lt;/volume&gt;&lt;number&gt;1&lt;/number&gt;&lt;dates&gt;&lt;year&gt;2010&lt;/year&gt;&lt;/dates&gt;&lt;isbn&gt;02724944&lt;/isbn&gt;&lt;urls&gt;&lt;/urls&gt;&lt;electronic-resource-num&gt;10.1016/j.jenvp.2009.09.006&lt;/electronic-resource-num&gt;&lt;/record&gt;&lt;/Cite&gt;&lt;/EndNote&gt;</w:instrText>
      </w:r>
      <w:r w:rsidR="00B074BA" w:rsidRPr="001B3BA5">
        <w:rPr>
          <w:rFonts w:asciiTheme="majorBidi" w:hAnsiTheme="majorBidi" w:cstheme="majorBidi"/>
          <w:sz w:val="24"/>
          <w:szCs w:val="24"/>
          <w:lang w:val="en-GB"/>
        </w:rPr>
        <w:fldChar w:fldCharType="separate"/>
      </w:r>
      <w:r w:rsidR="00B074BA" w:rsidRPr="001B3BA5">
        <w:rPr>
          <w:rFonts w:asciiTheme="majorBidi" w:hAnsiTheme="majorBidi" w:cstheme="majorBidi"/>
          <w:noProof/>
          <w:sz w:val="24"/>
          <w:szCs w:val="24"/>
          <w:lang w:val="en-GB"/>
        </w:rPr>
        <w:t>(Scannell &amp; Gifford, 2010)</w:t>
      </w:r>
      <w:r w:rsidR="00B074BA" w:rsidRPr="001B3BA5">
        <w:rPr>
          <w:rFonts w:asciiTheme="majorBidi" w:hAnsiTheme="majorBidi" w:cstheme="majorBidi"/>
          <w:sz w:val="24"/>
          <w:szCs w:val="24"/>
          <w:lang w:val="en-GB"/>
        </w:rPr>
        <w:fldChar w:fldCharType="end"/>
      </w:r>
      <w:r w:rsidR="00EB0153" w:rsidRPr="001B3BA5">
        <w:rPr>
          <w:rFonts w:asciiTheme="majorBidi" w:hAnsiTheme="majorBidi" w:cstheme="majorBidi"/>
          <w:sz w:val="24"/>
          <w:szCs w:val="24"/>
          <w:lang w:val="en-GB"/>
        </w:rPr>
        <w:t xml:space="preserve">, </w:t>
      </w:r>
      <w:r w:rsidR="00B074BA" w:rsidRPr="001B3BA5">
        <w:rPr>
          <w:rFonts w:asciiTheme="majorBidi" w:hAnsiTheme="majorBidi" w:cstheme="majorBidi"/>
          <w:sz w:val="24"/>
          <w:szCs w:val="24"/>
          <w:lang w:val="en-GB"/>
        </w:rPr>
        <w:t xml:space="preserve">a </w:t>
      </w:r>
      <w:r w:rsidRPr="001B3BA5">
        <w:rPr>
          <w:rFonts w:asciiTheme="majorBidi" w:hAnsiTheme="majorBidi" w:cstheme="majorBidi"/>
          <w:sz w:val="24"/>
          <w:szCs w:val="24"/>
          <w:lang w:val="en-GB"/>
        </w:rPr>
        <w:t xml:space="preserve">sense </w:t>
      </w:r>
      <w:r w:rsidR="00B074BA" w:rsidRPr="001B3BA5">
        <w:rPr>
          <w:rFonts w:asciiTheme="majorBidi" w:hAnsiTheme="majorBidi" w:cstheme="majorBidi"/>
          <w:sz w:val="24"/>
          <w:szCs w:val="24"/>
          <w:lang w:val="en-GB"/>
        </w:rPr>
        <w:t xml:space="preserve">that </w:t>
      </w:r>
      <w:r w:rsidR="00B146E8" w:rsidRPr="001B3BA5">
        <w:rPr>
          <w:rFonts w:asciiTheme="majorBidi" w:hAnsiTheme="majorBidi" w:cstheme="majorBidi"/>
          <w:sz w:val="24"/>
          <w:szCs w:val="24"/>
          <w:lang w:val="en-GB"/>
        </w:rPr>
        <w:t>‘</w:t>
      </w:r>
      <w:r w:rsidR="00B074BA" w:rsidRPr="001B3BA5">
        <w:rPr>
          <w:rFonts w:asciiTheme="majorBidi" w:hAnsiTheme="majorBidi" w:cstheme="majorBidi"/>
          <w:sz w:val="24"/>
          <w:szCs w:val="24"/>
          <w:lang w:val="en-GB"/>
        </w:rPr>
        <w:t>I belong to the place</w:t>
      </w:r>
      <w:r w:rsidR="00B146E8" w:rsidRPr="001B3BA5">
        <w:rPr>
          <w:rFonts w:asciiTheme="majorBidi" w:hAnsiTheme="majorBidi" w:cstheme="majorBidi"/>
          <w:sz w:val="24"/>
          <w:szCs w:val="24"/>
          <w:lang w:val="en-GB"/>
        </w:rPr>
        <w:t>’</w:t>
      </w:r>
      <w:r w:rsidR="00EB0153" w:rsidRPr="001B3BA5">
        <w:rPr>
          <w:rFonts w:asciiTheme="majorBidi" w:hAnsiTheme="majorBidi" w:cstheme="majorBidi"/>
          <w:sz w:val="24"/>
          <w:szCs w:val="24"/>
          <w:lang w:val="en-GB"/>
        </w:rPr>
        <w:t xml:space="preserve">, </w:t>
      </w:r>
      <w:r w:rsidR="00B074BA" w:rsidRPr="001B3BA5">
        <w:rPr>
          <w:rFonts w:asciiTheme="majorBidi" w:hAnsiTheme="majorBidi" w:cstheme="majorBidi"/>
          <w:sz w:val="24"/>
          <w:szCs w:val="24"/>
          <w:lang w:val="en-GB"/>
        </w:rPr>
        <w:t xml:space="preserve">whereas </w:t>
      </w:r>
      <w:r w:rsidR="00B41B02" w:rsidRPr="001B3BA5">
        <w:rPr>
          <w:rFonts w:asciiTheme="majorBidi" w:hAnsiTheme="majorBidi" w:cstheme="majorBidi"/>
          <w:sz w:val="24"/>
          <w:szCs w:val="24"/>
          <w:lang w:val="en-GB"/>
        </w:rPr>
        <w:t>CPO</w:t>
      </w:r>
      <w:r w:rsidR="00CB77DE" w:rsidRPr="001B3BA5">
        <w:rPr>
          <w:rFonts w:asciiTheme="majorBidi" w:hAnsiTheme="majorBidi" w:cstheme="majorBidi"/>
          <w:sz w:val="24"/>
          <w:szCs w:val="24"/>
          <w:lang w:val="en-GB"/>
        </w:rPr>
        <w:t xml:space="preserve"> </w:t>
      </w:r>
      <w:r w:rsidR="00B074BA" w:rsidRPr="001B3BA5">
        <w:rPr>
          <w:rFonts w:asciiTheme="majorBidi" w:hAnsiTheme="majorBidi" w:cstheme="majorBidi"/>
          <w:sz w:val="24"/>
          <w:szCs w:val="24"/>
          <w:lang w:val="en-GB"/>
        </w:rPr>
        <w:t xml:space="preserve">concerns the perception that </w:t>
      </w:r>
      <w:r w:rsidR="00B146E8" w:rsidRPr="001B3BA5">
        <w:rPr>
          <w:rFonts w:asciiTheme="majorBidi" w:hAnsiTheme="majorBidi" w:cstheme="majorBidi"/>
          <w:sz w:val="24"/>
          <w:szCs w:val="24"/>
          <w:lang w:val="en-GB"/>
        </w:rPr>
        <w:t>‘</w:t>
      </w:r>
      <w:r w:rsidR="00B074BA" w:rsidRPr="001B3BA5">
        <w:rPr>
          <w:rFonts w:asciiTheme="majorBidi" w:hAnsiTheme="majorBidi" w:cstheme="majorBidi"/>
          <w:sz w:val="24"/>
          <w:szCs w:val="24"/>
          <w:lang w:val="en-GB"/>
        </w:rPr>
        <w:t>the place belongs to us</w:t>
      </w:r>
      <w:r w:rsidR="00B146E8" w:rsidRPr="001B3BA5">
        <w:rPr>
          <w:rFonts w:asciiTheme="majorBidi" w:hAnsiTheme="majorBidi" w:cstheme="majorBidi"/>
          <w:sz w:val="24"/>
          <w:szCs w:val="24"/>
          <w:lang w:val="en-GB"/>
        </w:rPr>
        <w:t>’</w:t>
      </w:r>
      <w:r w:rsidR="00B074BA" w:rsidRPr="001B3BA5">
        <w:rPr>
          <w:rFonts w:asciiTheme="majorBidi" w:hAnsiTheme="majorBidi" w:cstheme="majorBidi"/>
          <w:sz w:val="24"/>
          <w:szCs w:val="24"/>
          <w:lang w:val="en-GB"/>
        </w:rPr>
        <w:t xml:space="preserve">. </w:t>
      </w:r>
      <w:bookmarkStart w:id="12" w:name="_Hlk15034741"/>
    </w:p>
    <w:bookmarkEnd w:id="12"/>
    <w:p w14:paraId="69D57905" w14:textId="42399E68" w:rsidR="00C25874" w:rsidRPr="001B3BA5" w:rsidRDefault="000A1171">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 xml:space="preserve">Exclusionary </w:t>
      </w:r>
      <w:r w:rsidR="00FB4B83" w:rsidRPr="001B3BA5">
        <w:rPr>
          <w:rFonts w:asciiTheme="majorBidi" w:hAnsiTheme="majorBidi" w:cstheme="majorBidi"/>
          <w:sz w:val="24"/>
          <w:szCs w:val="24"/>
          <w:lang w:val="en-GB"/>
        </w:rPr>
        <w:t>reactions</w:t>
      </w:r>
      <w:r w:rsidRPr="001B3BA5">
        <w:rPr>
          <w:rFonts w:asciiTheme="majorBidi" w:hAnsiTheme="majorBidi" w:cstheme="majorBidi"/>
          <w:sz w:val="24"/>
          <w:szCs w:val="24"/>
          <w:lang w:val="en-GB"/>
        </w:rPr>
        <w:t xml:space="preserve"> can</w:t>
      </w:r>
      <w:r w:rsidR="000170A8" w:rsidRPr="001B3BA5">
        <w:rPr>
          <w:rFonts w:asciiTheme="majorBidi" w:hAnsiTheme="majorBidi" w:cstheme="majorBidi"/>
          <w:sz w:val="24"/>
          <w:szCs w:val="24"/>
          <w:lang w:val="en-GB"/>
        </w:rPr>
        <w:t xml:space="preserve"> further</w:t>
      </w:r>
      <w:r w:rsidRPr="001B3BA5">
        <w:rPr>
          <w:rFonts w:asciiTheme="majorBidi" w:hAnsiTheme="majorBidi" w:cstheme="majorBidi"/>
          <w:sz w:val="24"/>
          <w:szCs w:val="24"/>
          <w:lang w:val="en-GB"/>
        </w:rPr>
        <w:t xml:space="preserve"> be explained by adherence to </w:t>
      </w:r>
      <w:r w:rsidR="00673405" w:rsidRPr="001B3BA5">
        <w:rPr>
          <w:rFonts w:asciiTheme="majorBidi" w:hAnsiTheme="majorBidi" w:cstheme="majorBidi"/>
          <w:sz w:val="24"/>
          <w:szCs w:val="24"/>
          <w:lang w:val="en-GB"/>
        </w:rPr>
        <w:t xml:space="preserve">state </w:t>
      </w:r>
      <w:r w:rsidRPr="001B3BA5">
        <w:rPr>
          <w:rFonts w:asciiTheme="majorBidi" w:hAnsiTheme="majorBidi" w:cstheme="majorBidi"/>
          <w:sz w:val="24"/>
          <w:szCs w:val="24"/>
          <w:lang w:val="en-GB"/>
        </w:rPr>
        <w:t>sovereignty. Sovereignty is a political principle that refers to the supreme authority to rule without outside interference</w:t>
      </w:r>
      <w:r w:rsidR="00A54554" w:rsidRPr="001B3BA5">
        <w:rPr>
          <w:rFonts w:asciiTheme="majorBidi" w:hAnsiTheme="majorBidi" w:cstheme="majorBidi"/>
          <w:sz w:val="24"/>
          <w:szCs w:val="24"/>
          <w:lang w:val="en-GB"/>
        </w:rPr>
        <w:t>. It</w:t>
      </w:r>
      <w:r w:rsidR="00E227A0" w:rsidRPr="001B3BA5">
        <w:rPr>
          <w:rFonts w:asciiTheme="majorBidi" w:hAnsiTheme="majorBidi" w:cstheme="majorBidi"/>
          <w:sz w:val="24"/>
          <w:szCs w:val="24"/>
          <w:lang w:val="en-GB"/>
        </w:rPr>
        <w:t xml:space="preserve"> was used</w:t>
      </w:r>
      <w:r w:rsidR="00712947"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in the Brexit debate to argue </w:t>
      </w:r>
      <w:r w:rsidR="00683752" w:rsidRPr="001B3BA5">
        <w:rPr>
          <w:rFonts w:asciiTheme="majorBidi" w:hAnsiTheme="majorBidi" w:cstheme="majorBidi"/>
          <w:sz w:val="24"/>
          <w:szCs w:val="24"/>
          <w:lang w:val="en-GB"/>
        </w:rPr>
        <w:t xml:space="preserve">against </w:t>
      </w:r>
      <w:r w:rsidR="00B146E8" w:rsidRPr="001B3BA5">
        <w:rPr>
          <w:rFonts w:asciiTheme="majorBidi" w:hAnsiTheme="majorBidi" w:cstheme="majorBidi"/>
          <w:sz w:val="24"/>
          <w:szCs w:val="24"/>
          <w:lang w:val="en-GB"/>
        </w:rPr>
        <w:t>‘</w:t>
      </w:r>
      <w:r w:rsidR="00683752" w:rsidRPr="001B3BA5">
        <w:rPr>
          <w:rFonts w:asciiTheme="majorBidi" w:hAnsiTheme="majorBidi" w:cstheme="majorBidi"/>
          <w:sz w:val="24"/>
          <w:szCs w:val="24"/>
          <w:lang w:val="en-GB"/>
        </w:rPr>
        <w:t>Brussel</w:t>
      </w:r>
      <w:r w:rsidR="00E227A0" w:rsidRPr="001B3BA5">
        <w:rPr>
          <w:rFonts w:asciiTheme="majorBidi" w:hAnsiTheme="majorBidi" w:cstheme="majorBidi"/>
          <w:sz w:val="24"/>
          <w:szCs w:val="24"/>
          <w:lang w:val="en-GB"/>
        </w:rPr>
        <w:t>s</w:t>
      </w:r>
      <w:r w:rsidR="00683752" w:rsidRPr="001B3BA5">
        <w:rPr>
          <w:rFonts w:asciiTheme="majorBidi" w:hAnsiTheme="majorBidi" w:cstheme="majorBidi"/>
          <w:sz w:val="24"/>
          <w:szCs w:val="24"/>
          <w:lang w:val="en-GB"/>
        </w:rPr>
        <w:t xml:space="preserve"> bureaucrats</w:t>
      </w:r>
      <w:r w:rsidR="008A20F0" w:rsidRPr="001B3BA5">
        <w:rPr>
          <w:rFonts w:asciiTheme="majorBidi" w:hAnsiTheme="majorBidi" w:cstheme="majorBidi"/>
          <w:sz w:val="24"/>
          <w:szCs w:val="24"/>
          <w:lang w:val="en-GB"/>
        </w:rPr>
        <w:t xml:space="preserve"> and elites</w:t>
      </w:r>
      <w:r w:rsidR="00B146E8" w:rsidRPr="001B3BA5">
        <w:rPr>
          <w:rFonts w:asciiTheme="majorBidi" w:hAnsiTheme="majorBidi" w:cstheme="majorBidi"/>
          <w:sz w:val="24"/>
          <w:szCs w:val="24"/>
          <w:lang w:val="en-GB"/>
        </w:rPr>
        <w:t>’</w:t>
      </w:r>
      <w:r w:rsidR="00683752" w:rsidRPr="001B3BA5">
        <w:rPr>
          <w:rFonts w:asciiTheme="majorBidi" w:hAnsiTheme="majorBidi" w:cstheme="majorBidi"/>
          <w:sz w:val="24"/>
          <w:szCs w:val="24"/>
          <w:lang w:val="en-GB"/>
        </w:rPr>
        <w:t xml:space="preserve"> making decisions about </w:t>
      </w:r>
      <w:r w:rsidRPr="001B3BA5">
        <w:rPr>
          <w:rFonts w:asciiTheme="majorBidi" w:hAnsiTheme="majorBidi" w:cstheme="majorBidi"/>
          <w:sz w:val="24"/>
          <w:szCs w:val="24"/>
          <w:lang w:val="en-GB"/>
        </w:rPr>
        <w:t>national matters, including immigration</w:t>
      </w:r>
      <w:r w:rsidR="000D7447" w:rsidRPr="001B3BA5">
        <w:rPr>
          <w:rFonts w:asciiTheme="majorBidi" w:hAnsiTheme="majorBidi" w:cstheme="majorBidi"/>
          <w:sz w:val="24"/>
          <w:szCs w:val="24"/>
          <w:lang w:val="en-GB"/>
        </w:rPr>
        <w:t xml:space="preserve"> </w:t>
      </w:r>
      <w:r w:rsidR="000D7447" w:rsidRPr="001B3BA5">
        <w:rPr>
          <w:rFonts w:asciiTheme="majorBidi" w:hAnsiTheme="majorBidi" w:cstheme="majorBidi"/>
          <w:sz w:val="24"/>
          <w:szCs w:val="24"/>
          <w:lang w:val="en-GB"/>
        </w:rPr>
        <w:fldChar w:fldCharType="begin"/>
      </w:r>
      <w:r w:rsidR="00A8146C" w:rsidRPr="001B3BA5">
        <w:rPr>
          <w:rFonts w:asciiTheme="majorBidi" w:hAnsiTheme="majorBidi" w:cstheme="majorBidi"/>
          <w:sz w:val="24"/>
          <w:szCs w:val="24"/>
          <w:lang w:val="en-GB"/>
        </w:rPr>
        <w:instrText xml:space="preserve"> ADDIN EN.CITE &lt;EndNote&gt;&lt;Cite&gt;&lt;Author&gt;Ringeisen-Biardeaud&lt;/Author&gt;&lt;Year&gt;2017&lt;/Year&gt;&lt;RecNum&gt;1468&lt;/RecNum&gt;&lt;DisplayText&gt;(Ringeisen-Biardeaud, 2017)&lt;/DisplayText&gt;&lt;record&gt;&lt;rec-number&gt;1468&lt;/rec-number&gt;&lt;foreign-keys&gt;&lt;key app="EN" db-id="es92r5v5dve2z0erx59pv50vtp29v0t9ef5f" timestamp="1564139038"&gt;1468&lt;/key&gt;&lt;key app="ENWeb" db-id=""&gt;0&lt;/key&gt;&lt;/foreign-keys&gt;&lt;ref-type name="Journal Article"&gt;17&lt;/ref-type&gt;&lt;contributors&gt;&lt;authors&gt;&lt;author&gt;Ringeisen-Biardeaud, Juliette&lt;/author&gt;&lt;/authors&gt;&lt;/contributors&gt;&lt;titles&gt;&lt;title&gt;“Let’s take back control”: Brexit and the debate on sovereignty&lt;/title&gt;&lt;secondary-title&gt;Revue française de civilisation britannique&lt;/secondary-title&gt;&lt;/titles&gt;&lt;periodical&gt;&lt;full-title&gt;Revue française de civilisation britannique&lt;/full-title&gt;&lt;/periodical&gt;&lt;volume&gt;22&lt;/volume&gt;&lt;number&gt;2&lt;/number&gt;&lt;dates&gt;&lt;year&gt;2017&lt;/year&gt;&lt;/dates&gt;&lt;isbn&gt;0248-9015&amp;#xD;2429-4373&lt;/isbn&gt;&lt;urls&gt;&lt;/urls&gt;&lt;electronic-resource-num&gt;10.4000/rfcb.1319&lt;/electronic-resource-num&gt;&lt;/record&gt;&lt;/Cite&gt;&lt;/EndNote&gt;</w:instrText>
      </w:r>
      <w:r w:rsidR="000D7447" w:rsidRPr="001B3BA5">
        <w:rPr>
          <w:rFonts w:asciiTheme="majorBidi" w:hAnsiTheme="majorBidi" w:cstheme="majorBidi"/>
          <w:sz w:val="24"/>
          <w:szCs w:val="24"/>
          <w:lang w:val="en-GB"/>
        </w:rPr>
        <w:fldChar w:fldCharType="separate"/>
      </w:r>
      <w:r w:rsidR="000D7447" w:rsidRPr="001B3BA5">
        <w:rPr>
          <w:rFonts w:asciiTheme="majorBidi" w:hAnsiTheme="majorBidi" w:cstheme="majorBidi"/>
          <w:noProof/>
          <w:sz w:val="24"/>
          <w:szCs w:val="24"/>
          <w:lang w:val="en-GB"/>
        </w:rPr>
        <w:t>(Ringeisen-Biardeaud, 2017)</w:t>
      </w:r>
      <w:r w:rsidR="000D7447" w:rsidRPr="001B3BA5">
        <w:rPr>
          <w:rFonts w:asciiTheme="majorBidi" w:hAnsiTheme="majorBidi" w:cstheme="majorBidi"/>
          <w:sz w:val="24"/>
          <w:szCs w:val="24"/>
          <w:lang w:val="en-GB"/>
        </w:rPr>
        <w:fldChar w:fldCharType="end"/>
      </w:r>
      <w:r w:rsidRPr="001B3BA5">
        <w:rPr>
          <w:rFonts w:asciiTheme="majorBidi" w:hAnsiTheme="majorBidi" w:cstheme="majorBidi"/>
          <w:sz w:val="24"/>
          <w:szCs w:val="24"/>
          <w:lang w:val="en-GB"/>
        </w:rPr>
        <w:t xml:space="preserve">. Both sovereignty and </w:t>
      </w:r>
      <w:r w:rsidR="00E227A0" w:rsidRPr="001B3BA5">
        <w:rPr>
          <w:rFonts w:asciiTheme="majorBidi" w:hAnsiTheme="majorBidi" w:cstheme="majorBidi"/>
          <w:sz w:val="24"/>
          <w:szCs w:val="24"/>
          <w:lang w:val="en-GB"/>
        </w:rPr>
        <w:t>CPO</w:t>
      </w:r>
      <w:r w:rsidRPr="001B3BA5">
        <w:rPr>
          <w:rFonts w:asciiTheme="majorBidi" w:hAnsiTheme="majorBidi" w:cstheme="majorBidi"/>
          <w:sz w:val="24"/>
          <w:szCs w:val="24"/>
          <w:lang w:val="en-GB"/>
        </w:rPr>
        <w:t xml:space="preserve"> can</w:t>
      </w:r>
      <w:r w:rsidR="00E227A0" w:rsidRPr="001B3BA5">
        <w:rPr>
          <w:rFonts w:asciiTheme="majorBidi" w:hAnsiTheme="majorBidi" w:cstheme="majorBidi"/>
          <w:sz w:val="24"/>
          <w:szCs w:val="24"/>
          <w:lang w:val="en-GB"/>
        </w:rPr>
        <w:t xml:space="preserve"> account for </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why we get to decide</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w:t>
      </w:r>
      <w:r w:rsidR="00683752" w:rsidRPr="001B3BA5">
        <w:rPr>
          <w:rFonts w:asciiTheme="majorBidi" w:hAnsiTheme="majorBidi" w:cstheme="majorBidi"/>
          <w:sz w:val="24"/>
          <w:szCs w:val="24"/>
          <w:lang w:val="en-GB"/>
        </w:rPr>
        <w:t xml:space="preserve">However, whereas sovereignty </w:t>
      </w:r>
      <w:r w:rsidR="00A37B16" w:rsidRPr="001B3BA5">
        <w:rPr>
          <w:rFonts w:asciiTheme="majorBidi" w:hAnsiTheme="majorBidi" w:cstheme="majorBidi"/>
          <w:sz w:val="24"/>
          <w:szCs w:val="24"/>
          <w:lang w:val="en-GB"/>
        </w:rPr>
        <w:t xml:space="preserve">is concerned with the authority in the decision-making process of the state, </w:t>
      </w:r>
      <w:r w:rsidR="00E227A0" w:rsidRPr="001B3BA5">
        <w:rPr>
          <w:rFonts w:asciiTheme="majorBidi" w:hAnsiTheme="majorBidi" w:cstheme="majorBidi"/>
          <w:sz w:val="24"/>
          <w:szCs w:val="24"/>
          <w:lang w:val="en-GB"/>
        </w:rPr>
        <w:t xml:space="preserve">CPO </w:t>
      </w:r>
      <w:r w:rsidR="00A37B16" w:rsidRPr="001B3BA5">
        <w:rPr>
          <w:rFonts w:asciiTheme="majorBidi" w:hAnsiTheme="majorBidi" w:cstheme="majorBidi"/>
          <w:sz w:val="24"/>
          <w:szCs w:val="24"/>
          <w:lang w:val="en-GB"/>
        </w:rPr>
        <w:t xml:space="preserve">relates to the question whether an </w:t>
      </w:r>
      <w:r w:rsidR="00B146E8" w:rsidRPr="001B3BA5">
        <w:rPr>
          <w:rFonts w:asciiTheme="majorBidi" w:hAnsiTheme="majorBidi" w:cstheme="majorBidi"/>
          <w:sz w:val="24"/>
          <w:szCs w:val="24"/>
          <w:lang w:val="en-GB"/>
        </w:rPr>
        <w:t>‘</w:t>
      </w:r>
      <w:r w:rsidR="00A37B16" w:rsidRPr="001B3BA5">
        <w:rPr>
          <w:rFonts w:asciiTheme="majorBidi" w:hAnsiTheme="majorBidi" w:cstheme="majorBidi"/>
          <w:sz w:val="24"/>
          <w:szCs w:val="24"/>
          <w:lang w:val="en-GB"/>
        </w:rPr>
        <w:t>object</w:t>
      </w:r>
      <w:r w:rsidR="00B146E8" w:rsidRPr="001B3BA5">
        <w:rPr>
          <w:rFonts w:asciiTheme="majorBidi" w:hAnsiTheme="majorBidi" w:cstheme="majorBidi"/>
          <w:sz w:val="24"/>
          <w:szCs w:val="24"/>
          <w:lang w:val="en-GB"/>
        </w:rPr>
        <w:t>’</w:t>
      </w:r>
      <w:r w:rsidR="00A37B16" w:rsidRPr="001B3BA5">
        <w:rPr>
          <w:rFonts w:asciiTheme="majorBidi" w:hAnsiTheme="majorBidi" w:cstheme="majorBidi"/>
          <w:sz w:val="24"/>
          <w:szCs w:val="24"/>
          <w:lang w:val="en-GB"/>
        </w:rPr>
        <w:t xml:space="preserve"> belongs to us</w:t>
      </w:r>
      <w:r w:rsidR="00C25874" w:rsidRPr="001B3BA5">
        <w:rPr>
          <w:rFonts w:asciiTheme="majorBidi" w:hAnsiTheme="majorBidi" w:cstheme="majorBidi"/>
          <w:sz w:val="24"/>
          <w:szCs w:val="24"/>
          <w:lang w:val="en-GB"/>
        </w:rPr>
        <w:t xml:space="preserve"> and </w:t>
      </w:r>
      <w:r w:rsidR="00FB4B83" w:rsidRPr="001B3BA5">
        <w:rPr>
          <w:rFonts w:asciiTheme="majorBidi" w:hAnsiTheme="majorBidi" w:cstheme="majorBidi"/>
          <w:sz w:val="24"/>
          <w:szCs w:val="24"/>
          <w:lang w:val="en-GB"/>
        </w:rPr>
        <w:t xml:space="preserve">is ours </w:t>
      </w:r>
      <w:r w:rsidR="00C25874" w:rsidRPr="001B3BA5">
        <w:rPr>
          <w:rFonts w:asciiTheme="majorBidi" w:hAnsiTheme="majorBidi" w:cstheme="majorBidi"/>
          <w:sz w:val="24"/>
          <w:szCs w:val="24"/>
          <w:lang w:val="en-GB"/>
        </w:rPr>
        <w:t>to control</w:t>
      </w:r>
      <w:r w:rsidR="004F117F"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&lt;EndNote&gt;&lt;Cite&gt;&lt;Author&gt;Ripstein&lt;/Author&gt;&lt;Year&gt;2017&lt;/Year&gt;&lt;RecNum&gt;1386&lt;/RecNum&gt;&lt;DisplayText&gt;(Ripstein, 2017)&lt;/DisplayText&gt;&lt;record&gt;&lt;rec-number&gt;1386&lt;/rec-number&gt;&lt;foreign-keys&gt;&lt;key app="EN" db-id="es92r5v5dve2z0erx59pv50vtp29v0t9ef5f" timestamp="1551973617"&gt;1386&lt;/key&gt;&lt;/foreign-keys&gt;&lt;ref-type name="Journal Article"&gt;17&lt;/ref-type&gt;&lt;contributors&gt;&lt;authors&gt;&lt;author&gt;Ripstein, Arthur&lt;/author&gt;&lt;/authors&gt;&lt;/contributors&gt;&lt;titles&gt;&lt;title&gt;Property and sovereignty: How to tell the difference&lt;/title&gt;&lt;secondary-title&gt;Theoretical Inquiries in Law&lt;/secondary-title&gt;&lt;/titles&gt;&lt;periodical&gt;&lt;full-title&gt;Theoretical Inquiries in Law&lt;/full-title&gt;&lt;/periodical&gt;&lt;pages&gt;243-268&lt;/pages&gt;&lt;volume&gt;18&lt;/volume&gt;&lt;number&gt;2&lt;/number&gt;&lt;dates&gt;&lt;year&gt;2017&lt;/year&gt;&lt;/dates&gt;&lt;isbn&gt;1565-3404&lt;/isbn&gt;&lt;urls&gt;&lt;/urls&gt;&lt;electronic-resource-num&gt;10.1515/til-2017-0013&lt;/electronic-resource-num&gt;&lt;/record&gt;&lt;/Cite&gt;&lt;/EndNote&gt;</w:instrText>
      </w:r>
      <w:r w:rsidRPr="001B3BA5">
        <w:rPr>
          <w:rFonts w:asciiTheme="majorBidi" w:hAnsiTheme="majorBidi" w:cstheme="majorBidi"/>
          <w:sz w:val="24"/>
          <w:szCs w:val="24"/>
          <w:lang w:val="en-GB"/>
        </w:rPr>
        <w:fldChar w:fldCharType="separate"/>
      </w:r>
      <w:r w:rsidRPr="001B3BA5">
        <w:rPr>
          <w:rFonts w:asciiTheme="majorBidi" w:hAnsiTheme="majorBidi" w:cstheme="majorBidi"/>
          <w:noProof/>
          <w:sz w:val="24"/>
          <w:szCs w:val="24"/>
          <w:lang w:val="en-GB"/>
        </w:rPr>
        <w:t>(Ripstein, 2017)</w:t>
      </w:r>
      <w:r w:rsidRPr="001B3BA5">
        <w:rPr>
          <w:rFonts w:asciiTheme="majorBidi" w:hAnsiTheme="majorBidi" w:cstheme="majorBidi"/>
          <w:sz w:val="24"/>
          <w:szCs w:val="24"/>
          <w:lang w:val="en-GB"/>
        </w:rPr>
        <w:fldChar w:fldCharType="end"/>
      </w:r>
      <w:r w:rsidRPr="001B3BA5">
        <w:rPr>
          <w:rFonts w:asciiTheme="majorBidi" w:hAnsiTheme="majorBidi" w:cstheme="majorBidi"/>
          <w:sz w:val="24"/>
          <w:szCs w:val="24"/>
          <w:lang w:val="en-GB"/>
        </w:rPr>
        <w:t xml:space="preserve">. </w:t>
      </w:r>
      <w:r w:rsidR="00A37B16" w:rsidRPr="001B3BA5">
        <w:rPr>
          <w:rFonts w:asciiTheme="majorBidi" w:hAnsiTheme="majorBidi" w:cstheme="majorBidi"/>
          <w:sz w:val="24"/>
          <w:szCs w:val="24"/>
          <w:lang w:val="en-GB"/>
        </w:rPr>
        <w:t xml:space="preserve">Based on the principle of sovereignty, </w:t>
      </w:r>
      <w:r w:rsidRPr="001B3BA5">
        <w:rPr>
          <w:rFonts w:asciiTheme="majorBidi" w:hAnsiTheme="majorBidi" w:cstheme="majorBidi"/>
          <w:sz w:val="24"/>
          <w:szCs w:val="24"/>
          <w:lang w:val="en-GB"/>
        </w:rPr>
        <w:t xml:space="preserve">people </w:t>
      </w:r>
      <w:r w:rsidR="00E227A0" w:rsidRPr="001B3BA5">
        <w:rPr>
          <w:rFonts w:asciiTheme="majorBidi" w:hAnsiTheme="majorBidi" w:cstheme="majorBidi"/>
          <w:sz w:val="24"/>
          <w:szCs w:val="24"/>
          <w:lang w:val="en-GB"/>
        </w:rPr>
        <w:t xml:space="preserve">may </w:t>
      </w:r>
      <w:r w:rsidRPr="001B3BA5">
        <w:rPr>
          <w:rFonts w:asciiTheme="majorBidi" w:hAnsiTheme="majorBidi" w:cstheme="majorBidi"/>
          <w:sz w:val="24"/>
          <w:szCs w:val="24"/>
          <w:lang w:val="en-GB"/>
        </w:rPr>
        <w:t>oppose further European integration</w:t>
      </w:r>
      <w:r w:rsidR="00E227A0"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because it impedes the </w:t>
      </w:r>
      <w:r w:rsidR="00A37B16" w:rsidRPr="001B3BA5">
        <w:rPr>
          <w:rFonts w:asciiTheme="majorBidi" w:hAnsiTheme="majorBidi" w:cstheme="majorBidi"/>
          <w:sz w:val="24"/>
          <w:szCs w:val="24"/>
          <w:lang w:val="en-GB"/>
        </w:rPr>
        <w:t xml:space="preserve">possibility of </w:t>
      </w:r>
      <w:r w:rsidRPr="001B3BA5">
        <w:rPr>
          <w:rFonts w:asciiTheme="majorBidi" w:hAnsiTheme="majorBidi" w:cstheme="majorBidi"/>
          <w:sz w:val="24"/>
          <w:szCs w:val="24"/>
          <w:lang w:val="en-GB"/>
        </w:rPr>
        <w:t xml:space="preserve">national governments </w:t>
      </w:r>
      <w:r w:rsidR="00A37B16" w:rsidRPr="001B3BA5">
        <w:rPr>
          <w:rFonts w:asciiTheme="majorBidi" w:hAnsiTheme="majorBidi" w:cstheme="majorBidi"/>
          <w:sz w:val="24"/>
          <w:szCs w:val="24"/>
          <w:lang w:val="en-GB"/>
        </w:rPr>
        <w:t xml:space="preserve">to </w:t>
      </w:r>
      <w:r w:rsidRPr="001B3BA5">
        <w:rPr>
          <w:rFonts w:asciiTheme="majorBidi" w:hAnsiTheme="majorBidi" w:cstheme="majorBidi"/>
          <w:sz w:val="24"/>
          <w:szCs w:val="24"/>
          <w:lang w:val="en-GB"/>
        </w:rPr>
        <w:t xml:space="preserve">decide </w:t>
      </w:r>
      <w:r w:rsidR="00712947" w:rsidRPr="001B3BA5">
        <w:rPr>
          <w:rFonts w:asciiTheme="majorBidi" w:hAnsiTheme="majorBidi" w:cstheme="majorBidi"/>
          <w:sz w:val="24"/>
          <w:szCs w:val="24"/>
          <w:lang w:val="en-GB"/>
        </w:rPr>
        <w:t>on</w:t>
      </w:r>
      <w:r w:rsidRPr="001B3BA5">
        <w:rPr>
          <w:rFonts w:asciiTheme="majorBidi" w:hAnsiTheme="majorBidi" w:cstheme="majorBidi"/>
          <w:sz w:val="24"/>
          <w:szCs w:val="24"/>
          <w:lang w:val="en-GB"/>
        </w:rPr>
        <w:t xml:space="preserve"> what is good for </w:t>
      </w:r>
      <w:r w:rsidR="00A37B16" w:rsidRPr="001B3BA5">
        <w:rPr>
          <w:rFonts w:asciiTheme="majorBidi" w:hAnsiTheme="majorBidi" w:cstheme="majorBidi"/>
          <w:sz w:val="24"/>
          <w:szCs w:val="24"/>
          <w:lang w:val="en-GB"/>
        </w:rPr>
        <w:t>society</w:t>
      </w:r>
      <w:r w:rsidR="002710EC" w:rsidRPr="001B3BA5">
        <w:rPr>
          <w:rFonts w:asciiTheme="majorBidi" w:hAnsiTheme="majorBidi" w:cstheme="majorBidi"/>
          <w:sz w:val="24"/>
          <w:szCs w:val="24"/>
          <w:lang w:val="en-GB"/>
        </w:rPr>
        <w:t>.</w:t>
      </w:r>
      <w:r w:rsidR="004F117F" w:rsidRPr="001B3BA5">
        <w:rPr>
          <w:rFonts w:asciiTheme="majorBidi" w:hAnsiTheme="majorBidi" w:cstheme="majorBidi"/>
          <w:sz w:val="24"/>
          <w:szCs w:val="24"/>
          <w:lang w:val="en-GB"/>
        </w:rPr>
        <w:t xml:space="preserve"> </w:t>
      </w:r>
      <w:r w:rsidR="00712947" w:rsidRPr="001B3BA5">
        <w:rPr>
          <w:rFonts w:asciiTheme="majorBidi" w:hAnsiTheme="majorBidi" w:cstheme="majorBidi"/>
          <w:sz w:val="24"/>
          <w:szCs w:val="24"/>
          <w:lang w:val="en-GB"/>
        </w:rPr>
        <w:t xml:space="preserve">However, </w:t>
      </w:r>
      <w:r w:rsidR="00A37B16" w:rsidRPr="001B3BA5">
        <w:rPr>
          <w:rFonts w:asciiTheme="majorBidi" w:hAnsiTheme="majorBidi" w:cstheme="majorBidi"/>
          <w:sz w:val="24"/>
          <w:szCs w:val="24"/>
          <w:lang w:val="en-GB"/>
        </w:rPr>
        <w:t xml:space="preserve">people </w:t>
      </w:r>
      <w:r w:rsidR="00E227A0" w:rsidRPr="001B3BA5">
        <w:rPr>
          <w:rFonts w:asciiTheme="majorBidi" w:hAnsiTheme="majorBidi" w:cstheme="majorBidi"/>
          <w:sz w:val="24"/>
          <w:szCs w:val="24"/>
          <w:lang w:val="en-GB"/>
        </w:rPr>
        <w:t xml:space="preserve">may </w:t>
      </w:r>
      <w:r w:rsidR="00712947" w:rsidRPr="001B3BA5">
        <w:rPr>
          <w:rFonts w:asciiTheme="majorBidi" w:hAnsiTheme="majorBidi" w:cstheme="majorBidi"/>
          <w:sz w:val="24"/>
          <w:szCs w:val="24"/>
          <w:lang w:val="en-GB"/>
        </w:rPr>
        <w:t xml:space="preserve">also </w:t>
      </w:r>
      <w:r w:rsidRPr="001B3BA5">
        <w:rPr>
          <w:rFonts w:asciiTheme="majorBidi" w:hAnsiTheme="majorBidi" w:cstheme="majorBidi"/>
          <w:sz w:val="24"/>
          <w:szCs w:val="24"/>
          <w:lang w:val="en-GB"/>
        </w:rPr>
        <w:t xml:space="preserve">oppose further European integration simply because they believe they </w:t>
      </w:r>
      <w:r w:rsidR="00D254A9" w:rsidRPr="001B3BA5">
        <w:rPr>
          <w:rFonts w:asciiTheme="majorBidi" w:hAnsiTheme="majorBidi" w:cstheme="majorBidi"/>
          <w:sz w:val="24"/>
          <w:szCs w:val="24"/>
          <w:lang w:val="en-GB"/>
        </w:rPr>
        <w:t xml:space="preserve">themselves </w:t>
      </w:r>
      <w:r w:rsidRPr="001B3BA5">
        <w:rPr>
          <w:rFonts w:asciiTheme="majorBidi" w:hAnsiTheme="majorBidi" w:cstheme="majorBidi"/>
          <w:sz w:val="24"/>
          <w:szCs w:val="24"/>
          <w:lang w:val="en-GB"/>
        </w:rPr>
        <w:t xml:space="preserve">are entitled to control what is </w:t>
      </w:r>
      <w:r w:rsidR="00B146E8" w:rsidRPr="001B3BA5">
        <w:rPr>
          <w:rFonts w:asciiTheme="majorBidi" w:hAnsiTheme="majorBidi" w:cstheme="majorBidi"/>
          <w:sz w:val="24"/>
          <w:szCs w:val="24"/>
          <w:lang w:val="en-GB"/>
        </w:rPr>
        <w:t>‘</w:t>
      </w:r>
      <w:r w:rsidR="00FB4B83" w:rsidRPr="001B3BA5">
        <w:rPr>
          <w:rFonts w:asciiTheme="majorBidi" w:hAnsiTheme="majorBidi" w:cstheme="majorBidi"/>
          <w:sz w:val="24"/>
          <w:szCs w:val="24"/>
          <w:lang w:val="en-GB"/>
        </w:rPr>
        <w:t>thei</w:t>
      </w:r>
      <w:r w:rsidRPr="001B3BA5">
        <w:rPr>
          <w:rFonts w:asciiTheme="majorBidi" w:hAnsiTheme="majorBidi" w:cstheme="majorBidi"/>
          <w:sz w:val="24"/>
          <w:szCs w:val="24"/>
          <w:lang w:val="en-GB"/>
        </w:rPr>
        <w:t>rs</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w:t>
      </w:r>
    </w:p>
    <w:p w14:paraId="7EBD2616" w14:textId="17B0A81E" w:rsidR="000A1171" w:rsidRPr="001B3BA5" w:rsidRDefault="00712947">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W</w:t>
      </w:r>
      <w:r w:rsidR="000A1171" w:rsidRPr="001B3BA5">
        <w:rPr>
          <w:rFonts w:asciiTheme="majorBidi" w:hAnsiTheme="majorBidi" w:cstheme="majorBidi"/>
          <w:sz w:val="24"/>
          <w:szCs w:val="24"/>
          <w:lang w:val="en-GB"/>
        </w:rPr>
        <w:t>e examine whether the association</w:t>
      </w:r>
      <w:r w:rsidRPr="001B3BA5">
        <w:rPr>
          <w:rFonts w:asciiTheme="majorBidi" w:hAnsiTheme="majorBidi" w:cstheme="majorBidi"/>
          <w:sz w:val="24"/>
          <w:szCs w:val="24"/>
          <w:lang w:val="en-GB"/>
        </w:rPr>
        <w:t>s</w:t>
      </w:r>
      <w:r w:rsidR="000A1171" w:rsidRPr="001B3BA5">
        <w:rPr>
          <w:rFonts w:asciiTheme="majorBidi" w:hAnsiTheme="majorBidi" w:cstheme="majorBidi"/>
          <w:sz w:val="24"/>
          <w:szCs w:val="24"/>
          <w:lang w:val="en-GB"/>
        </w:rPr>
        <w:t xml:space="preserve"> between </w:t>
      </w:r>
      <w:r w:rsidR="00B41B02" w:rsidRPr="001B3BA5">
        <w:rPr>
          <w:rFonts w:asciiTheme="majorBidi" w:hAnsiTheme="majorBidi" w:cstheme="majorBidi"/>
          <w:sz w:val="24"/>
          <w:szCs w:val="24"/>
          <w:lang w:val="en-GB"/>
        </w:rPr>
        <w:t>CPO</w:t>
      </w:r>
      <w:r w:rsidR="00CB77DE" w:rsidRPr="001B3BA5">
        <w:rPr>
          <w:rFonts w:asciiTheme="majorBidi" w:hAnsiTheme="majorBidi" w:cstheme="majorBidi"/>
          <w:sz w:val="24"/>
          <w:szCs w:val="24"/>
          <w:lang w:val="en-GB"/>
        </w:rPr>
        <w:t xml:space="preserve"> </w:t>
      </w:r>
      <w:r w:rsidR="000A1171" w:rsidRPr="001B3BA5">
        <w:rPr>
          <w:rFonts w:asciiTheme="majorBidi" w:hAnsiTheme="majorBidi" w:cstheme="majorBidi"/>
          <w:sz w:val="24"/>
          <w:szCs w:val="24"/>
          <w:lang w:val="en-GB"/>
        </w:rPr>
        <w:t xml:space="preserve">and exclusionary </w:t>
      </w:r>
      <w:r w:rsidR="000170A8" w:rsidRPr="001B3BA5">
        <w:rPr>
          <w:rFonts w:asciiTheme="majorBidi" w:hAnsiTheme="majorBidi" w:cstheme="majorBidi"/>
          <w:sz w:val="24"/>
          <w:szCs w:val="24"/>
          <w:lang w:val="en-GB"/>
        </w:rPr>
        <w:t>outcomes</w:t>
      </w:r>
      <w:r w:rsidR="000A1171"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are</w:t>
      </w:r>
      <w:r w:rsidR="00CB77DE" w:rsidRPr="001B3BA5">
        <w:rPr>
          <w:rFonts w:asciiTheme="majorBidi" w:hAnsiTheme="majorBidi" w:cstheme="majorBidi"/>
          <w:sz w:val="24"/>
          <w:szCs w:val="24"/>
          <w:lang w:val="en-GB"/>
        </w:rPr>
        <w:t xml:space="preserve"> </w:t>
      </w:r>
      <w:r w:rsidR="000A1171" w:rsidRPr="001B3BA5">
        <w:rPr>
          <w:rFonts w:asciiTheme="majorBidi" w:hAnsiTheme="majorBidi" w:cstheme="majorBidi"/>
          <w:sz w:val="24"/>
          <w:szCs w:val="24"/>
          <w:lang w:val="en-GB"/>
        </w:rPr>
        <w:t xml:space="preserve">independent of </w:t>
      </w:r>
      <w:r w:rsidR="00C25874" w:rsidRPr="001B3BA5">
        <w:rPr>
          <w:rFonts w:asciiTheme="majorBidi" w:hAnsiTheme="majorBidi" w:cstheme="majorBidi"/>
          <w:sz w:val="24"/>
          <w:szCs w:val="24"/>
          <w:lang w:val="en-GB"/>
        </w:rPr>
        <w:t>national identification, place attachment</w:t>
      </w:r>
      <w:r w:rsidR="00FB4B83" w:rsidRPr="001B3BA5">
        <w:rPr>
          <w:rFonts w:asciiTheme="majorBidi" w:hAnsiTheme="majorBidi" w:cstheme="majorBidi"/>
          <w:sz w:val="24"/>
          <w:szCs w:val="24"/>
          <w:lang w:val="en-GB"/>
        </w:rPr>
        <w:t>,</w:t>
      </w:r>
      <w:r w:rsidR="00C25874" w:rsidRPr="001B3BA5">
        <w:rPr>
          <w:rFonts w:asciiTheme="majorBidi" w:hAnsiTheme="majorBidi" w:cstheme="majorBidi"/>
          <w:sz w:val="24"/>
          <w:szCs w:val="24"/>
          <w:lang w:val="en-GB"/>
        </w:rPr>
        <w:t xml:space="preserve"> and </w:t>
      </w:r>
      <w:r w:rsidR="00A37717" w:rsidRPr="001B3BA5">
        <w:rPr>
          <w:rFonts w:asciiTheme="majorBidi" w:hAnsiTheme="majorBidi" w:cstheme="majorBidi"/>
          <w:sz w:val="24"/>
          <w:szCs w:val="24"/>
          <w:lang w:val="en-GB"/>
        </w:rPr>
        <w:t>adherence</w:t>
      </w:r>
      <w:r w:rsidR="00E227A0" w:rsidRPr="001B3BA5">
        <w:rPr>
          <w:rFonts w:asciiTheme="majorBidi" w:hAnsiTheme="majorBidi" w:cstheme="majorBidi"/>
          <w:sz w:val="24"/>
          <w:szCs w:val="24"/>
          <w:lang w:val="en-GB"/>
        </w:rPr>
        <w:t xml:space="preserve"> to</w:t>
      </w:r>
      <w:r w:rsidRPr="001B3BA5">
        <w:rPr>
          <w:rFonts w:asciiTheme="majorBidi" w:hAnsiTheme="majorBidi" w:cstheme="majorBidi"/>
          <w:sz w:val="24"/>
          <w:szCs w:val="24"/>
          <w:lang w:val="en-GB"/>
        </w:rPr>
        <w:t xml:space="preserve"> </w:t>
      </w:r>
      <w:r w:rsidR="000A1171" w:rsidRPr="001B3BA5">
        <w:rPr>
          <w:rFonts w:asciiTheme="majorBidi" w:hAnsiTheme="majorBidi" w:cstheme="majorBidi"/>
          <w:sz w:val="24"/>
          <w:szCs w:val="24"/>
          <w:lang w:val="en-GB"/>
        </w:rPr>
        <w:t>sovereignty.</w:t>
      </w:r>
      <w:r w:rsidR="00C25874" w:rsidRPr="001B3BA5">
        <w:rPr>
          <w:rFonts w:asciiTheme="majorBidi" w:hAnsiTheme="majorBidi" w:cstheme="majorBidi"/>
          <w:sz w:val="24"/>
          <w:szCs w:val="24"/>
          <w:lang w:val="en-GB"/>
        </w:rPr>
        <w:t xml:space="preserve"> We expected this to be the case because </w:t>
      </w:r>
      <w:r w:rsidR="00E70462" w:rsidRPr="001B3BA5">
        <w:rPr>
          <w:rFonts w:asciiTheme="majorBidi" w:hAnsiTheme="majorBidi" w:cstheme="majorBidi"/>
          <w:sz w:val="24"/>
          <w:szCs w:val="24"/>
          <w:lang w:val="en-GB"/>
        </w:rPr>
        <w:t xml:space="preserve">CPO </w:t>
      </w:r>
      <w:r w:rsidR="00C25874" w:rsidRPr="001B3BA5">
        <w:rPr>
          <w:rFonts w:asciiTheme="majorBidi" w:hAnsiTheme="majorBidi" w:cstheme="majorBidi"/>
          <w:sz w:val="24"/>
          <w:szCs w:val="24"/>
          <w:lang w:val="en-GB"/>
        </w:rPr>
        <w:t xml:space="preserve">has its basis in </w:t>
      </w:r>
      <w:r w:rsidR="00E70462" w:rsidRPr="001B3BA5">
        <w:rPr>
          <w:rFonts w:asciiTheme="majorBidi" w:hAnsiTheme="majorBidi" w:cstheme="majorBidi"/>
          <w:sz w:val="24"/>
          <w:szCs w:val="24"/>
          <w:lang w:val="en-GB"/>
        </w:rPr>
        <w:t xml:space="preserve">the psychology of possession </w:t>
      </w:r>
      <w:r w:rsidR="003576F1" w:rsidRPr="001B3BA5">
        <w:rPr>
          <w:rFonts w:asciiTheme="majorBidi" w:hAnsiTheme="majorBidi" w:cstheme="majorBidi"/>
          <w:sz w:val="24"/>
          <w:szCs w:val="24"/>
          <w:lang w:val="en-GB"/>
        </w:rPr>
        <w:fldChar w:fldCharType="begin"/>
      </w:r>
      <w:r w:rsidR="003576F1" w:rsidRPr="001B3BA5">
        <w:rPr>
          <w:rFonts w:asciiTheme="majorBidi" w:hAnsiTheme="majorBidi" w:cstheme="majorBidi"/>
          <w:sz w:val="24"/>
          <w:szCs w:val="24"/>
          <w:lang w:val="en-GB"/>
        </w:rPr>
        <w:instrText xml:space="preserve"> ADDIN EN.CITE &lt;EndNote&gt;&lt;Cite&gt;&lt;Author&gt;Rochat&lt;/Author&gt;&lt;Year&gt;2014&lt;/Year&gt;&lt;RecNum&gt;1208&lt;/RecNum&gt;&lt;DisplayText&gt;(Rochat, 2014)&lt;/DisplayText&gt;&lt;record&gt;&lt;rec-number&gt;1208&lt;/rec-number&gt;&lt;foreign-keys&gt;&lt;key app="EN" db-id="es92r5v5dve2z0erx59pv50vtp29v0t9ef5f" timestamp="1519720465"&gt;1208&lt;/key&gt;&lt;/foreign-keys&gt;&lt;ref-type name="Book"&gt;6&lt;/ref-type&gt;&lt;contributors&gt;&lt;authors&gt;&lt;author&gt;Rochat, Philippe&lt;/author&gt;&lt;/authors&gt;&lt;/contributors&gt;&lt;titles&gt;&lt;title&gt;Origins of possession: Owning and sharing in development&lt;/title&gt;&lt;/titles&gt;&lt;dates&gt;&lt;year&gt;2014&lt;/year&gt;&lt;/dates&gt;&lt;publisher&gt;Cambridge University Press&lt;/publisher&gt;&lt;isbn&gt;1316061035&lt;/isbn&gt;&lt;urls&gt;&lt;/urls&gt;&lt;/record&gt;&lt;/Cite&gt;&lt;/EndNote&gt;</w:instrText>
      </w:r>
      <w:r w:rsidR="003576F1" w:rsidRPr="001B3BA5">
        <w:rPr>
          <w:rFonts w:asciiTheme="majorBidi" w:hAnsiTheme="majorBidi" w:cstheme="majorBidi"/>
          <w:sz w:val="24"/>
          <w:szCs w:val="24"/>
          <w:lang w:val="en-GB"/>
        </w:rPr>
        <w:fldChar w:fldCharType="separate"/>
      </w:r>
      <w:r w:rsidR="003576F1" w:rsidRPr="001B3BA5">
        <w:rPr>
          <w:rFonts w:asciiTheme="majorBidi" w:hAnsiTheme="majorBidi" w:cstheme="majorBidi"/>
          <w:noProof/>
          <w:sz w:val="24"/>
          <w:szCs w:val="24"/>
          <w:lang w:val="en-GB"/>
        </w:rPr>
        <w:t>(Rochat, 2014)</w:t>
      </w:r>
      <w:r w:rsidR="003576F1" w:rsidRPr="001B3BA5">
        <w:rPr>
          <w:rFonts w:asciiTheme="majorBidi" w:hAnsiTheme="majorBidi" w:cstheme="majorBidi"/>
          <w:sz w:val="24"/>
          <w:szCs w:val="24"/>
          <w:lang w:val="en-GB"/>
        </w:rPr>
        <w:fldChar w:fldCharType="end"/>
      </w:r>
      <w:r w:rsidR="00C25874" w:rsidRPr="001B3BA5">
        <w:rPr>
          <w:rFonts w:asciiTheme="majorBidi" w:hAnsiTheme="majorBidi" w:cstheme="majorBidi"/>
          <w:sz w:val="24"/>
          <w:szCs w:val="24"/>
          <w:lang w:val="en-GB"/>
        </w:rPr>
        <w:t xml:space="preserve"> and is not directly concerned </w:t>
      </w:r>
      <w:r w:rsidR="00C518D9" w:rsidRPr="001B3BA5">
        <w:rPr>
          <w:rFonts w:asciiTheme="majorBidi" w:hAnsiTheme="majorBidi" w:cstheme="majorBidi"/>
          <w:sz w:val="24"/>
          <w:szCs w:val="24"/>
          <w:lang w:val="en-GB"/>
        </w:rPr>
        <w:t xml:space="preserve">with </w:t>
      </w:r>
      <w:r w:rsidR="00C25874" w:rsidRPr="001B3BA5">
        <w:rPr>
          <w:rFonts w:asciiTheme="majorBidi" w:hAnsiTheme="majorBidi" w:cstheme="majorBidi"/>
          <w:sz w:val="24"/>
          <w:szCs w:val="24"/>
          <w:lang w:val="en-GB"/>
        </w:rPr>
        <w:t xml:space="preserve">the questions of </w:t>
      </w:r>
      <w:r w:rsidR="00DF6EFA" w:rsidRPr="001B3BA5">
        <w:rPr>
          <w:rFonts w:asciiTheme="majorBidi" w:hAnsiTheme="majorBidi" w:cstheme="majorBidi"/>
          <w:sz w:val="24"/>
          <w:szCs w:val="24"/>
          <w:lang w:val="en-GB"/>
        </w:rPr>
        <w:t>‘</w:t>
      </w:r>
      <w:r w:rsidR="00C25874" w:rsidRPr="001B3BA5">
        <w:rPr>
          <w:rFonts w:asciiTheme="majorBidi" w:hAnsiTheme="majorBidi" w:cstheme="majorBidi"/>
          <w:sz w:val="24"/>
          <w:szCs w:val="24"/>
          <w:lang w:val="en-GB"/>
        </w:rPr>
        <w:t>who we are</w:t>
      </w:r>
      <w:r w:rsidR="00DF6EFA" w:rsidRPr="001B3BA5">
        <w:rPr>
          <w:rFonts w:asciiTheme="majorBidi" w:hAnsiTheme="majorBidi" w:cstheme="majorBidi"/>
          <w:sz w:val="24"/>
          <w:szCs w:val="24"/>
          <w:lang w:val="en-GB"/>
        </w:rPr>
        <w:t>’</w:t>
      </w:r>
      <w:r w:rsidR="00C25874" w:rsidRPr="001B3BA5">
        <w:rPr>
          <w:rFonts w:asciiTheme="majorBidi" w:hAnsiTheme="majorBidi" w:cstheme="majorBidi"/>
          <w:sz w:val="24"/>
          <w:szCs w:val="24"/>
          <w:lang w:val="en-GB"/>
        </w:rPr>
        <w:t xml:space="preserve">, </w:t>
      </w:r>
      <w:r w:rsidR="00DF6EFA" w:rsidRPr="001B3BA5">
        <w:rPr>
          <w:rFonts w:asciiTheme="majorBidi" w:hAnsiTheme="majorBidi" w:cstheme="majorBidi"/>
          <w:sz w:val="24"/>
          <w:szCs w:val="24"/>
          <w:lang w:val="en-GB"/>
        </w:rPr>
        <w:t>‘</w:t>
      </w:r>
      <w:r w:rsidR="00C25874" w:rsidRPr="001B3BA5">
        <w:rPr>
          <w:rFonts w:asciiTheme="majorBidi" w:hAnsiTheme="majorBidi" w:cstheme="majorBidi"/>
          <w:sz w:val="24"/>
          <w:szCs w:val="24"/>
          <w:lang w:val="en-GB"/>
        </w:rPr>
        <w:t>where do we belong</w:t>
      </w:r>
      <w:r w:rsidR="00DF6EFA" w:rsidRPr="001B3BA5">
        <w:rPr>
          <w:rFonts w:asciiTheme="majorBidi" w:hAnsiTheme="majorBidi" w:cstheme="majorBidi"/>
          <w:sz w:val="24"/>
          <w:szCs w:val="24"/>
          <w:lang w:val="en-GB"/>
        </w:rPr>
        <w:t>’</w:t>
      </w:r>
      <w:r w:rsidR="00C25874" w:rsidRPr="001B3BA5">
        <w:rPr>
          <w:rFonts w:asciiTheme="majorBidi" w:hAnsiTheme="majorBidi" w:cstheme="majorBidi"/>
          <w:sz w:val="24"/>
          <w:szCs w:val="24"/>
          <w:lang w:val="en-GB"/>
        </w:rPr>
        <w:t xml:space="preserve"> or </w:t>
      </w:r>
      <w:r w:rsidR="00DF6EFA" w:rsidRPr="001B3BA5">
        <w:rPr>
          <w:rFonts w:asciiTheme="majorBidi" w:hAnsiTheme="majorBidi" w:cstheme="majorBidi"/>
          <w:sz w:val="24"/>
          <w:szCs w:val="24"/>
          <w:lang w:val="en-GB"/>
        </w:rPr>
        <w:t>‘</w:t>
      </w:r>
      <w:r w:rsidR="00C25874" w:rsidRPr="001B3BA5">
        <w:rPr>
          <w:rFonts w:asciiTheme="majorBidi" w:hAnsiTheme="majorBidi" w:cstheme="majorBidi"/>
          <w:sz w:val="24"/>
          <w:szCs w:val="24"/>
          <w:lang w:val="en-GB"/>
        </w:rPr>
        <w:t>who decide</w:t>
      </w:r>
      <w:r w:rsidR="00FB4B83" w:rsidRPr="001B3BA5">
        <w:rPr>
          <w:rFonts w:asciiTheme="majorBidi" w:hAnsiTheme="majorBidi" w:cstheme="majorBidi"/>
          <w:sz w:val="24"/>
          <w:szCs w:val="24"/>
          <w:lang w:val="en-GB"/>
        </w:rPr>
        <w:t>s</w:t>
      </w:r>
      <w:r w:rsidR="00DF6EFA" w:rsidRPr="001B3BA5">
        <w:rPr>
          <w:rFonts w:asciiTheme="majorBidi" w:hAnsiTheme="majorBidi" w:cstheme="majorBidi"/>
          <w:sz w:val="24"/>
          <w:szCs w:val="24"/>
          <w:lang w:val="en-GB"/>
        </w:rPr>
        <w:t>’,</w:t>
      </w:r>
      <w:r w:rsidR="00C25874" w:rsidRPr="001B3BA5">
        <w:rPr>
          <w:rFonts w:asciiTheme="majorBidi" w:hAnsiTheme="majorBidi" w:cstheme="majorBidi"/>
          <w:sz w:val="24"/>
          <w:szCs w:val="24"/>
          <w:lang w:val="en-GB"/>
        </w:rPr>
        <w:t xml:space="preserve"> but rather</w:t>
      </w:r>
      <w:r w:rsidR="00C518D9" w:rsidRPr="001B3BA5">
        <w:rPr>
          <w:rFonts w:asciiTheme="majorBidi" w:hAnsiTheme="majorBidi" w:cstheme="majorBidi"/>
          <w:sz w:val="24"/>
          <w:szCs w:val="24"/>
          <w:lang w:val="en-GB"/>
        </w:rPr>
        <w:t xml:space="preserve"> </w:t>
      </w:r>
      <w:r w:rsidR="00C25874" w:rsidRPr="001B3BA5">
        <w:rPr>
          <w:rFonts w:asciiTheme="majorBidi" w:hAnsiTheme="majorBidi" w:cstheme="majorBidi"/>
          <w:sz w:val="24"/>
          <w:szCs w:val="24"/>
          <w:lang w:val="en-GB"/>
        </w:rPr>
        <w:t xml:space="preserve">with the question ‘what do we control’ </w:t>
      </w:r>
      <w:r w:rsidR="007E10FE" w:rsidRPr="001B3BA5">
        <w:rPr>
          <w:rFonts w:asciiTheme="majorBidi" w:hAnsiTheme="majorBidi" w:cstheme="majorBidi"/>
          <w:sz w:val="24"/>
          <w:szCs w:val="24"/>
          <w:lang w:val="en-GB"/>
        </w:rPr>
        <w:fldChar w:fldCharType="begin"/>
      </w:r>
      <w:r w:rsidR="007E10FE" w:rsidRPr="001B3BA5">
        <w:rPr>
          <w:rFonts w:asciiTheme="majorBidi" w:hAnsiTheme="majorBidi" w:cstheme="majorBidi"/>
          <w:sz w:val="24"/>
          <w:szCs w:val="24"/>
          <w:lang w:val="en-GB"/>
        </w:rPr>
        <w:instrText xml:space="preserve"> ADDIN EN.CITE &lt;EndNote&gt;&lt;Cite&gt;&lt;Author&gt;Brown&lt;/Author&gt;&lt;Year&gt;2005&lt;/Year&gt;&lt;RecNum&gt;648&lt;/RecNum&gt;&lt;DisplayText&gt;(G. Brown et al., 2005)&lt;/DisplayText&gt;&lt;record&gt;&lt;rec-number&gt;648&lt;/rec-number&gt;&lt;foreign-keys&gt;&lt;key app="EN" db-id="es92r5v5dve2z0erx59pv50vtp29v0t9ef5f" timestamp="1505988004"&gt;648&lt;/key&gt;&lt;/foreign-keys&gt;&lt;ref-type name="Journal Article"&gt;17&lt;/ref-type&gt;&lt;contributors&gt;&lt;authors&gt;&lt;author&gt;Brown, Graham&lt;/author&gt;&lt;author&gt;Lawrence, Thomas B.&lt;/author&gt;&lt;author&gt;Robinson, Sandra L.&lt;/author&gt;&lt;/authors&gt;&lt;/contributors&gt;&lt;titles&gt;&lt;title&gt;Territoriality in organizations&lt;/title&gt;&lt;secondary-title&gt;The Academy of Management Review&lt;/secondary-title&gt;&lt;/titles&gt;&lt;periodical&gt;&lt;full-title&gt;The Academy of Management Review&lt;/full-title&gt;&lt;/periodical&gt;&lt;pages&gt;577-594&lt;/pages&gt;&lt;volume&gt;30&lt;/volume&gt;&lt;number&gt;3&lt;/number&gt;&lt;dates&gt;&lt;year&gt;2005&lt;/year&gt;&lt;/dates&gt;&lt;publisher&gt;Academy of Management&lt;/publisher&gt;&lt;isbn&gt;03637425&lt;/isbn&gt;&lt;urls&gt;&lt;related-urls&gt;&lt;url&gt;http://www.jstor.org/stable/20159145&lt;/url&gt;&lt;/related-urls&gt;&lt;/urls&gt;&lt;custom1&gt;Full publication date: Jul., 2005&lt;/custom1&gt;&lt;electronic-resource-num&gt;10.2307/20159145&lt;/electronic-resource-num&gt;&lt;/record&gt;&lt;/Cite&gt;&lt;/EndNote&gt;</w:instrText>
      </w:r>
      <w:r w:rsidR="007E10FE" w:rsidRPr="001B3BA5">
        <w:rPr>
          <w:rFonts w:asciiTheme="majorBidi" w:hAnsiTheme="majorBidi" w:cstheme="majorBidi"/>
          <w:sz w:val="24"/>
          <w:szCs w:val="24"/>
          <w:lang w:val="en-GB"/>
        </w:rPr>
        <w:fldChar w:fldCharType="separate"/>
      </w:r>
      <w:r w:rsidR="007E10FE" w:rsidRPr="001B3BA5">
        <w:rPr>
          <w:rFonts w:asciiTheme="majorBidi" w:hAnsiTheme="majorBidi" w:cstheme="majorBidi"/>
          <w:noProof/>
          <w:sz w:val="24"/>
          <w:szCs w:val="24"/>
          <w:lang w:val="en-GB"/>
        </w:rPr>
        <w:t>(G. Brown et al., 2005)</w:t>
      </w:r>
      <w:r w:rsidR="007E10FE" w:rsidRPr="001B3BA5">
        <w:rPr>
          <w:rFonts w:asciiTheme="majorBidi" w:hAnsiTheme="majorBidi" w:cstheme="majorBidi"/>
          <w:sz w:val="24"/>
          <w:szCs w:val="24"/>
          <w:lang w:val="en-GB"/>
        </w:rPr>
        <w:fldChar w:fldCharType="end"/>
      </w:r>
      <w:r w:rsidR="007E10FE" w:rsidRPr="001B3BA5">
        <w:rPr>
          <w:rFonts w:asciiTheme="majorBidi" w:hAnsiTheme="majorBidi" w:cstheme="majorBidi"/>
          <w:sz w:val="24"/>
          <w:szCs w:val="24"/>
          <w:lang w:val="en-GB"/>
        </w:rPr>
        <w:t>.</w:t>
      </w:r>
    </w:p>
    <w:p w14:paraId="01EC701E" w14:textId="77777777" w:rsidR="00F85F30" w:rsidRPr="001B3BA5" w:rsidRDefault="00F85F30" w:rsidP="00584266">
      <w:pPr>
        <w:spacing w:after="0" w:line="480" w:lineRule="exact"/>
        <w:rPr>
          <w:rFonts w:asciiTheme="majorBidi" w:hAnsiTheme="majorBidi" w:cstheme="majorBidi"/>
          <w:sz w:val="24"/>
          <w:szCs w:val="24"/>
          <w:lang w:val="en-GB"/>
        </w:rPr>
      </w:pPr>
      <w:r w:rsidRPr="001B3BA5">
        <w:rPr>
          <w:rFonts w:asciiTheme="majorBidi" w:hAnsiTheme="majorBidi" w:cstheme="majorBidi"/>
          <w:b/>
          <w:sz w:val="24"/>
          <w:szCs w:val="24"/>
          <w:lang w:val="en-GB"/>
        </w:rPr>
        <w:t>Overview</w:t>
      </w:r>
    </w:p>
    <w:p w14:paraId="145D5E76" w14:textId="54532E03" w:rsidR="00C35095" w:rsidRPr="001B3BA5" w:rsidRDefault="00C35095" w:rsidP="00584266">
      <w:pPr>
        <w:spacing w:after="0" w:line="480" w:lineRule="exact"/>
        <w:ind w:firstLine="708"/>
        <w:rPr>
          <w:rFonts w:asciiTheme="majorBidi" w:hAnsiTheme="majorBidi" w:cstheme="majorBidi"/>
          <w:sz w:val="24"/>
          <w:szCs w:val="24"/>
          <w:lang w:val="en-GB"/>
        </w:rPr>
      </w:pPr>
      <w:bookmarkStart w:id="13" w:name="_Hlk18053093"/>
      <w:r w:rsidRPr="001B3BA5">
        <w:rPr>
          <w:rFonts w:asciiTheme="majorBidi" w:hAnsiTheme="majorBidi" w:cstheme="majorBidi"/>
          <w:sz w:val="24"/>
          <w:szCs w:val="24"/>
          <w:lang w:val="en-GB"/>
        </w:rPr>
        <w:t>I</w:t>
      </w:r>
      <w:r w:rsidR="00DB1E13" w:rsidRPr="001B3BA5">
        <w:rPr>
          <w:rFonts w:asciiTheme="majorBidi" w:hAnsiTheme="majorBidi" w:cstheme="majorBidi"/>
          <w:sz w:val="24"/>
          <w:szCs w:val="24"/>
          <w:lang w:val="en-GB"/>
        </w:rPr>
        <w:t>n two studies involving Dutch (Study 1) and British (Study 2) national majority samples</w:t>
      </w:r>
      <w:r w:rsidRPr="001B3BA5">
        <w:rPr>
          <w:rFonts w:asciiTheme="majorBidi" w:hAnsiTheme="majorBidi" w:cstheme="majorBidi"/>
          <w:sz w:val="24"/>
          <w:szCs w:val="24"/>
          <w:lang w:val="en-GB"/>
        </w:rPr>
        <w:t>, we examined whether CPO is related to more negative attitudes towards immigrant minorities and European integration, via exclusive determination right. In Study 2</w:t>
      </w:r>
      <w:r w:rsidR="00C518D9"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we additionally tested whether these exclusionary attitudes accounted for voting in favo</w:t>
      </w:r>
      <w:r w:rsidR="00301A9A">
        <w:rPr>
          <w:rFonts w:asciiTheme="majorBidi" w:hAnsiTheme="majorBidi" w:cstheme="majorBidi"/>
          <w:sz w:val="24"/>
          <w:szCs w:val="24"/>
          <w:lang w:val="en-GB"/>
        </w:rPr>
        <w:t>u</w:t>
      </w:r>
      <w:r w:rsidRPr="001B3BA5">
        <w:rPr>
          <w:rFonts w:asciiTheme="majorBidi" w:hAnsiTheme="majorBidi" w:cstheme="majorBidi"/>
          <w:sz w:val="24"/>
          <w:szCs w:val="24"/>
          <w:lang w:val="en-GB"/>
        </w:rPr>
        <w:t>r of Brexit. We considered the moderating influence of political ideology in both studies.</w:t>
      </w:r>
    </w:p>
    <w:p w14:paraId="72AE4517" w14:textId="0C08BECA" w:rsidR="00DB1E13" w:rsidRPr="001B3BA5" w:rsidRDefault="00DB1E13">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 xml:space="preserve">The Netherlands and </w:t>
      </w:r>
      <w:r w:rsidR="00C518D9" w:rsidRPr="001B3BA5">
        <w:rPr>
          <w:rFonts w:asciiTheme="majorBidi" w:hAnsiTheme="majorBidi" w:cstheme="majorBidi"/>
          <w:sz w:val="24"/>
          <w:szCs w:val="24"/>
          <w:lang w:val="en-GB"/>
        </w:rPr>
        <w:t xml:space="preserve">the </w:t>
      </w:r>
      <w:r w:rsidR="003840A8" w:rsidRPr="001B3BA5">
        <w:rPr>
          <w:rFonts w:asciiTheme="majorBidi" w:hAnsiTheme="majorBidi" w:cstheme="majorBidi"/>
          <w:sz w:val="24"/>
          <w:szCs w:val="24"/>
          <w:lang w:val="en-GB"/>
        </w:rPr>
        <w:t>United Kin</w:t>
      </w:r>
      <w:r w:rsidR="009517D2" w:rsidRPr="001B3BA5">
        <w:rPr>
          <w:rFonts w:asciiTheme="majorBidi" w:hAnsiTheme="majorBidi" w:cstheme="majorBidi"/>
          <w:sz w:val="24"/>
          <w:szCs w:val="24"/>
          <w:lang w:val="en-GB"/>
        </w:rPr>
        <w:t>g</w:t>
      </w:r>
      <w:r w:rsidR="003840A8" w:rsidRPr="001B3BA5">
        <w:rPr>
          <w:rFonts w:asciiTheme="majorBidi" w:hAnsiTheme="majorBidi" w:cstheme="majorBidi"/>
          <w:sz w:val="24"/>
          <w:szCs w:val="24"/>
          <w:lang w:val="en-GB"/>
        </w:rPr>
        <w:t>dom</w:t>
      </w:r>
      <w:r w:rsidRPr="001B3BA5">
        <w:rPr>
          <w:rFonts w:asciiTheme="majorBidi" w:hAnsiTheme="majorBidi" w:cstheme="majorBidi"/>
          <w:sz w:val="24"/>
          <w:szCs w:val="24"/>
          <w:lang w:val="en-GB"/>
        </w:rPr>
        <w:t xml:space="preserve"> are similar </w:t>
      </w:r>
      <w:r w:rsidR="00A54554" w:rsidRPr="001B3BA5">
        <w:rPr>
          <w:rFonts w:asciiTheme="majorBidi" w:hAnsiTheme="majorBidi" w:cstheme="majorBidi"/>
          <w:sz w:val="24"/>
          <w:szCs w:val="24"/>
          <w:lang w:val="en-GB"/>
        </w:rPr>
        <w:t xml:space="preserve">in </w:t>
      </w:r>
      <w:r w:rsidRPr="001B3BA5">
        <w:rPr>
          <w:rFonts w:asciiTheme="majorBidi" w:hAnsiTheme="majorBidi" w:cstheme="majorBidi"/>
          <w:sz w:val="24"/>
          <w:szCs w:val="24"/>
          <w:lang w:val="en-GB"/>
        </w:rPr>
        <w:t xml:space="preserve">regard to their long-established liberal democracies, recent mass </w:t>
      </w:r>
      <w:r w:rsidR="00712947" w:rsidRPr="001B3BA5">
        <w:rPr>
          <w:rFonts w:asciiTheme="majorBidi" w:hAnsiTheme="majorBidi" w:cstheme="majorBidi"/>
          <w:sz w:val="24"/>
          <w:szCs w:val="24"/>
          <w:lang w:val="en-GB"/>
        </w:rPr>
        <w:t>im</w:t>
      </w:r>
      <w:r w:rsidRPr="001B3BA5">
        <w:rPr>
          <w:rFonts w:asciiTheme="majorBidi" w:hAnsiTheme="majorBidi" w:cstheme="majorBidi"/>
          <w:sz w:val="24"/>
          <w:szCs w:val="24"/>
          <w:lang w:val="en-GB"/>
        </w:rPr>
        <w:t>migration, and rapid rise of populist right</w:t>
      </w:r>
      <w:r w:rsidR="000D2C11" w:rsidRPr="001B3BA5">
        <w:rPr>
          <w:rFonts w:asciiTheme="majorBidi" w:hAnsiTheme="majorBidi" w:cstheme="majorBidi"/>
          <w:sz w:val="24"/>
          <w:szCs w:val="24"/>
          <w:lang w:val="en-GB"/>
        </w:rPr>
        <w:t>-wing</w:t>
      </w:r>
      <w:r w:rsidRPr="001B3BA5">
        <w:rPr>
          <w:rFonts w:asciiTheme="majorBidi" w:hAnsiTheme="majorBidi" w:cstheme="majorBidi"/>
          <w:sz w:val="24"/>
          <w:szCs w:val="24"/>
          <w:lang w:val="en-GB"/>
        </w:rPr>
        <w:t xml:space="preserve"> parties. The most relevant difference for </w:t>
      </w:r>
      <w:r w:rsidR="003840A8" w:rsidRPr="001B3BA5">
        <w:rPr>
          <w:rFonts w:asciiTheme="majorBidi" w:hAnsiTheme="majorBidi" w:cstheme="majorBidi"/>
          <w:sz w:val="24"/>
          <w:szCs w:val="24"/>
          <w:lang w:val="en-GB"/>
        </w:rPr>
        <w:t>our purposes</w:t>
      </w:r>
      <w:r w:rsidRPr="001B3BA5">
        <w:rPr>
          <w:rFonts w:asciiTheme="majorBidi" w:hAnsiTheme="majorBidi" w:cstheme="majorBidi"/>
          <w:sz w:val="24"/>
          <w:szCs w:val="24"/>
          <w:lang w:val="en-GB"/>
        </w:rPr>
        <w:t xml:space="preserve"> is that the United Kingdom</w:t>
      </w:r>
      <w:r w:rsidR="00A54554" w:rsidRPr="001B3BA5">
        <w:rPr>
          <w:rFonts w:asciiTheme="majorBidi" w:hAnsiTheme="majorBidi" w:cstheme="majorBidi"/>
          <w:sz w:val="24"/>
          <w:szCs w:val="24"/>
          <w:lang w:val="en-GB"/>
        </w:rPr>
        <w:t xml:space="preserve"> citizens</w:t>
      </w:r>
      <w:r w:rsidRPr="001B3BA5">
        <w:rPr>
          <w:rFonts w:asciiTheme="majorBidi" w:hAnsiTheme="majorBidi" w:cstheme="majorBidi"/>
          <w:sz w:val="24"/>
          <w:szCs w:val="24"/>
          <w:lang w:val="en-GB"/>
        </w:rPr>
        <w:t xml:space="preserve"> voted for leaving the EU in the 2016 Brexit referendum. </w:t>
      </w:r>
      <w:r w:rsidR="00352341" w:rsidRPr="001B3BA5">
        <w:rPr>
          <w:rFonts w:asciiTheme="majorBidi" w:hAnsiTheme="majorBidi" w:cstheme="majorBidi"/>
          <w:sz w:val="24"/>
          <w:szCs w:val="24"/>
          <w:lang w:val="en-GB"/>
        </w:rPr>
        <w:t>The British data offer the opportunity to test for the role of CPO in voting behavio</w:t>
      </w:r>
      <w:r w:rsidR="008643F0" w:rsidRPr="001B3BA5">
        <w:rPr>
          <w:rFonts w:asciiTheme="majorBidi" w:hAnsiTheme="majorBidi" w:cstheme="majorBidi"/>
          <w:sz w:val="24"/>
          <w:szCs w:val="24"/>
          <w:lang w:val="en-GB"/>
        </w:rPr>
        <w:t>u</w:t>
      </w:r>
      <w:r w:rsidR="00352341" w:rsidRPr="001B3BA5">
        <w:rPr>
          <w:rFonts w:asciiTheme="majorBidi" w:hAnsiTheme="majorBidi" w:cstheme="majorBidi"/>
          <w:sz w:val="24"/>
          <w:szCs w:val="24"/>
          <w:lang w:val="en-GB"/>
        </w:rPr>
        <w:t xml:space="preserve">r and the Dutch data </w:t>
      </w:r>
      <w:r w:rsidR="008A20F0" w:rsidRPr="001B3BA5">
        <w:rPr>
          <w:rFonts w:asciiTheme="majorBidi" w:hAnsiTheme="majorBidi" w:cstheme="majorBidi"/>
          <w:sz w:val="24"/>
          <w:szCs w:val="24"/>
          <w:lang w:val="en-GB"/>
        </w:rPr>
        <w:t>a</w:t>
      </w:r>
      <w:r w:rsidR="00702AF3" w:rsidRPr="001B3BA5">
        <w:rPr>
          <w:rFonts w:asciiTheme="majorBidi" w:hAnsiTheme="majorBidi" w:cstheme="majorBidi"/>
          <w:sz w:val="24"/>
          <w:szCs w:val="24"/>
          <w:lang w:val="en-GB"/>
        </w:rPr>
        <w:t>llow</w:t>
      </w:r>
      <w:r w:rsidR="00352341" w:rsidRPr="001B3BA5">
        <w:rPr>
          <w:rFonts w:asciiTheme="majorBidi" w:hAnsiTheme="majorBidi" w:cstheme="majorBidi"/>
          <w:sz w:val="24"/>
          <w:szCs w:val="24"/>
          <w:lang w:val="en-GB"/>
        </w:rPr>
        <w:t xml:space="preserve"> </w:t>
      </w:r>
      <w:r w:rsidR="00DF6EFA" w:rsidRPr="001B3BA5">
        <w:rPr>
          <w:rFonts w:asciiTheme="majorBidi" w:hAnsiTheme="majorBidi" w:cstheme="majorBidi"/>
          <w:sz w:val="24"/>
          <w:szCs w:val="24"/>
          <w:lang w:val="en-GB"/>
        </w:rPr>
        <w:t xml:space="preserve">to </w:t>
      </w:r>
      <w:r w:rsidR="00702AF3" w:rsidRPr="001B3BA5">
        <w:rPr>
          <w:rFonts w:asciiTheme="majorBidi" w:hAnsiTheme="majorBidi" w:cstheme="majorBidi"/>
          <w:sz w:val="24"/>
          <w:szCs w:val="24"/>
          <w:lang w:val="en-GB"/>
        </w:rPr>
        <w:t>examine</w:t>
      </w:r>
      <w:r w:rsidR="00352341" w:rsidRPr="001B3BA5">
        <w:rPr>
          <w:rFonts w:asciiTheme="majorBidi" w:hAnsiTheme="majorBidi" w:cstheme="majorBidi"/>
          <w:sz w:val="24"/>
          <w:szCs w:val="24"/>
          <w:lang w:val="en-GB"/>
        </w:rPr>
        <w:t xml:space="preserve"> the role of CPO in attitudes towards European unification in a context where this topic is less hotly debated than in the British context.</w:t>
      </w:r>
      <w:r w:rsidR="00FB4B83" w:rsidRPr="001B3BA5">
        <w:rPr>
          <w:rStyle w:val="FootnoteReference"/>
          <w:rFonts w:asciiTheme="majorBidi" w:hAnsiTheme="majorBidi" w:cstheme="majorBidi"/>
          <w:sz w:val="24"/>
          <w:szCs w:val="24"/>
          <w:lang w:val="en-GB"/>
        </w:rPr>
        <w:footnoteReference w:id="3"/>
      </w:r>
      <w:r w:rsidR="00352341"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Although the </w:t>
      </w:r>
      <w:r w:rsidR="001B57BA" w:rsidRPr="001B3BA5">
        <w:rPr>
          <w:rFonts w:asciiTheme="majorBidi" w:hAnsiTheme="majorBidi" w:cstheme="majorBidi"/>
          <w:sz w:val="24"/>
          <w:szCs w:val="24"/>
          <w:lang w:val="en-GB"/>
        </w:rPr>
        <w:t>Dutch Party for Freedom</w:t>
      </w:r>
      <w:r w:rsidR="001B57BA" w:rsidRPr="001B3BA5" w:rsidDel="001B57BA">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called for </w:t>
      </w:r>
      <w:r w:rsidR="00712947" w:rsidRPr="001B3BA5">
        <w:rPr>
          <w:rFonts w:asciiTheme="majorBidi" w:hAnsiTheme="majorBidi" w:cstheme="majorBidi"/>
          <w:sz w:val="24"/>
          <w:szCs w:val="24"/>
          <w:lang w:val="en-GB"/>
        </w:rPr>
        <w:t>a Dutch</w:t>
      </w:r>
      <w:r w:rsidRPr="001B3BA5">
        <w:rPr>
          <w:rFonts w:asciiTheme="majorBidi" w:hAnsiTheme="majorBidi" w:cstheme="majorBidi"/>
          <w:sz w:val="24"/>
          <w:szCs w:val="24"/>
          <w:lang w:val="en-GB"/>
        </w:rPr>
        <w:t xml:space="preserve"> EU membership referendum, Dutch mainstream parties are pro-EU </w:t>
      </w:r>
      <w:r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&lt;EndNote&gt;&lt;Cite&gt;&lt;Author&gt;Hobolt&lt;/Author&gt;&lt;Year&gt;2016&lt;/Year&gt;&lt;RecNum&gt;1281&lt;/RecNum&gt;&lt;DisplayText&gt;(Hobolt, 2016)&lt;/DisplayText&gt;&lt;record&gt;&lt;rec-number&gt;1281&lt;/rec-number&gt;&lt;foreign-keys&gt;&lt;key app="EN" db-id="es92r5v5dve2z0erx59pv50vtp29v0t9ef5f" timestamp="1530191999"&gt;1281&lt;/key&gt;&lt;key app="ENWeb" db-id=""&gt;0&lt;/key&gt;&lt;/foreign-keys&gt;&lt;ref-type name="Journal Article"&gt;17&lt;/ref-type&gt;&lt;contributors&gt;&lt;authors&gt;&lt;author&gt;Hobolt, Sara B.&lt;/author&gt;&lt;/authors&gt;&lt;/contributors&gt;&lt;titles&gt;&lt;title&gt;The Brexit vote: A divided nation, a divided continent&lt;/title&gt;&lt;secondary-title&gt;Journal of European Public Policy&lt;/secondary-title&gt;&lt;/titles&gt;&lt;periodical&gt;&lt;full-title&gt;Journal of European Public Policy&lt;/full-title&gt;&lt;/periodical&gt;&lt;pages&gt;1259-1277&lt;/pages&gt;&lt;volume&gt;23&lt;/volume&gt;&lt;number&gt;9&lt;/number&gt;&lt;dates&gt;&lt;year&gt;2016&lt;/year&gt;&lt;/dates&gt;&lt;isbn&gt;1350-1763&amp;#xD;1466-4429&lt;/isbn&gt;&lt;urls&gt;&lt;/urls&gt;&lt;electronic-resource-num&gt;10.1080/13501763.2016.1225785&lt;/electronic-resource-num&gt;&lt;/record&gt;&lt;/Cite&gt;&lt;/EndNote&gt;</w:instrText>
      </w:r>
      <w:r w:rsidRPr="001B3BA5">
        <w:rPr>
          <w:rFonts w:asciiTheme="majorBidi" w:hAnsiTheme="majorBidi" w:cstheme="majorBidi"/>
          <w:sz w:val="24"/>
          <w:szCs w:val="24"/>
          <w:lang w:val="en-GB"/>
        </w:rPr>
        <w:fldChar w:fldCharType="separate"/>
      </w:r>
      <w:r w:rsidRPr="001B3BA5">
        <w:rPr>
          <w:rFonts w:asciiTheme="majorBidi" w:hAnsiTheme="majorBidi" w:cstheme="majorBidi"/>
          <w:noProof/>
          <w:sz w:val="24"/>
          <w:szCs w:val="24"/>
          <w:lang w:val="en-GB"/>
        </w:rPr>
        <w:t>(Hobolt, 2016)</w:t>
      </w:r>
      <w:r w:rsidRPr="001B3BA5">
        <w:rPr>
          <w:rFonts w:asciiTheme="majorBidi" w:hAnsiTheme="majorBidi" w:cstheme="majorBidi"/>
          <w:sz w:val="24"/>
          <w:szCs w:val="24"/>
          <w:lang w:val="en-GB"/>
        </w:rPr>
        <w:fldChar w:fldCharType="end"/>
      </w:r>
      <w:r w:rsidR="002A307B"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and the Dutch are </w:t>
      </w:r>
      <w:r w:rsidR="00712947" w:rsidRPr="001B3BA5">
        <w:rPr>
          <w:rFonts w:asciiTheme="majorBidi" w:hAnsiTheme="majorBidi" w:cstheme="majorBidi"/>
          <w:sz w:val="24"/>
          <w:szCs w:val="24"/>
          <w:lang w:val="en-GB"/>
        </w:rPr>
        <w:t xml:space="preserve">much </w:t>
      </w:r>
      <w:r w:rsidRPr="001B3BA5">
        <w:rPr>
          <w:rFonts w:asciiTheme="majorBidi" w:hAnsiTheme="majorBidi" w:cstheme="majorBidi"/>
          <w:sz w:val="24"/>
          <w:szCs w:val="24"/>
          <w:lang w:val="en-GB"/>
        </w:rPr>
        <w:t>less Eurosceptic than the Brit</w:t>
      </w:r>
      <w:r w:rsidR="00262CA3" w:rsidRPr="001B3BA5">
        <w:rPr>
          <w:rFonts w:asciiTheme="majorBidi" w:hAnsiTheme="majorBidi" w:cstheme="majorBidi"/>
          <w:sz w:val="24"/>
          <w:szCs w:val="24"/>
          <w:lang w:val="en-GB"/>
        </w:rPr>
        <w:t>ish</w:t>
      </w:r>
      <w:r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fldChar w:fldCharType="begin"/>
      </w:r>
      <w:r w:rsidR="00A8146C" w:rsidRPr="001B3BA5">
        <w:rPr>
          <w:rFonts w:asciiTheme="majorBidi" w:hAnsiTheme="majorBidi" w:cstheme="majorBidi"/>
          <w:sz w:val="24"/>
          <w:szCs w:val="24"/>
          <w:lang w:val="en-GB"/>
        </w:rPr>
        <w:instrText xml:space="preserve"> ADDIN EN.CITE &lt;EndNote&gt;&lt;Cite&gt;&lt;Author&gt;Stokes&lt;/Author&gt;&lt;Year&gt;2016&lt;/Year&gt;&lt;RecNum&gt;1486&lt;/RecNum&gt;&lt;DisplayText&gt;(Stokes, 2016)&lt;/DisplayText&gt;&lt;record&gt;&lt;rec-number&gt;1486&lt;/rec-number&gt;&lt;foreign-keys&gt;&lt;key app="EN" db-id="es92r5v5dve2z0erx59pv50vtp29v0t9ef5f" timestamp="1570435358"&gt;1486&lt;/key&gt;&lt;/foreign-keys&gt;&lt;ref-type name="Journal Article"&gt;17&lt;/ref-type&gt;&lt;contributors&gt;&lt;authors&gt;&lt;author&gt;Stokes, Bruce&lt;/author&gt;&lt;/authors&gt;&lt;/contributors&gt;&lt;titles&gt;&lt;title&gt;Euroskepticism beyond Brexit&lt;/title&gt;&lt;secondary-title&gt;Pew Research Center&lt;/secondary-title&gt;&lt;/titles&gt;&lt;periodical&gt;&lt;full-title&gt;Pew Research Center&lt;/full-title&gt;&lt;/periodical&gt;&lt;volume&gt;7&lt;/volume&gt;&lt;dates&gt;&lt;year&gt;2016&lt;/year&gt;&lt;/dates&gt;&lt;urls&gt;&lt;/urls&gt;&lt;/record&gt;&lt;/Cite&gt;&lt;/EndNote&gt;</w:instrText>
      </w:r>
      <w:r w:rsidRPr="001B3BA5">
        <w:rPr>
          <w:rFonts w:asciiTheme="majorBidi" w:hAnsiTheme="majorBidi" w:cstheme="majorBidi"/>
          <w:sz w:val="24"/>
          <w:szCs w:val="24"/>
          <w:lang w:val="en-GB"/>
        </w:rPr>
        <w:fldChar w:fldCharType="separate"/>
      </w:r>
      <w:r w:rsidRPr="001B3BA5">
        <w:rPr>
          <w:rFonts w:asciiTheme="majorBidi" w:hAnsiTheme="majorBidi" w:cstheme="majorBidi"/>
          <w:noProof/>
          <w:sz w:val="24"/>
          <w:szCs w:val="24"/>
          <w:lang w:val="en-GB"/>
        </w:rPr>
        <w:t>(Stokes, 2016)</w:t>
      </w:r>
      <w:r w:rsidRPr="001B3BA5">
        <w:rPr>
          <w:rFonts w:asciiTheme="majorBidi" w:hAnsiTheme="majorBidi" w:cstheme="majorBidi"/>
          <w:sz w:val="24"/>
          <w:szCs w:val="24"/>
          <w:lang w:val="en-GB"/>
        </w:rPr>
        <w:fldChar w:fldCharType="end"/>
      </w:r>
      <w:r w:rsidR="00CF1090" w:rsidRPr="001B3BA5">
        <w:rPr>
          <w:rFonts w:asciiTheme="majorBidi" w:hAnsiTheme="majorBidi" w:cstheme="majorBidi"/>
          <w:sz w:val="24"/>
          <w:szCs w:val="24"/>
          <w:lang w:val="en-GB"/>
        </w:rPr>
        <w:t xml:space="preserve">, which </w:t>
      </w:r>
      <w:r w:rsidR="002A307B" w:rsidRPr="001B3BA5">
        <w:rPr>
          <w:rFonts w:asciiTheme="majorBidi" w:hAnsiTheme="majorBidi" w:cstheme="majorBidi"/>
          <w:sz w:val="24"/>
          <w:szCs w:val="24"/>
          <w:lang w:val="en-GB"/>
        </w:rPr>
        <w:t xml:space="preserve">renders </w:t>
      </w:r>
      <w:r w:rsidR="00B146E8" w:rsidRPr="001B3BA5">
        <w:rPr>
          <w:rFonts w:asciiTheme="majorBidi" w:hAnsiTheme="majorBidi" w:cstheme="majorBidi"/>
          <w:sz w:val="24"/>
          <w:szCs w:val="24"/>
          <w:lang w:val="en-GB"/>
        </w:rPr>
        <w:t>‘</w:t>
      </w:r>
      <w:r w:rsidR="00CF1090" w:rsidRPr="001B3BA5">
        <w:rPr>
          <w:rFonts w:asciiTheme="majorBidi" w:hAnsiTheme="majorBidi" w:cstheme="majorBidi"/>
          <w:sz w:val="24"/>
          <w:szCs w:val="24"/>
          <w:lang w:val="en-GB"/>
        </w:rPr>
        <w:t>Nexit</w:t>
      </w:r>
      <w:r w:rsidR="00B146E8" w:rsidRPr="001B3BA5">
        <w:rPr>
          <w:rFonts w:asciiTheme="majorBidi" w:hAnsiTheme="majorBidi" w:cstheme="majorBidi"/>
          <w:sz w:val="24"/>
          <w:szCs w:val="24"/>
          <w:lang w:val="en-GB"/>
        </w:rPr>
        <w:t>’</w:t>
      </w:r>
      <w:r w:rsidR="00CF1090" w:rsidRPr="001B3BA5">
        <w:rPr>
          <w:rFonts w:asciiTheme="majorBidi" w:hAnsiTheme="majorBidi" w:cstheme="majorBidi"/>
          <w:sz w:val="24"/>
          <w:szCs w:val="24"/>
          <w:lang w:val="en-GB"/>
        </w:rPr>
        <w:t xml:space="preserve"> </w:t>
      </w:r>
      <w:r w:rsidR="00712947" w:rsidRPr="001B3BA5">
        <w:rPr>
          <w:rFonts w:asciiTheme="majorBidi" w:hAnsiTheme="majorBidi" w:cstheme="majorBidi"/>
          <w:sz w:val="24"/>
          <w:szCs w:val="24"/>
          <w:lang w:val="en-GB"/>
        </w:rPr>
        <w:t>un</w:t>
      </w:r>
      <w:r w:rsidR="00CF1090" w:rsidRPr="001B3BA5">
        <w:rPr>
          <w:rFonts w:asciiTheme="majorBidi" w:hAnsiTheme="majorBidi" w:cstheme="majorBidi"/>
          <w:sz w:val="24"/>
          <w:szCs w:val="24"/>
          <w:lang w:val="en-GB"/>
        </w:rPr>
        <w:t>likely</w:t>
      </w:r>
      <w:r w:rsidRPr="001B3BA5">
        <w:rPr>
          <w:rFonts w:asciiTheme="majorBidi" w:hAnsiTheme="majorBidi" w:cstheme="majorBidi"/>
          <w:sz w:val="24"/>
          <w:szCs w:val="24"/>
          <w:lang w:val="en-GB"/>
        </w:rPr>
        <w:t>.</w:t>
      </w:r>
    </w:p>
    <w:bookmarkEnd w:id="13"/>
    <w:p w14:paraId="1FC3E6EC" w14:textId="723BFC45" w:rsidR="00F85F30" w:rsidRPr="001B3BA5" w:rsidRDefault="00F85F30" w:rsidP="00584266">
      <w:pPr>
        <w:spacing w:after="0" w:line="480" w:lineRule="exact"/>
        <w:jc w:val="center"/>
        <w:rPr>
          <w:rFonts w:asciiTheme="majorBidi" w:hAnsiTheme="majorBidi" w:cstheme="majorBidi"/>
          <w:b/>
          <w:sz w:val="24"/>
          <w:szCs w:val="24"/>
          <w:lang w:val="en-GB"/>
        </w:rPr>
      </w:pPr>
      <w:r w:rsidRPr="001B3BA5">
        <w:rPr>
          <w:rFonts w:asciiTheme="majorBidi" w:hAnsiTheme="majorBidi" w:cstheme="majorBidi"/>
          <w:b/>
          <w:sz w:val="24"/>
          <w:szCs w:val="24"/>
          <w:lang w:val="en-GB"/>
        </w:rPr>
        <w:t>S</w:t>
      </w:r>
      <w:r w:rsidR="00051EEA" w:rsidRPr="001B3BA5">
        <w:rPr>
          <w:rFonts w:asciiTheme="majorBidi" w:hAnsiTheme="majorBidi" w:cstheme="majorBidi"/>
          <w:b/>
          <w:sz w:val="24"/>
          <w:szCs w:val="24"/>
          <w:lang w:val="en-GB"/>
        </w:rPr>
        <w:t>tudy</w:t>
      </w:r>
      <w:r w:rsidRPr="001B3BA5">
        <w:rPr>
          <w:rFonts w:asciiTheme="majorBidi" w:hAnsiTheme="majorBidi" w:cstheme="majorBidi"/>
          <w:b/>
          <w:sz w:val="24"/>
          <w:szCs w:val="24"/>
          <w:lang w:val="en-GB"/>
        </w:rPr>
        <w:t xml:space="preserve"> 1</w:t>
      </w:r>
    </w:p>
    <w:p w14:paraId="6AC02794" w14:textId="2C002B92" w:rsidR="00E757EB" w:rsidRPr="001B3BA5" w:rsidRDefault="00574BF4" w:rsidP="00584266">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W</w:t>
      </w:r>
      <w:r w:rsidR="00E757EB" w:rsidRPr="001B3BA5">
        <w:rPr>
          <w:rFonts w:asciiTheme="majorBidi" w:hAnsiTheme="majorBidi" w:cstheme="majorBidi"/>
          <w:sz w:val="24"/>
          <w:szCs w:val="24"/>
          <w:lang w:val="en-GB"/>
        </w:rPr>
        <w:t xml:space="preserve">e tested </w:t>
      </w:r>
      <w:r w:rsidRPr="001B3BA5">
        <w:rPr>
          <w:rFonts w:asciiTheme="majorBidi" w:hAnsiTheme="majorBidi" w:cstheme="majorBidi"/>
          <w:sz w:val="24"/>
          <w:szCs w:val="24"/>
          <w:lang w:val="en-GB"/>
        </w:rPr>
        <w:t>whether</w:t>
      </w:r>
      <w:r w:rsidR="00E757EB" w:rsidRPr="001B3BA5">
        <w:rPr>
          <w:rFonts w:asciiTheme="majorBidi" w:hAnsiTheme="majorBidi" w:cstheme="majorBidi"/>
          <w:sz w:val="24"/>
          <w:szCs w:val="24"/>
          <w:lang w:val="en-GB"/>
        </w:rPr>
        <w:t xml:space="preserve"> CPO is related to more negative attitudes towards immigrant minorities and European integration, and </w:t>
      </w:r>
      <w:r w:rsidR="00673405" w:rsidRPr="001B3BA5">
        <w:rPr>
          <w:rFonts w:asciiTheme="majorBidi" w:hAnsiTheme="majorBidi" w:cstheme="majorBidi"/>
          <w:sz w:val="24"/>
          <w:szCs w:val="24"/>
          <w:lang w:val="en-GB"/>
        </w:rPr>
        <w:t>whether</w:t>
      </w:r>
      <w:r w:rsidR="00E757EB" w:rsidRPr="001B3BA5">
        <w:rPr>
          <w:rFonts w:asciiTheme="majorBidi" w:hAnsiTheme="majorBidi" w:cstheme="majorBidi"/>
          <w:sz w:val="24"/>
          <w:szCs w:val="24"/>
          <w:lang w:val="en-GB"/>
        </w:rPr>
        <w:t xml:space="preserve"> these associations are mediated by </w:t>
      </w:r>
      <w:r w:rsidR="00DF6EFA" w:rsidRPr="001B3BA5">
        <w:rPr>
          <w:rFonts w:asciiTheme="majorBidi" w:hAnsiTheme="majorBidi" w:cstheme="majorBidi"/>
          <w:sz w:val="24"/>
          <w:szCs w:val="24"/>
          <w:lang w:val="en-GB"/>
        </w:rPr>
        <w:t xml:space="preserve">perceived </w:t>
      </w:r>
      <w:r w:rsidR="00E757EB" w:rsidRPr="001B3BA5">
        <w:rPr>
          <w:rFonts w:asciiTheme="majorBidi" w:hAnsiTheme="majorBidi" w:cstheme="majorBidi"/>
          <w:sz w:val="24"/>
          <w:szCs w:val="24"/>
          <w:lang w:val="en-GB"/>
        </w:rPr>
        <w:t xml:space="preserve">exclusive determination right. </w:t>
      </w:r>
      <w:bookmarkStart w:id="14" w:name="_Hlk19700690"/>
      <w:r w:rsidR="00E757EB" w:rsidRPr="001B3BA5">
        <w:rPr>
          <w:rFonts w:asciiTheme="majorBidi" w:hAnsiTheme="majorBidi" w:cstheme="majorBidi"/>
          <w:sz w:val="24"/>
          <w:szCs w:val="24"/>
          <w:lang w:val="en-GB"/>
        </w:rPr>
        <w:t>Furthermore, we considered the moderating influence of political ideology on the association between exclusive determination right and attitudes towards immigrant minorities and European integration.</w:t>
      </w:r>
      <w:bookmarkEnd w:id="14"/>
      <w:r w:rsidR="00E757EB" w:rsidRPr="001B3BA5">
        <w:rPr>
          <w:rFonts w:asciiTheme="majorBidi" w:hAnsiTheme="majorBidi" w:cstheme="majorBidi"/>
          <w:sz w:val="24"/>
          <w:szCs w:val="24"/>
          <w:lang w:val="en-GB"/>
        </w:rPr>
        <w:t xml:space="preserve"> We controlled for national identification</w:t>
      </w:r>
      <w:r w:rsidR="004264E1" w:rsidRPr="001B3BA5">
        <w:rPr>
          <w:rFonts w:asciiTheme="majorBidi" w:hAnsiTheme="majorBidi" w:cstheme="majorBidi"/>
          <w:sz w:val="24"/>
          <w:szCs w:val="24"/>
          <w:lang w:val="en-GB"/>
        </w:rPr>
        <w:t>,</w:t>
      </w:r>
      <w:r w:rsidR="00E757EB" w:rsidRPr="001B3BA5">
        <w:rPr>
          <w:rFonts w:asciiTheme="majorBidi" w:hAnsiTheme="majorBidi" w:cstheme="majorBidi"/>
          <w:sz w:val="24"/>
          <w:szCs w:val="24"/>
          <w:lang w:val="en-GB"/>
        </w:rPr>
        <w:t xml:space="preserve"> place attachment</w:t>
      </w:r>
      <w:r w:rsidR="004264E1" w:rsidRPr="001B3BA5">
        <w:rPr>
          <w:rFonts w:asciiTheme="majorBidi" w:hAnsiTheme="majorBidi" w:cstheme="majorBidi"/>
          <w:sz w:val="24"/>
          <w:szCs w:val="24"/>
          <w:lang w:val="en-GB"/>
        </w:rPr>
        <w:t>, and demographic characteristics</w:t>
      </w:r>
      <w:r w:rsidR="00E757EB" w:rsidRPr="001B3BA5">
        <w:rPr>
          <w:rFonts w:asciiTheme="majorBidi" w:hAnsiTheme="majorBidi" w:cstheme="majorBidi"/>
          <w:sz w:val="24"/>
          <w:szCs w:val="24"/>
          <w:lang w:val="en-GB"/>
        </w:rPr>
        <w:t>.</w:t>
      </w:r>
    </w:p>
    <w:p w14:paraId="397EA8CD" w14:textId="79E1406A" w:rsidR="00F85F30" w:rsidRPr="001B3BA5" w:rsidRDefault="00F85F30" w:rsidP="00584266">
      <w:pPr>
        <w:spacing w:after="0" w:line="480" w:lineRule="exact"/>
        <w:rPr>
          <w:rFonts w:asciiTheme="majorBidi" w:hAnsiTheme="majorBidi" w:cstheme="majorBidi"/>
          <w:b/>
          <w:sz w:val="24"/>
          <w:szCs w:val="24"/>
          <w:lang w:val="en-GB"/>
        </w:rPr>
      </w:pPr>
      <w:r w:rsidRPr="001B3BA5">
        <w:rPr>
          <w:rFonts w:asciiTheme="majorBidi" w:hAnsiTheme="majorBidi" w:cstheme="majorBidi"/>
          <w:b/>
          <w:sz w:val="24"/>
          <w:szCs w:val="24"/>
          <w:lang w:val="en-GB"/>
        </w:rPr>
        <w:t>Sample</w:t>
      </w:r>
    </w:p>
    <w:p w14:paraId="4B1E9BBC" w14:textId="029ABCA9" w:rsidR="00F85F30" w:rsidRPr="001B3BA5" w:rsidRDefault="00DB569E" w:rsidP="00584266">
      <w:pPr>
        <w:spacing w:after="0" w:line="480" w:lineRule="exact"/>
        <w:ind w:firstLine="708"/>
        <w:rPr>
          <w:rFonts w:asciiTheme="majorBidi" w:hAnsiTheme="majorBidi" w:cstheme="majorBidi"/>
          <w:sz w:val="24"/>
          <w:szCs w:val="24"/>
          <w:lang w:val="en-GB"/>
        </w:rPr>
      </w:pPr>
      <w:bookmarkStart w:id="15" w:name="_Hlk13644742"/>
      <w:r w:rsidRPr="001B3BA5">
        <w:rPr>
          <w:rFonts w:asciiTheme="majorBidi" w:hAnsiTheme="majorBidi" w:cstheme="majorBidi"/>
          <w:sz w:val="24"/>
          <w:szCs w:val="24"/>
          <w:lang w:val="en-GB"/>
        </w:rPr>
        <w:t>We</w:t>
      </w:r>
      <w:r w:rsidR="007069B5" w:rsidRPr="001B3BA5">
        <w:rPr>
          <w:rFonts w:asciiTheme="majorBidi" w:hAnsiTheme="majorBidi" w:cstheme="majorBidi"/>
          <w:sz w:val="24"/>
          <w:szCs w:val="24"/>
          <w:lang w:val="en-GB"/>
        </w:rPr>
        <w:t xml:space="preserve"> survey</w:t>
      </w:r>
      <w:r w:rsidR="00DF0E03" w:rsidRPr="001B3BA5">
        <w:rPr>
          <w:rFonts w:asciiTheme="majorBidi" w:hAnsiTheme="majorBidi" w:cstheme="majorBidi"/>
          <w:sz w:val="24"/>
          <w:szCs w:val="24"/>
          <w:lang w:val="en-GB"/>
        </w:rPr>
        <w:t>ed</w:t>
      </w:r>
      <w:r w:rsidR="007069B5" w:rsidRPr="001B3BA5">
        <w:rPr>
          <w:rFonts w:asciiTheme="majorBidi" w:hAnsiTheme="majorBidi" w:cstheme="majorBidi"/>
          <w:sz w:val="24"/>
          <w:szCs w:val="24"/>
          <w:lang w:val="en-GB"/>
        </w:rPr>
        <w:t xml:space="preserve"> 608 </w:t>
      </w:r>
      <w:r w:rsidR="00DF0E03" w:rsidRPr="001B3BA5">
        <w:rPr>
          <w:rFonts w:asciiTheme="majorBidi" w:hAnsiTheme="majorBidi" w:cstheme="majorBidi"/>
          <w:sz w:val="24"/>
          <w:szCs w:val="24"/>
          <w:lang w:val="en-GB"/>
        </w:rPr>
        <w:t>participants</w:t>
      </w:r>
      <w:r w:rsidR="007069B5"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via the</w:t>
      </w:r>
      <w:r w:rsidR="007069B5" w:rsidRPr="001B3BA5">
        <w:rPr>
          <w:rFonts w:asciiTheme="majorBidi" w:hAnsiTheme="majorBidi" w:cstheme="majorBidi"/>
          <w:sz w:val="24"/>
          <w:szCs w:val="24"/>
          <w:lang w:val="en-GB"/>
        </w:rPr>
        <w:t xml:space="preserve"> Dutch</w:t>
      </w:r>
      <w:r w:rsidRPr="001B3BA5">
        <w:rPr>
          <w:rFonts w:asciiTheme="majorBidi" w:hAnsiTheme="majorBidi" w:cstheme="majorBidi"/>
          <w:sz w:val="24"/>
          <w:szCs w:val="24"/>
          <w:lang w:val="en-GB"/>
        </w:rPr>
        <w:t xml:space="preserve"> online </w:t>
      </w:r>
      <w:r w:rsidR="007069B5" w:rsidRPr="001B3BA5">
        <w:rPr>
          <w:rFonts w:asciiTheme="majorBidi" w:hAnsiTheme="majorBidi" w:cstheme="majorBidi"/>
          <w:sz w:val="24"/>
          <w:szCs w:val="24"/>
          <w:lang w:val="en-GB"/>
        </w:rPr>
        <w:t xml:space="preserve">platform </w:t>
      </w:r>
      <w:r w:rsidRPr="001B3BA5">
        <w:rPr>
          <w:rFonts w:asciiTheme="majorBidi" w:hAnsiTheme="majorBidi" w:cstheme="majorBidi"/>
          <w:sz w:val="24"/>
          <w:szCs w:val="24"/>
          <w:lang w:val="en-GB"/>
        </w:rPr>
        <w:t xml:space="preserve">Thesistools </w:t>
      </w:r>
      <w:r w:rsidR="003A182C" w:rsidRPr="001B3BA5">
        <w:rPr>
          <w:rFonts w:asciiTheme="majorBidi" w:hAnsiTheme="majorBidi" w:cstheme="majorBidi"/>
          <w:sz w:val="24"/>
          <w:szCs w:val="24"/>
          <w:lang w:val="en-GB"/>
        </w:rPr>
        <w:fldChar w:fldCharType="begin"/>
      </w:r>
      <w:r w:rsidR="003A182C" w:rsidRPr="001B3BA5">
        <w:rPr>
          <w:rFonts w:asciiTheme="majorBidi" w:hAnsiTheme="majorBidi" w:cstheme="majorBidi"/>
          <w:sz w:val="24"/>
          <w:szCs w:val="24"/>
          <w:lang w:val="en-GB"/>
        </w:rPr>
        <w:instrText xml:space="preserve"> ADDIN EN.CITE &lt;EndNote&gt;&lt;Cite ExcludeAuth="1"&gt;&lt;Author&gt;ThesisTools&lt;/Author&gt;&lt;Year&gt;2019&lt;/Year&gt;&lt;RecNum&gt;1490&lt;/RecNum&gt;&lt;DisplayText&gt;(2019)&lt;/DisplayText&gt;&lt;record&gt;&lt;rec-number&gt;1490&lt;/rec-number&gt;&lt;foreign-keys&gt;&lt;key app="EN" db-id="es92r5v5dve2z0erx59pv50vtp29v0t9ef5f" timestamp="1570441277"&gt;1490&lt;/key&gt;&lt;/foreign-keys&gt;&lt;ref-type name="Web Page"&gt;12&lt;/ref-type&gt;&lt;contributors&gt;&lt;authors&gt;&lt;author&gt;ThesisTools&lt;/author&gt;&lt;/authors&gt;&lt;/contributors&gt;&lt;titles&gt;&lt;title&gt;ThesisTools&lt;/title&gt;&lt;/titles&gt;&lt;volume&gt;2019&lt;/volume&gt;&lt;number&gt;7-10-2019&lt;/number&gt;&lt;dates&gt;&lt;year&gt;2019&lt;/year&gt;&lt;/dates&gt;&lt;urls&gt;&lt;related-urls&gt;&lt;url&gt;https://www.thesistoolspro.com/&lt;/url&gt;&lt;/related-urls&gt;&lt;/urls&gt;&lt;/record&gt;&lt;/Cite&gt;&lt;/EndNote&gt;</w:instrText>
      </w:r>
      <w:r w:rsidR="003A182C" w:rsidRPr="001B3BA5">
        <w:rPr>
          <w:rFonts w:asciiTheme="majorBidi" w:hAnsiTheme="majorBidi" w:cstheme="majorBidi"/>
          <w:sz w:val="24"/>
          <w:szCs w:val="24"/>
          <w:lang w:val="en-GB"/>
        </w:rPr>
        <w:fldChar w:fldCharType="separate"/>
      </w:r>
      <w:r w:rsidR="003A182C" w:rsidRPr="001B3BA5">
        <w:rPr>
          <w:rFonts w:asciiTheme="majorBidi" w:hAnsiTheme="majorBidi" w:cstheme="majorBidi"/>
          <w:noProof/>
          <w:sz w:val="24"/>
          <w:szCs w:val="24"/>
          <w:lang w:val="en-GB"/>
        </w:rPr>
        <w:t>(2019)</w:t>
      </w:r>
      <w:r w:rsidR="003A182C" w:rsidRPr="001B3BA5">
        <w:rPr>
          <w:rFonts w:asciiTheme="majorBidi" w:hAnsiTheme="majorBidi" w:cstheme="majorBidi"/>
          <w:sz w:val="24"/>
          <w:szCs w:val="24"/>
          <w:lang w:val="en-GB"/>
        </w:rPr>
        <w:fldChar w:fldCharType="end"/>
      </w:r>
      <w:r w:rsidR="00F85F30" w:rsidRPr="001B3BA5">
        <w:rPr>
          <w:rFonts w:asciiTheme="majorBidi" w:hAnsiTheme="majorBidi" w:cstheme="majorBidi"/>
          <w:sz w:val="24"/>
          <w:szCs w:val="24"/>
          <w:lang w:val="en-GB"/>
        </w:rPr>
        <w:t xml:space="preserve">. </w:t>
      </w:r>
      <w:r w:rsidR="000244F0" w:rsidRPr="001B3BA5">
        <w:rPr>
          <w:rFonts w:asciiTheme="majorBidi" w:hAnsiTheme="majorBidi" w:cstheme="majorBidi"/>
          <w:sz w:val="24"/>
          <w:szCs w:val="24"/>
          <w:lang w:val="en-GB"/>
        </w:rPr>
        <w:t xml:space="preserve">Based on sample size calculator software for structural equation modeling </w:t>
      </w:r>
      <w:r w:rsidR="00375CE1" w:rsidRPr="001B3BA5">
        <w:rPr>
          <w:rFonts w:asciiTheme="majorBidi" w:hAnsiTheme="majorBidi" w:cstheme="majorBidi"/>
          <w:sz w:val="24"/>
          <w:szCs w:val="24"/>
          <w:lang w:val="en-GB"/>
        </w:rPr>
        <w:fldChar w:fldCharType="begin"/>
      </w:r>
      <w:r w:rsidR="00A8146C" w:rsidRPr="001B3BA5">
        <w:rPr>
          <w:rFonts w:asciiTheme="majorBidi" w:hAnsiTheme="majorBidi" w:cstheme="majorBidi"/>
          <w:sz w:val="24"/>
          <w:szCs w:val="24"/>
          <w:lang w:val="en-GB"/>
        </w:rPr>
        <w:instrText xml:space="preserve"> ADDIN EN.CITE &lt;EndNote&gt;&lt;Cite&gt;&lt;Author&gt;Soper&lt;/Author&gt;&lt;Year&gt;2017&lt;/Year&gt;&lt;RecNum&gt;1510&lt;/RecNum&gt;&lt;DisplayText&gt;(Soper, 2017)&lt;/DisplayText&gt;&lt;record&gt;&lt;rec-number&gt;1510&lt;/rec-number&gt;&lt;foreign-keys&gt;&lt;key app="EN" db-id="es92r5v5dve2z0erx59pv50vtp29v0t9ef5f" timestamp="1573559324"&gt;1510&lt;/key&gt;&lt;/foreign-keys&gt;&lt;ref-type name="Web Page"&gt;12&lt;/ref-type&gt;&lt;contributors&gt;&lt;authors&gt;&lt;author&gt;Soper, D.S.&lt;/author&gt;&lt;/authors&gt;&lt;/contributors&gt;&lt;titles&gt;&lt;title&gt;A-priori sample size calculator for structural equation models [software]&lt;/title&gt;&lt;/titles&gt;&lt;dates&gt;&lt;year&gt;2017&lt;/year&gt;&lt;/dates&gt;&lt;urls&gt;&lt;related-urls&gt;&lt;url&gt;https://www.danielsoper.com/statcalc/&lt;/url&gt;&lt;/related-urls&gt;&lt;/urls&gt;&lt;/record&gt;&lt;/Cite&gt;&lt;/EndNote&gt;</w:instrText>
      </w:r>
      <w:r w:rsidR="00375CE1" w:rsidRPr="001B3BA5">
        <w:rPr>
          <w:rFonts w:asciiTheme="majorBidi" w:hAnsiTheme="majorBidi" w:cstheme="majorBidi"/>
          <w:sz w:val="24"/>
          <w:szCs w:val="24"/>
          <w:lang w:val="en-GB"/>
        </w:rPr>
        <w:fldChar w:fldCharType="separate"/>
      </w:r>
      <w:r w:rsidR="00375CE1" w:rsidRPr="001B3BA5">
        <w:rPr>
          <w:rFonts w:asciiTheme="majorBidi" w:hAnsiTheme="majorBidi" w:cstheme="majorBidi"/>
          <w:noProof/>
          <w:sz w:val="24"/>
          <w:szCs w:val="24"/>
          <w:lang w:val="en-GB"/>
        </w:rPr>
        <w:t>(Soper, 2017)</w:t>
      </w:r>
      <w:r w:rsidR="00375CE1" w:rsidRPr="001B3BA5">
        <w:rPr>
          <w:rFonts w:asciiTheme="majorBidi" w:hAnsiTheme="majorBidi" w:cstheme="majorBidi"/>
          <w:sz w:val="24"/>
          <w:szCs w:val="24"/>
          <w:lang w:val="en-GB"/>
        </w:rPr>
        <w:fldChar w:fldCharType="end"/>
      </w:r>
      <w:r w:rsidR="000244F0" w:rsidRPr="001B3BA5">
        <w:rPr>
          <w:rFonts w:asciiTheme="majorBidi" w:hAnsiTheme="majorBidi" w:cstheme="majorBidi"/>
          <w:sz w:val="24"/>
          <w:szCs w:val="24"/>
          <w:lang w:val="en-GB"/>
        </w:rPr>
        <w:t xml:space="preserve">, the main model with 20 observed indicators and three latent variables </w:t>
      </w:r>
      <w:r w:rsidR="00DF0E03" w:rsidRPr="001B3BA5">
        <w:rPr>
          <w:rFonts w:asciiTheme="majorBidi" w:hAnsiTheme="majorBidi" w:cstheme="majorBidi"/>
          <w:sz w:val="24"/>
          <w:szCs w:val="24"/>
          <w:lang w:val="en-GB"/>
        </w:rPr>
        <w:t>requires</w:t>
      </w:r>
      <w:r w:rsidR="000244F0" w:rsidRPr="001B3BA5">
        <w:rPr>
          <w:rFonts w:asciiTheme="majorBidi" w:hAnsiTheme="majorBidi" w:cstheme="majorBidi"/>
          <w:sz w:val="24"/>
          <w:szCs w:val="24"/>
          <w:lang w:val="en-GB"/>
        </w:rPr>
        <w:t xml:space="preserve"> 323 </w:t>
      </w:r>
      <w:r w:rsidR="00DF0E03" w:rsidRPr="001B3BA5">
        <w:rPr>
          <w:rFonts w:asciiTheme="majorBidi" w:hAnsiTheme="majorBidi" w:cstheme="majorBidi"/>
          <w:sz w:val="24"/>
          <w:szCs w:val="24"/>
          <w:lang w:val="en-GB"/>
        </w:rPr>
        <w:t xml:space="preserve">participants </w:t>
      </w:r>
      <w:r w:rsidR="000244F0" w:rsidRPr="001B3BA5">
        <w:rPr>
          <w:rFonts w:asciiTheme="majorBidi" w:hAnsiTheme="majorBidi" w:cstheme="majorBidi"/>
          <w:sz w:val="24"/>
          <w:szCs w:val="24"/>
          <w:lang w:val="en-GB"/>
        </w:rPr>
        <w:t>to detect a medium-sized effect (</w:t>
      </w:r>
      <w:r w:rsidR="000244F0" w:rsidRPr="001B3BA5">
        <w:rPr>
          <w:rFonts w:asciiTheme="majorBidi" w:hAnsiTheme="majorBidi" w:cstheme="majorBidi"/>
          <w:i/>
          <w:sz w:val="24"/>
          <w:szCs w:val="24"/>
          <w:lang w:val="en-GB"/>
        </w:rPr>
        <w:t>Cohen’s d</w:t>
      </w:r>
      <w:r w:rsidR="00955643" w:rsidRPr="001B3BA5">
        <w:rPr>
          <w:rFonts w:asciiTheme="majorBidi" w:hAnsiTheme="majorBidi" w:cstheme="majorBidi"/>
          <w:sz w:val="24"/>
          <w:szCs w:val="24"/>
          <w:lang w:val="en-GB"/>
        </w:rPr>
        <w:t>=</w:t>
      </w:r>
      <w:r w:rsidR="000244F0" w:rsidRPr="001B3BA5">
        <w:rPr>
          <w:rFonts w:asciiTheme="majorBidi" w:hAnsiTheme="majorBidi" w:cstheme="majorBidi"/>
          <w:sz w:val="24"/>
          <w:szCs w:val="24"/>
          <w:lang w:val="en-GB"/>
        </w:rPr>
        <w:t xml:space="preserve">.4) at the .05 alpha level. The final model including control variables was more complex, </w:t>
      </w:r>
      <w:r w:rsidR="001A51D8" w:rsidRPr="001B3BA5">
        <w:rPr>
          <w:rFonts w:asciiTheme="majorBidi" w:hAnsiTheme="majorBidi" w:cstheme="majorBidi"/>
          <w:sz w:val="24"/>
          <w:szCs w:val="24"/>
          <w:lang w:val="en-GB"/>
        </w:rPr>
        <w:t xml:space="preserve">and </w:t>
      </w:r>
      <w:r w:rsidR="00DF0E03" w:rsidRPr="001B3BA5">
        <w:rPr>
          <w:rFonts w:asciiTheme="majorBidi" w:hAnsiTheme="majorBidi" w:cstheme="majorBidi"/>
          <w:sz w:val="24"/>
          <w:szCs w:val="24"/>
          <w:lang w:val="en-GB"/>
        </w:rPr>
        <w:t>so</w:t>
      </w:r>
      <w:r w:rsidR="000244F0" w:rsidRPr="001B3BA5">
        <w:rPr>
          <w:rFonts w:asciiTheme="majorBidi" w:hAnsiTheme="majorBidi" w:cstheme="majorBidi"/>
          <w:sz w:val="24"/>
          <w:szCs w:val="24"/>
          <w:lang w:val="en-GB"/>
        </w:rPr>
        <w:t xml:space="preserve"> we aimed for a larger sample size. </w:t>
      </w:r>
      <w:r w:rsidRPr="001B3BA5">
        <w:rPr>
          <w:rFonts w:asciiTheme="majorBidi" w:hAnsiTheme="majorBidi" w:cstheme="majorBidi"/>
          <w:sz w:val="24"/>
          <w:szCs w:val="24"/>
          <w:lang w:val="en-GB"/>
        </w:rPr>
        <w:t xml:space="preserve">We excluded </w:t>
      </w:r>
      <w:r w:rsidR="007069B5" w:rsidRPr="001B3BA5">
        <w:rPr>
          <w:rFonts w:asciiTheme="majorBidi" w:hAnsiTheme="majorBidi" w:cstheme="majorBidi"/>
          <w:sz w:val="24"/>
          <w:szCs w:val="24"/>
          <w:lang w:val="en-GB"/>
        </w:rPr>
        <w:t>27 participants who did not answer the political ideology question,</w:t>
      </w:r>
      <w:r w:rsidR="007069B5" w:rsidRPr="001B3BA5">
        <w:rPr>
          <w:rStyle w:val="FootnoteReference"/>
          <w:rFonts w:asciiTheme="majorBidi" w:hAnsiTheme="majorBidi" w:cstheme="majorBidi"/>
          <w:sz w:val="24"/>
          <w:szCs w:val="24"/>
          <w:lang w:val="en-GB"/>
        </w:rPr>
        <w:footnoteReference w:id="4"/>
      </w:r>
      <w:r w:rsidR="007069B5" w:rsidRPr="001B3BA5">
        <w:rPr>
          <w:rFonts w:asciiTheme="majorBidi" w:hAnsiTheme="majorBidi" w:cstheme="majorBidi"/>
          <w:sz w:val="24"/>
          <w:szCs w:val="24"/>
          <w:lang w:val="en-GB"/>
        </w:rPr>
        <w:t xml:space="preserve"> and </w:t>
      </w:r>
      <w:r w:rsidRPr="001B3BA5">
        <w:rPr>
          <w:rFonts w:asciiTheme="majorBidi" w:hAnsiTheme="majorBidi" w:cstheme="majorBidi"/>
          <w:sz w:val="24"/>
          <w:szCs w:val="24"/>
          <w:lang w:val="en-GB"/>
        </w:rPr>
        <w:t>n</w:t>
      </w:r>
      <w:r w:rsidR="00F85F30" w:rsidRPr="001B3BA5">
        <w:rPr>
          <w:rFonts w:asciiTheme="majorBidi" w:hAnsiTheme="majorBidi" w:cstheme="majorBidi"/>
          <w:sz w:val="24"/>
          <w:szCs w:val="24"/>
          <w:lang w:val="en-GB"/>
        </w:rPr>
        <w:t xml:space="preserve">ine </w:t>
      </w:r>
      <w:r w:rsidR="004857CA" w:rsidRPr="001B3BA5">
        <w:rPr>
          <w:rFonts w:asciiTheme="majorBidi" w:hAnsiTheme="majorBidi" w:cstheme="majorBidi"/>
          <w:sz w:val="24"/>
          <w:szCs w:val="24"/>
          <w:lang w:val="en-GB"/>
        </w:rPr>
        <w:t>participant</w:t>
      </w:r>
      <w:r w:rsidR="00F85F30" w:rsidRPr="001B3BA5">
        <w:rPr>
          <w:rFonts w:asciiTheme="majorBidi" w:hAnsiTheme="majorBidi" w:cstheme="majorBidi"/>
          <w:sz w:val="24"/>
          <w:szCs w:val="24"/>
          <w:lang w:val="en-GB"/>
        </w:rPr>
        <w:t>s</w:t>
      </w:r>
      <w:r w:rsidRPr="001B3BA5">
        <w:rPr>
          <w:rFonts w:asciiTheme="majorBidi" w:hAnsiTheme="majorBidi" w:cstheme="majorBidi"/>
          <w:sz w:val="24"/>
          <w:szCs w:val="24"/>
          <w:lang w:val="en-GB"/>
        </w:rPr>
        <w:t xml:space="preserve"> because </w:t>
      </w:r>
      <w:r w:rsidR="00F85F30" w:rsidRPr="001B3BA5">
        <w:rPr>
          <w:rFonts w:asciiTheme="majorBidi" w:hAnsiTheme="majorBidi" w:cstheme="majorBidi"/>
          <w:sz w:val="24"/>
          <w:szCs w:val="24"/>
          <w:lang w:val="en-GB"/>
        </w:rPr>
        <w:t>they</w:t>
      </w:r>
      <w:r w:rsidR="00673405"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 xml:space="preserve"> or one of their parents</w:t>
      </w:r>
      <w:r w:rsidR="00673405"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were </w:t>
      </w:r>
      <w:r w:rsidR="00F85F30" w:rsidRPr="001B3BA5">
        <w:rPr>
          <w:rFonts w:asciiTheme="majorBidi" w:hAnsiTheme="majorBidi" w:cstheme="majorBidi"/>
          <w:sz w:val="24"/>
          <w:szCs w:val="24"/>
          <w:lang w:val="en-GB"/>
        </w:rPr>
        <w:t xml:space="preserve">not born in </w:t>
      </w:r>
      <w:r w:rsidRPr="001B3BA5">
        <w:rPr>
          <w:rFonts w:asciiTheme="majorBidi" w:hAnsiTheme="majorBidi" w:cstheme="majorBidi"/>
          <w:sz w:val="24"/>
          <w:szCs w:val="24"/>
          <w:lang w:val="en-GB"/>
        </w:rPr>
        <w:t>T</w:t>
      </w:r>
      <w:r w:rsidR="00F85F30" w:rsidRPr="001B3BA5">
        <w:rPr>
          <w:rFonts w:asciiTheme="majorBidi" w:hAnsiTheme="majorBidi" w:cstheme="majorBidi"/>
          <w:sz w:val="24"/>
          <w:szCs w:val="24"/>
          <w:lang w:val="en-GB"/>
        </w:rPr>
        <w:t>he Netherlands</w:t>
      </w:r>
      <w:r w:rsidR="007069B5" w:rsidRPr="001B3BA5">
        <w:rPr>
          <w:rFonts w:asciiTheme="majorBidi" w:hAnsiTheme="majorBidi" w:cstheme="majorBidi"/>
          <w:sz w:val="24"/>
          <w:szCs w:val="24"/>
          <w:lang w:val="en-GB"/>
        </w:rPr>
        <w:t xml:space="preserve">. </w:t>
      </w:r>
      <w:r w:rsidR="00657073" w:rsidRPr="001B3BA5">
        <w:rPr>
          <w:rFonts w:asciiTheme="majorBidi" w:hAnsiTheme="majorBidi" w:cstheme="majorBidi"/>
          <w:sz w:val="24"/>
          <w:szCs w:val="24"/>
          <w:lang w:val="en-GB"/>
        </w:rPr>
        <w:t>The</w:t>
      </w:r>
      <w:r w:rsidR="000F30F3" w:rsidRPr="001B3BA5">
        <w:rPr>
          <w:rFonts w:asciiTheme="majorBidi" w:hAnsiTheme="majorBidi" w:cstheme="majorBidi"/>
          <w:sz w:val="24"/>
          <w:szCs w:val="24"/>
          <w:lang w:val="en-GB"/>
        </w:rPr>
        <w:t xml:space="preserve"> final</w:t>
      </w:r>
      <w:r w:rsidR="00657073" w:rsidRPr="001B3BA5">
        <w:rPr>
          <w:rFonts w:asciiTheme="majorBidi" w:hAnsiTheme="majorBidi" w:cstheme="majorBidi"/>
          <w:sz w:val="24"/>
          <w:szCs w:val="24"/>
          <w:lang w:val="en-GB"/>
        </w:rPr>
        <w:t xml:space="preserve"> sample</w:t>
      </w:r>
      <w:r w:rsidR="000F30F3" w:rsidRPr="001B3BA5">
        <w:rPr>
          <w:rFonts w:asciiTheme="majorBidi" w:hAnsiTheme="majorBidi" w:cstheme="majorBidi"/>
          <w:sz w:val="24"/>
          <w:szCs w:val="24"/>
          <w:lang w:val="en-GB"/>
        </w:rPr>
        <w:t xml:space="preserve"> (</w:t>
      </w:r>
      <w:r w:rsidR="000F30F3" w:rsidRPr="001B3BA5">
        <w:rPr>
          <w:rFonts w:asciiTheme="majorBidi" w:hAnsiTheme="majorBidi" w:cstheme="majorBidi"/>
          <w:i/>
          <w:iCs/>
          <w:sz w:val="24"/>
          <w:szCs w:val="24"/>
          <w:lang w:val="en-GB"/>
        </w:rPr>
        <w:t>N</w:t>
      </w:r>
      <w:r w:rsidR="000F30F3" w:rsidRPr="001B3BA5">
        <w:rPr>
          <w:rFonts w:asciiTheme="majorBidi" w:hAnsiTheme="majorBidi" w:cstheme="majorBidi"/>
          <w:sz w:val="24"/>
          <w:szCs w:val="24"/>
          <w:lang w:val="en-GB"/>
        </w:rPr>
        <w:t xml:space="preserve"> = 572), although not representative of the Dutch majority population, </w:t>
      </w:r>
      <w:r w:rsidR="00657073" w:rsidRPr="001B3BA5">
        <w:rPr>
          <w:rFonts w:asciiTheme="majorBidi" w:hAnsiTheme="majorBidi" w:cstheme="majorBidi"/>
          <w:sz w:val="24"/>
          <w:szCs w:val="24"/>
          <w:lang w:val="en-GB"/>
        </w:rPr>
        <w:t>was diverse in terms of sex</w:t>
      </w:r>
      <w:r w:rsidR="000F30F3" w:rsidRPr="001B3BA5">
        <w:rPr>
          <w:rFonts w:asciiTheme="majorBidi" w:hAnsiTheme="majorBidi" w:cstheme="majorBidi"/>
          <w:sz w:val="24"/>
          <w:szCs w:val="24"/>
          <w:lang w:val="en-GB"/>
        </w:rPr>
        <w:t xml:space="preserve"> (235 [41%] women, 335 men, 2 unreported)</w:t>
      </w:r>
      <w:r w:rsidR="00657073" w:rsidRPr="001B3BA5">
        <w:rPr>
          <w:rFonts w:asciiTheme="majorBidi" w:hAnsiTheme="majorBidi" w:cstheme="majorBidi"/>
          <w:sz w:val="24"/>
          <w:szCs w:val="24"/>
          <w:lang w:val="en-GB"/>
        </w:rPr>
        <w:t>, age</w:t>
      </w:r>
      <w:r w:rsidR="000F30F3" w:rsidRPr="001B3BA5">
        <w:rPr>
          <w:rFonts w:asciiTheme="majorBidi" w:hAnsiTheme="majorBidi" w:cstheme="majorBidi"/>
          <w:sz w:val="24"/>
          <w:szCs w:val="24"/>
          <w:lang w:val="en-GB"/>
        </w:rPr>
        <w:t xml:space="preserve"> (19-87, </w:t>
      </w:r>
      <w:r w:rsidR="000F30F3" w:rsidRPr="001B3BA5">
        <w:rPr>
          <w:rFonts w:asciiTheme="majorBidi" w:hAnsiTheme="majorBidi" w:cstheme="majorBidi"/>
          <w:i/>
          <w:iCs/>
          <w:sz w:val="24"/>
          <w:szCs w:val="24"/>
          <w:lang w:val="en-GB"/>
        </w:rPr>
        <w:t>M</w:t>
      </w:r>
      <w:r w:rsidR="000F30F3" w:rsidRPr="001B3BA5">
        <w:rPr>
          <w:rFonts w:asciiTheme="majorBidi" w:hAnsiTheme="majorBidi" w:cstheme="majorBidi"/>
          <w:sz w:val="24"/>
          <w:szCs w:val="24"/>
          <w:lang w:val="en-GB"/>
        </w:rPr>
        <w:t xml:space="preserve">=60.17, </w:t>
      </w:r>
      <w:r w:rsidR="000F30F3" w:rsidRPr="001B3BA5">
        <w:rPr>
          <w:rFonts w:asciiTheme="majorBidi" w:hAnsiTheme="majorBidi" w:cstheme="majorBidi"/>
          <w:i/>
          <w:iCs/>
          <w:sz w:val="24"/>
          <w:szCs w:val="24"/>
          <w:lang w:val="en-GB"/>
        </w:rPr>
        <w:t>SD</w:t>
      </w:r>
      <w:r w:rsidR="000F30F3" w:rsidRPr="001B3BA5">
        <w:rPr>
          <w:rFonts w:asciiTheme="majorBidi" w:hAnsiTheme="majorBidi" w:cstheme="majorBidi"/>
          <w:sz w:val="24"/>
          <w:szCs w:val="24"/>
          <w:lang w:val="en-GB"/>
        </w:rPr>
        <w:t>=13.00)</w:t>
      </w:r>
      <w:r w:rsidR="00657073" w:rsidRPr="001B3BA5">
        <w:rPr>
          <w:rFonts w:asciiTheme="majorBidi" w:hAnsiTheme="majorBidi" w:cstheme="majorBidi"/>
          <w:sz w:val="24"/>
          <w:szCs w:val="24"/>
          <w:lang w:val="en-GB"/>
        </w:rPr>
        <w:t>, and education level</w:t>
      </w:r>
      <w:r w:rsidR="000F30F3" w:rsidRPr="001B3BA5">
        <w:rPr>
          <w:rFonts w:asciiTheme="majorBidi" w:hAnsiTheme="majorBidi" w:cstheme="majorBidi"/>
          <w:sz w:val="24"/>
          <w:szCs w:val="24"/>
          <w:lang w:val="en-GB"/>
        </w:rPr>
        <w:t xml:space="preserve"> (11% low secondary school or less, 29% high school or vocational training, and 60% [applied] university).</w:t>
      </w:r>
      <w:r w:rsidR="008F4A37" w:rsidRPr="001B3BA5">
        <w:rPr>
          <w:rFonts w:asciiTheme="majorBidi" w:hAnsiTheme="majorBidi" w:cstheme="majorBidi"/>
          <w:sz w:val="24"/>
          <w:szCs w:val="24"/>
          <w:lang w:val="en-GB"/>
        </w:rPr>
        <w:t xml:space="preserve"> </w:t>
      </w:r>
    </w:p>
    <w:bookmarkEnd w:id="15"/>
    <w:p w14:paraId="70495E46" w14:textId="77777777" w:rsidR="00F85F30" w:rsidRPr="001B3BA5" w:rsidRDefault="00F85F30" w:rsidP="00584266">
      <w:pPr>
        <w:spacing w:after="0" w:line="480" w:lineRule="exact"/>
        <w:rPr>
          <w:rFonts w:asciiTheme="majorBidi" w:hAnsiTheme="majorBidi" w:cstheme="majorBidi"/>
          <w:b/>
          <w:sz w:val="24"/>
          <w:szCs w:val="24"/>
          <w:lang w:val="en-GB"/>
        </w:rPr>
      </w:pPr>
      <w:r w:rsidRPr="001B3BA5">
        <w:rPr>
          <w:rFonts w:asciiTheme="majorBidi" w:hAnsiTheme="majorBidi" w:cstheme="majorBidi"/>
          <w:b/>
          <w:sz w:val="24"/>
          <w:szCs w:val="24"/>
          <w:lang w:val="en-GB"/>
        </w:rPr>
        <w:t>Measures</w:t>
      </w:r>
    </w:p>
    <w:p w14:paraId="49B2A19C" w14:textId="6C8BDCCA" w:rsidR="005E3292" w:rsidRPr="001B3BA5" w:rsidRDefault="005E3292" w:rsidP="00584266">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b/>
          <w:bCs/>
          <w:iCs/>
          <w:sz w:val="24"/>
          <w:szCs w:val="24"/>
          <w:lang w:val="en-GB"/>
        </w:rPr>
        <w:t>Collective psychological ownership</w:t>
      </w:r>
      <w:r w:rsidR="007B2499" w:rsidRPr="001B3BA5">
        <w:rPr>
          <w:rFonts w:asciiTheme="majorBidi" w:hAnsiTheme="majorBidi" w:cstheme="majorBidi"/>
          <w:b/>
          <w:bCs/>
          <w:iCs/>
          <w:sz w:val="24"/>
          <w:szCs w:val="24"/>
          <w:lang w:val="en-GB"/>
        </w:rPr>
        <w:t>.</w:t>
      </w:r>
      <w:r w:rsidRPr="001B3BA5">
        <w:rPr>
          <w:rFonts w:asciiTheme="majorBidi" w:hAnsiTheme="majorBidi" w:cstheme="majorBidi"/>
          <w:i/>
          <w:sz w:val="24"/>
          <w:szCs w:val="24"/>
          <w:lang w:val="en-GB"/>
        </w:rPr>
        <w:t xml:space="preserve"> </w:t>
      </w:r>
      <w:r w:rsidR="007B2499" w:rsidRPr="001B3BA5">
        <w:rPr>
          <w:rFonts w:asciiTheme="majorBidi" w:hAnsiTheme="majorBidi" w:cstheme="majorBidi"/>
          <w:sz w:val="24"/>
          <w:szCs w:val="24"/>
          <w:lang w:val="en-GB"/>
        </w:rPr>
        <w:t>We</w:t>
      </w:r>
      <w:r w:rsidRPr="001B3BA5">
        <w:rPr>
          <w:rFonts w:asciiTheme="majorBidi" w:hAnsiTheme="majorBidi" w:cstheme="majorBidi"/>
          <w:sz w:val="24"/>
          <w:szCs w:val="24"/>
          <w:lang w:val="en-GB"/>
        </w:rPr>
        <w:t xml:space="preserve"> </w:t>
      </w:r>
      <w:r w:rsidR="005E7F91" w:rsidRPr="001B3BA5">
        <w:rPr>
          <w:rFonts w:asciiTheme="majorBidi" w:hAnsiTheme="majorBidi" w:cstheme="majorBidi"/>
          <w:sz w:val="24"/>
          <w:szCs w:val="24"/>
          <w:lang w:val="en-GB"/>
        </w:rPr>
        <w:t xml:space="preserve">adapted </w:t>
      </w:r>
      <w:r w:rsidRPr="001B3BA5">
        <w:rPr>
          <w:rFonts w:asciiTheme="majorBidi" w:hAnsiTheme="majorBidi" w:cstheme="majorBidi"/>
          <w:sz w:val="24"/>
          <w:szCs w:val="24"/>
          <w:lang w:val="en-GB"/>
        </w:rPr>
        <w:t xml:space="preserve">four </w:t>
      </w:r>
      <w:r w:rsidR="00712947" w:rsidRPr="001B3BA5">
        <w:rPr>
          <w:rFonts w:asciiTheme="majorBidi" w:hAnsiTheme="majorBidi" w:cstheme="majorBidi"/>
          <w:sz w:val="24"/>
          <w:szCs w:val="24"/>
          <w:lang w:val="en-GB"/>
        </w:rPr>
        <w:t>it</w:t>
      </w:r>
      <w:r w:rsidRPr="001B3BA5">
        <w:rPr>
          <w:rFonts w:asciiTheme="majorBidi" w:hAnsiTheme="majorBidi" w:cstheme="majorBidi"/>
          <w:sz w:val="24"/>
          <w:szCs w:val="24"/>
          <w:lang w:val="en-GB"/>
        </w:rPr>
        <w:t xml:space="preserve">ems from </w:t>
      </w:r>
      <w:r w:rsidR="00F05BB5" w:rsidRPr="001B3BA5">
        <w:rPr>
          <w:rFonts w:asciiTheme="majorBidi" w:hAnsiTheme="majorBidi" w:cstheme="majorBidi"/>
          <w:sz w:val="24"/>
          <w:szCs w:val="24"/>
          <w:lang w:val="en-GB"/>
        </w:rPr>
        <w:t xml:space="preserve">a </w:t>
      </w:r>
      <w:r w:rsidR="00712947" w:rsidRPr="001B3BA5">
        <w:rPr>
          <w:rFonts w:asciiTheme="majorBidi" w:hAnsiTheme="majorBidi" w:cstheme="majorBidi"/>
          <w:sz w:val="24"/>
          <w:szCs w:val="24"/>
          <w:lang w:val="en-GB"/>
        </w:rPr>
        <w:t>measure</w:t>
      </w:r>
      <w:r w:rsidRPr="001B3BA5">
        <w:rPr>
          <w:rFonts w:asciiTheme="majorBidi" w:hAnsiTheme="majorBidi" w:cstheme="majorBidi"/>
          <w:sz w:val="24"/>
          <w:szCs w:val="24"/>
          <w:lang w:val="en-GB"/>
        </w:rPr>
        <w:t xml:space="preserve"> designed to assess CPO in organizational settings </w:t>
      </w:r>
      <w:r w:rsidRPr="001B3BA5">
        <w:rPr>
          <w:rFonts w:asciiTheme="majorBidi" w:hAnsiTheme="majorBidi" w:cstheme="majorBidi"/>
          <w:sz w:val="24"/>
          <w:szCs w:val="24"/>
          <w:lang w:val="en-GB"/>
        </w:rPr>
        <w:fldChar w:fldCharType="begin"/>
      </w:r>
      <w:r w:rsidR="00227840" w:rsidRPr="001B3BA5">
        <w:rPr>
          <w:rFonts w:asciiTheme="majorBidi" w:hAnsiTheme="majorBidi" w:cstheme="majorBidi"/>
          <w:sz w:val="24"/>
          <w:szCs w:val="24"/>
          <w:lang w:val="en-GB"/>
        </w:rPr>
        <w:instrText xml:space="preserve"> ADDIN EN.CITE &lt;EndNote&gt;&lt;Cite&gt;&lt;Author&gt;Pierce&lt;/Author&gt;&lt;Year&gt;2017&lt;/Year&gt;&lt;RecNum&gt;1112&lt;/RecNum&gt;&lt;DisplayText&gt;(Pierce et al., 2017)&lt;/DisplayText&gt;&lt;record&gt;&lt;rec-number&gt;1112&lt;/rec-number&gt;&lt;foreign-keys&gt;&lt;key app="EN" db-id="es92r5v5dve2z0erx59pv50vtp29v0t9ef5f" timestamp="1511279549"&gt;1112&lt;/key&gt;&lt;key app="ENWeb" db-id=""&gt;0&lt;/key&gt;&lt;/foreign-keys&gt;&lt;ref-type name="Journal Article"&gt;17&lt;/ref-type&gt;&lt;contributors&gt;&lt;authors&gt;&lt;author&gt;Pierce, Jon L.&lt;/author&gt;&lt;author&gt;Jussila, Iiro&lt;/author&gt;&lt;author&gt;Li, Dahui&lt;/author&gt;&lt;/authors&gt;&lt;/contributors&gt;&lt;titles&gt;&lt;title&gt;Development and validation of an instrument for assessing collective psychological ownership in organizational field settings&lt;/title&gt;&lt;secondary-title&gt;Journal of Management &amp;amp; Organization&lt;/secondary-title&gt;&lt;/titles&gt;&lt;periodical&gt;&lt;full-title&gt;Journal of Management &amp;amp; Organization&lt;/full-title&gt;&lt;/periodical&gt;&lt;pages&gt;1-17&lt;/pages&gt;&lt;volume&gt;24&lt;/volume&gt;&lt;number&gt;6&lt;/number&gt;&lt;dates&gt;&lt;year&gt;2017&lt;/year&gt;&lt;/dates&gt;&lt;isbn&gt;1833-3672&amp;#xD;1839-3527&lt;/isbn&gt;&lt;urls&gt;&lt;/urls&gt;&lt;electronic-resource-num&gt;10.1017/jmo.2016.66&lt;/electronic-resource-num&gt;&lt;/record&gt;&lt;/Cite&gt;&lt;/EndNote&gt;</w:instrText>
      </w:r>
      <w:r w:rsidRPr="001B3BA5">
        <w:rPr>
          <w:rFonts w:asciiTheme="majorBidi" w:hAnsiTheme="majorBidi" w:cstheme="majorBidi"/>
          <w:sz w:val="24"/>
          <w:szCs w:val="24"/>
          <w:lang w:val="en-GB"/>
        </w:rPr>
        <w:fldChar w:fldCharType="separate"/>
      </w:r>
      <w:r w:rsidR="007111D3" w:rsidRPr="001B3BA5">
        <w:rPr>
          <w:rFonts w:asciiTheme="majorBidi" w:hAnsiTheme="majorBidi" w:cstheme="majorBidi"/>
          <w:noProof/>
          <w:sz w:val="24"/>
          <w:szCs w:val="24"/>
          <w:lang w:val="en-GB"/>
        </w:rPr>
        <w:t>(Pierce et al., 2017)</w:t>
      </w:r>
      <w:r w:rsidRPr="001B3BA5">
        <w:rPr>
          <w:rFonts w:asciiTheme="majorBidi" w:hAnsiTheme="majorBidi" w:cstheme="majorBidi"/>
          <w:sz w:val="24"/>
          <w:szCs w:val="24"/>
          <w:lang w:val="en-GB"/>
        </w:rPr>
        <w:fldChar w:fldCharType="end"/>
      </w:r>
      <w:r w:rsidRPr="001B3BA5">
        <w:rPr>
          <w:rFonts w:asciiTheme="majorBidi" w:hAnsiTheme="majorBidi" w:cstheme="majorBidi"/>
          <w:sz w:val="24"/>
          <w:szCs w:val="24"/>
          <w:lang w:val="en-GB"/>
        </w:rPr>
        <w:t xml:space="preserve">. Participants read: </w:t>
      </w:r>
      <w:r w:rsidR="00B146E8" w:rsidRPr="001B3BA5">
        <w:rPr>
          <w:rFonts w:asciiTheme="majorBidi" w:hAnsiTheme="majorBidi" w:cstheme="majorBidi"/>
          <w:sz w:val="24"/>
          <w:szCs w:val="24"/>
          <w:lang w:val="en-GB"/>
        </w:rPr>
        <w:t>‘</w:t>
      </w:r>
      <w:r w:rsidRPr="001B3BA5">
        <w:rPr>
          <w:rFonts w:asciiTheme="majorBidi" w:hAnsiTheme="majorBidi" w:cstheme="majorBidi"/>
          <w:iCs/>
          <w:sz w:val="24"/>
          <w:szCs w:val="24"/>
          <w:lang w:val="en-GB"/>
        </w:rPr>
        <w:t xml:space="preserve">Think about the house, automobile, work space, or some other item that you own or co-own with someone, and the experiences and feelings associated with the statement </w:t>
      </w:r>
      <w:r w:rsidR="00B146E8"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THIS IS MINE/THIS IS OURS!</w:t>
      </w:r>
      <w:r w:rsidR="00B146E8" w:rsidRPr="001B3BA5">
        <w:rPr>
          <w:rFonts w:asciiTheme="majorBidi" w:hAnsiTheme="majorBidi" w:cstheme="majorBidi"/>
          <w:iCs/>
          <w:sz w:val="24"/>
          <w:szCs w:val="24"/>
          <w:lang w:val="en-GB"/>
        </w:rPr>
        <w:t>’</w:t>
      </w:r>
      <w:r w:rsidR="007B2499"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 xml:space="preserve"> The following </w:t>
      </w:r>
      <w:r w:rsidR="002439F1" w:rsidRPr="001B3BA5">
        <w:rPr>
          <w:rFonts w:asciiTheme="majorBidi" w:hAnsiTheme="majorBidi" w:cstheme="majorBidi"/>
          <w:iCs/>
          <w:sz w:val="24"/>
          <w:szCs w:val="24"/>
          <w:lang w:val="en-GB"/>
        </w:rPr>
        <w:t xml:space="preserve">statements </w:t>
      </w:r>
      <w:r w:rsidRPr="001B3BA5">
        <w:rPr>
          <w:rFonts w:asciiTheme="majorBidi" w:hAnsiTheme="majorBidi" w:cstheme="majorBidi"/>
          <w:iCs/>
          <w:sz w:val="24"/>
          <w:szCs w:val="24"/>
          <w:lang w:val="en-GB"/>
        </w:rPr>
        <w:t xml:space="preserve">refer to </w:t>
      </w:r>
      <w:r w:rsidR="00006FED" w:rsidRPr="001B3BA5">
        <w:rPr>
          <w:rFonts w:asciiTheme="majorBidi" w:hAnsiTheme="majorBidi" w:cstheme="majorBidi"/>
          <w:iCs/>
          <w:sz w:val="24"/>
          <w:szCs w:val="24"/>
          <w:lang w:val="en-GB"/>
        </w:rPr>
        <w:t xml:space="preserve">the </w:t>
      </w:r>
      <w:r w:rsidRPr="001B3BA5">
        <w:rPr>
          <w:rFonts w:asciiTheme="majorBidi" w:hAnsiTheme="majorBidi" w:cstheme="majorBidi"/>
          <w:iCs/>
          <w:sz w:val="24"/>
          <w:szCs w:val="24"/>
          <w:lang w:val="en-GB"/>
        </w:rPr>
        <w:t>feeling of being a co-owner of a country, The Netherlands. Indicate the degree to which you personally disagree or agree with the</w:t>
      </w:r>
      <w:r w:rsidR="002439F1" w:rsidRPr="001B3BA5">
        <w:rPr>
          <w:rFonts w:asciiTheme="majorBidi" w:hAnsiTheme="majorBidi" w:cstheme="majorBidi"/>
          <w:iCs/>
          <w:sz w:val="24"/>
          <w:szCs w:val="24"/>
          <w:lang w:val="en-GB"/>
        </w:rPr>
        <w:t>se</w:t>
      </w:r>
      <w:r w:rsidRPr="001B3BA5">
        <w:rPr>
          <w:rFonts w:asciiTheme="majorBidi" w:hAnsiTheme="majorBidi" w:cstheme="majorBidi"/>
          <w:iCs/>
          <w:sz w:val="24"/>
          <w:szCs w:val="24"/>
          <w:lang w:val="en-GB"/>
        </w:rPr>
        <w:t xml:space="preserve"> statements.</w:t>
      </w:r>
      <w:r w:rsidR="00B146E8" w:rsidRPr="001B3BA5">
        <w:rPr>
          <w:rFonts w:asciiTheme="majorBidi" w:hAnsiTheme="majorBidi" w:cstheme="majorBidi"/>
          <w:iCs/>
          <w:sz w:val="24"/>
          <w:szCs w:val="24"/>
          <w:lang w:val="en-GB"/>
        </w:rPr>
        <w:t>’</w:t>
      </w:r>
      <w:r w:rsidR="002439F1" w:rsidRPr="001B3BA5">
        <w:rPr>
          <w:rFonts w:asciiTheme="majorBidi" w:hAnsiTheme="majorBidi" w:cstheme="majorBidi"/>
          <w:iCs/>
          <w:sz w:val="24"/>
          <w:szCs w:val="24"/>
          <w:lang w:val="en-GB"/>
        </w:rPr>
        <w:t>:</w:t>
      </w:r>
      <w:r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I think that this country is owned by us</w:t>
      </w:r>
      <w:r w:rsidR="007B2499"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the Dutch</w:t>
      </w:r>
      <w:r w:rsidR="00E5216A" w:rsidRPr="001B3BA5">
        <w:rPr>
          <w:rFonts w:asciiTheme="majorBidi" w:hAnsiTheme="majorBidi" w:cstheme="majorBidi"/>
          <w:sz w:val="24"/>
          <w:szCs w:val="24"/>
          <w:lang w:val="en-GB"/>
        </w:rPr>
        <w:t>,</w:t>
      </w:r>
      <w:r w:rsidR="00B146E8" w:rsidRPr="001B3BA5">
        <w:rPr>
          <w:rFonts w:asciiTheme="majorBidi" w:hAnsiTheme="majorBidi" w:cstheme="majorBidi"/>
          <w:sz w:val="24"/>
          <w:szCs w:val="24"/>
          <w:lang w:val="en-GB"/>
        </w:rPr>
        <w:t>’</w:t>
      </w:r>
      <w:r w:rsidR="00E5216A"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I feel that this country belongs to us</w:t>
      </w:r>
      <w:r w:rsidR="007B2499"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the Dutch</w:t>
      </w:r>
      <w:r w:rsidR="00E5216A" w:rsidRPr="001B3BA5">
        <w:rPr>
          <w:rFonts w:asciiTheme="majorBidi" w:hAnsiTheme="majorBidi" w:cstheme="majorBidi"/>
          <w:sz w:val="24"/>
          <w:szCs w:val="24"/>
          <w:lang w:val="en-GB"/>
        </w:rPr>
        <w:t>,</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I feel that this country is collectively owned by us</w:t>
      </w:r>
      <w:r w:rsidR="007B2499"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w:t>
      </w:r>
      <w:r w:rsidR="00E5216A" w:rsidRPr="001B3BA5">
        <w:rPr>
          <w:rFonts w:asciiTheme="majorBidi" w:hAnsiTheme="majorBidi" w:cstheme="majorBidi"/>
          <w:sz w:val="24"/>
          <w:szCs w:val="24"/>
          <w:lang w:val="en-GB"/>
        </w:rPr>
        <w:t xml:space="preserve">the </w:t>
      </w:r>
      <w:r w:rsidRPr="001B3BA5">
        <w:rPr>
          <w:rFonts w:asciiTheme="majorBidi" w:hAnsiTheme="majorBidi" w:cstheme="majorBidi"/>
          <w:sz w:val="24"/>
          <w:szCs w:val="24"/>
          <w:lang w:val="en-GB"/>
        </w:rPr>
        <w:t>Dutch</w:t>
      </w:r>
      <w:r w:rsidR="00E5216A" w:rsidRPr="001B3BA5">
        <w:rPr>
          <w:rFonts w:asciiTheme="majorBidi" w:hAnsiTheme="majorBidi" w:cstheme="majorBidi"/>
          <w:sz w:val="24"/>
          <w:szCs w:val="24"/>
          <w:lang w:val="en-GB"/>
        </w:rPr>
        <w:t>,</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I feel as though we</w:t>
      </w:r>
      <w:r w:rsidR="007B2499"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the Dutch</w:t>
      </w:r>
      <w:r w:rsidR="007B2499"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own this</w:t>
      </w:r>
      <w:r w:rsidRPr="001B3BA5">
        <w:rPr>
          <w:rFonts w:asciiTheme="majorBidi" w:hAnsiTheme="majorBidi" w:cstheme="majorBidi"/>
          <w:i/>
          <w:sz w:val="24"/>
          <w:szCs w:val="24"/>
          <w:lang w:val="en-GB"/>
        </w:rPr>
        <w:t xml:space="preserve"> </w:t>
      </w:r>
      <w:r w:rsidRPr="001B3BA5">
        <w:rPr>
          <w:rFonts w:asciiTheme="majorBidi" w:hAnsiTheme="majorBidi" w:cstheme="majorBidi"/>
          <w:iCs/>
          <w:sz w:val="24"/>
          <w:szCs w:val="24"/>
          <w:lang w:val="en-GB"/>
        </w:rPr>
        <w:t>country together</w:t>
      </w:r>
      <w:r w:rsidR="00B146E8"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 xml:space="preserve"> (1</w:t>
      </w:r>
      <w:r w:rsidR="00955643" w:rsidRPr="001B3BA5">
        <w:rPr>
          <w:rFonts w:asciiTheme="majorBidi" w:hAnsiTheme="majorBidi" w:cstheme="majorBidi"/>
          <w:iCs/>
          <w:sz w:val="24"/>
          <w:szCs w:val="24"/>
          <w:lang w:val="en-GB"/>
        </w:rPr>
        <w:t>=</w:t>
      </w:r>
      <w:r w:rsidR="00C837D0" w:rsidRPr="001B3BA5">
        <w:rPr>
          <w:rFonts w:asciiTheme="majorBidi" w:hAnsiTheme="majorBidi" w:cstheme="majorBidi"/>
          <w:i/>
          <w:iCs/>
          <w:sz w:val="24"/>
          <w:szCs w:val="24"/>
          <w:lang w:val="en-GB"/>
        </w:rPr>
        <w:t>strongly</w:t>
      </w:r>
      <w:r w:rsidRPr="001B3BA5">
        <w:rPr>
          <w:rFonts w:asciiTheme="majorBidi" w:hAnsiTheme="majorBidi" w:cstheme="majorBidi"/>
          <w:i/>
          <w:iCs/>
          <w:sz w:val="24"/>
          <w:szCs w:val="24"/>
          <w:lang w:val="en-GB"/>
        </w:rPr>
        <w:t xml:space="preserve"> disagree</w:t>
      </w:r>
      <w:r w:rsidRPr="001B3BA5">
        <w:rPr>
          <w:rFonts w:asciiTheme="majorBidi" w:hAnsiTheme="majorBidi" w:cstheme="majorBidi"/>
          <w:sz w:val="24"/>
          <w:szCs w:val="24"/>
          <w:lang w:val="en-GB"/>
        </w:rPr>
        <w:t>, 7</w:t>
      </w:r>
      <w:r w:rsidR="00955643" w:rsidRPr="001B3BA5">
        <w:rPr>
          <w:rFonts w:asciiTheme="majorBidi" w:hAnsiTheme="majorBidi" w:cstheme="majorBidi"/>
          <w:sz w:val="24"/>
          <w:szCs w:val="24"/>
          <w:lang w:val="en-GB"/>
        </w:rPr>
        <w:t>=</w:t>
      </w:r>
      <w:r w:rsidR="00C837D0" w:rsidRPr="001B3BA5">
        <w:rPr>
          <w:rFonts w:asciiTheme="majorBidi" w:hAnsiTheme="majorBidi" w:cstheme="majorBidi"/>
          <w:i/>
          <w:iCs/>
          <w:sz w:val="24"/>
          <w:szCs w:val="24"/>
          <w:lang w:val="en-GB"/>
        </w:rPr>
        <w:t>strongly</w:t>
      </w:r>
      <w:r w:rsidRPr="001B3BA5">
        <w:rPr>
          <w:rFonts w:asciiTheme="majorBidi" w:hAnsiTheme="majorBidi" w:cstheme="majorBidi"/>
          <w:i/>
          <w:iCs/>
          <w:sz w:val="24"/>
          <w:szCs w:val="24"/>
          <w:lang w:val="en-GB"/>
        </w:rPr>
        <w:t xml:space="preserve"> agree</w:t>
      </w:r>
      <w:r w:rsidR="00447479" w:rsidRPr="001B3BA5">
        <w:rPr>
          <w:rFonts w:asciiTheme="majorBidi" w:hAnsiTheme="majorBidi" w:cstheme="majorBidi"/>
          <w:sz w:val="24"/>
          <w:szCs w:val="24"/>
          <w:lang w:val="en-GB"/>
        </w:rPr>
        <w:t xml:space="preserve">; </w:t>
      </w:r>
      <w:r w:rsidR="004A432A" w:rsidRPr="001B3BA5">
        <w:rPr>
          <w:rFonts w:asciiTheme="majorBidi" w:hAnsiTheme="majorBidi" w:cstheme="majorBidi"/>
          <w:iCs/>
          <w:sz w:val="24"/>
          <w:szCs w:val="24"/>
          <w:lang w:val="en-GB"/>
        </w:rPr>
        <w:t>α</w:t>
      </w:r>
      <w:r w:rsidR="00955643" w:rsidRPr="001B3BA5">
        <w:rPr>
          <w:rFonts w:asciiTheme="majorBidi" w:hAnsiTheme="majorBidi" w:cstheme="majorBidi"/>
          <w:sz w:val="24"/>
          <w:szCs w:val="24"/>
          <w:lang w:val="en-GB"/>
        </w:rPr>
        <w:t>=</w:t>
      </w:r>
      <w:r w:rsidR="004A432A" w:rsidRPr="001B3BA5">
        <w:rPr>
          <w:rFonts w:asciiTheme="majorBidi" w:hAnsiTheme="majorBidi" w:cstheme="majorBidi"/>
          <w:sz w:val="24"/>
          <w:szCs w:val="24"/>
          <w:lang w:val="en-GB"/>
        </w:rPr>
        <w:t>.95).</w:t>
      </w:r>
      <w:r w:rsidRPr="001B3BA5">
        <w:rPr>
          <w:rFonts w:asciiTheme="majorBidi" w:hAnsiTheme="majorBidi" w:cstheme="majorBidi"/>
          <w:sz w:val="24"/>
          <w:szCs w:val="24"/>
          <w:lang w:val="en-GB"/>
        </w:rPr>
        <w:t xml:space="preserve"> </w:t>
      </w:r>
      <w:r w:rsidR="005E7F91" w:rsidRPr="001B3BA5">
        <w:rPr>
          <w:rFonts w:asciiTheme="majorBidi" w:hAnsiTheme="majorBidi" w:cstheme="majorBidi"/>
          <w:sz w:val="24"/>
          <w:szCs w:val="24"/>
          <w:lang w:val="en-GB"/>
        </w:rPr>
        <w:t>Beforehand</w:t>
      </w:r>
      <w:r w:rsidR="00870FBB" w:rsidRPr="001B3BA5">
        <w:rPr>
          <w:rFonts w:asciiTheme="majorBidi" w:hAnsiTheme="majorBidi" w:cstheme="majorBidi"/>
          <w:sz w:val="24"/>
          <w:szCs w:val="24"/>
          <w:lang w:val="en-GB"/>
        </w:rPr>
        <w:t xml:space="preserve">, </w:t>
      </w:r>
      <w:r w:rsidR="00254C05" w:rsidRPr="001B3BA5">
        <w:rPr>
          <w:rFonts w:asciiTheme="majorBidi" w:hAnsiTheme="majorBidi" w:cstheme="majorBidi"/>
          <w:sz w:val="24"/>
          <w:szCs w:val="24"/>
          <w:lang w:val="en-GB"/>
        </w:rPr>
        <w:t>participants were informed that</w:t>
      </w:r>
      <w:r w:rsidR="002439F1" w:rsidRPr="001B3BA5">
        <w:rPr>
          <w:rFonts w:asciiTheme="majorBidi" w:hAnsiTheme="majorBidi" w:cstheme="majorBidi"/>
          <w:sz w:val="24"/>
          <w:szCs w:val="24"/>
          <w:lang w:val="en-GB"/>
        </w:rPr>
        <w:t>,</w:t>
      </w:r>
      <w:r w:rsidR="00254C05" w:rsidRPr="001B3BA5">
        <w:rPr>
          <w:rFonts w:asciiTheme="majorBidi" w:hAnsiTheme="majorBidi" w:cstheme="majorBidi"/>
          <w:sz w:val="24"/>
          <w:szCs w:val="24"/>
          <w:lang w:val="en-GB"/>
        </w:rPr>
        <w:t xml:space="preserve"> </w:t>
      </w:r>
      <w:r w:rsidR="002439F1" w:rsidRPr="001B3BA5">
        <w:rPr>
          <w:rFonts w:asciiTheme="majorBidi" w:hAnsiTheme="majorBidi" w:cstheme="majorBidi"/>
          <w:sz w:val="24"/>
          <w:szCs w:val="24"/>
          <w:lang w:val="en-GB"/>
        </w:rPr>
        <w:t xml:space="preserve">by </w:t>
      </w:r>
      <w:r w:rsidR="00B146E8" w:rsidRPr="001B3BA5">
        <w:rPr>
          <w:rFonts w:asciiTheme="majorBidi" w:hAnsiTheme="majorBidi" w:cstheme="majorBidi"/>
          <w:sz w:val="24"/>
          <w:szCs w:val="24"/>
          <w:lang w:val="en-GB"/>
        </w:rPr>
        <w:t>‘</w:t>
      </w:r>
      <w:r w:rsidR="00B07E9B" w:rsidRPr="001B3BA5">
        <w:rPr>
          <w:rFonts w:asciiTheme="majorBidi" w:hAnsiTheme="majorBidi" w:cstheme="majorBidi"/>
          <w:sz w:val="24"/>
          <w:szCs w:val="24"/>
          <w:lang w:val="en-GB"/>
        </w:rPr>
        <w:t>T</w:t>
      </w:r>
      <w:r w:rsidR="00254C05" w:rsidRPr="001B3BA5">
        <w:rPr>
          <w:rFonts w:asciiTheme="majorBidi" w:hAnsiTheme="majorBidi" w:cstheme="majorBidi"/>
          <w:sz w:val="24"/>
          <w:szCs w:val="24"/>
          <w:lang w:val="en-GB"/>
        </w:rPr>
        <w:t>he Dutch</w:t>
      </w:r>
      <w:r w:rsidR="00B146E8" w:rsidRPr="001B3BA5">
        <w:rPr>
          <w:rFonts w:asciiTheme="majorBidi" w:hAnsiTheme="majorBidi" w:cstheme="majorBidi"/>
          <w:sz w:val="24"/>
          <w:szCs w:val="24"/>
          <w:lang w:val="en-GB"/>
        </w:rPr>
        <w:t>’</w:t>
      </w:r>
      <w:r w:rsidR="00D178D1" w:rsidRPr="001B3BA5">
        <w:rPr>
          <w:rFonts w:asciiTheme="majorBidi" w:hAnsiTheme="majorBidi" w:cstheme="majorBidi"/>
          <w:sz w:val="24"/>
          <w:szCs w:val="24"/>
          <w:lang w:val="en-GB"/>
        </w:rPr>
        <w:t>,</w:t>
      </w:r>
      <w:r w:rsidR="00254C05" w:rsidRPr="001B3BA5">
        <w:rPr>
          <w:rFonts w:asciiTheme="majorBidi" w:hAnsiTheme="majorBidi" w:cstheme="majorBidi"/>
          <w:sz w:val="24"/>
          <w:szCs w:val="24"/>
          <w:lang w:val="en-GB"/>
        </w:rPr>
        <w:t xml:space="preserve"> we </w:t>
      </w:r>
      <w:r w:rsidR="00A37717" w:rsidRPr="001B3BA5">
        <w:rPr>
          <w:rFonts w:asciiTheme="majorBidi" w:hAnsiTheme="majorBidi" w:cstheme="majorBidi"/>
          <w:sz w:val="24"/>
          <w:szCs w:val="24"/>
          <w:lang w:val="en-GB"/>
        </w:rPr>
        <w:t>referred</w:t>
      </w:r>
      <w:r w:rsidR="00712947" w:rsidRPr="001B3BA5">
        <w:rPr>
          <w:rFonts w:asciiTheme="majorBidi" w:hAnsiTheme="majorBidi" w:cstheme="majorBidi"/>
          <w:sz w:val="24"/>
          <w:szCs w:val="24"/>
          <w:lang w:val="en-GB"/>
        </w:rPr>
        <w:t xml:space="preserve"> to</w:t>
      </w:r>
      <w:r w:rsidR="00254C05" w:rsidRPr="001B3BA5">
        <w:rPr>
          <w:rFonts w:asciiTheme="majorBidi" w:hAnsiTheme="majorBidi" w:cstheme="majorBidi"/>
          <w:sz w:val="24"/>
          <w:szCs w:val="24"/>
          <w:lang w:val="en-GB"/>
        </w:rPr>
        <w:t xml:space="preserve"> people with</w:t>
      </w:r>
      <w:r w:rsidR="00A86839" w:rsidRPr="001B3BA5">
        <w:rPr>
          <w:rFonts w:asciiTheme="majorBidi" w:hAnsiTheme="majorBidi" w:cstheme="majorBidi"/>
          <w:sz w:val="24"/>
          <w:szCs w:val="24"/>
          <w:lang w:val="en-GB"/>
        </w:rPr>
        <w:t xml:space="preserve"> no</w:t>
      </w:r>
      <w:r w:rsidR="00254C05" w:rsidRPr="001B3BA5">
        <w:rPr>
          <w:rFonts w:asciiTheme="majorBidi" w:hAnsiTheme="majorBidi" w:cstheme="majorBidi"/>
          <w:sz w:val="24"/>
          <w:szCs w:val="24"/>
          <w:lang w:val="en-GB"/>
        </w:rPr>
        <w:t xml:space="preserve"> migration background.</w:t>
      </w:r>
    </w:p>
    <w:p w14:paraId="64EEB303" w14:textId="58350308" w:rsidR="005E3292" w:rsidRPr="001B3BA5" w:rsidRDefault="00DC01FF">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b/>
          <w:bCs/>
          <w:iCs/>
          <w:sz w:val="24"/>
          <w:szCs w:val="24"/>
          <w:lang w:val="en-GB"/>
        </w:rPr>
        <w:t>Exclusive determination right</w:t>
      </w:r>
      <w:r w:rsidR="007B2499" w:rsidRPr="001B3BA5">
        <w:rPr>
          <w:rFonts w:asciiTheme="majorBidi" w:hAnsiTheme="majorBidi" w:cstheme="majorBidi"/>
          <w:b/>
          <w:bCs/>
          <w:iCs/>
          <w:sz w:val="24"/>
          <w:szCs w:val="24"/>
          <w:lang w:val="en-GB"/>
        </w:rPr>
        <w:t>.</w:t>
      </w:r>
      <w:r w:rsidR="00712947" w:rsidRPr="001B3BA5">
        <w:rPr>
          <w:rFonts w:asciiTheme="majorBidi" w:hAnsiTheme="majorBidi" w:cstheme="majorBidi"/>
          <w:i/>
          <w:sz w:val="24"/>
          <w:szCs w:val="24"/>
          <w:lang w:val="en-GB"/>
        </w:rPr>
        <w:t xml:space="preserve"> </w:t>
      </w:r>
      <w:r w:rsidR="00F665B0" w:rsidRPr="001B3BA5">
        <w:rPr>
          <w:rFonts w:asciiTheme="majorBidi" w:hAnsiTheme="majorBidi" w:cstheme="majorBidi"/>
          <w:sz w:val="24"/>
          <w:szCs w:val="24"/>
          <w:lang w:val="en-GB"/>
        </w:rPr>
        <w:t>We asked p</w:t>
      </w:r>
      <w:r w:rsidR="00E5216A" w:rsidRPr="001B3BA5">
        <w:rPr>
          <w:rFonts w:asciiTheme="majorBidi" w:hAnsiTheme="majorBidi" w:cstheme="majorBidi"/>
          <w:sz w:val="24"/>
          <w:szCs w:val="24"/>
          <w:lang w:val="en-GB"/>
        </w:rPr>
        <w:t xml:space="preserve">articipants </w:t>
      </w:r>
      <w:r w:rsidR="005E7F91" w:rsidRPr="001B3BA5">
        <w:rPr>
          <w:rFonts w:asciiTheme="majorBidi" w:hAnsiTheme="majorBidi" w:cstheme="majorBidi"/>
          <w:iCs/>
          <w:sz w:val="24"/>
          <w:szCs w:val="24"/>
          <w:lang w:val="en-GB"/>
        </w:rPr>
        <w:t>t</w:t>
      </w:r>
      <w:r w:rsidR="005E3292" w:rsidRPr="001B3BA5">
        <w:rPr>
          <w:rFonts w:asciiTheme="majorBidi" w:hAnsiTheme="majorBidi" w:cstheme="majorBidi"/>
          <w:iCs/>
          <w:sz w:val="24"/>
          <w:szCs w:val="24"/>
          <w:lang w:val="en-GB"/>
        </w:rPr>
        <w:t xml:space="preserve">o what extent </w:t>
      </w:r>
      <w:r w:rsidR="005E7F91" w:rsidRPr="001B3BA5">
        <w:rPr>
          <w:rFonts w:asciiTheme="majorBidi" w:hAnsiTheme="majorBidi" w:cstheme="majorBidi"/>
          <w:iCs/>
          <w:sz w:val="24"/>
          <w:szCs w:val="24"/>
          <w:lang w:val="en-GB"/>
        </w:rPr>
        <w:t>they</w:t>
      </w:r>
      <w:r w:rsidR="005E3292" w:rsidRPr="001B3BA5">
        <w:rPr>
          <w:rFonts w:asciiTheme="majorBidi" w:hAnsiTheme="majorBidi" w:cstheme="majorBidi"/>
          <w:iCs/>
          <w:sz w:val="24"/>
          <w:szCs w:val="24"/>
          <w:lang w:val="en-GB"/>
        </w:rPr>
        <w:t xml:space="preserve"> disagree</w:t>
      </w:r>
      <w:r w:rsidR="005E7F91" w:rsidRPr="001B3BA5">
        <w:rPr>
          <w:rFonts w:asciiTheme="majorBidi" w:hAnsiTheme="majorBidi" w:cstheme="majorBidi"/>
          <w:iCs/>
          <w:sz w:val="24"/>
          <w:szCs w:val="24"/>
          <w:lang w:val="en-GB"/>
        </w:rPr>
        <w:t>d</w:t>
      </w:r>
      <w:r w:rsidR="005E3292" w:rsidRPr="001B3BA5">
        <w:rPr>
          <w:rFonts w:asciiTheme="majorBidi" w:hAnsiTheme="majorBidi" w:cstheme="majorBidi"/>
          <w:iCs/>
          <w:sz w:val="24"/>
          <w:szCs w:val="24"/>
          <w:lang w:val="en-GB"/>
        </w:rPr>
        <w:t xml:space="preserve"> or agree</w:t>
      </w:r>
      <w:r w:rsidR="005E7F91" w:rsidRPr="001B3BA5">
        <w:rPr>
          <w:rFonts w:asciiTheme="majorBidi" w:hAnsiTheme="majorBidi" w:cstheme="majorBidi"/>
          <w:iCs/>
          <w:sz w:val="24"/>
          <w:szCs w:val="24"/>
          <w:lang w:val="en-GB"/>
        </w:rPr>
        <w:t>d</w:t>
      </w:r>
      <w:r w:rsidR="005E3292" w:rsidRPr="001B3BA5">
        <w:rPr>
          <w:rFonts w:asciiTheme="majorBidi" w:hAnsiTheme="majorBidi" w:cstheme="majorBidi"/>
          <w:iCs/>
          <w:sz w:val="24"/>
          <w:szCs w:val="24"/>
          <w:lang w:val="en-GB"/>
        </w:rPr>
        <w:t xml:space="preserve"> that the Dutch can claim the following rights</w:t>
      </w:r>
      <w:r w:rsidR="00A55213"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00A55213" w:rsidRPr="001B3BA5">
        <w:rPr>
          <w:rFonts w:asciiTheme="majorBidi" w:hAnsiTheme="majorBidi" w:cstheme="majorBidi"/>
          <w:sz w:val="24"/>
          <w:szCs w:val="24"/>
          <w:lang w:val="en-GB"/>
        </w:rPr>
        <w:t>T</w:t>
      </w:r>
      <w:r w:rsidR="005E3292" w:rsidRPr="001B3BA5">
        <w:rPr>
          <w:rFonts w:asciiTheme="majorBidi" w:hAnsiTheme="majorBidi" w:cstheme="majorBidi"/>
          <w:iCs/>
          <w:sz w:val="24"/>
          <w:szCs w:val="24"/>
          <w:lang w:val="en-GB"/>
        </w:rPr>
        <w:t xml:space="preserve">he exclusive right to </w:t>
      </w:r>
      <w:r w:rsidR="00BF055E" w:rsidRPr="001B3BA5">
        <w:rPr>
          <w:rFonts w:asciiTheme="majorBidi" w:hAnsiTheme="majorBidi" w:cstheme="majorBidi"/>
          <w:iCs/>
          <w:sz w:val="24"/>
          <w:szCs w:val="24"/>
          <w:lang w:val="en-GB"/>
        </w:rPr>
        <w:t>determine</w:t>
      </w:r>
      <w:r w:rsidR="005E3292" w:rsidRPr="001B3BA5">
        <w:rPr>
          <w:rFonts w:asciiTheme="majorBidi" w:hAnsiTheme="majorBidi" w:cstheme="majorBidi"/>
          <w:iCs/>
          <w:sz w:val="24"/>
          <w:szCs w:val="24"/>
          <w:lang w:val="en-GB"/>
        </w:rPr>
        <w:t xml:space="preserve"> matters that concern </w:t>
      </w:r>
      <w:r w:rsidR="00A55213" w:rsidRPr="001B3BA5">
        <w:rPr>
          <w:rFonts w:asciiTheme="majorBidi" w:hAnsiTheme="majorBidi" w:cstheme="majorBidi"/>
          <w:iCs/>
          <w:sz w:val="24"/>
          <w:szCs w:val="24"/>
          <w:lang w:val="en-GB"/>
        </w:rPr>
        <w:t xml:space="preserve">The </w:t>
      </w:r>
      <w:r w:rsidR="005E3292" w:rsidRPr="001B3BA5">
        <w:rPr>
          <w:rFonts w:asciiTheme="majorBidi" w:hAnsiTheme="majorBidi" w:cstheme="majorBidi"/>
          <w:iCs/>
          <w:sz w:val="24"/>
          <w:szCs w:val="24"/>
          <w:lang w:val="en-GB"/>
        </w:rPr>
        <w:t>Netherlands</w:t>
      </w:r>
      <w:r w:rsidR="00A55213" w:rsidRPr="001B3BA5">
        <w:rPr>
          <w:rFonts w:asciiTheme="majorBidi" w:hAnsiTheme="majorBidi" w:cstheme="majorBidi"/>
          <w:iCs/>
          <w:sz w:val="24"/>
          <w:szCs w:val="24"/>
          <w:lang w:val="en-GB"/>
        </w:rPr>
        <w:t>,</w:t>
      </w:r>
      <w:r w:rsidR="00B146E8" w:rsidRPr="001B3BA5">
        <w:rPr>
          <w:rFonts w:asciiTheme="majorBidi" w:hAnsiTheme="majorBidi" w:cstheme="majorBidi"/>
          <w:iCs/>
          <w:sz w:val="24"/>
          <w:szCs w:val="24"/>
          <w:lang w:val="en-GB"/>
        </w:rPr>
        <w:t>’</w:t>
      </w:r>
      <w:r w:rsidR="00A55213" w:rsidRPr="001B3BA5">
        <w:rPr>
          <w:rFonts w:asciiTheme="majorBidi" w:hAnsiTheme="majorBidi" w:cstheme="majorBidi"/>
          <w:iCs/>
          <w:sz w:val="24"/>
          <w:szCs w:val="24"/>
          <w:lang w:val="en-GB"/>
        </w:rPr>
        <w:t xml:space="preserve"> </w:t>
      </w:r>
      <w:r w:rsidR="00B146E8" w:rsidRPr="001B3BA5">
        <w:rPr>
          <w:rFonts w:asciiTheme="majorBidi" w:hAnsiTheme="majorBidi" w:cstheme="majorBidi"/>
          <w:iCs/>
          <w:sz w:val="24"/>
          <w:szCs w:val="24"/>
          <w:lang w:val="en-GB"/>
        </w:rPr>
        <w:t>‘</w:t>
      </w:r>
      <w:r w:rsidR="00A55213" w:rsidRPr="001B3BA5">
        <w:rPr>
          <w:rFonts w:asciiTheme="majorBidi" w:hAnsiTheme="majorBidi" w:cstheme="majorBidi"/>
          <w:iCs/>
          <w:sz w:val="24"/>
          <w:szCs w:val="24"/>
          <w:lang w:val="en-GB"/>
        </w:rPr>
        <w:t>T</w:t>
      </w:r>
      <w:r w:rsidR="005E3292" w:rsidRPr="001B3BA5">
        <w:rPr>
          <w:rFonts w:asciiTheme="majorBidi" w:hAnsiTheme="majorBidi" w:cstheme="majorBidi"/>
          <w:iCs/>
          <w:sz w:val="24"/>
          <w:szCs w:val="24"/>
          <w:lang w:val="en-GB"/>
        </w:rPr>
        <w:t xml:space="preserve">he exclusive right to determine the rules of the game in </w:t>
      </w:r>
      <w:r w:rsidR="00A55213" w:rsidRPr="001B3BA5">
        <w:rPr>
          <w:rFonts w:asciiTheme="majorBidi" w:hAnsiTheme="majorBidi" w:cstheme="majorBidi"/>
          <w:iCs/>
          <w:sz w:val="24"/>
          <w:szCs w:val="24"/>
          <w:lang w:val="en-GB"/>
        </w:rPr>
        <w:t>T</w:t>
      </w:r>
      <w:r w:rsidR="005E3292" w:rsidRPr="001B3BA5">
        <w:rPr>
          <w:rFonts w:asciiTheme="majorBidi" w:hAnsiTheme="majorBidi" w:cstheme="majorBidi"/>
          <w:iCs/>
          <w:sz w:val="24"/>
          <w:szCs w:val="24"/>
          <w:lang w:val="en-GB"/>
        </w:rPr>
        <w:t>he Netherlands</w:t>
      </w:r>
      <w:r w:rsidR="00A55213" w:rsidRPr="001B3BA5">
        <w:rPr>
          <w:rFonts w:asciiTheme="majorBidi" w:hAnsiTheme="majorBidi" w:cstheme="majorBidi"/>
          <w:iCs/>
          <w:sz w:val="24"/>
          <w:szCs w:val="24"/>
          <w:lang w:val="en-GB"/>
        </w:rPr>
        <w:t>,</w:t>
      </w:r>
      <w:r w:rsidR="00B146E8" w:rsidRPr="001B3BA5">
        <w:rPr>
          <w:rFonts w:asciiTheme="majorBidi" w:hAnsiTheme="majorBidi" w:cstheme="majorBidi"/>
          <w:iCs/>
          <w:sz w:val="24"/>
          <w:szCs w:val="24"/>
          <w:lang w:val="en-GB"/>
        </w:rPr>
        <w:t>’</w:t>
      </w:r>
      <w:r w:rsidR="00A55213" w:rsidRPr="001B3BA5">
        <w:rPr>
          <w:rFonts w:asciiTheme="majorBidi" w:hAnsiTheme="majorBidi" w:cstheme="majorBidi"/>
          <w:iCs/>
          <w:sz w:val="24"/>
          <w:szCs w:val="24"/>
          <w:lang w:val="en-GB"/>
        </w:rPr>
        <w:t xml:space="preserve"> </w:t>
      </w:r>
      <w:r w:rsidR="00B146E8" w:rsidRPr="001B3BA5">
        <w:rPr>
          <w:rFonts w:asciiTheme="majorBidi" w:hAnsiTheme="majorBidi" w:cstheme="majorBidi"/>
          <w:iCs/>
          <w:sz w:val="24"/>
          <w:szCs w:val="24"/>
          <w:lang w:val="en-GB"/>
        </w:rPr>
        <w:t>‘</w:t>
      </w:r>
      <w:r w:rsidR="00A55213" w:rsidRPr="001B3BA5">
        <w:rPr>
          <w:rFonts w:asciiTheme="majorBidi" w:hAnsiTheme="majorBidi" w:cstheme="majorBidi"/>
          <w:iCs/>
          <w:sz w:val="24"/>
          <w:szCs w:val="24"/>
          <w:lang w:val="en-GB"/>
        </w:rPr>
        <w:t>T</w:t>
      </w:r>
      <w:r w:rsidR="005E3292" w:rsidRPr="001B3BA5">
        <w:rPr>
          <w:rFonts w:asciiTheme="majorBidi" w:hAnsiTheme="majorBidi" w:cstheme="majorBidi"/>
          <w:iCs/>
          <w:sz w:val="24"/>
          <w:szCs w:val="24"/>
          <w:lang w:val="en-GB"/>
        </w:rPr>
        <w:t xml:space="preserve">he exclusive right to determine who will be allowed in </w:t>
      </w:r>
      <w:r w:rsidR="00A55213" w:rsidRPr="001B3BA5">
        <w:rPr>
          <w:rFonts w:asciiTheme="majorBidi" w:hAnsiTheme="majorBidi" w:cstheme="majorBidi"/>
          <w:iCs/>
          <w:sz w:val="24"/>
          <w:szCs w:val="24"/>
          <w:lang w:val="en-GB"/>
        </w:rPr>
        <w:t>T</w:t>
      </w:r>
      <w:r w:rsidR="005E3292" w:rsidRPr="001B3BA5">
        <w:rPr>
          <w:rFonts w:asciiTheme="majorBidi" w:hAnsiTheme="majorBidi" w:cstheme="majorBidi"/>
          <w:iCs/>
          <w:sz w:val="24"/>
          <w:szCs w:val="24"/>
          <w:lang w:val="en-GB"/>
        </w:rPr>
        <w:t>he Netherlands</w:t>
      </w:r>
      <w:r w:rsidR="00A55213" w:rsidRPr="001B3BA5">
        <w:rPr>
          <w:rFonts w:asciiTheme="majorBidi" w:hAnsiTheme="majorBidi" w:cstheme="majorBidi"/>
          <w:iCs/>
          <w:sz w:val="24"/>
          <w:szCs w:val="24"/>
          <w:lang w:val="en-GB"/>
        </w:rPr>
        <w:t>,</w:t>
      </w:r>
      <w:r w:rsidR="00B146E8" w:rsidRPr="001B3BA5">
        <w:rPr>
          <w:rFonts w:asciiTheme="majorBidi" w:hAnsiTheme="majorBidi" w:cstheme="majorBidi"/>
          <w:iCs/>
          <w:sz w:val="24"/>
          <w:szCs w:val="24"/>
          <w:lang w:val="en-GB"/>
        </w:rPr>
        <w:t>’</w:t>
      </w:r>
      <w:r w:rsidR="005E3292" w:rsidRPr="001B3BA5">
        <w:rPr>
          <w:rFonts w:asciiTheme="majorBidi" w:hAnsiTheme="majorBidi" w:cstheme="majorBidi"/>
          <w:iCs/>
          <w:sz w:val="24"/>
          <w:szCs w:val="24"/>
          <w:lang w:val="en-GB"/>
        </w:rPr>
        <w:t xml:space="preserve"> and </w:t>
      </w:r>
      <w:r w:rsidR="00B146E8" w:rsidRPr="001B3BA5">
        <w:rPr>
          <w:rFonts w:asciiTheme="majorBidi" w:hAnsiTheme="majorBidi" w:cstheme="majorBidi"/>
          <w:iCs/>
          <w:sz w:val="24"/>
          <w:szCs w:val="24"/>
          <w:lang w:val="en-GB"/>
        </w:rPr>
        <w:t>‘</w:t>
      </w:r>
      <w:r w:rsidR="00A55213" w:rsidRPr="001B3BA5">
        <w:rPr>
          <w:rFonts w:asciiTheme="majorBidi" w:hAnsiTheme="majorBidi" w:cstheme="majorBidi"/>
          <w:iCs/>
          <w:sz w:val="24"/>
          <w:szCs w:val="24"/>
          <w:lang w:val="en-GB"/>
        </w:rPr>
        <w:t>T</w:t>
      </w:r>
      <w:r w:rsidR="005E3292" w:rsidRPr="001B3BA5">
        <w:rPr>
          <w:rFonts w:asciiTheme="majorBidi" w:hAnsiTheme="majorBidi" w:cstheme="majorBidi"/>
          <w:iCs/>
          <w:sz w:val="24"/>
          <w:szCs w:val="24"/>
          <w:lang w:val="en-GB"/>
        </w:rPr>
        <w:t>he exclusive right to de</w:t>
      </w:r>
      <w:r w:rsidR="00BF055E" w:rsidRPr="001B3BA5">
        <w:rPr>
          <w:rFonts w:asciiTheme="majorBidi" w:hAnsiTheme="majorBidi" w:cstheme="majorBidi"/>
          <w:iCs/>
          <w:sz w:val="24"/>
          <w:szCs w:val="24"/>
          <w:lang w:val="en-GB"/>
        </w:rPr>
        <w:t>termine</w:t>
      </w:r>
      <w:r w:rsidR="005E3292" w:rsidRPr="001B3BA5">
        <w:rPr>
          <w:rFonts w:asciiTheme="majorBidi" w:hAnsiTheme="majorBidi" w:cstheme="majorBidi"/>
          <w:iCs/>
          <w:sz w:val="24"/>
          <w:szCs w:val="24"/>
          <w:lang w:val="en-GB"/>
        </w:rPr>
        <w:t xml:space="preserve"> what happens to </w:t>
      </w:r>
      <w:r w:rsidR="00A55213" w:rsidRPr="001B3BA5">
        <w:rPr>
          <w:rFonts w:asciiTheme="majorBidi" w:hAnsiTheme="majorBidi" w:cstheme="majorBidi"/>
          <w:iCs/>
          <w:sz w:val="24"/>
          <w:szCs w:val="24"/>
          <w:lang w:val="en-GB"/>
        </w:rPr>
        <w:t>T</w:t>
      </w:r>
      <w:r w:rsidR="005E3292" w:rsidRPr="001B3BA5">
        <w:rPr>
          <w:rFonts w:asciiTheme="majorBidi" w:hAnsiTheme="majorBidi" w:cstheme="majorBidi"/>
          <w:iCs/>
          <w:sz w:val="24"/>
          <w:szCs w:val="24"/>
          <w:lang w:val="en-GB"/>
        </w:rPr>
        <w:t>he Netherlands in the future</w:t>
      </w:r>
      <w:r w:rsidR="00B146E8" w:rsidRPr="001B3BA5">
        <w:rPr>
          <w:rFonts w:asciiTheme="majorBidi" w:hAnsiTheme="majorBidi" w:cstheme="majorBidi"/>
          <w:iCs/>
          <w:sz w:val="24"/>
          <w:szCs w:val="24"/>
          <w:lang w:val="en-GB"/>
        </w:rPr>
        <w:t>’</w:t>
      </w:r>
      <w:r w:rsidR="00A55213" w:rsidRPr="001B3BA5">
        <w:rPr>
          <w:rFonts w:asciiTheme="majorBidi" w:hAnsiTheme="majorBidi" w:cstheme="majorBidi"/>
          <w:iCs/>
          <w:sz w:val="24"/>
          <w:szCs w:val="24"/>
          <w:lang w:val="en-GB"/>
        </w:rPr>
        <w:t xml:space="preserve"> (1</w:t>
      </w:r>
      <w:r w:rsidR="00955643" w:rsidRPr="001B3BA5">
        <w:rPr>
          <w:rFonts w:asciiTheme="majorBidi" w:hAnsiTheme="majorBidi" w:cstheme="majorBidi"/>
          <w:iCs/>
          <w:sz w:val="24"/>
          <w:szCs w:val="24"/>
          <w:lang w:val="en-GB"/>
        </w:rPr>
        <w:t>=</w:t>
      </w:r>
      <w:r w:rsidR="00C837D0" w:rsidRPr="001B3BA5">
        <w:rPr>
          <w:rFonts w:asciiTheme="majorBidi" w:hAnsiTheme="majorBidi" w:cstheme="majorBidi"/>
          <w:i/>
          <w:iCs/>
          <w:sz w:val="24"/>
          <w:szCs w:val="24"/>
          <w:lang w:val="en-GB"/>
        </w:rPr>
        <w:t>strongly</w:t>
      </w:r>
      <w:r w:rsidR="00A55213" w:rsidRPr="001B3BA5">
        <w:rPr>
          <w:rFonts w:asciiTheme="majorBidi" w:hAnsiTheme="majorBidi" w:cstheme="majorBidi"/>
          <w:i/>
          <w:iCs/>
          <w:sz w:val="24"/>
          <w:szCs w:val="24"/>
          <w:lang w:val="en-GB"/>
        </w:rPr>
        <w:t xml:space="preserve"> disagree</w:t>
      </w:r>
      <w:r w:rsidR="00A55213" w:rsidRPr="001B3BA5">
        <w:rPr>
          <w:rFonts w:asciiTheme="majorBidi" w:hAnsiTheme="majorBidi" w:cstheme="majorBidi"/>
          <w:sz w:val="24"/>
          <w:szCs w:val="24"/>
          <w:lang w:val="en-GB"/>
        </w:rPr>
        <w:t>, 7</w:t>
      </w:r>
      <w:r w:rsidR="00955643" w:rsidRPr="001B3BA5">
        <w:rPr>
          <w:rFonts w:asciiTheme="majorBidi" w:hAnsiTheme="majorBidi" w:cstheme="majorBidi"/>
          <w:sz w:val="24"/>
          <w:szCs w:val="24"/>
          <w:lang w:val="en-GB"/>
        </w:rPr>
        <w:t>=</w:t>
      </w:r>
      <w:r w:rsidR="00C837D0" w:rsidRPr="001B3BA5">
        <w:rPr>
          <w:rFonts w:asciiTheme="majorBidi" w:hAnsiTheme="majorBidi" w:cstheme="majorBidi"/>
          <w:i/>
          <w:iCs/>
          <w:sz w:val="24"/>
          <w:szCs w:val="24"/>
          <w:lang w:val="en-GB"/>
        </w:rPr>
        <w:t>strongly</w:t>
      </w:r>
      <w:r w:rsidR="00A55213" w:rsidRPr="001B3BA5">
        <w:rPr>
          <w:rFonts w:asciiTheme="majorBidi" w:hAnsiTheme="majorBidi" w:cstheme="majorBidi"/>
          <w:i/>
          <w:iCs/>
          <w:sz w:val="24"/>
          <w:szCs w:val="24"/>
          <w:lang w:val="en-GB"/>
        </w:rPr>
        <w:t xml:space="preserve"> agree</w:t>
      </w:r>
      <w:r w:rsidR="00447479" w:rsidRPr="001B3BA5">
        <w:rPr>
          <w:rFonts w:asciiTheme="majorBidi" w:hAnsiTheme="majorBidi" w:cstheme="majorBidi"/>
          <w:sz w:val="24"/>
          <w:szCs w:val="24"/>
          <w:lang w:val="en-GB"/>
        </w:rPr>
        <w:t>;</w:t>
      </w:r>
      <w:r w:rsidR="007B2499" w:rsidRPr="001B3BA5">
        <w:rPr>
          <w:rFonts w:asciiTheme="majorBidi" w:hAnsiTheme="majorBidi" w:cstheme="majorBidi"/>
          <w:iCs/>
          <w:sz w:val="24"/>
          <w:szCs w:val="24"/>
          <w:lang w:val="en-GB"/>
        </w:rPr>
        <w:t xml:space="preserve"> α</w:t>
      </w:r>
      <w:r w:rsidR="00955643" w:rsidRPr="001B3BA5">
        <w:rPr>
          <w:rFonts w:asciiTheme="majorBidi" w:hAnsiTheme="majorBidi" w:cstheme="majorBidi"/>
          <w:sz w:val="24"/>
          <w:szCs w:val="24"/>
          <w:lang w:val="en-GB"/>
        </w:rPr>
        <w:t>=</w:t>
      </w:r>
      <w:r w:rsidR="004A432A" w:rsidRPr="001B3BA5">
        <w:rPr>
          <w:rFonts w:asciiTheme="majorBidi" w:hAnsiTheme="majorBidi" w:cstheme="majorBidi"/>
          <w:sz w:val="24"/>
          <w:szCs w:val="24"/>
          <w:lang w:val="en-GB"/>
        </w:rPr>
        <w:t xml:space="preserve">.96). </w:t>
      </w:r>
    </w:p>
    <w:p w14:paraId="34567606" w14:textId="268FED89" w:rsidR="00F85F30" w:rsidRPr="001B3BA5" w:rsidRDefault="00F85F30">
      <w:pPr>
        <w:spacing w:after="0" w:line="480" w:lineRule="exact"/>
        <w:ind w:firstLine="708"/>
        <w:rPr>
          <w:rFonts w:ascii="Times New Roman" w:hAnsi="Times New Roman" w:cs="Times New Roman"/>
          <w:sz w:val="24"/>
          <w:szCs w:val="24"/>
          <w:lang w:val="en-GB"/>
        </w:rPr>
      </w:pPr>
      <w:r w:rsidRPr="001B3BA5">
        <w:rPr>
          <w:rFonts w:asciiTheme="majorBidi" w:hAnsiTheme="majorBidi" w:cstheme="majorBidi"/>
          <w:b/>
          <w:bCs/>
          <w:iCs/>
          <w:sz w:val="24"/>
          <w:szCs w:val="24"/>
          <w:lang w:val="en-GB"/>
        </w:rPr>
        <w:t>Immigrant minority attitudes</w:t>
      </w:r>
      <w:r w:rsidRPr="001B3BA5">
        <w:rPr>
          <w:rFonts w:asciiTheme="majorBidi" w:hAnsiTheme="majorBidi" w:cstheme="majorBidi"/>
          <w:i/>
          <w:sz w:val="24"/>
          <w:szCs w:val="24"/>
          <w:lang w:val="en-GB"/>
        </w:rPr>
        <w:t xml:space="preserve">. </w:t>
      </w:r>
      <w:r w:rsidR="00A55213" w:rsidRPr="001B3BA5">
        <w:rPr>
          <w:rFonts w:asciiTheme="majorBidi" w:hAnsiTheme="majorBidi" w:cstheme="majorBidi"/>
          <w:sz w:val="24"/>
          <w:szCs w:val="24"/>
          <w:lang w:val="en-GB"/>
        </w:rPr>
        <w:t xml:space="preserve">We </w:t>
      </w:r>
      <w:r w:rsidR="00F665B0" w:rsidRPr="001B3BA5">
        <w:rPr>
          <w:rFonts w:asciiTheme="majorBidi" w:hAnsiTheme="majorBidi" w:cstheme="majorBidi"/>
          <w:sz w:val="24"/>
          <w:szCs w:val="24"/>
          <w:lang w:val="en-GB"/>
        </w:rPr>
        <w:t>used</w:t>
      </w:r>
      <w:r w:rsidRPr="001B3BA5">
        <w:rPr>
          <w:rFonts w:asciiTheme="majorBidi" w:hAnsiTheme="majorBidi" w:cstheme="majorBidi"/>
          <w:sz w:val="24"/>
          <w:szCs w:val="24"/>
          <w:lang w:val="en-GB"/>
        </w:rPr>
        <w:t xml:space="preserve"> a feeling thermometer</w:t>
      </w:r>
      <w:r w:rsidR="00B07E9B" w:rsidRPr="001B3BA5">
        <w:rPr>
          <w:rFonts w:asciiTheme="majorBidi" w:hAnsiTheme="majorBidi" w:cstheme="majorBidi"/>
          <w:sz w:val="24"/>
          <w:szCs w:val="24"/>
          <w:lang w:val="en-GB"/>
        </w:rPr>
        <w:t xml:space="preserve">, a reliable measurement </w:t>
      </w:r>
      <w:r w:rsidR="00A60DFB" w:rsidRPr="001B3BA5">
        <w:rPr>
          <w:rFonts w:ascii="Times New Roman" w:hAnsi="Times New Roman" w:cs="Times New Roman"/>
          <w:sz w:val="24"/>
          <w:szCs w:val="24"/>
          <w:lang w:val="en-GB"/>
        </w:rPr>
        <w:fldChar w:fldCharType="begin"/>
      </w:r>
      <w:r w:rsidR="00A60DFB" w:rsidRPr="001B3BA5">
        <w:rPr>
          <w:rFonts w:ascii="Times New Roman" w:hAnsi="Times New Roman" w:cs="Times New Roman"/>
          <w:sz w:val="24"/>
          <w:szCs w:val="24"/>
          <w:lang w:val="en-GB"/>
        </w:rPr>
        <w:instrText xml:space="preserve"> ADDIN EN.CITE &lt;EndNote&gt;&lt;Cite&gt;&lt;Author&gt;Alwin&lt;/Author&gt;&lt;Year&gt;1997&lt;/Year&gt;&lt;RecNum&gt;1505&lt;/RecNum&gt;&lt;DisplayText&gt;(Alwin, 1997)&lt;/DisplayText&gt;&lt;record&gt;&lt;rec-number&gt;1505&lt;/rec-number&gt;&lt;foreign-keys&gt;&lt;key app="EN" db-id="es92r5v5dve2z0erx59pv50vtp29v0t9ef5f" timestamp="1572862040"&gt;1505&lt;/key&gt;&lt;/foreign-keys&gt;&lt;ref-type name="Journal Article"&gt;17&lt;/ref-type&gt;&lt;contributors&gt;&lt;authors&gt;&lt;author&gt;Alwin, Duane F&lt;/author&gt;&lt;/authors&gt;&lt;/contributors&gt;&lt;titles&gt;&lt;title&gt;Feeling thermometers versus 7-point scales: Which are better?&lt;/title&gt;&lt;secondary-title&gt;Sociological Methods &amp;amp; Research&lt;/secondary-title&gt;&lt;/titles&gt;&lt;periodical&gt;&lt;full-title&gt;Sociological Methods &amp;amp; Research&lt;/full-title&gt;&lt;/periodical&gt;&lt;pages&gt;318-340&lt;/pages&gt;&lt;volume&gt;25&lt;/volume&gt;&lt;number&gt;3&lt;/number&gt;&lt;dates&gt;&lt;year&gt;1997&lt;/year&gt;&lt;/dates&gt;&lt;isbn&gt;0049-1241&lt;/isbn&gt;&lt;urls&gt;&lt;/urls&gt;&lt;electronic-resource-num&gt;10.1177/0049124197025003003&lt;/electronic-resource-num&gt;&lt;/record&gt;&lt;/Cite&gt;&lt;/EndNote&gt;</w:instrText>
      </w:r>
      <w:r w:rsidR="00A60DFB" w:rsidRPr="001B3BA5">
        <w:rPr>
          <w:rFonts w:ascii="Times New Roman" w:hAnsi="Times New Roman" w:cs="Times New Roman"/>
          <w:sz w:val="24"/>
          <w:szCs w:val="24"/>
          <w:lang w:val="en-GB"/>
        </w:rPr>
        <w:fldChar w:fldCharType="separate"/>
      </w:r>
      <w:r w:rsidR="00A60DFB" w:rsidRPr="001B3BA5">
        <w:rPr>
          <w:rFonts w:ascii="Times New Roman" w:hAnsi="Times New Roman" w:cs="Times New Roman"/>
          <w:noProof/>
          <w:sz w:val="24"/>
          <w:szCs w:val="24"/>
          <w:lang w:val="en-GB"/>
        </w:rPr>
        <w:t>(Alwin, 1997)</w:t>
      </w:r>
      <w:r w:rsidR="00A60DFB" w:rsidRPr="001B3BA5">
        <w:rPr>
          <w:rFonts w:ascii="Times New Roman" w:hAnsi="Times New Roman" w:cs="Times New Roman"/>
          <w:sz w:val="24"/>
          <w:szCs w:val="24"/>
          <w:lang w:val="en-GB"/>
        </w:rPr>
        <w:fldChar w:fldCharType="end"/>
      </w:r>
      <w:r w:rsidR="00B07E9B" w:rsidRPr="001B3BA5">
        <w:rPr>
          <w:rFonts w:ascii="Times New Roman" w:hAnsi="Times New Roman" w:cs="Times New Roman"/>
          <w:sz w:val="24"/>
          <w:szCs w:val="24"/>
          <w:lang w:val="en-GB"/>
        </w:rPr>
        <w:t xml:space="preserve"> that</w:t>
      </w:r>
      <w:r w:rsidR="00A60DFB" w:rsidRPr="001B3BA5">
        <w:rPr>
          <w:rFonts w:ascii="Times New Roman" w:hAnsi="Times New Roman" w:cs="Times New Roman"/>
          <w:sz w:val="24"/>
          <w:szCs w:val="24"/>
          <w:lang w:val="en-GB"/>
        </w:rPr>
        <w:t xml:space="preserve"> correlate</w:t>
      </w:r>
      <w:r w:rsidR="00B07E9B" w:rsidRPr="001B3BA5">
        <w:rPr>
          <w:rFonts w:ascii="Times New Roman" w:hAnsi="Times New Roman" w:cs="Times New Roman"/>
          <w:sz w:val="24"/>
          <w:szCs w:val="24"/>
          <w:lang w:val="en-GB"/>
        </w:rPr>
        <w:t>s</w:t>
      </w:r>
      <w:r w:rsidR="00A60DFB" w:rsidRPr="001B3BA5">
        <w:rPr>
          <w:rFonts w:ascii="Times New Roman" w:hAnsi="Times New Roman" w:cs="Times New Roman"/>
          <w:sz w:val="24"/>
          <w:szCs w:val="24"/>
          <w:lang w:val="en-GB"/>
        </w:rPr>
        <w:t xml:space="preserve"> with subtle prejudice </w:t>
      </w:r>
      <w:r w:rsidR="00954396" w:rsidRPr="001B3BA5">
        <w:rPr>
          <w:rFonts w:ascii="Times New Roman" w:hAnsi="Times New Roman" w:cs="Times New Roman"/>
          <w:sz w:val="24"/>
          <w:szCs w:val="24"/>
          <w:lang w:val="en-GB"/>
        </w:rPr>
        <w:t xml:space="preserve">assessments </w:t>
      </w:r>
      <w:r w:rsidR="00FF7132" w:rsidRPr="001B3BA5">
        <w:rPr>
          <w:rFonts w:ascii="Times New Roman" w:hAnsi="Times New Roman" w:cs="Times New Roman"/>
          <w:sz w:val="24"/>
          <w:szCs w:val="24"/>
          <w:lang w:val="en-GB"/>
        </w:rPr>
        <w:fldChar w:fldCharType="begin"/>
      </w:r>
      <w:r w:rsidR="00FF7132" w:rsidRPr="001B3BA5">
        <w:rPr>
          <w:rFonts w:ascii="Times New Roman" w:hAnsi="Times New Roman" w:cs="Times New Roman"/>
          <w:sz w:val="24"/>
          <w:szCs w:val="24"/>
          <w:lang w:val="en-GB"/>
        </w:rPr>
        <w:instrText xml:space="preserve"> ADDIN EN.CITE &lt;EndNote&gt;&lt;Cite&gt;&lt;Author&gt;Dovidio&lt;/Author&gt;&lt;Year&gt;2001&lt;/Year&gt;&lt;RecNum&gt;1509&lt;/RecNum&gt;&lt;IDText&gt;2001&lt;/IDText&gt;&lt;DisplayText&gt;(Dovidio, Kawakami, &amp;amp; Beach, 2001)&lt;/DisplayText&gt;&lt;record&gt;&lt;rec-number&gt;1509&lt;/rec-number&gt;&lt;foreign-keys&gt;&lt;key app="EN" db-id="es92r5v5dve2z0erx59pv50vtp29v0t9ef5f" timestamp="1573201089"&gt;1509&lt;/key&gt;&lt;/foreign-keys&gt;&lt;ref-type name="Book Section"&gt;5&lt;/ref-type&gt;&lt;contributors&gt;&lt;authors&gt;&lt;author&gt;Dovidio, John F&lt;/author&gt;&lt;author&gt;Kawakami, Kerry&lt;/author&gt;&lt;author&gt;Beach, Kelly R&lt;/author&gt;&lt;/authors&gt;&lt;secondary-authors&gt;&lt;author&gt;Brown, R.&lt;/author&gt;&lt;author&gt;Gaertner, S. L.&lt;/author&gt;&lt;/secondary-authors&gt;&lt;/contributors&gt;&lt;titles&gt;&lt;title&gt;Implicit and explicit attitudes: Examination of the relationship between measures of intergroup bias&lt;/title&gt;&lt;secondary-title&gt;Blackwell handbook of social psychology: Intergroup processes&lt;/secondary-title&gt;&lt;/titles&gt;&lt;periodical&gt;&lt;full-title&gt;Blackwell handbook of social psychology: Intergroup processes&lt;/full-title&gt;&lt;/periodical&gt;&lt;section&gt;175-197&lt;/section&gt;&lt;dates&gt;&lt;year&gt;2001&lt;/year&gt;&lt;/dates&gt;&lt;pub-location&gt;Malden, MA&lt;/pub-location&gt;&lt;publisher&gt;Blackwell&lt;/publisher&gt;&lt;urls&gt;&lt;/urls&gt;&lt;electronic-resource-num&gt;10.1002/9780470693421.ch9&lt;/electronic-resource-num&gt;&lt;/record&gt;&lt;/Cite&gt;&lt;/EndNote&gt;</w:instrText>
      </w:r>
      <w:r w:rsidR="00FF7132" w:rsidRPr="001B3BA5">
        <w:rPr>
          <w:rFonts w:ascii="Times New Roman" w:hAnsi="Times New Roman" w:cs="Times New Roman"/>
          <w:sz w:val="24"/>
          <w:szCs w:val="24"/>
          <w:lang w:val="en-GB"/>
        </w:rPr>
        <w:fldChar w:fldCharType="separate"/>
      </w:r>
      <w:r w:rsidR="00FF7132" w:rsidRPr="001B3BA5">
        <w:rPr>
          <w:rFonts w:ascii="Times New Roman" w:hAnsi="Times New Roman" w:cs="Times New Roman"/>
          <w:noProof/>
          <w:sz w:val="24"/>
          <w:szCs w:val="24"/>
          <w:lang w:val="en-GB"/>
        </w:rPr>
        <w:t>(Dovidio, Kawakami, &amp; Beach, 2001)</w:t>
      </w:r>
      <w:r w:rsidR="00FF7132" w:rsidRPr="001B3BA5">
        <w:rPr>
          <w:rFonts w:ascii="Times New Roman" w:hAnsi="Times New Roman" w:cs="Times New Roman"/>
          <w:sz w:val="24"/>
          <w:szCs w:val="24"/>
          <w:lang w:val="en-GB"/>
        </w:rPr>
        <w:fldChar w:fldCharType="end"/>
      </w:r>
      <w:r w:rsidR="00FF7132" w:rsidRPr="001B3BA5">
        <w:rPr>
          <w:rFonts w:ascii="Times New Roman" w:hAnsi="Times New Roman" w:cs="Times New Roman"/>
          <w:sz w:val="24"/>
          <w:szCs w:val="24"/>
          <w:lang w:val="en-GB"/>
        </w:rPr>
        <w:t>.</w:t>
      </w:r>
      <w:r w:rsidR="00A60DFB" w:rsidRPr="001B3BA5">
        <w:rPr>
          <w:rFonts w:ascii="Times New Roman" w:hAnsi="Times New Roman" w:cs="Times New Roman"/>
          <w:sz w:val="24"/>
          <w:szCs w:val="24"/>
          <w:lang w:val="en-GB"/>
        </w:rPr>
        <w:t xml:space="preserve"> </w:t>
      </w:r>
      <w:r w:rsidR="00F665B0" w:rsidRPr="001B3BA5">
        <w:rPr>
          <w:rFonts w:asciiTheme="majorBidi" w:hAnsiTheme="majorBidi" w:cstheme="majorBidi"/>
          <w:sz w:val="24"/>
          <w:szCs w:val="24"/>
          <w:lang w:val="en-GB"/>
        </w:rPr>
        <w:t>It</w:t>
      </w:r>
      <w:r w:rsidR="005E7F91" w:rsidRPr="001B3BA5">
        <w:rPr>
          <w:rFonts w:asciiTheme="majorBidi" w:hAnsiTheme="majorBidi" w:cstheme="majorBidi"/>
          <w:sz w:val="24"/>
          <w:szCs w:val="24"/>
          <w:lang w:val="en-GB"/>
        </w:rPr>
        <w:t xml:space="preserve"> ranged from 0º (cold) to 100º (warm), with 10º increments (11-point scale), </w:t>
      </w:r>
      <w:r w:rsidR="004857CA" w:rsidRPr="001B3BA5">
        <w:rPr>
          <w:rFonts w:asciiTheme="majorBidi" w:hAnsiTheme="majorBidi" w:cstheme="majorBidi"/>
          <w:sz w:val="24"/>
          <w:szCs w:val="24"/>
          <w:lang w:val="en-GB"/>
        </w:rPr>
        <w:t>Participant</w:t>
      </w:r>
      <w:r w:rsidRPr="001B3BA5">
        <w:rPr>
          <w:rFonts w:asciiTheme="majorBidi" w:hAnsiTheme="majorBidi" w:cstheme="majorBidi"/>
          <w:sz w:val="24"/>
          <w:szCs w:val="24"/>
          <w:lang w:val="en-GB"/>
        </w:rPr>
        <w:t>s rate</w:t>
      </w:r>
      <w:r w:rsidR="00FC717F" w:rsidRPr="001B3BA5">
        <w:rPr>
          <w:rFonts w:asciiTheme="majorBidi" w:hAnsiTheme="majorBidi" w:cstheme="majorBidi"/>
          <w:sz w:val="24"/>
          <w:szCs w:val="24"/>
          <w:lang w:val="en-GB"/>
        </w:rPr>
        <w:t>d</w:t>
      </w:r>
      <w:r w:rsidRPr="001B3BA5">
        <w:rPr>
          <w:rFonts w:asciiTheme="majorBidi" w:hAnsiTheme="majorBidi" w:cstheme="majorBidi"/>
          <w:sz w:val="24"/>
          <w:szCs w:val="24"/>
          <w:lang w:val="en-GB"/>
        </w:rPr>
        <w:t xml:space="preserve"> their feeling towards </w:t>
      </w:r>
      <w:r w:rsidR="00FC717F" w:rsidRPr="001B3BA5">
        <w:rPr>
          <w:rFonts w:asciiTheme="majorBidi" w:hAnsiTheme="majorBidi" w:cstheme="majorBidi"/>
          <w:sz w:val="24"/>
          <w:szCs w:val="24"/>
          <w:lang w:val="en-GB"/>
        </w:rPr>
        <w:t>10 immigrant</w:t>
      </w:r>
      <w:r w:rsidR="001B658B" w:rsidRPr="001B3BA5">
        <w:rPr>
          <w:rFonts w:asciiTheme="majorBidi" w:hAnsiTheme="majorBidi" w:cstheme="majorBidi"/>
          <w:sz w:val="24"/>
          <w:szCs w:val="24"/>
          <w:lang w:val="en-GB"/>
        </w:rPr>
        <w:t xml:space="preserve"> minority</w:t>
      </w:r>
      <w:r w:rsidR="00FC717F"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groups</w:t>
      </w:r>
      <w:r w:rsidR="00FC717F" w:rsidRPr="001B3BA5">
        <w:rPr>
          <w:rFonts w:asciiTheme="majorBidi" w:hAnsiTheme="majorBidi" w:cstheme="majorBidi"/>
          <w:sz w:val="24"/>
          <w:szCs w:val="24"/>
          <w:lang w:val="en-GB"/>
        </w:rPr>
        <w:t xml:space="preserve"> </w:t>
      </w:r>
      <w:r w:rsidR="00330414" w:rsidRPr="001B3BA5">
        <w:rPr>
          <w:rFonts w:asciiTheme="majorBidi" w:hAnsiTheme="majorBidi" w:cstheme="majorBidi"/>
          <w:sz w:val="24"/>
          <w:szCs w:val="24"/>
          <w:lang w:val="en-GB"/>
        </w:rPr>
        <w:t>in The Netherlands</w:t>
      </w:r>
      <w:r w:rsidR="00980866" w:rsidRPr="001B3BA5">
        <w:rPr>
          <w:rFonts w:asciiTheme="majorBidi" w:hAnsiTheme="majorBidi" w:cstheme="majorBidi"/>
          <w:sz w:val="24"/>
          <w:szCs w:val="24"/>
          <w:lang w:val="en-GB"/>
        </w:rPr>
        <w:t xml:space="preserve">: </w:t>
      </w:r>
      <w:r w:rsidR="00FC717F" w:rsidRPr="001B3BA5">
        <w:rPr>
          <w:rFonts w:asciiTheme="majorBidi" w:hAnsiTheme="majorBidi" w:cstheme="majorBidi"/>
          <w:sz w:val="24"/>
          <w:szCs w:val="24"/>
          <w:lang w:val="en-GB"/>
        </w:rPr>
        <w:t xml:space="preserve">Antilleans, Bulgarians, Moroccans, Poles, Surinamese, </w:t>
      </w:r>
      <w:r w:rsidRPr="001B3BA5">
        <w:rPr>
          <w:rFonts w:asciiTheme="majorBidi" w:hAnsiTheme="majorBidi" w:cstheme="majorBidi"/>
          <w:sz w:val="24"/>
          <w:szCs w:val="24"/>
          <w:lang w:val="en-GB"/>
        </w:rPr>
        <w:t xml:space="preserve">Turks, refugees, asylum seekers, people who entered </w:t>
      </w:r>
      <w:r w:rsidR="00C518D9" w:rsidRPr="001B3BA5">
        <w:rPr>
          <w:rFonts w:asciiTheme="majorBidi" w:hAnsiTheme="majorBidi" w:cstheme="majorBidi"/>
          <w:sz w:val="24"/>
          <w:szCs w:val="24"/>
          <w:lang w:val="en-GB"/>
        </w:rPr>
        <w:t>T</w:t>
      </w:r>
      <w:r w:rsidRPr="001B3BA5">
        <w:rPr>
          <w:rFonts w:asciiTheme="majorBidi" w:hAnsiTheme="majorBidi" w:cstheme="majorBidi"/>
          <w:sz w:val="24"/>
          <w:szCs w:val="24"/>
          <w:lang w:val="en-GB"/>
        </w:rPr>
        <w:t xml:space="preserve">he Netherlands </w:t>
      </w:r>
      <w:r w:rsidR="00174461" w:rsidRPr="001B3BA5">
        <w:rPr>
          <w:rFonts w:asciiTheme="majorBidi" w:hAnsiTheme="majorBidi" w:cstheme="majorBidi"/>
          <w:sz w:val="24"/>
          <w:szCs w:val="24"/>
          <w:lang w:val="en-GB"/>
        </w:rPr>
        <w:t>illegally</w:t>
      </w:r>
      <w:r w:rsidRPr="001B3BA5">
        <w:rPr>
          <w:rFonts w:asciiTheme="majorBidi" w:hAnsiTheme="majorBidi" w:cstheme="majorBidi"/>
          <w:sz w:val="24"/>
          <w:szCs w:val="24"/>
          <w:lang w:val="en-GB"/>
        </w:rPr>
        <w:t xml:space="preserve">, people who </w:t>
      </w:r>
      <w:r w:rsidR="00174461" w:rsidRPr="001B3BA5">
        <w:rPr>
          <w:rFonts w:asciiTheme="majorBidi" w:hAnsiTheme="majorBidi" w:cstheme="majorBidi"/>
          <w:sz w:val="24"/>
          <w:szCs w:val="24"/>
          <w:lang w:val="en-GB"/>
        </w:rPr>
        <w:t>over</w:t>
      </w:r>
      <w:r w:rsidRPr="001B3BA5">
        <w:rPr>
          <w:rFonts w:asciiTheme="majorBidi" w:hAnsiTheme="majorBidi" w:cstheme="majorBidi"/>
          <w:sz w:val="24"/>
          <w:szCs w:val="24"/>
          <w:lang w:val="en-GB"/>
        </w:rPr>
        <w:t xml:space="preserve">stayed their </w:t>
      </w:r>
      <w:r w:rsidR="00C518D9" w:rsidRPr="001B3BA5">
        <w:rPr>
          <w:rFonts w:asciiTheme="majorBidi" w:hAnsiTheme="majorBidi" w:cstheme="majorBidi"/>
          <w:sz w:val="24"/>
          <w:szCs w:val="24"/>
          <w:lang w:val="en-GB"/>
        </w:rPr>
        <w:t xml:space="preserve">resident </w:t>
      </w:r>
      <w:r w:rsidRPr="001B3BA5">
        <w:rPr>
          <w:rFonts w:asciiTheme="majorBidi" w:hAnsiTheme="majorBidi" w:cstheme="majorBidi"/>
          <w:sz w:val="24"/>
          <w:szCs w:val="24"/>
          <w:lang w:val="en-GB"/>
        </w:rPr>
        <w:t>permit</w:t>
      </w:r>
      <w:r w:rsidR="00174461" w:rsidRPr="001B3BA5">
        <w:rPr>
          <w:rFonts w:asciiTheme="majorBidi" w:hAnsiTheme="majorBidi" w:cstheme="majorBidi"/>
          <w:sz w:val="24"/>
          <w:szCs w:val="24"/>
          <w:lang w:val="en-GB"/>
        </w:rPr>
        <w:t>s</w:t>
      </w:r>
      <w:r w:rsidR="00980866" w:rsidRPr="001B3BA5">
        <w:rPr>
          <w:rFonts w:asciiTheme="majorBidi" w:hAnsiTheme="majorBidi" w:cstheme="majorBidi"/>
          <w:sz w:val="24"/>
          <w:szCs w:val="24"/>
          <w:lang w:val="en-GB"/>
        </w:rPr>
        <w:t xml:space="preserve"> (</w:t>
      </w:r>
      <w:r w:rsidR="007B2499" w:rsidRPr="001B3BA5">
        <w:rPr>
          <w:rFonts w:asciiTheme="majorBidi" w:hAnsiTheme="majorBidi" w:cstheme="majorBidi"/>
          <w:iCs/>
          <w:sz w:val="24"/>
          <w:szCs w:val="24"/>
          <w:lang w:val="en-GB"/>
        </w:rPr>
        <w:t>α</w:t>
      </w:r>
      <w:r w:rsidR="00955643" w:rsidRPr="001B3BA5">
        <w:rPr>
          <w:rFonts w:asciiTheme="majorBidi" w:hAnsiTheme="majorBidi" w:cstheme="majorBidi"/>
          <w:i/>
          <w:sz w:val="24"/>
          <w:szCs w:val="24"/>
          <w:lang w:val="en-GB"/>
        </w:rPr>
        <w:t>=</w:t>
      </w:r>
      <w:r w:rsidR="004A432A" w:rsidRPr="001B3BA5">
        <w:rPr>
          <w:rFonts w:asciiTheme="majorBidi" w:hAnsiTheme="majorBidi" w:cstheme="majorBidi"/>
          <w:sz w:val="24"/>
          <w:szCs w:val="24"/>
          <w:lang w:val="en-GB"/>
        </w:rPr>
        <w:t>.94)</w:t>
      </w:r>
      <w:r w:rsidR="00980866" w:rsidRPr="001B3BA5">
        <w:rPr>
          <w:rFonts w:asciiTheme="majorBidi" w:hAnsiTheme="majorBidi" w:cstheme="majorBidi"/>
          <w:sz w:val="24"/>
          <w:szCs w:val="24"/>
          <w:lang w:val="en-GB"/>
        </w:rPr>
        <w:t xml:space="preserve">. </w:t>
      </w:r>
    </w:p>
    <w:p w14:paraId="73FA8849" w14:textId="47884ED3" w:rsidR="00F85F30" w:rsidRPr="001B3BA5" w:rsidRDefault="00C1702C" w:rsidP="00584266">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b/>
          <w:bCs/>
          <w:iCs/>
          <w:sz w:val="24"/>
          <w:szCs w:val="24"/>
          <w:lang w:val="en-GB"/>
        </w:rPr>
        <w:t>European integration attitudes</w:t>
      </w:r>
      <w:r w:rsidR="00F85F30" w:rsidRPr="001B3BA5">
        <w:rPr>
          <w:rFonts w:asciiTheme="majorBidi" w:hAnsiTheme="majorBidi" w:cstheme="majorBidi"/>
          <w:i/>
          <w:sz w:val="24"/>
          <w:szCs w:val="24"/>
          <w:lang w:val="en-GB"/>
        </w:rPr>
        <w:t xml:space="preserve">. </w:t>
      </w:r>
      <w:r w:rsidR="00FC717F" w:rsidRPr="001B3BA5">
        <w:rPr>
          <w:rFonts w:asciiTheme="majorBidi" w:hAnsiTheme="majorBidi" w:cstheme="majorBidi"/>
          <w:sz w:val="24"/>
          <w:szCs w:val="24"/>
          <w:lang w:val="en-GB"/>
        </w:rPr>
        <w:t xml:space="preserve">We </w:t>
      </w:r>
      <w:r w:rsidR="00580278" w:rsidRPr="001B3BA5">
        <w:rPr>
          <w:rFonts w:asciiTheme="majorBidi" w:hAnsiTheme="majorBidi" w:cstheme="majorBidi"/>
          <w:sz w:val="24"/>
          <w:szCs w:val="24"/>
          <w:lang w:val="en-GB"/>
        </w:rPr>
        <w:t>us</w:t>
      </w:r>
      <w:r w:rsidR="00D55C68" w:rsidRPr="001B3BA5">
        <w:rPr>
          <w:rFonts w:asciiTheme="majorBidi" w:hAnsiTheme="majorBidi" w:cstheme="majorBidi"/>
          <w:sz w:val="24"/>
          <w:szCs w:val="24"/>
          <w:lang w:val="en-GB"/>
        </w:rPr>
        <w:t>ed</w:t>
      </w:r>
      <w:r w:rsidR="00580278" w:rsidRPr="001B3BA5">
        <w:rPr>
          <w:rFonts w:asciiTheme="majorBidi" w:hAnsiTheme="majorBidi" w:cstheme="majorBidi"/>
          <w:sz w:val="24"/>
          <w:szCs w:val="24"/>
          <w:lang w:val="en-GB"/>
        </w:rPr>
        <w:t xml:space="preserve"> an item from the European Social Survey</w:t>
      </w:r>
      <w:r w:rsidR="00A65CD9" w:rsidRPr="001B3BA5">
        <w:rPr>
          <w:rFonts w:asciiTheme="majorBidi" w:hAnsiTheme="majorBidi" w:cstheme="majorBidi"/>
          <w:sz w:val="24"/>
          <w:szCs w:val="24"/>
          <w:lang w:val="en-GB"/>
        </w:rPr>
        <w:t xml:space="preserve"> </w:t>
      </w:r>
      <w:r w:rsidR="00A65CD9" w:rsidRPr="001B3BA5">
        <w:rPr>
          <w:rFonts w:asciiTheme="majorBidi" w:hAnsiTheme="majorBidi" w:cstheme="majorBidi"/>
          <w:sz w:val="24"/>
          <w:szCs w:val="24"/>
          <w:lang w:val="en-GB"/>
        </w:rPr>
        <w:fldChar w:fldCharType="begin"/>
      </w:r>
      <w:r w:rsidR="00E36962" w:rsidRPr="001B3BA5">
        <w:rPr>
          <w:rFonts w:asciiTheme="majorBidi" w:hAnsiTheme="majorBidi" w:cstheme="majorBidi"/>
          <w:sz w:val="24"/>
          <w:szCs w:val="24"/>
          <w:lang w:val="en-GB"/>
        </w:rPr>
        <w:instrText xml:space="preserve"> ADDIN EN.CITE &lt;EndNote&gt;&lt;Cite ExcludeAuth="1"&gt;&lt;Author&gt;Survey&lt;/Author&gt;&lt;Year&gt;2018&lt;/Year&gt;&lt;RecNum&gt;1447&lt;/RecNum&gt;&lt;DisplayText&gt;(2018)&lt;/DisplayText&gt;&lt;record&gt;&lt;rec-number&gt;1447&lt;/rec-number&gt;&lt;foreign-keys&gt;&lt;key app="EN" db-id="es92r5v5dve2z0erx59pv50vtp29v0t9ef5f" timestamp="1562672610"&gt;1447&lt;/key&gt;&lt;key app="ENWeb" db-id=""&gt;0&lt;/key&gt;&lt;/foreign-keys&gt;&lt;ref-type name="Book"&gt;6&lt;/ref-type&gt;&lt;contributors&gt;&lt;authors&gt;&lt;author&gt;European Social Survey,&lt;/author&gt;&lt;/authors&gt;&lt;/contributors&gt;&lt;titles&gt;&lt;title&gt;ESS Round 9 Source Questionnaire&lt;/title&gt;&lt;/titles&gt;&lt;dates&gt;&lt;year&gt;2018&lt;/year&gt;&lt;/dates&gt;&lt;pub-location&gt;London&lt;/pub-location&gt;&lt;publisher&gt;ESS ERIC Headquarters c/o City, University of London&lt;/publisher&gt;&lt;urls&gt;&lt;/urls&gt;&lt;/record&gt;&lt;/Cite&gt;&lt;/EndNote&gt;</w:instrText>
      </w:r>
      <w:r w:rsidR="00A65CD9" w:rsidRPr="001B3BA5">
        <w:rPr>
          <w:rFonts w:asciiTheme="majorBidi" w:hAnsiTheme="majorBidi" w:cstheme="majorBidi"/>
          <w:sz w:val="24"/>
          <w:szCs w:val="24"/>
          <w:lang w:val="en-GB"/>
        </w:rPr>
        <w:fldChar w:fldCharType="separate"/>
      </w:r>
      <w:r w:rsidR="00E36962" w:rsidRPr="001B3BA5">
        <w:rPr>
          <w:rFonts w:asciiTheme="majorBidi" w:hAnsiTheme="majorBidi" w:cstheme="majorBidi"/>
          <w:noProof/>
          <w:sz w:val="24"/>
          <w:szCs w:val="24"/>
          <w:lang w:val="en-GB"/>
        </w:rPr>
        <w:t>(2018)</w:t>
      </w:r>
      <w:r w:rsidR="00A65CD9" w:rsidRPr="001B3BA5">
        <w:rPr>
          <w:rFonts w:asciiTheme="majorBidi" w:hAnsiTheme="majorBidi" w:cstheme="majorBidi"/>
          <w:sz w:val="24"/>
          <w:szCs w:val="24"/>
          <w:lang w:val="en-GB"/>
        </w:rPr>
        <w:fldChar w:fldCharType="end"/>
      </w:r>
      <w:r w:rsidR="00954396"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 xml:space="preserve">Concerning the European Union, some people think European </w:t>
      </w:r>
      <w:r w:rsidR="00AC4B91" w:rsidRPr="001B3BA5">
        <w:rPr>
          <w:rFonts w:asciiTheme="majorBidi" w:hAnsiTheme="majorBidi" w:cstheme="majorBidi"/>
          <w:sz w:val="24"/>
          <w:szCs w:val="24"/>
          <w:lang w:val="en-GB"/>
        </w:rPr>
        <w:t>integration</w:t>
      </w:r>
      <w:r w:rsidR="00F85F30" w:rsidRPr="001B3BA5">
        <w:rPr>
          <w:rFonts w:asciiTheme="majorBidi" w:hAnsiTheme="majorBidi" w:cstheme="majorBidi"/>
          <w:sz w:val="24"/>
          <w:szCs w:val="24"/>
          <w:lang w:val="en-GB"/>
        </w:rPr>
        <w:t xml:space="preserve"> should go further. Others think it has already gone too far. What describes your position best?</w:t>
      </w:r>
      <w:r w:rsidR="00B146E8" w:rsidRPr="001B3BA5">
        <w:rPr>
          <w:rFonts w:asciiTheme="majorBidi" w:hAnsiTheme="majorBidi" w:cstheme="majorBidi"/>
          <w:sz w:val="24"/>
          <w:szCs w:val="24"/>
          <w:lang w:val="en-GB"/>
        </w:rPr>
        <w:t>’</w:t>
      </w:r>
      <w:r w:rsidR="00FC717F" w:rsidRPr="001B3BA5">
        <w:rPr>
          <w:rFonts w:asciiTheme="majorBidi" w:hAnsiTheme="majorBidi" w:cstheme="majorBidi"/>
          <w:sz w:val="24"/>
          <w:szCs w:val="24"/>
          <w:lang w:val="en-GB"/>
        </w:rPr>
        <w:t xml:space="preserve"> (1</w:t>
      </w:r>
      <w:r w:rsidR="00955643" w:rsidRPr="001B3BA5">
        <w:rPr>
          <w:rFonts w:asciiTheme="majorBidi" w:hAnsiTheme="majorBidi" w:cstheme="majorBidi"/>
          <w:sz w:val="24"/>
          <w:szCs w:val="24"/>
          <w:lang w:val="en-GB"/>
        </w:rPr>
        <w:t>=</w:t>
      </w:r>
      <w:r w:rsidR="00F85F30" w:rsidRPr="001B3BA5">
        <w:rPr>
          <w:rFonts w:asciiTheme="majorBidi" w:hAnsiTheme="majorBidi" w:cstheme="majorBidi"/>
          <w:i/>
          <w:iCs/>
          <w:sz w:val="24"/>
          <w:szCs w:val="24"/>
          <w:lang w:val="en-GB"/>
        </w:rPr>
        <w:t xml:space="preserve">European </w:t>
      </w:r>
      <w:r w:rsidR="00AC4B91" w:rsidRPr="001B3BA5">
        <w:rPr>
          <w:rFonts w:asciiTheme="majorBidi" w:hAnsiTheme="majorBidi" w:cstheme="majorBidi"/>
          <w:i/>
          <w:iCs/>
          <w:sz w:val="24"/>
          <w:szCs w:val="24"/>
          <w:lang w:val="en-GB"/>
        </w:rPr>
        <w:t>integration</w:t>
      </w:r>
      <w:r w:rsidR="00F85F30" w:rsidRPr="001B3BA5">
        <w:rPr>
          <w:rFonts w:asciiTheme="majorBidi" w:hAnsiTheme="majorBidi" w:cstheme="majorBidi"/>
          <w:i/>
          <w:iCs/>
          <w:sz w:val="24"/>
          <w:szCs w:val="24"/>
          <w:lang w:val="en-GB"/>
        </w:rPr>
        <w:t xml:space="preserve"> has gone way too far</w:t>
      </w:r>
      <w:r w:rsidR="00FC717F" w:rsidRPr="001B3BA5">
        <w:rPr>
          <w:rFonts w:asciiTheme="majorBidi" w:hAnsiTheme="majorBidi" w:cstheme="majorBidi"/>
          <w:sz w:val="24"/>
          <w:szCs w:val="24"/>
          <w:lang w:val="en-GB"/>
        </w:rPr>
        <w:t>, 7</w:t>
      </w:r>
      <w:r w:rsidR="00955643" w:rsidRPr="001B3BA5">
        <w:rPr>
          <w:rFonts w:asciiTheme="majorBidi" w:hAnsiTheme="majorBidi" w:cstheme="majorBidi"/>
          <w:sz w:val="24"/>
          <w:szCs w:val="24"/>
          <w:lang w:val="en-GB"/>
        </w:rPr>
        <w:t>=</w:t>
      </w:r>
      <w:r w:rsidR="00F85F30" w:rsidRPr="001B3BA5">
        <w:rPr>
          <w:rFonts w:asciiTheme="majorBidi" w:hAnsiTheme="majorBidi" w:cstheme="majorBidi"/>
          <w:i/>
          <w:iCs/>
          <w:sz w:val="24"/>
          <w:szCs w:val="24"/>
          <w:lang w:val="en-GB"/>
        </w:rPr>
        <w:t xml:space="preserve">European </w:t>
      </w:r>
      <w:r w:rsidR="00AC4B91" w:rsidRPr="001B3BA5">
        <w:rPr>
          <w:rFonts w:asciiTheme="majorBidi" w:hAnsiTheme="majorBidi" w:cstheme="majorBidi"/>
          <w:i/>
          <w:iCs/>
          <w:sz w:val="24"/>
          <w:szCs w:val="24"/>
          <w:lang w:val="en-GB"/>
        </w:rPr>
        <w:t>integration</w:t>
      </w:r>
      <w:r w:rsidR="00F85F30" w:rsidRPr="001B3BA5">
        <w:rPr>
          <w:rFonts w:asciiTheme="majorBidi" w:hAnsiTheme="majorBidi" w:cstheme="majorBidi"/>
          <w:i/>
          <w:iCs/>
          <w:sz w:val="24"/>
          <w:szCs w:val="24"/>
          <w:lang w:val="en-GB"/>
        </w:rPr>
        <w:t xml:space="preserve"> should go a lot further</w:t>
      </w:r>
      <w:r w:rsidR="00FC717F"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w:t>
      </w:r>
    </w:p>
    <w:p w14:paraId="1D05C01E" w14:textId="18ECFDC7" w:rsidR="00FE5228" w:rsidRPr="001B3BA5" w:rsidRDefault="00FE5228">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b/>
          <w:bCs/>
          <w:sz w:val="24"/>
          <w:szCs w:val="24"/>
          <w:lang w:val="en-GB"/>
        </w:rPr>
        <w:t>Political ideology</w:t>
      </w:r>
      <w:r w:rsidRPr="001B3BA5">
        <w:rPr>
          <w:rFonts w:asciiTheme="majorBidi" w:hAnsiTheme="majorBidi" w:cstheme="majorBidi"/>
          <w:sz w:val="24"/>
          <w:szCs w:val="24"/>
          <w:lang w:val="en-GB"/>
        </w:rPr>
        <w:t>.</w:t>
      </w:r>
      <w:r w:rsidR="004F117F"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We ask</w:t>
      </w:r>
      <w:r w:rsidR="00D55C68" w:rsidRPr="001B3BA5">
        <w:rPr>
          <w:rFonts w:asciiTheme="majorBidi" w:hAnsiTheme="majorBidi" w:cstheme="majorBidi"/>
          <w:sz w:val="24"/>
          <w:szCs w:val="24"/>
          <w:lang w:val="en-GB"/>
        </w:rPr>
        <w:t>ed</w:t>
      </w:r>
      <w:r w:rsidRPr="001B3BA5">
        <w:rPr>
          <w:rFonts w:asciiTheme="majorBidi" w:hAnsiTheme="majorBidi" w:cstheme="majorBidi"/>
          <w:sz w:val="24"/>
          <w:szCs w:val="24"/>
          <w:lang w:val="en-GB"/>
        </w:rPr>
        <w:t xml:space="preserve"> participants to place themselves on </w:t>
      </w:r>
      <w:r w:rsidR="007B2499" w:rsidRPr="001B3BA5">
        <w:rPr>
          <w:rFonts w:asciiTheme="majorBidi" w:hAnsiTheme="majorBidi" w:cstheme="majorBidi"/>
          <w:sz w:val="24"/>
          <w:szCs w:val="24"/>
          <w:lang w:val="en-GB"/>
        </w:rPr>
        <w:t>a 5</w:t>
      </w:r>
      <w:r w:rsidR="00102B17" w:rsidRPr="001B3BA5">
        <w:rPr>
          <w:rFonts w:asciiTheme="majorBidi" w:hAnsiTheme="majorBidi" w:cstheme="majorBidi"/>
          <w:sz w:val="24"/>
          <w:szCs w:val="24"/>
          <w:lang w:val="en-GB"/>
        </w:rPr>
        <w:t>-point scale (1</w:t>
      </w:r>
      <w:r w:rsidR="00955643" w:rsidRPr="001B3BA5">
        <w:rPr>
          <w:rFonts w:asciiTheme="majorBidi" w:hAnsiTheme="majorBidi" w:cstheme="majorBidi"/>
          <w:sz w:val="24"/>
          <w:szCs w:val="24"/>
          <w:lang w:val="en-GB"/>
        </w:rPr>
        <w:t>=</w:t>
      </w:r>
      <w:r w:rsidRPr="001B3BA5">
        <w:rPr>
          <w:rFonts w:asciiTheme="majorBidi" w:hAnsiTheme="majorBidi" w:cstheme="majorBidi"/>
          <w:i/>
          <w:sz w:val="24"/>
          <w:szCs w:val="24"/>
          <w:lang w:val="en-GB"/>
        </w:rPr>
        <w:t>political left</w:t>
      </w:r>
      <w:r w:rsidR="00102B17" w:rsidRPr="001B3BA5">
        <w:rPr>
          <w:rFonts w:asciiTheme="majorBidi" w:hAnsiTheme="majorBidi" w:cstheme="majorBidi"/>
          <w:sz w:val="24"/>
          <w:szCs w:val="24"/>
          <w:lang w:val="en-GB"/>
        </w:rPr>
        <w:t>, 2</w:t>
      </w:r>
      <w:r w:rsidR="00955643" w:rsidRPr="001B3BA5">
        <w:rPr>
          <w:rFonts w:asciiTheme="majorBidi" w:hAnsiTheme="majorBidi" w:cstheme="majorBidi"/>
          <w:sz w:val="24"/>
          <w:szCs w:val="24"/>
          <w:lang w:val="en-GB"/>
        </w:rPr>
        <w:t>=</w:t>
      </w:r>
      <w:r w:rsidR="00102B17" w:rsidRPr="001B3BA5">
        <w:rPr>
          <w:rFonts w:asciiTheme="majorBidi" w:hAnsiTheme="majorBidi" w:cstheme="majorBidi"/>
          <w:i/>
          <w:sz w:val="24"/>
          <w:szCs w:val="24"/>
          <w:lang w:val="en-GB"/>
        </w:rPr>
        <w:t>center left</w:t>
      </w:r>
      <w:r w:rsidR="00102B17" w:rsidRPr="001B3BA5">
        <w:rPr>
          <w:rFonts w:asciiTheme="majorBidi" w:hAnsiTheme="majorBidi" w:cstheme="majorBidi"/>
          <w:sz w:val="24"/>
          <w:szCs w:val="24"/>
          <w:lang w:val="en-GB"/>
        </w:rPr>
        <w:t>, 3</w:t>
      </w:r>
      <w:r w:rsidR="00955643" w:rsidRPr="001B3BA5">
        <w:rPr>
          <w:rFonts w:asciiTheme="majorBidi" w:hAnsiTheme="majorBidi" w:cstheme="majorBidi"/>
          <w:sz w:val="24"/>
          <w:szCs w:val="24"/>
          <w:lang w:val="en-GB"/>
        </w:rPr>
        <w:t>=</w:t>
      </w:r>
      <w:r w:rsidR="00102B17" w:rsidRPr="001B3BA5">
        <w:rPr>
          <w:rFonts w:asciiTheme="majorBidi" w:hAnsiTheme="majorBidi" w:cstheme="majorBidi"/>
          <w:i/>
          <w:sz w:val="24"/>
          <w:szCs w:val="24"/>
          <w:lang w:val="en-GB"/>
        </w:rPr>
        <w:t>middle</w:t>
      </w:r>
      <w:r w:rsidR="00102B17" w:rsidRPr="001B3BA5">
        <w:rPr>
          <w:rFonts w:asciiTheme="majorBidi" w:hAnsiTheme="majorBidi" w:cstheme="majorBidi"/>
          <w:sz w:val="24"/>
          <w:szCs w:val="24"/>
          <w:lang w:val="en-GB"/>
        </w:rPr>
        <w:t>, 4</w:t>
      </w:r>
      <w:r w:rsidR="00955643" w:rsidRPr="001B3BA5">
        <w:rPr>
          <w:rFonts w:asciiTheme="majorBidi" w:hAnsiTheme="majorBidi" w:cstheme="majorBidi"/>
          <w:sz w:val="24"/>
          <w:szCs w:val="24"/>
          <w:lang w:val="en-GB"/>
        </w:rPr>
        <w:t>=</w:t>
      </w:r>
      <w:r w:rsidR="00102B17" w:rsidRPr="001B3BA5">
        <w:rPr>
          <w:rFonts w:asciiTheme="majorBidi" w:hAnsiTheme="majorBidi" w:cstheme="majorBidi"/>
          <w:i/>
          <w:sz w:val="24"/>
          <w:szCs w:val="24"/>
          <w:lang w:val="en-GB"/>
        </w:rPr>
        <w:t>center right</w:t>
      </w:r>
      <w:r w:rsidR="00102B17"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5</w:t>
      </w:r>
      <w:r w:rsidR="00955643" w:rsidRPr="001B3BA5">
        <w:rPr>
          <w:rFonts w:asciiTheme="majorBidi" w:hAnsiTheme="majorBidi" w:cstheme="majorBidi"/>
          <w:sz w:val="24"/>
          <w:szCs w:val="24"/>
          <w:lang w:val="en-GB"/>
        </w:rPr>
        <w:t>=</w:t>
      </w:r>
      <w:r w:rsidRPr="001B3BA5">
        <w:rPr>
          <w:rFonts w:asciiTheme="majorBidi" w:hAnsiTheme="majorBidi" w:cstheme="majorBidi"/>
          <w:i/>
          <w:sz w:val="24"/>
          <w:szCs w:val="24"/>
          <w:lang w:val="en-GB"/>
        </w:rPr>
        <w:t>right</w:t>
      </w:r>
      <w:r w:rsidRPr="001B3BA5">
        <w:rPr>
          <w:rFonts w:asciiTheme="majorBidi" w:hAnsiTheme="majorBidi" w:cstheme="majorBidi"/>
          <w:sz w:val="24"/>
          <w:szCs w:val="24"/>
          <w:lang w:val="en-GB"/>
        </w:rPr>
        <w:t>)</w:t>
      </w:r>
      <w:r w:rsidR="00CB6D86" w:rsidRPr="001B3BA5">
        <w:rPr>
          <w:rFonts w:asciiTheme="majorBidi" w:hAnsiTheme="majorBidi" w:cstheme="majorBidi"/>
          <w:sz w:val="24"/>
          <w:szCs w:val="24"/>
          <w:lang w:val="en-GB"/>
        </w:rPr>
        <w:t xml:space="preserve"> that is </w:t>
      </w:r>
      <w:r w:rsidR="000D05D5" w:rsidRPr="001B3BA5">
        <w:rPr>
          <w:rFonts w:asciiTheme="majorBidi" w:hAnsiTheme="majorBidi" w:cstheme="majorBidi"/>
          <w:sz w:val="24"/>
          <w:szCs w:val="24"/>
          <w:lang w:val="en-GB"/>
        </w:rPr>
        <w:t>a useful indicator of general political orientation</w:t>
      </w:r>
      <w:r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fldChar w:fldCharType="begin"/>
      </w:r>
      <w:r w:rsidRPr="001B3BA5">
        <w:rPr>
          <w:rFonts w:asciiTheme="majorBidi" w:hAnsiTheme="majorBidi" w:cstheme="majorBidi"/>
          <w:sz w:val="24"/>
          <w:szCs w:val="24"/>
          <w:lang w:val="en-GB"/>
        </w:rPr>
        <w:instrText xml:space="preserve"> ADDIN EN.CITE &lt;EndNote&gt;&lt;Cite&gt;&lt;Author&gt;Jost&lt;/Author&gt;&lt;Year&gt;2006&lt;/Year&gt;&lt;RecNum&gt;1343&lt;/RecNum&gt;&lt;DisplayText&gt;(Jost, 2006)&lt;/DisplayText&gt;&lt;record&gt;&lt;rec-number&gt;1343&lt;/rec-number&gt;&lt;foreign-keys&gt;&lt;key app="EN" db-id="es92r5v5dve2z0erx59pv50vtp29v0t9ef5f" timestamp="1543585937"&gt;1343&lt;/key&gt;&lt;key app="ENWeb" db-id=""&gt;0&lt;/key&gt;&lt;/foreign-keys&gt;&lt;ref-type name="Journal Article"&gt;17&lt;/ref-type&gt;&lt;contributors&gt;&lt;authors&gt;&lt;author&gt;Jost, J. T.&lt;/author&gt;&lt;/authors&gt;&lt;/contributors&gt;&lt;auth-address&gt;Department of Psychology, New York University, New York, NY 10003, USA. john.jost@nyu.edu&lt;/auth-address&gt;&lt;titles&gt;&lt;title&gt;The end of the end of ideology&lt;/title&gt;&lt;secondary-title&gt;American Psychologist&lt;/secondary-title&gt;&lt;/titles&gt;&lt;periodical&gt;&lt;full-title&gt;American Psychologist&lt;/full-title&gt;&lt;/periodical&gt;&lt;pages&gt;651-70&lt;/pages&gt;&lt;volume&gt;61&lt;/volume&gt;&lt;number&gt;7&lt;/number&gt;&lt;keywords&gt;&lt;keyword&gt;Humans&lt;/keyword&gt;&lt;keyword&gt;*Politics&lt;/keyword&gt;&lt;keyword&gt;*Psychology&lt;/keyword&gt;&lt;keyword&gt;*Public Opinion&lt;/keyword&gt;&lt;keyword&gt;United States&lt;/keyword&gt;&lt;/keywords&gt;&lt;dates&gt;&lt;year&gt;2006&lt;/year&gt;&lt;pub-dates&gt;&lt;date&gt;Oct&lt;/date&gt;&lt;/pub-dates&gt;&lt;/dates&gt;&lt;isbn&gt;0003-066X (Print)&amp;#xD;0003-066X (Linking)&lt;/isbn&gt;&lt;accession-num&gt;17032067&lt;/accession-num&gt;&lt;urls&gt;&lt;related-urls&gt;&lt;url&gt;https://www.ncbi.nlm.nih.gov/pubmed/17032067&lt;/url&gt;&lt;/related-urls&gt;&lt;/urls&gt;&lt;electronic-resource-num&gt;10.1037/0003-066X.61.7.651&lt;/electronic-resource-num&gt;&lt;/record&gt;&lt;/Cite&gt;&lt;/EndNote&gt;</w:instrText>
      </w:r>
      <w:r w:rsidRPr="001B3BA5">
        <w:rPr>
          <w:rFonts w:asciiTheme="majorBidi" w:hAnsiTheme="majorBidi" w:cstheme="majorBidi"/>
          <w:sz w:val="24"/>
          <w:szCs w:val="24"/>
          <w:lang w:val="en-GB"/>
        </w:rPr>
        <w:fldChar w:fldCharType="separate"/>
      </w:r>
      <w:r w:rsidRPr="001B3BA5">
        <w:rPr>
          <w:rFonts w:asciiTheme="majorBidi" w:hAnsiTheme="majorBidi" w:cstheme="majorBidi"/>
          <w:noProof/>
          <w:sz w:val="24"/>
          <w:szCs w:val="24"/>
          <w:lang w:val="en-GB"/>
        </w:rPr>
        <w:t>(Jost, 2006)</w:t>
      </w:r>
      <w:r w:rsidRPr="001B3BA5">
        <w:rPr>
          <w:rFonts w:asciiTheme="majorBidi" w:hAnsiTheme="majorBidi" w:cstheme="majorBidi"/>
          <w:sz w:val="24"/>
          <w:szCs w:val="24"/>
          <w:lang w:val="en-GB"/>
        </w:rPr>
        <w:fldChar w:fldCharType="end"/>
      </w:r>
      <w:r w:rsidRPr="001B3BA5">
        <w:rPr>
          <w:rFonts w:asciiTheme="majorBidi" w:hAnsiTheme="majorBidi" w:cstheme="majorBidi"/>
          <w:sz w:val="24"/>
          <w:szCs w:val="24"/>
          <w:lang w:val="en-GB"/>
        </w:rPr>
        <w:t>.</w:t>
      </w:r>
    </w:p>
    <w:p w14:paraId="6D4B5CFE" w14:textId="13632670" w:rsidR="00F85F30" w:rsidRPr="001B3BA5" w:rsidRDefault="00F85F30">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b/>
          <w:bCs/>
          <w:iCs/>
          <w:sz w:val="24"/>
          <w:szCs w:val="24"/>
          <w:lang w:val="en-GB"/>
        </w:rPr>
        <w:t>National identification</w:t>
      </w:r>
      <w:r w:rsidRPr="001B3BA5">
        <w:rPr>
          <w:rFonts w:asciiTheme="majorBidi" w:hAnsiTheme="majorBidi" w:cstheme="majorBidi"/>
          <w:i/>
          <w:sz w:val="24"/>
          <w:szCs w:val="24"/>
          <w:lang w:val="en-GB"/>
        </w:rPr>
        <w:t xml:space="preserve">. </w:t>
      </w:r>
      <w:r w:rsidR="00DD583F" w:rsidRPr="001B3BA5">
        <w:rPr>
          <w:rFonts w:asciiTheme="majorBidi" w:hAnsiTheme="majorBidi" w:cstheme="majorBidi"/>
          <w:sz w:val="24"/>
          <w:szCs w:val="24"/>
          <w:lang w:val="en-GB"/>
        </w:rPr>
        <w:t xml:space="preserve">We used three </w:t>
      </w:r>
      <w:r w:rsidRPr="001B3BA5">
        <w:rPr>
          <w:rFonts w:asciiTheme="majorBidi" w:hAnsiTheme="majorBidi" w:cstheme="majorBidi"/>
          <w:sz w:val="24"/>
          <w:szCs w:val="24"/>
          <w:lang w:val="en-GB"/>
        </w:rPr>
        <w:t>items</w:t>
      </w:r>
      <w:r w:rsidR="00D55C68" w:rsidRPr="001B3BA5">
        <w:rPr>
          <w:rFonts w:asciiTheme="majorBidi" w:hAnsiTheme="majorBidi" w:cstheme="majorBidi"/>
          <w:sz w:val="24"/>
          <w:szCs w:val="24"/>
          <w:lang w:val="en-GB"/>
        </w:rPr>
        <w:t xml:space="preserve"> </w:t>
      </w:r>
      <w:r w:rsidR="00580278" w:rsidRPr="001B3BA5">
        <w:rPr>
          <w:rFonts w:asciiTheme="majorBidi" w:hAnsiTheme="majorBidi" w:cstheme="majorBidi"/>
          <w:sz w:val="24"/>
          <w:szCs w:val="24"/>
          <w:lang w:val="en-GB"/>
        </w:rPr>
        <w:fldChar w:fldCharType="begin"/>
      </w:r>
      <w:r w:rsidR="005E1030" w:rsidRPr="001B3BA5">
        <w:rPr>
          <w:rFonts w:asciiTheme="majorBidi" w:hAnsiTheme="majorBidi" w:cstheme="majorBidi"/>
          <w:sz w:val="24"/>
          <w:szCs w:val="24"/>
          <w:lang w:val="en-GB"/>
        </w:rPr>
        <w:instrText xml:space="preserve"> ADDIN EN.CITE &lt;EndNote&gt;&lt;Cite&gt;&lt;Author&gt;Martinovic&lt;/Author&gt;&lt;Year&gt;2012&lt;/Year&gt;&lt;RecNum&gt;1242&lt;/RecNum&gt;&lt;DisplayText&gt;(Martinovic &amp;amp; Verkuyten, 2012)&lt;/DisplayText&gt;&lt;record&gt;&lt;rec-number&gt;1242&lt;/rec-number&gt;&lt;foreign-keys&gt;&lt;key app="EN" db-id="es92r5v5dve2z0erx59pv50vtp29v0t9ef5f" timestamp="1527494898"&gt;1242&lt;/key&gt;&lt;key app="ENWeb" db-id=""&gt;0&lt;/key&gt;&lt;/foreign-keys&gt;&lt;ref-type name="Journal Article"&gt;17&lt;/ref-type&gt;&lt;contributors&gt;&lt;authors&gt;&lt;author&gt;Martinovic, Borja&lt;/author&gt;&lt;author&gt;Verkuyten, Maykel&lt;/author&gt;&lt;/authors&gt;&lt;/contributors&gt;&lt;titles&gt;&lt;title&gt;Host national and religious identification among Turkish Muslims in Western Europe: The role of ingroup norms, perceived discrimination and value incompatibility&lt;/title&gt;&lt;secondary-title&gt;European Journal of Social Psychology&lt;/secondary-title&gt;&lt;/titles&gt;&lt;periodical&gt;&lt;full-title&gt;European Journal of Social Psychology&lt;/full-title&gt;&lt;/periodical&gt;&lt;pages&gt;893-903&lt;/pages&gt;&lt;volume&gt;42&lt;/volume&gt;&lt;number&gt;7&lt;/number&gt;&lt;dates&gt;&lt;year&gt;2012&lt;/year&gt;&lt;/dates&gt;&lt;isbn&gt;00462772&lt;/isbn&gt;&lt;urls&gt;&lt;/urls&gt;&lt;electronic-resource-num&gt;10.1002/ejsp.1900&lt;/electronic-resource-num&gt;&lt;/record&gt;&lt;/Cite&gt;&lt;/EndNote&gt;</w:instrText>
      </w:r>
      <w:r w:rsidR="00580278" w:rsidRPr="001B3BA5">
        <w:rPr>
          <w:rFonts w:asciiTheme="majorBidi" w:hAnsiTheme="majorBidi" w:cstheme="majorBidi"/>
          <w:sz w:val="24"/>
          <w:szCs w:val="24"/>
          <w:lang w:val="en-GB"/>
        </w:rPr>
        <w:fldChar w:fldCharType="separate"/>
      </w:r>
      <w:r w:rsidR="00A65CD9" w:rsidRPr="001B3BA5">
        <w:rPr>
          <w:rFonts w:asciiTheme="majorBidi" w:hAnsiTheme="majorBidi" w:cstheme="majorBidi"/>
          <w:noProof/>
          <w:sz w:val="24"/>
          <w:szCs w:val="24"/>
          <w:lang w:val="en-GB"/>
        </w:rPr>
        <w:t>(Martinovic &amp; Verkuyten, 2012)</w:t>
      </w:r>
      <w:r w:rsidR="00580278" w:rsidRPr="001B3BA5">
        <w:rPr>
          <w:rFonts w:asciiTheme="majorBidi" w:hAnsiTheme="majorBidi" w:cstheme="majorBidi"/>
          <w:sz w:val="24"/>
          <w:szCs w:val="24"/>
          <w:lang w:val="en-GB"/>
        </w:rPr>
        <w:fldChar w:fldCharType="end"/>
      </w:r>
      <w:r w:rsidR="00580278"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Pr="001B3BA5">
        <w:rPr>
          <w:rFonts w:asciiTheme="majorBidi" w:hAnsiTheme="majorBidi" w:cstheme="majorBidi"/>
          <w:iCs/>
          <w:sz w:val="24"/>
          <w:szCs w:val="24"/>
          <w:lang w:val="en-GB"/>
        </w:rPr>
        <w:t>I strongly feel Dutch</w:t>
      </w:r>
      <w:r w:rsidR="00580278" w:rsidRPr="001B3BA5">
        <w:rPr>
          <w:rFonts w:asciiTheme="majorBidi" w:hAnsiTheme="majorBidi" w:cstheme="majorBidi"/>
          <w:iCs/>
          <w:sz w:val="24"/>
          <w:szCs w:val="24"/>
          <w:lang w:val="en-GB"/>
        </w:rPr>
        <w:t>,</w:t>
      </w:r>
      <w:r w:rsidR="00B146E8" w:rsidRPr="001B3BA5">
        <w:rPr>
          <w:rFonts w:asciiTheme="majorBidi" w:hAnsiTheme="majorBidi" w:cstheme="majorBidi"/>
          <w:iCs/>
          <w:sz w:val="24"/>
          <w:szCs w:val="24"/>
          <w:lang w:val="en-GB"/>
        </w:rPr>
        <w:t>’</w:t>
      </w:r>
      <w:r w:rsidR="00580278" w:rsidRPr="001B3BA5">
        <w:rPr>
          <w:rFonts w:asciiTheme="majorBidi" w:hAnsiTheme="majorBidi" w:cstheme="majorBidi"/>
          <w:iCs/>
          <w:sz w:val="24"/>
          <w:szCs w:val="24"/>
          <w:lang w:val="en-GB"/>
        </w:rPr>
        <w:t xml:space="preserve"> </w:t>
      </w:r>
      <w:r w:rsidR="00B146E8"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Being Dutch is important to me</w:t>
      </w:r>
      <w:r w:rsidR="00580278" w:rsidRPr="001B3BA5">
        <w:rPr>
          <w:rFonts w:asciiTheme="majorBidi" w:hAnsiTheme="majorBidi" w:cstheme="majorBidi"/>
          <w:iCs/>
          <w:sz w:val="24"/>
          <w:szCs w:val="24"/>
          <w:lang w:val="en-GB"/>
        </w:rPr>
        <w:t>,</w:t>
      </w:r>
      <w:r w:rsidR="00B146E8"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 xml:space="preserve"> </w:t>
      </w:r>
      <w:r w:rsidR="00B146E8"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I identify with other Dutch people</w:t>
      </w:r>
      <w:r w:rsidR="00B146E8" w:rsidRPr="001B3BA5">
        <w:rPr>
          <w:rFonts w:asciiTheme="majorBidi" w:hAnsiTheme="majorBidi" w:cstheme="majorBidi"/>
          <w:iCs/>
          <w:sz w:val="24"/>
          <w:szCs w:val="24"/>
          <w:lang w:val="en-GB"/>
        </w:rPr>
        <w:t>’</w:t>
      </w:r>
      <w:r w:rsidRPr="001B3BA5">
        <w:rPr>
          <w:rFonts w:asciiTheme="majorBidi" w:hAnsiTheme="majorBidi" w:cstheme="majorBidi"/>
          <w:i/>
          <w:sz w:val="24"/>
          <w:szCs w:val="24"/>
          <w:lang w:val="en-GB"/>
        </w:rPr>
        <w:t xml:space="preserve"> </w:t>
      </w:r>
      <w:r w:rsidR="00580278" w:rsidRPr="001B3BA5">
        <w:rPr>
          <w:rFonts w:asciiTheme="majorBidi" w:hAnsiTheme="majorBidi" w:cstheme="majorBidi"/>
          <w:iCs/>
          <w:sz w:val="24"/>
          <w:szCs w:val="24"/>
          <w:lang w:val="en-GB"/>
        </w:rPr>
        <w:t>(</w:t>
      </w:r>
      <w:r w:rsidR="00580278" w:rsidRPr="001B3BA5">
        <w:rPr>
          <w:rFonts w:asciiTheme="majorBidi" w:hAnsiTheme="majorBidi" w:cstheme="majorBidi"/>
          <w:sz w:val="24"/>
          <w:szCs w:val="24"/>
          <w:lang w:val="en-GB"/>
        </w:rPr>
        <w:t>1</w:t>
      </w:r>
      <w:r w:rsidR="00955643" w:rsidRPr="001B3BA5">
        <w:rPr>
          <w:rFonts w:asciiTheme="majorBidi" w:hAnsiTheme="majorBidi" w:cstheme="majorBidi"/>
          <w:sz w:val="24"/>
          <w:szCs w:val="24"/>
          <w:lang w:val="en-GB"/>
        </w:rPr>
        <w:t>=</w:t>
      </w:r>
      <w:r w:rsidR="00C837D0" w:rsidRPr="001B3BA5">
        <w:rPr>
          <w:rFonts w:asciiTheme="majorBidi" w:hAnsiTheme="majorBidi" w:cstheme="majorBidi"/>
          <w:i/>
          <w:iCs/>
          <w:sz w:val="24"/>
          <w:szCs w:val="24"/>
          <w:lang w:val="en-GB"/>
        </w:rPr>
        <w:t>strongly</w:t>
      </w:r>
      <w:r w:rsidRPr="001B3BA5">
        <w:rPr>
          <w:rFonts w:asciiTheme="majorBidi" w:hAnsiTheme="majorBidi" w:cstheme="majorBidi"/>
          <w:i/>
          <w:iCs/>
          <w:sz w:val="24"/>
          <w:szCs w:val="24"/>
          <w:lang w:val="en-GB"/>
        </w:rPr>
        <w:t xml:space="preserve"> disagree</w:t>
      </w:r>
      <w:r w:rsidR="00580278" w:rsidRPr="001B3BA5">
        <w:rPr>
          <w:rFonts w:asciiTheme="majorBidi" w:hAnsiTheme="majorBidi" w:cstheme="majorBidi"/>
          <w:sz w:val="24"/>
          <w:szCs w:val="24"/>
          <w:lang w:val="en-GB"/>
        </w:rPr>
        <w:t>, 7</w:t>
      </w:r>
      <w:r w:rsidR="00955643" w:rsidRPr="001B3BA5">
        <w:rPr>
          <w:rFonts w:asciiTheme="majorBidi" w:hAnsiTheme="majorBidi" w:cstheme="majorBidi"/>
          <w:sz w:val="24"/>
          <w:szCs w:val="24"/>
          <w:lang w:val="en-GB"/>
        </w:rPr>
        <w:t>=</w:t>
      </w:r>
      <w:r w:rsidR="00C837D0" w:rsidRPr="001B3BA5">
        <w:rPr>
          <w:rFonts w:asciiTheme="majorBidi" w:hAnsiTheme="majorBidi" w:cstheme="majorBidi"/>
          <w:i/>
          <w:iCs/>
          <w:sz w:val="24"/>
          <w:szCs w:val="24"/>
          <w:lang w:val="en-GB"/>
        </w:rPr>
        <w:t>strongly</w:t>
      </w:r>
      <w:r w:rsidRPr="001B3BA5">
        <w:rPr>
          <w:rFonts w:asciiTheme="majorBidi" w:hAnsiTheme="majorBidi" w:cstheme="majorBidi"/>
          <w:i/>
          <w:iCs/>
          <w:sz w:val="24"/>
          <w:szCs w:val="24"/>
          <w:lang w:val="en-GB"/>
        </w:rPr>
        <w:t xml:space="preserve"> agree</w:t>
      </w:r>
      <w:r w:rsidR="00447479" w:rsidRPr="001B3BA5">
        <w:rPr>
          <w:rFonts w:asciiTheme="majorBidi" w:hAnsiTheme="majorBidi" w:cstheme="majorBidi"/>
          <w:sz w:val="24"/>
          <w:szCs w:val="24"/>
          <w:lang w:val="en-GB"/>
        </w:rPr>
        <w:t xml:space="preserve">; </w:t>
      </w:r>
      <w:r w:rsidR="007B2499" w:rsidRPr="001B3BA5">
        <w:rPr>
          <w:rFonts w:asciiTheme="majorBidi" w:hAnsiTheme="majorBidi" w:cstheme="majorBidi"/>
          <w:iCs/>
          <w:sz w:val="24"/>
          <w:szCs w:val="24"/>
          <w:lang w:val="en-GB"/>
        </w:rPr>
        <w:t>α</w:t>
      </w:r>
      <w:r w:rsidR="00955643" w:rsidRPr="001B3BA5">
        <w:rPr>
          <w:rFonts w:asciiTheme="majorBidi" w:hAnsiTheme="majorBidi" w:cstheme="majorBidi"/>
          <w:sz w:val="24"/>
          <w:szCs w:val="24"/>
          <w:lang w:val="en-GB"/>
        </w:rPr>
        <w:t>=</w:t>
      </w:r>
      <w:r w:rsidR="004A432A" w:rsidRPr="001B3BA5">
        <w:rPr>
          <w:rFonts w:asciiTheme="majorBidi" w:hAnsiTheme="majorBidi" w:cstheme="majorBidi"/>
          <w:sz w:val="24"/>
          <w:szCs w:val="24"/>
          <w:lang w:val="en-GB"/>
        </w:rPr>
        <w:t>.87).</w:t>
      </w:r>
      <w:r w:rsidR="00580278" w:rsidRPr="001B3BA5">
        <w:rPr>
          <w:rFonts w:asciiTheme="majorBidi" w:hAnsiTheme="majorBidi" w:cstheme="majorBidi"/>
          <w:sz w:val="24"/>
          <w:szCs w:val="24"/>
          <w:lang w:val="en-GB"/>
        </w:rPr>
        <w:t xml:space="preserve"> </w:t>
      </w:r>
    </w:p>
    <w:p w14:paraId="7F3B5B81" w14:textId="51A92B80" w:rsidR="00A7103A" w:rsidRPr="001B3BA5" w:rsidRDefault="00F85F30" w:rsidP="00584266">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b/>
          <w:bCs/>
          <w:iCs/>
          <w:sz w:val="24"/>
          <w:szCs w:val="24"/>
          <w:lang w:val="en-GB"/>
        </w:rPr>
        <w:t>Place attachment</w:t>
      </w:r>
      <w:r w:rsidRPr="001B3BA5">
        <w:rPr>
          <w:rFonts w:asciiTheme="majorBidi" w:hAnsiTheme="majorBidi" w:cstheme="majorBidi"/>
          <w:i/>
          <w:sz w:val="24"/>
          <w:szCs w:val="24"/>
          <w:lang w:val="en-GB"/>
        </w:rPr>
        <w:t xml:space="preserve">. </w:t>
      </w:r>
      <w:r w:rsidR="00580278" w:rsidRPr="001B3BA5">
        <w:rPr>
          <w:rFonts w:asciiTheme="majorBidi" w:hAnsiTheme="majorBidi" w:cstheme="majorBidi"/>
          <w:sz w:val="24"/>
          <w:szCs w:val="24"/>
          <w:lang w:val="en-GB"/>
        </w:rPr>
        <w:t xml:space="preserve">We </w:t>
      </w:r>
      <w:r w:rsidR="009520DF" w:rsidRPr="001B3BA5">
        <w:rPr>
          <w:rFonts w:asciiTheme="majorBidi" w:hAnsiTheme="majorBidi" w:cstheme="majorBidi"/>
          <w:sz w:val="24"/>
          <w:szCs w:val="24"/>
          <w:lang w:val="en-GB"/>
        </w:rPr>
        <w:t>used</w:t>
      </w:r>
      <w:r w:rsidRPr="001B3BA5">
        <w:rPr>
          <w:rFonts w:asciiTheme="majorBidi" w:hAnsiTheme="majorBidi" w:cstheme="majorBidi"/>
          <w:sz w:val="24"/>
          <w:szCs w:val="24"/>
          <w:lang w:val="en-GB"/>
        </w:rPr>
        <w:t xml:space="preserve"> three items</w:t>
      </w:r>
      <w:r w:rsidR="00980866" w:rsidRPr="001B3BA5">
        <w:rPr>
          <w:rFonts w:asciiTheme="majorBidi" w:hAnsiTheme="majorBidi" w:cstheme="majorBidi"/>
          <w:sz w:val="24"/>
          <w:szCs w:val="24"/>
          <w:lang w:val="en-GB"/>
        </w:rPr>
        <w:t xml:space="preserve"> that we</w:t>
      </w:r>
      <w:r w:rsidR="00A7103A" w:rsidRPr="001B3BA5">
        <w:rPr>
          <w:rFonts w:asciiTheme="majorBidi" w:hAnsiTheme="majorBidi" w:cstheme="majorBidi"/>
          <w:sz w:val="24"/>
          <w:szCs w:val="24"/>
          <w:lang w:val="en-GB"/>
        </w:rPr>
        <w:t xml:space="preserve"> adjusted from measures o</w:t>
      </w:r>
      <w:r w:rsidR="00954396" w:rsidRPr="001B3BA5">
        <w:rPr>
          <w:rFonts w:asciiTheme="majorBidi" w:hAnsiTheme="majorBidi" w:cstheme="majorBidi"/>
          <w:sz w:val="24"/>
          <w:szCs w:val="24"/>
          <w:lang w:val="en-GB"/>
        </w:rPr>
        <w:t>f</w:t>
      </w:r>
      <w:r w:rsidR="00A7103A" w:rsidRPr="001B3BA5">
        <w:rPr>
          <w:rFonts w:asciiTheme="majorBidi" w:hAnsiTheme="majorBidi" w:cstheme="majorBidi"/>
          <w:sz w:val="24"/>
          <w:szCs w:val="24"/>
          <w:lang w:val="en-GB"/>
        </w:rPr>
        <w:t xml:space="preserve"> attachment to one</w:t>
      </w:r>
      <w:r w:rsidR="00B146E8" w:rsidRPr="001B3BA5">
        <w:rPr>
          <w:rFonts w:asciiTheme="majorBidi" w:hAnsiTheme="majorBidi" w:cstheme="majorBidi"/>
          <w:sz w:val="24"/>
          <w:szCs w:val="24"/>
          <w:lang w:val="en-GB"/>
        </w:rPr>
        <w:t>’</w:t>
      </w:r>
      <w:r w:rsidR="00A7103A" w:rsidRPr="001B3BA5">
        <w:rPr>
          <w:rFonts w:asciiTheme="majorBidi" w:hAnsiTheme="majorBidi" w:cstheme="majorBidi"/>
          <w:sz w:val="24"/>
          <w:szCs w:val="24"/>
          <w:lang w:val="en-GB"/>
        </w:rPr>
        <w:t>s neighbo</w:t>
      </w:r>
      <w:r w:rsidR="00AE58DC">
        <w:rPr>
          <w:rFonts w:asciiTheme="majorBidi" w:hAnsiTheme="majorBidi" w:cstheme="majorBidi"/>
          <w:sz w:val="24"/>
          <w:szCs w:val="24"/>
          <w:lang w:val="en-GB"/>
        </w:rPr>
        <w:t>u</w:t>
      </w:r>
      <w:r w:rsidR="00A7103A" w:rsidRPr="001B3BA5">
        <w:rPr>
          <w:rFonts w:asciiTheme="majorBidi" w:hAnsiTheme="majorBidi" w:cstheme="majorBidi"/>
          <w:sz w:val="24"/>
          <w:szCs w:val="24"/>
          <w:lang w:val="en-GB"/>
        </w:rPr>
        <w:t xml:space="preserve">rhood </w:t>
      </w:r>
      <w:r w:rsidR="00A7103A" w:rsidRPr="001B3BA5">
        <w:rPr>
          <w:rFonts w:asciiTheme="majorBidi" w:hAnsiTheme="majorBidi" w:cstheme="majorBidi"/>
          <w:sz w:val="24"/>
          <w:szCs w:val="24"/>
          <w:lang w:val="en-GB"/>
        </w:rPr>
        <w:fldChar w:fldCharType="begin"/>
      </w:r>
      <w:r w:rsidR="00EA1282" w:rsidRPr="001B3BA5">
        <w:rPr>
          <w:rFonts w:asciiTheme="majorBidi" w:hAnsiTheme="majorBidi" w:cstheme="majorBidi"/>
          <w:sz w:val="24"/>
          <w:szCs w:val="24"/>
          <w:lang w:val="en-GB"/>
        </w:rPr>
        <w:instrText xml:space="preserve"> ADDIN EN.CITE &lt;EndNote&gt;&lt;Cite&gt;&lt;Author&gt;Hernández&lt;/Author&gt;&lt;Year&gt;2007&lt;/Year&gt;&lt;RecNum&gt;1232&lt;/RecNum&gt;&lt;DisplayText&gt;(Hernández, Carmen Hidalgo, Salazar-Laplace, &amp;amp; Hess, 2007)&lt;/DisplayText&gt;&lt;record&gt;&lt;rec-number&gt;1232&lt;/rec-number&gt;&lt;foreign-keys&gt;&lt;key app="EN" db-id="es92r5v5dve2z0erx59pv50vtp29v0t9ef5f" timestamp="1525788148"&gt;1232&lt;/key&gt;&lt;key app="ENWeb" db-id=""&gt;0&lt;/key&gt;&lt;/foreign-keys&gt;&lt;ref-type name="Journal Article"&gt;17&lt;/ref-type&gt;&lt;contributors&gt;&lt;authors&gt;&lt;author&gt;Hernández, Bernardo&lt;/author&gt;&lt;author&gt;Carmen Hidalgo, M.&lt;/author&gt;&lt;author&gt;Salazar-Laplace, M. Esther&lt;/author&gt;&lt;author&gt;Hess, Stephany&lt;/author&gt;&lt;/authors&gt;&lt;/contributors&gt;&lt;titles&gt;&lt;title&gt;Place attachment and place identity in natives and non-natives&lt;/title&gt;&lt;secondary-title&gt;Journal of Environmental Psychology&lt;/secondary-title&gt;&lt;/titles&gt;&lt;periodical&gt;&lt;full-title&gt;Journal of Environmental Psychology&lt;/full-title&gt;&lt;/periodical&gt;&lt;pages&gt;310-319&lt;/pages&gt;&lt;volume&gt;27&lt;/volume&gt;&lt;number&gt;4&lt;/number&gt;&lt;dates&gt;&lt;year&gt;2007&lt;/year&gt;&lt;/dates&gt;&lt;isbn&gt;02724944&lt;/isbn&gt;&lt;urls&gt;&lt;/urls&gt;&lt;electronic-resource-num&gt;10.1016/j.jenvp.2007.06.003&lt;/electronic-resource-num&gt;&lt;/record&gt;&lt;/Cite&gt;&lt;/EndNote&gt;</w:instrText>
      </w:r>
      <w:r w:rsidR="00A7103A" w:rsidRPr="001B3BA5">
        <w:rPr>
          <w:rFonts w:asciiTheme="majorBidi" w:hAnsiTheme="majorBidi" w:cstheme="majorBidi"/>
          <w:sz w:val="24"/>
          <w:szCs w:val="24"/>
          <w:lang w:val="en-GB"/>
        </w:rPr>
        <w:fldChar w:fldCharType="separate"/>
      </w:r>
      <w:r w:rsidR="00EA1282" w:rsidRPr="001B3BA5">
        <w:rPr>
          <w:rFonts w:asciiTheme="majorBidi" w:hAnsiTheme="majorBidi" w:cstheme="majorBidi"/>
          <w:noProof/>
          <w:sz w:val="24"/>
          <w:szCs w:val="24"/>
          <w:lang w:val="en-GB"/>
        </w:rPr>
        <w:t>(Hernández, Carmen Hidalgo, Salazar-Laplace, &amp; Hess, 2007)</w:t>
      </w:r>
      <w:r w:rsidR="00A7103A" w:rsidRPr="001B3BA5">
        <w:rPr>
          <w:rFonts w:asciiTheme="majorBidi" w:hAnsiTheme="majorBidi" w:cstheme="majorBidi"/>
          <w:sz w:val="24"/>
          <w:szCs w:val="24"/>
          <w:lang w:val="en-GB"/>
        </w:rPr>
        <w:fldChar w:fldCharType="end"/>
      </w:r>
      <w:r w:rsidR="00A7103A" w:rsidRPr="001B3BA5">
        <w:rPr>
          <w:rFonts w:asciiTheme="majorBidi" w:hAnsiTheme="majorBidi" w:cstheme="majorBidi"/>
          <w:sz w:val="24"/>
          <w:szCs w:val="24"/>
          <w:lang w:val="en-GB"/>
        </w:rPr>
        <w:t xml:space="preserve">: </w:t>
      </w:r>
      <w:r w:rsidR="00B146E8" w:rsidRPr="001B3BA5">
        <w:rPr>
          <w:rFonts w:asciiTheme="majorBidi" w:hAnsiTheme="majorBidi" w:cstheme="majorBidi"/>
          <w:sz w:val="24"/>
          <w:szCs w:val="24"/>
          <w:lang w:val="en-GB"/>
        </w:rPr>
        <w:t>‘</w:t>
      </w:r>
      <w:r w:rsidRPr="001B3BA5">
        <w:rPr>
          <w:rFonts w:asciiTheme="majorBidi" w:hAnsiTheme="majorBidi" w:cstheme="majorBidi"/>
          <w:iCs/>
          <w:sz w:val="24"/>
          <w:szCs w:val="24"/>
          <w:lang w:val="en-GB"/>
        </w:rPr>
        <w:t>When I</w:t>
      </w:r>
      <w:r w:rsidR="00B146E8"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 xml:space="preserve">m out of the country for a while, I miss </w:t>
      </w:r>
      <w:r w:rsidR="007B2499" w:rsidRPr="001B3BA5">
        <w:rPr>
          <w:rFonts w:asciiTheme="majorBidi" w:hAnsiTheme="majorBidi" w:cstheme="majorBidi"/>
          <w:iCs/>
          <w:sz w:val="24"/>
          <w:szCs w:val="24"/>
          <w:lang w:val="en-GB"/>
        </w:rPr>
        <w:t>T</w:t>
      </w:r>
      <w:r w:rsidRPr="001B3BA5">
        <w:rPr>
          <w:rFonts w:asciiTheme="majorBidi" w:hAnsiTheme="majorBidi" w:cstheme="majorBidi"/>
          <w:iCs/>
          <w:sz w:val="24"/>
          <w:szCs w:val="24"/>
          <w:lang w:val="en-GB"/>
        </w:rPr>
        <w:t>he Netherlands</w:t>
      </w:r>
      <w:r w:rsidR="00A7103A" w:rsidRPr="001B3BA5">
        <w:rPr>
          <w:rFonts w:asciiTheme="majorBidi" w:hAnsiTheme="majorBidi" w:cstheme="majorBidi"/>
          <w:iCs/>
          <w:sz w:val="24"/>
          <w:szCs w:val="24"/>
          <w:lang w:val="en-GB"/>
        </w:rPr>
        <w:t>,</w:t>
      </w:r>
      <w:r w:rsidR="00B146E8" w:rsidRPr="001B3BA5">
        <w:rPr>
          <w:rFonts w:asciiTheme="majorBidi" w:hAnsiTheme="majorBidi" w:cstheme="majorBidi"/>
          <w:iCs/>
          <w:sz w:val="24"/>
          <w:szCs w:val="24"/>
          <w:lang w:val="en-GB"/>
        </w:rPr>
        <w:t>’</w:t>
      </w:r>
      <w:r w:rsidR="00A7103A" w:rsidRPr="001B3BA5">
        <w:rPr>
          <w:rFonts w:asciiTheme="majorBidi" w:hAnsiTheme="majorBidi" w:cstheme="majorBidi"/>
          <w:iCs/>
          <w:sz w:val="24"/>
          <w:szCs w:val="24"/>
          <w:lang w:val="en-GB"/>
        </w:rPr>
        <w:t xml:space="preserve"> </w:t>
      </w:r>
      <w:r w:rsidR="00B146E8"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I would regret having to move to another country</w:t>
      </w:r>
      <w:r w:rsidR="00A7103A" w:rsidRPr="001B3BA5">
        <w:rPr>
          <w:rFonts w:asciiTheme="majorBidi" w:hAnsiTheme="majorBidi" w:cstheme="majorBidi"/>
          <w:iCs/>
          <w:sz w:val="24"/>
          <w:szCs w:val="24"/>
          <w:lang w:val="en-GB"/>
        </w:rPr>
        <w:t>,</w:t>
      </w:r>
      <w:r w:rsidR="00B146E8"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 xml:space="preserve"> </w:t>
      </w:r>
      <w:r w:rsidR="00B146E8"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When I</w:t>
      </w:r>
      <w:r w:rsidR="00B146E8"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ve been out of the country for a while, I</w:t>
      </w:r>
      <w:r w:rsidR="00B146E8" w:rsidRPr="001B3BA5">
        <w:rPr>
          <w:rFonts w:asciiTheme="majorBidi" w:hAnsiTheme="majorBidi" w:cstheme="majorBidi"/>
          <w:iCs/>
          <w:sz w:val="24"/>
          <w:szCs w:val="24"/>
          <w:lang w:val="en-GB"/>
        </w:rPr>
        <w:t>’</w:t>
      </w:r>
      <w:r w:rsidRPr="001B3BA5">
        <w:rPr>
          <w:rFonts w:asciiTheme="majorBidi" w:hAnsiTheme="majorBidi" w:cstheme="majorBidi"/>
          <w:iCs/>
          <w:sz w:val="24"/>
          <w:szCs w:val="24"/>
          <w:lang w:val="en-GB"/>
        </w:rPr>
        <w:t>m happy to come back</w:t>
      </w:r>
      <w:r w:rsidR="00B146E8" w:rsidRPr="001B3BA5">
        <w:rPr>
          <w:rFonts w:asciiTheme="majorBidi" w:hAnsiTheme="majorBidi" w:cstheme="majorBidi"/>
          <w:iCs/>
          <w:sz w:val="24"/>
          <w:szCs w:val="24"/>
          <w:lang w:val="en-GB"/>
        </w:rPr>
        <w:t>’</w:t>
      </w:r>
      <w:r w:rsidR="00A7103A" w:rsidRPr="001B3BA5">
        <w:rPr>
          <w:rFonts w:asciiTheme="majorBidi" w:hAnsiTheme="majorBidi" w:cstheme="majorBidi"/>
          <w:iCs/>
          <w:sz w:val="24"/>
          <w:szCs w:val="24"/>
          <w:lang w:val="en-GB"/>
        </w:rPr>
        <w:t xml:space="preserve"> (</w:t>
      </w:r>
      <w:r w:rsidR="00A7103A" w:rsidRPr="001B3BA5">
        <w:rPr>
          <w:rFonts w:asciiTheme="majorBidi" w:hAnsiTheme="majorBidi" w:cstheme="majorBidi"/>
          <w:sz w:val="24"/>
          <w:szCs w:val="24"/>
          <w:lang w:val="en-GB"/>
        </w:rPr>
        <w:t>1</w:t>
      </w:r>
      <w:r w:rsidR="00955643" w:rsidRPr="001B3BA5">
        <w:rPr>
          <w:rFonts w:asciiTheme="majorBidi" w:hAnsiTheme="majorBidi" w:cstheme="majorBidi"/>
          <w:sz w:val="24"/>
          <w:szCs w:val="24"/>
          <w:lang w:val="en-GB"/>
        </w:rPr>
        <w:t>=</w:t>
      </w:r>
      <w:r w:rsidR="00C837D0" w:rsidRPr="001B3BA5">
        <w:rPr>
          <w:rFonts w:asciiTheme="majorBidi" w:hAnsiTheme="majorBidi" w:cstheme="majorBidi"/>
          <w:i/>
          <w:iCs/>
          <w:sz w:val="24"/>
          <w:szCs w:val="24"/>
          <w:lang w:val="en-GB"/>
        </w:rPr>
        <w:t>strongly</w:t>
      </w:r>
      <w:r w:rsidR="00A7103A" w:rsidRPr="001B3BA5">
        <w:rPr>
          <w:rFonts w:asciiTheme="majorBidi" w:hAnsiTheme="majorBidi" w:cstheme="majorBidi"/>
          <w:i/>
          <w:iCs/>
          <w:sz w:val="24"/>
          <w:szCs w:val="24"/>
          <w:lang w:val="en-GB"/>
        </w:rPr>
        <w:t xml:space="preserve"> disagree</w:t>
      </w:r>
      <w:r w:rsidR="00A7103A" w:rsidRPr="001B3BA5">
        <w:rPr>
          <w:rFonts w:asciiTheme="majorBidi" w:hAnsiTheme="majorBidi" w:cstheme="majorBidi"/>
          <w:sz w:val="24"/>
          <w:szCs w:val="24"/>
          <w:lang w:val="en-GB"/>
        </w:rPr>
        <w:t>, 7</w:t>
      </w:r>
      <w:r w:rsidR="00955643" w:rsidRPr="001B3BA5">
        <w:rPr>
          <w:rFonts w:asciiTheme="majorBidi" w:hAnsiTheme="majorBidi" w:cstheme="majorBidi"/>
          <w:sz w:val="24"/>
          <w:szCs w:val="24"/>
          <w:lang w:val="en-GB"/>
        </w:rPr>
        <w:t>=</w:t>
      </w:r>
      <w:r w:rsidR="00C837D0" w:rsidRPr="001B3BA5">
        <w:rPr>
          <w:rFonts w:asciiTheme="majorBidi" w:hAnsiTheme="majorBidi" w:cstheme="majorBidi"/>
          <w:i/>
          <w:iCs/>
          <w:sz w:val="24"/>
          <w:szCs w:val="24"/>
          <w:lang w:val="en-GB"/>
        </w:rPr>
        <w:t>strongly</w:t>
      </w:r>
      <w:r w:rsidR="00A7103A" w:rsidRPr="001B3BA5">
        <w:rPr>
          <w:rFonts w:asciiTheme="majorBidi" w:hAnsiTheme="majorBidi" w:cstheme="majorBidi"/>
          <w:i/>
          <w:iCs/>
          <w:sz w:val="24"/>
          <w:szCs w:val="24"/>
          <w:lang w:val="en-GB"/>
        </w:rPr>
        <w:t xml:space="preserve"> agree</w:t>
      </w:r>
      <w:r w:rsidR="00447479" w:rsidRPr="001B3BA5">
        <w:rPr>
          <w:rFonts w:asciiTheme="majorBidi" w:hAnsiTheme="majorBidi" w:cstheme="majorBidi"/>
          <w:sz w:val="24"/>
          <w:szCs w:val="24"/>
          <w:lang w:val="en-GB"/>
        </w:rPr>
        <w:t xml:space="preserve">; </w:t>
      </w:r>
      <w:r w:rsidR="007B2499" w:rsidRPr="001B3BA5">
        <w:rPr>
          <w:rFonts w:asciiTheme="majorBidi" w:hAnsiTheme="majorBidi" w:cstheme="majorBidi"/>
          <w:iCs/>
          <w:sz w:val="24"/>
          <w:szCs w:val="24"/>
          <w:lang w:val="en-GB"/>
        </w:rPr>
        <w:t>α</w:t>
      </w:r>
      <w:r w:rsidR="00955643" w:rsidRPr="001B3BA5">
        <w:rPr>
          <w:rFonts w:asciiTheme="majorBidi" w:hAnsiTheme="majorBidi" w:cstheme="majorBidi"/>
          <w:i/>
          <w:sz w:val="24"/>
          <w:szCs w:val="24"/>
          <w:lang w:val="en-GB"/>
        </w:rPr>
        <w:t>=</w:t>
      </w:r>
      <w:r w:rsidR="004A432A" w:rsidRPr="001B3BA5">
        <w:rPr>
          <w:rFonts w:asciiTheme="majorBidi" w:hAnsiTheme="majorBidi" w:cstheme="majorBidi"/>
          <w:sz w:val="24"/>
          <w:szCs w:val="24"/>
          <w:lang w:val="en-GB"/>
        </w:rPr>
        <w:t>.</w:t>
      </w:r>
      <w:r w:rsidR="00654340" w:rsidRPr="001B3BA5">
        <w:rPr>
          <w:rFonts w:asciiTheme="majorBidi" w:hAnsiTheme="majorBidi" w:cstheme="majorBidi"/>
          <w:sz w:val="24"/>
          <w:szCs w:val="24"/>
          <w:lang w:val="en-GB"/>
        </w:rPr>
        <w:t>83</w:t>
      </w:r>
      <w:r w:rsidR="004A432A" w:rsidRPr="001B3BA5">
        <w:rPr>
          <w:rFonts w:asciiTheme="majorBidi" w:hAnsiTheme="majorBidi" w:cstheme="majorBidi"/>
          <w:sz w:val="24"/>
          <w:szCs w:val="24"/>
          <w:lang w:val="en-GB"/>
        </w:rPr>
        <w:t>).</w:t>
      </w:r>
      <w:r w:rsidR="00A7103A" w:rsidRPr="001B3BA5">
        <w:rPr>
          <w:rFonts w:asciiTheme="majorBidi" w:hAnsiTheme="majorBidi" w:cstheme="majorBidi"/>
          <w:sz w:val="24"/>
          <w:szCs w:val="24"/>
          <w:lang w:val="en-GB"/>
        </w:rPr>
        <w:t xml:space="preserve"> </w:t>
      </w:r>
    </w:p>
    <w:p w14:paraId="5E723AB7" w14:textId="17326DEF" w:rsidR="00F85F30" w:rsidRPr="001B3BA5" w:rsidRDefault="00842B6C" w:rsidP="00584266">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b/>
          <w:bCs/>
          <w:iCs/>
          <w:sz w:val="24"/>
          <w:szCs w:val="24"/>
          <w:lang w:val="en-GB"/>
        </w:rPr>
        <w:t>Demographic characteristics</w:t>
      </w:r>
      <w:r w:rsidR="00A7103A" w:rsidRPr="001B3BA5">
        <w:rPr>
          <w:rFonts w:asciiTheme="majorBidi" w:hAnsiTheme="majorBidi" w:cstheme="majorBidi"/>
          <w:i/>
          <w:sz w:val="24"/>
          <w:szCs w:val="24"/>
          <w:lang w:val="en-GB"/>
        </w:rPr>
        <w:t xml:space="preserve">. </w:t>
      </w:r>
      <w:r w:rsidR="00F85F30" w:rsidRPr="001B3BA5">
        <w:rPr>
          <w:rFonts w:asciiTheme="majorBidi" w:hAnsiTheme="majorBidi" w:cstheme="majorBidi"/>
          <w:sz w:val="24"/>
          <w:szCs w:val="24"/>
          <w:lang w:val="en-GB"/>
        </w:rPr>
        <w:t xml:space="preserve">We </w:t>
      </w:r>
      <w:r w:rsidRPr="001B3BA5">
        <w:rPr>
          <w:rFonts w:asciiTheme="majorBidi" w:hAnsiTheme="majorBidi" w:cstheme="majorBidi"/>
          <w:sz w:val="24"/>
          <w:szCs w:val="24"/>
          <w:lang w:val="en-GB"/>
        </w:rPr>
        <w:t>controlled for</w:t>
      </w:r>
      <w:r w:rsidR="00F85F30" w:rsidRPr="001B3BA5">
        <w:rPr>
          <w:rFonts w:asciiTheme="majorBidi" w:hAnsiTheme="majorBidi" w:cstheme="majorBidi"/>
          <w:sz w:val="24"/>
          <w:szCs w:val="24"/>
          <w:lang w:val="en-GB"/>
        </w:rPr>
        <w:t xml:space="preserve"> </w:t>
      </w:r>
      <w:r w:rsidR="00447479" w:rsidRPr="001B3BA5">
        <w:rPr>
          <w:rFonts w:asciiTheme="majorBidi" w:hAnsiTheme="majorBidi" w:cstheme="majorBidi"/>
          <w:sz w:val="24"/>
          <w:szCs w:val="24"/>
          <w:lang w:val="en-GB"/>
        </w:rPr>
        <w:t xml:space="preserve">sex </w:t>
      </w:r>
      <w:r w:rsidR="009520DF" w:rsidRPr="001B3BA5">
        <w:rPr>
          <w:rFonts w:asciiTheme="majorBidi" w:hAnsiTheme="majorBidi" w:cstheme="majorBidi"/>
          <w:sz w:val="24"/>
          <w:szCs w:val="24"/>
          <w:lang w:val="en-GB"/>
        </w:rPr>
        <w:t>(</w:t>
      </w:r>
      <w:r w:rsidR="007B2499" w:rsidRPr="001B3BA5">
        <w:rPr>
          <w:rFonts w:asciiTheme="majorBidi" w:hAnsiTheme="majorBidi" w:cstheme="majorBidi"/>
          <w:sz w:val="24"/>
          <w:szCs w:val="24"/>
          <w:lang w:val="en-GB"/>
        </w:rPr>
        <w:t>0</w:t>
      </w:r>
      <w:r w:rsidR="00955643" w:rsidRPr="001B3BA5">
        <w:rPr>
          <w:rFonts w:asciiTheme="majorBidi" w:hAnsiTheme="majorBidi" w:cstheme="majorBidi"/>
          <w:sz w:val="24"/>
          <w:szCs w:val="24"/>
          <w:lang w:val="en-GB"/>
        </w:rPr>
        <w:t>=</w:t>
      </w:r>
      <w:r w:rsidR="009520DF" w:rsidRPr="001B3BA5">
        <w:rPr>
          <w:rFonts w:asciiTheme="majorBidi" w:hAnsiTheme="majorBidi" w:cstheme="majorBidi"/>
          <w:i/>
          <w:iCs/>
          <w:sz w:val="24"/>
          <w:szCs w:val="24"/>
          <w:lang w:val="en-GB"/>
        </w:rPr>
        <w:t>women</w:t>
      </w:r>
      <w:r w:rsidR="009520DF" w:rsidRPr="001B3BA5">
        <w:rPr>
          <w:rFonts w:asciiTheme="majorBidi" w:hAnsiTheme="majorBidi" w:cstheme="majorBidi"/>
          <w:sz w:val="24"/>
          <w:szCs w:val="24"/>
          <w:lang w:val="en-GB"/>
        </w:rPr>
        <w:t xml:space="preserve">, </w:t>
      </w:r>
      <w:r w:rsidR="007B2499" w:rsidRPr="001B3BA5">
        <w:rPr>
          <w:rFonts w:asciiTheme="majorBidi" w:hAnsiTheme="majorBidi" w:cstheme="majorBidi"/>
          <w:sz w:val="24"/>
          <w:szCs w:val="24"/>
          <w:lang w:val="en-GB"/>
        </w:rPr>
        <w:t>1</w:t>
      </w:r>
      <w:r w:rsidR="00955643" w:rsidRPr="001B3BA5">
        <w:rPr>
          <w:rFonts w:asciiTheme="majorBidi" w:hAnsiTheme="majorBidi" w:cstheme="majorBidi"/>
          <w:sz w:val="24"/>
          <w:szCs w:val="24"/>
          <w:lang w:val="en-GB"/>
        </w:rPr>
        <w:t>=</w:t>
      </w:r>
      <w:r w:rsidR="009520DF" w:rsidRPr="001B3BA5">
        <w:rPr>
          <w:rFonts w:asciiTheme="majorBidi" w:hAnsiTheme="majorBidi" w:cstheme="majorBidi"/>
          <w:i/>
          <w:iCs/>
          <w:sz w:val="24"/>
          <w:szCs w:val="24"/>
          <w:lang w:val="en-GB"/>
        </w:rPr>
        <w:t>men</w:t>
      </w:r>
      <w:r w:rsidR="009520DF" w:rsidRPr="001B3BA5">
        <w:rPr>
          <w:rFonts w:asciiTheme="majorBidi" w:hAnsiTheme="majorBidi" w:cstheme="majorBidi"/>
          <w:sz w:val="24"/>
          <w:szCs w:val="24"/>
          <w:lang w:val="en-GB"/>
        </w:rPr>
        <w:t>)</w:t>
      </w:r>
      <w:r w:rsidR="00F85F30" w:rsidRPr="001B3BA5">
        <w:rPr>
          <w:rFonts w:asciiTheme="majorBidi" w:hAnsiTheme="majorBidi" w:cstheme="majorBidi"/>
          <w:sz w:val="24"/>
          <w:szCs w:val="24"/>
          <w:lang w:val="en-GB"/>
        </w:rPr>
        <w:t xml:space="preserve">, </w:t>
      </w:r>
      <w:r w:rsidR="009520DF" w:rsidRPr="001B3BA5">
        <w:rPr>
          <w:rFonts w:asciiTheme="majorBidi" w:hAnsiTheme="majorBidi" w:cstheme="majorBidi"/>
          <w:sz w:val="24"/>
          <w:szCs w:val="24"/>
          <w:lang w:val="en-GB"/>
        </w:rPr>
        <w:t xml:space="preserve">age (in years), </w:t>
      </w:r>
      <w:r w:rsidR="00F85F30" w:rsidRPr="001B3BA5">
        <w:rPr>
          <w:rFonts w:asciiTheme="majorBidi" w:hAnsiTheme="majorBidi" w:cstheme="majorBidi"/>
          <w:sz w:val="24"/>
          <w:szCs w:val="24"/>
          <w:lang w:val="en-GB"/>
        </w:rPr>
        <w:t>education level</w:t>
      </w:r>
      <w:r w:rsidR="009520DF" w:rsidRPr="001B3BA5">
        <w:rPr>
          <w:rFonts w:asciiTheme="majorBidi" w:hAnsiTheme="majorBidi" w:cstheme="majorBidi"/>
          <w:sz w:val="24"/>
          <w:szCs w:val="24"/>
          <w:lang w:val="en-GB"/>
        </w:rPr>
        <w:t xml:space="preserve"> (1</w:t>
      </w:r>
      <w:r w:rsidR="00955643" w:rsidRPr="001B3BA5">
        <w:rPr>
          <w:rFonts w:asciiTheme="majorBidi" w:hAnsiTheme="majorBidi" w:cstheme="majorBidi"/>
          <w:sz w:val="24"/>
          <w:szCs w:val="24"/>
          <w:lang w:val="en-GB"/>
        </w:rPr>
        <w:t>=</w:t>
      </w:r>
      <w:r w:rsidR="00C863B1" w:rsidRPr="001B3BA5">
        <w:rPr>
          <w:rFonts w:asciiTheme="majorBidi" w:hAnsiTheme="majorBidi" w:cstheme="majorBidi"/>
          <w:i/>
          <w:iCs/>
          <w:sz w:val="24"/>
          <w:szCs w:val="24"/>
          <w:lang w:val="en-GB"/>
        </w:rPr>
        <w:t>primary</w:t>
      </w:r>
      <w:r w:rsidR="009520DF" w:rsidRPr="001B3BA5">
        <w:rPr>
          <w:rFonts w:asciiTheme="majorBidi" w:hAnsiTheme="majorBidi" w:cstheme="majorBidi"/>
          <w:i/>
          <w:iCs/>
          <w:sz w:val="24"/>
          <w:szCs w:val="24"/>
          <w:lang w:val="en-GB"/>
        </w:rPr>
        <w:t xml:space="preserve"> education</w:t>
      </w:r>
      <w:r w:rsidR="009520DF" w:rsidRPr="001B3BA5">
        <w:rPr>
          <w:rFonts w:asciiTheme="majorBidi" w:hAnsiTheme="majorBidi" w:cstheme="majorBidi"/>
          <w:sz w:val="24"/>
          <w:szCs w:val="24"/>
          <w:lang w:val="en-GB"/>
        </w:rPr>
        <w:t xml:space="preserve">, </w:t>
      </w:r>
      <w:r w:rsidR="00C863B1" w:rsidRPr="001B3BA5">
        <w:rPr>
          <w:rFonts w:asciiTheme="majorBidi" w:hAnsiTheme="majorBidi" w:cstheme="majorBidi"/>
          <w:sz w:val="24"/>
          <w:szCs w:val="24"/>
          <w:lang w:val="en-GB"/>
        </w:rPr>
        <w:t>8</w:t>
      </w:r>
      <w:r w:rsidR="00955643" w:rsidRPr="001B3BA5">
        <w:rPr>
          <w:rFonts w:asciiTheme="majorBidi" w:hAnsiTheme="majorBidi" w:cstheme="majorBidi"/>
          <w:sz w:val="24"/>
          <w:szCs w:val="24"/>
          <w:lang w:val="en-GB"/>
        </w:rPr>
        <w:t>=</w:t>
      </w:r>
      <w:r w:rsidR="009520DF" w:rsidRPr="001B3BA5">
        <w:rPr>
          <w:rFonts w:asciiTheme="majorBidi" w:hAnsiTheme="majorBidi" w:cstheme="majorBidi"/>
          <w:i/>
          <w:iCs/>
          <w:sz w:val="24"/>
          <w:szCs w:val="24"/>
          <w:lang w:val="en-GB"/>
        </w:rPr>
        <w:t>doctorate</w:t>
      </w:r>
      <w:r w:rsidR="009520DF" w:rsidRPr="001B3BA5">
        <w:rPr>
          <w:rFonts w:asciiTheme="majorBidi" w:hAnsiTheme="majorBidi" w:cstheme="majorBidi"/>
          <w:sz w:val="24"/>
          <w:szCs w:val="24"/>
          <w:lang w:val="en-GB"/>
        </w:rPr>
        <w:t xml:space="preserve">). </w:t>
      </w:r>
      <w:r w:rsidR="00A7103A" w:rsidRPr="001B3BA5">
        <w:rPr>
          <w:rFonts w:asciiTheme="majorBidi" w:hAnsiTheme="majorBidi" w:cstheme="majorBidi"/>
          <w:sz w:val="24"/>
          <w:szCs w:val="24"/>
          <w:lang w:val="en-GB"/>
        </w:rPr>
        <w:t xml:space="preserve">We </w:t>
      </w:r>
      <w:r w:rsidR="00EA1282" w:rsidRPr="001B3BA5">
        <w:rPr>
          <w:rFonts w:asciiTheme="majorBidi" w:hAnsiTheme="majorBidi" w:cstheme="majorBidi"/>
          <w:sz w:val="24"/>
          <w:szCs w:val="24"/>
          <w:lang w:val="en-GB"/>
        </w:rPr>
        <w:t xml:space="preserve">treated </w:t>
      </w:r>
      <w:r w:rsidR="00F702A9" w:rsidRPr="001B3BA5">
        <w:rPr>
          <w:rFonts w:asciiTheme="majorBidi" w:hAnsiTheme="majorBidi" w:cstheme="majorBidi"/>
          <w:sz w:val="24"/>
          <w:szCs w:val="24"/>
          <w:lang w:val="en-GB"/>
        </w:rPr>
        <w:t xml:space="preserve">age and </w:t>
      </w:r>
      <w:r w:rsidR="00EA1282" w:rsidRPr="001B3BA5">
        <w:rPr>
          <w:rFonts w:asciiTheme="majorBidi" w:hAnsiTheme="majorBidi" w:cstheme="majorBidi"/>
          <w:sz w:val="24"/>
          <w:szCs w:val="24"/>
          <w:lang w:val="en-GB"/>
        </w:rPr>
        <w:t>education as continuous variable</w:t>
      </w:r>
      <w:r w:rsidR="00F702A9" w:rsidRPr="001B3BA5">
        <w:rPr>
          <w:rFonts w:asciiTheme="majorBidi" w:hAnsiTheme="majorBidi" w:cstheme="majorBidi"/>
          <w:sz w:val="24"/>
          <w:szCs w:val="24"/>
          <w:lang w:val="en-GB"/>
        </w:rPr>
        <w:t>s</w:t>
      </w:r>
      <w:r w:rsidR="009520DF" w:rsidRPr="001B3BA5">
        <w:rPr>
          <w:rFonts w:asciiTheme="majorBidi" w:hAnsiTheme="majorBidi" w:cstheme="majorBidi"/>
          <w:sz w:val="24"/>
          <w:szCs w:val="24"/>
          <w:lang w:val="en-GB"/>
        </w:rPr>
        <w:t xml:space="preserve">. </w:t>
      </w:r>
    </w:p>
    <w:p w14:paraId="5F436A87" w14:textId="58A01C34" w:rsidR="00F85F30" w:rsidRPr="001B3BA5" w:rsidRDefault="001F174F" w:rsidP="00584266">
      <w:pPr>
        <w:spacing w:after="0" w:line="480" w:lineRule="exact"/>
        <w:rPr>
          <w:rFonts w:asciiTheme="majorBidi" w:hAnsiTheme="majorBidi" w:cstheme="majorBidi"/>
          <w:b/>
          <w:sz w:val="24"/>
          <w:szCs w:val="24"/>
          <w:lang w:val="en-GB"/>
        </w:rPr>
      </w:pPr>
      <w:bookmarkStart w:id="16" w:name="_Hlk15464488"/>
      <w:r w:rsidRPr="001B3BA5">
        <w:rPr>
          <w:rFonts w:asciiTheme="majorBidi" w:hAnsiTheme="majorBidi" w:cstheme="majorBidi"/>
          <w:b/>
          <w:sz w:val="24"/>
          <w:szCs w:val="24"/>
          <w:lang w:val="en-GB"/>
        </w:rPr>
        <w:t xml:space="preserve">Data </w:t>
      </w:r>
      <w:r w:rsidR="00F85F30" w:rsidRPr="001B3BA5">
        <w:rPr>
          <w:rFonts w:asciiTheme="majorBidi" w:hAnsiTheme="majorBidi" w:cstheme="majorBidi"/>
          <w:b/>
          <w:sz w:val="24"/>
          <w:szCs w:val="24"/>
          <w:lang w:val="en-GB"/>
        </w:rPr>
        <w:t>Analy</w:t>
      </w:r>
      <w:r w:rsidRPr="001B3BA5">
        <w:rPr>
          <w:rFonts w:asciiTheme="majorBidi" w:hAnsiTheme="majorBidi" w:cstheme="majorBidi"/>
          <w:b/>
          <w:sz w:val="24"/>
          <w:szCs w:val="24"/>
          <w:lang w:val="en-GB"/>
        </w:rPr>
        <w:t>tic Strategy</w:t>
      </w:r>
    </w:p>
    <w:p w14:paraId="385A9409" w14:textId="314BEFD8" w:rsidR="00F85F30" w:rsidRPr="001B3BA5" w:rsidRDefault="00BF4C0B">
      <w:pPr>
        <w:spacing w:after="0" w:line="480" w:lineRule="exact"/>
        <w:ind w:firstLine="708"/>
        <w:rPr>
          <w:rFonts w:asciiTheme="majorBidi" w:hAnsiTheme="majorBidi" w:cstheme="majorBidi"/>
          <w:sz w:val="24"/>
          <w:szCs w:val="24"/>
          <w:highlight w:val="yellow"/>
          <w:lang w:val="en-GB"/>
        </w:rPr>
      </w:pPr>
      <w:bookmarkStart w:id="17" w:name="_Hlk36022380"/>
      <w:r w:rsidRPr="001B3BA5">
        <w:rPr>
          <w:rFonts w:asciiTheme="majorBidi" w:hAnsiTheme="majorBidi" w:cstheme="majorBidi"/>
          <w:sz w:val="24"/>
          <w:szCs w:val="24"/>
          <w:lang w:val="en-GB"/>
        </w:rPr>
        <w:t>We used c</w:t>
      </w:r>
      <w:r w:rsidR="00F85F30" w:rsidRPr="001B3BA5">
        <w:rPr>
          <w:rFonts w:asciiTheme="majorBidi" w:hAnsiTheme="majorBidi" w:cstheme="majorBidi"/>
          <w:sz w:val="24"/>
          <w:szCs w:val="24"/>
          <w:lang w:val="en-GB"/>
        </w:rPr>
        <w:t xml:space="preserve">onfirmatory factor analysis </w:t>
      </w:r>
      <w:r w:rsidR="00BC2F46" w:rsidRPr="001B3BA5">
        <w:rPr>
          <w:rFonts w:asciiTheme="majorBidi" w:hAnsiTheme="majorBidi" w:cstheme="majorBidi"/>
          <w:sz w:val="24"/>
          <w:szCs w:val="24"/>
          <w:lang w:val="en-GB"/>
        </w:rPr>
        <w:t>in M</w:t>
      </w:r>
      <w:r w:rsidR="00386EB3" w:rsidRPr="001B3BA5">
        <w:rPr>
          <w:rFonts w:asciiTheme="majorBidi" w:hAnsiTheme="majorBidi" w:cstheme="majorBidi"/>
          <w:sz w:val="24"/>
          <w:szCs w:val="24"/>
          <w:lang w:val="en-GB"/>
        </w:rPr>
        <w:t>p</w:t>
      </w:r>
      <w:r w:rsidR="00BC2F46" w:rsidRPr="001B3BA5">
        <w:rPr>
          <w:rFonts w:asciiTheme="majorBidi" w:hAnsiTheme="majorBidi" w:cstheme="majorBidi"/>
          <w:sz w:val="24"/>
          <w:szCs w:val="24"/>
          <w:lang w:val="en-GB"/>
        </w:rPr>
        <w:t xml:space="preserve">lus software (version 8) </w:t>
      </w:r>
      <w:r w:rsidR="00F85F30" w:rsidRPr="001B3BA5">
        <w:rPr>
          <w:rFonts w:asciiTheme="majorBidi" w:hAnsiTheme="majorBidi" w:cstheme="majorBidi"/>
          <w:sz w:val="24"/>
          <w:szCs w:val="24"/>
          <w:lang w:val="en-GB"/>
        </w:rPr>
        <w:t xml:space="preserve">to test whether the items measuring </w:t>
      </w:r>
      <w:r w:rsidR="003D0839" w:rsidRPr="001B3BA5">
        <w:rPr>
          <w:rFonts w:asciiTheme="majorBidi" w:hAnsiTheme="majorBidi" w:cstheme="majorBidi"/>
          <w:sz w:val="24"/>
          <w:szCs w:val="24"/>
          <w:lang w:val="en-GB"/>
        </w:rPr>
        <w:t>C</w:t>
      </w:r>
      <w:r w:rsidRPr="001B3BA5">
        <w:rPr>
          <w:rFonts w:asciiTheme="majorBidi" w:hAnsiTheme="majorBidi" w:cstheme="majorBidi"/>
          <w:sz w:val="24"/>
          <w:szCs w:val="24"/>
          <w:lang w:val="en-GB"/>
        </w:rPr>
        <w:t xml:space="preserve">PO, </w:t>
      </w:r>
      <w:r w:rsidR="00DC01FF" w:rsidRPr="001B3BA5">
        <w:rPr>
          <w:rFonts w:asciiTheme="majorBidi" w:hAnsiTheme="majorBidi" w:cstheme="majorBidi"/>
          <w:sz w:val="24"/>
          <w:szCs w:val="24"/>
          <w:lang w:val="en-GB"/>
        </w:rPr>
        <w:t>exclusive determination right</w:t>
      </w:r>
      <w:r w:rsidRPr="001B3BA5">
        <w:rPr>
          <w:rFonts w:asciiTheme="majorBidi" w:hAnsiTheme="majorBidi" w:cstheme="majorBidi"/>
          <w:sz w:val="24"/>
          <w:szCs w:val="24"/>
          <w:lang w:val="en-GB"/>
        </w:rPr>
        <w:t xml:space="preserve">, </w:t>
      </w:r>
      <w:r w:rsidR="00F85F30" w:rsidRPr="001B3BA5">
        <w:rPr>
          <w:rFonts w:asciiTheme="majorBidi" w:hAnsiTheme="majorBidi" w:cstheme="majorBidi"/>
          <w:sz w:val="24"/>
          <w:szCs w:val="24"/>
          <w:lang w:val="en-GB"/>
        </w:rPr>
        <w:t>immigrant</w:t>
      </w:r>
      <w:r w:rsidR="00D67AA2" w:rsidRPr="001B3BA5">
        <w:rPr>
          <w:rFonts w:asciiTheme="majorBidi" w:hAnsiTheme="majorBidi" w:cstheme="majorBidi"/>
          <w:sz w:val="24"/>
          <w:szCs w:val="24"/>
          <w:lang w:val="en-GB"/>
        </w:rPr>
        <w:t xml:space="preserve"> minority</w:t>
      </w:r>
      <w:r w:rsidR="00F85F30" w:rsidRPr="001B3BA5">
        <w:rPr>
          <w:rFonts w:asciiTheme="majorBidi" w:hAnsiTheme="majorBidi" w:cstheme="majorBidi"/>
          <w:sz w:val="24"/>
          <w:szCs w:val="24"/>
          <w:lang w:val="en-GB"/>
        </w:rPr>
        <w:t xml:space="preserve"> attitudes, national identification, and place attachment </w:t>
      </w:r>
      <w:r w:rsidR="00D55C68" w:rsidRPr="001B3BA5">
        <w:rPr>
          <w:rFonts w:asciiTheme="majorBidi" w:hAnsiTheme="majorBidi" w:cstheme="majorBidi"/>
          <w:sz w:val="24"/>
          <w:szCs w:val="24"/>
          <w:lang w:val="en-GB"/>
        </w:rPr>
        <w:t xml:space="preserve">captured </w:t>
      </w:r>
      <w:r w:rsidR="007111D3" w:rsidRPr="001B3BA5">
        <w:rPr>
          <w:rFonts w:asciiTheme="majorBidi" w:hAnsiTheme="majorBidi" w:cstheme="majorBidi"/>
          <w:sz w:val="24"/>
          <w:szCs w:val="24"/>
          <w:lang w:val="en-GB"/>
        </w:rPr>
        <w:t>separate</w:t>
      </w:r>
      <w:r w:rsidR="00F85F30" w:rsidRPr="001B3BA5">
        <w:rPr>
          <w:rFonts w:asciiTheme="majorBidi" w:hAnsiTheme="majorBidi" w:cstheme="majorBidi"/>
          <w:sz w:val="24"/>
          <w:szCs w:val="24"/>
          <w:lang w:val="en-GB"/>
        </w:rPr>
        <w:t xml:space="preserve"> latent constructs. </w:t>
      </w:r>
      <w:bookmarkStart w:id="18" w:name="_Hlk19782593"/>
      <w:bookmarkStart w:id="19" w:name="_Hlk35851295"/>
      <w:r w:rsidRPr="001B3BA5">
        <w:rPr>
          <w:rFonts w:asciiTheme="majorBidi" w:hAnsiTheme="majorBidi" w:cstheme="majorBidi"/>
          <w:sz w:val="24"/>
          <w:szCs w:val="24"/>
          <w:lang w:val="en-GB"/>
        </w:rPr>
        <w:t xml:space="preserve">Next, we </w:t>
      </w:r>
      <w:r w:rsidR="00BE5013" w:rsidRPr="001B3BA5">
        <w:rPr>
          <w:rFonts w:asciiTheme="majorBidi" w:hAnsiTheme="majorBidi" w:cstheme="majorBidi"/>
          <w:sz w:val="24"/>
          <w:szCs w:val="24"/>
          <w:lang w:val="en-GB"/>
        </w:rPr>
        <w:t xml:space="preserve">specified a </w:t>
      </w:r>
      <w:r w:rsidR="00F85F30" w:rsidRPr="001B3BA5">
        <w:rPr>
          <w:rFonts w:asciiTheme="majorBidi" w:hAnsiTheme="majorBidi" w:cstheme="majorBidi"/>
          <w:sz w:val="24"/>
          <w:szCs w:val="24"/>
          <w:lang w:val="en-GB"/>
        </w:rPr>
        <w:t>structural equation model in which</w:t>
      </w:r>
      <w:r w:rsidRPr="001B3BA5">
        <w:rPr>
          <w:rFonts w:asciiTheme="majorBidi" w:hAnsiTheme="majorBidi" w:cstheme="majorBidi"/>
          <w:sz w:val="24"/>
          <w:szCs w:val="24"/>
          <w:lang w:val="en-GB"/>
        </w:rPr>
        <w:t xml:space="preserve"> we</w:t>
      </w:r>
      <w:r w:rsidR="001C5097" w:rsidRPr="001B3BA5">
        <w:rPr>
          <w:rFonts w:asciiTheme="majorBidi" w:hAnsiTheme="majorBidi" w:cstheme="majorBidi"/>
          <w:sz w:val="24"/>
          <w:szCs w:val="24"/>
          <w:lang w:val="en-GB"/>
        </w:rPr>
        <w:t xml:space="preserve"> re</w:t>
      </w:r>
      <w:r w:rsidRPr="001B3BA5">
        <w:rPr>
          <w:rFonts w:asciiTheme="majorBidi" w:hAnsiTheme="majorBidi" w:cstheme="majorBidi"/>
          <w:sz w:val="24"/>
          <w:szCs w:val="24"/>
          <w:lang w:val="en-GB"/>
        </w:rPr>
        <w:t>gressed immigrant</w:t>
      </w:r>
      <w:r w:rsidR="00F85F30" w:rsidRPr="001B3BA5">
        <w:rPr>
          <w:rFonts w:asciiTheme="majorBidi" w:hAnsiTheme="majorBidi" w:cstheme="majorBidi"/>
          <w:sz w:val="24"/>
          <w:szCs w:val="24"/>
          <w:lang w:val="en-GB"/>
        </w:rPr>
        <w:t xml:space="preserve"> </w:t>
      </w:r>
      <w:r w:rsidR="00F067B0" w:rsidRPr="001B3BA5">
        <w:rPr>
          <w:rFonts w:asciiTheme="majorBidi" w:hAnsiTheme="majorBidi" w:cstheme="majorBidi"/>
          <w:sz w:val="24"/>
          <w:szCs w:val="24"/>
          <w:lang w:val="en-GB"/>
        </w:rPr>
        <w:t xml:space="preserve">minority </w:t>
      </w:r>
      <w:r w:rsidR="00F85F30" w:rsidRPr="001B3BA5">
        <w:rPr>
          <w:rFonts w:asciiTheme="majorBidi" w:hAnsiTheme="majorBidi" w:cstheme="majorBidi"/>
          <w:sz w:val="24"/>
          <w:szCs w:val="24"/>
          <w:lang w:val="en-GB"/>
        </w:rPr>
        <w:t xml:space="preserve">attitudes and </w:t>
      </w:r>
      <w:r w:rsidR="00F17C87" w:rsidRPr="001B3BA5">
        <w:rPr>
          <w:rFonts w:asciiTheme="majorBidi" w:hAnsiTheme="majorBidi" w:cstheme="majorBidi"/>
          <w:sz w:val="24"/>
          <w:szCs w:val="24"/>
          <w:lang w:val="en-GB"/>
        </w:rPr>
        <w:t>European integration</w:t>
      </w:r>
      <w:r w:rsidR="00F85F30"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attitudes </w:t>
      </w:r>
      <w:r w:rsidR="00F85F30" w:rsidRPr="001B3BA5">
        <w:rPr>
          <w:rFonts w:asciiTheme="majorBidi" w:hAnsiTheme="majorBidi" w:cstheme="majorBidi"/>
          <w:sz w:val="24"/>
          <w:szCs w:val="24"/>
          <w:lang w:val="en-GB"/>
        </w:rPr>
        <w:t xml:space="preserve">on </w:t>
      </w:r>
      <w:r w:rsidR="00594FBA" w:rsidRPr="001B3BA5">
        <w:rPr>
          <w:rFonts w:asciiTheme="majorBidi" w:hAnsiTheme="majorBidi" w:cstheme="majorBidi"/>
          <w:sz w:val="24"/>
          <w:szCs w:val="24"/>
          <w:lang w:val="en-GB"/>
        </w:rPr>
        <w:t>CPO</w:t>
      </w:r>
      <w:r w:rsidR="00BF055E" w:rsidRPr="001B3BA5">
        <w:rPr>
          <w:rFonts w:asciiTheme="majorBidi" w:hAnsiTheme="majorBidi" w:cstheme="majorBidi"/>
          <w:sz w:val="24"/>
          <w:szCs w:val="24"/>
          <w:lang w:val="en-GB"/>
        </w:rPr>
        <w:t>,</w:t>
      </w:r>
      <w:r w:rsidR="008576F1" w:rsidRPr="001B3BA5">
        <w:rPr>
          <w:rFonts w:asciiTheme="majorBidi" w:hAnsiTheme="majorBidi" w:cstheme="majorBidi"/>
          <w:sz w:val="24"/>
          <w:szCs w:val="24"/>
          <w:lang w:val="en-GB"/>
        </w:rPr>
        <w:t xml:space="preserve"> </w:t>
      </w:r>
      <w:r w:rsidR="00484B34" w:rsidRPr="001B3BA5">
        <w:rPr>
          <w:rFonts w:asciiTheme="majorBidi" w:hAnsiTheme="majorBidi" w:cstheme="majorBidi"/>
          <w:sz w:val="24"/>
          <w:szCs w:val="24"/>
          <w:lang w:val="en-GB"/>
        </w:rPr>
        <w:t xml:space="preserve">mediated by </w:t>
      </w:r>
      <w:r w:rsidR="00DC01FF" w:rsidRPr="001B3BA5">
        <w:rPr>
          <w:rFonts w:asciiTheme="majorBidi" w:hAnsiTheme="majorBidi" w:cstheme="majorBidi"/>
          <w:sz w:val="24"/>
          <w:szCs w:val="24"/>
          <w:lang w:val="en-GB"/>
        </w:rPr>
        <w:t>exclusive determination right</w:t>
      </w:r>
      <w:r w:rsidR="00F85F30" w:rsidRPr="001B3BA5">
        <w:rPr>
          <w:rFonts w:asciiTheme="majorBidi" w:hAnsiTheme="majorBidi" w:cstheme="majorBidi"/>
          <w:sz w:val="24"/>
          <w:szCs w:val="24"/>
          <w:lang w:val="en-GB"/>
        </w:rPr>
        <w:t>.</w:t>
      </w:r>
      <w:r w:rsidR="004264E1" w:rsidRPr="001B3BA5">
        <w:rPr>
          <w:rFonts w:asciiTheme="majorBidi" w:hAnsiTheme="majorBidi" w:cstheme="majorBidi"/>
          <w:sz w:val="24"/>
          <w:szCs w:val="24"/>
          <w:lang w:val="en-GB"/>
        </w:rPr>
        <w:t xml:space="preserve"> </w:t>
      </w:r>
      <w:r w:rsidR="00DD583F" w:rsidRPr="001B3BA5">
        <w:rPr>
          <w:rFonts w:asciiTheme="majorBidi" w:hAnsiTheme="majorBidi" w:cstheme="majorBidi"/>
          <w:sz w:val="24"/>
          <w:szCs w:val="24"/>
          <w:lang w:val="en-GB"/>
        </w:rPr>
        <w:t>We included c</w:t>
      </w:r>
      <w:r w:rsidR="004264E1" w:rsidRPr="001B3BA5">
        <w:rPr>
          <w:rFonts w:asciiTheme="majorBidi" w:hAnsiTheme="majorBidi" w:cstheme="majorBidi"/>
          <w:sz w:val="24"/>
          <w:szCs w:val="24"/>
          <w:lang w:val="en-GB"/>
        </w:rPr>
        <w:t xml:space="preserve">ontrol variables </w:t>
      </w:r>
      <w:r w:rsidR="001D360A" w:rsidRPr="001B3BA5">
        <w:rPr>
          <w:rFonts w:asciiTheme="majorBidi" w:hAnsiTheme="majorBidi" w:cstheme="majorBidi"/>
          <w:sz w:val="24"/>
          <w:szCs w:val="24"/>
          <w:lang w:val="en-GB"/>
        </w:rPr>
        <w:t>as predictors of the</w:t>
      </w:r>
      <w:r w:rsidR="004264E1" w:rsidRPr="001B3BA5">
        <w:rPr>
          <w:rFonts w:asciiTheme="majorBidi" w:hAnsiTheme="majorBidi" w:cstheme="majorBidi"/>
          <w:sz w:val="24"/>
          <w:szCs w:val="24"/>
          <w:lang w:val="en-GB"/>
        </w:rPr>
        <w:t xml:space="preserve"> dependent variables and mediator.</w:t>
      </w:r>
      <w:r w:rsidR="00F85F30" w:rsidRPr="001B3BA5">
        <w:rPr>
          <w:rFonts w:asciiTheme="majorBidi" w:hAnsiTheme="majorBidi" w:cstheme="majorBidi"/>
          <w:sz w:val="24"/>
          <w:szCs w:val="24"/>
          <w:lang w:val="en-GB"/>
        </w:rPr>
        <w:t xml:space="preserve"> </w:t>
      </w:r>
      <w:bookmarkEnd w:id="18"/>
      <w:r w:rsidR="00FE5228" w:rsidRPr="001B3BA5">
        <w:rPr>
          <w:rFonts w:asciiTheme="majorBidi" w:hAnsiTheme="majorBidi" w:cstheme="majorBidi"/>
          <w:sz w:val="24"/>
          <w:szCs w:val="24"/>
          <w:lang w:val="en-GB"/>
        </w:rPr>
        <w:t xml:space="preserve">Finally, we added political ideology </w:t>
      </w:r>
      <w:r w:rsidR="00BF055E" w:rsidRPr="001B3BA5">
        <w:rPr>
          <w:rFonts w:asciiTheme="majorBidi" w:hAnsiTheme="majorBidi" w:cstheme="majorBidi"/>
          <w:sz w:val="24"/>
          <w:szCs w:val="24"/>
          <w:lang w:val="en-GB"/>
        </w:rPr>
        <w:t>as a</w:t>
      </w:r>
      <w:r w:rsidR="001D360A" w:rsidRPr="001B3BA5">
        <w:rPr>
          <w:rFonts w:asciiTheme="majorBidi" w:hAnsiTheme="majorBidi" w:cstheme="majorBidi"/>
          <w:sz w:val="24"/>
          <w:szCs w:val="24"/>
          <w:lang w:val="en-GB"/>
        </w:rPr>
        <w:t xml:space="preserve"> predictor of the dependent variables and as a</w:t>
      </w:r>
      <w:r w:rsidR="00BF055E" w:rsidRPr="001B3BA5">
        <w:rPr>
          <w:rFonts w:asciiTheme="majorBidi" w:hAnsiTheme="majorBidi" w:cstheme="majorBidi"/>
          <w:sz w:val="24"/>
          <w:szCs w:val="24"/>
          <w:lang w:val="en-GB"/>
        </w:rPr>
        <w:t xml:space="preserve"> moderator </w:t>
      </w:r>
      <w:r w:rsidR="00011BCD" w:rsidRPr="001B3BA5">
        <w:rPr>
          <w:rFonts w:asciiTheme="majorBidi" w:hAnsiTheme="majorBidi" w:cstheme="majorBidi"/>
          <w:sz w:val="24"/>
          <w:szCs w:val="24"/>
          <w:lang w:val="en-GB"/>
        </w:rPr>
        <w:t xml:space="preserve">of </w:t>
      </w:r>
      <w:r w:rsidR="00FE5228" w:rsidRPr="001B3BA5">
        <w:rPr>
          <w:rFonts w:asciiTheme="majorBidi" w:hAnsiTheme="majorBidi" w:cstheme="majorBidi"/>
          <w:sz w:val="24"/>
          <w:szCs w:val="24"/>
          <w:lang w:val="en-GB"/>
        </w:rPr>
        <w:t xml:space="preserve">the relationships </w:t>
      </w:r>
      <w:r w:rsidR="007408B2" w:rsidRPr="001B3BA5">
        <w:rPr>
          <w:rFonts w:asciiTheme="majorBidi" w:hAnsiTheme="majorBidi" w:cstheme="majorBidi"/>
          <w:sz w:val="24"/>
          <w:szCs w:val="24"/>
          <w:lang w:val="en-GB"/>
        </w:rPr>
        <w:t xml:space="preserve">among </w:t>
      </w:r>
      <w:r w:rsidR="00DC01FF" w:rsidRPr="001B3BA5">
        <w:rPr>
          <w:rFonts w:asciiTheme="majorBidi" w:hAnsiTheme="majorBidi" w:cstheme="majorBidi"/>
          <w:sz w:val="24"/>
          <w:szCs w:val="24"/>
          <w:lang w:val="en-GB"/>
        </w:rPr>
        <w:t>exclusive determination right</w:t>
      </w:r>
      <w:r w:rsidR="007408B2" w:rsidRPr="001B3BA5">
        <w:rPr>
          <w:rFonts w:asciiTheme="majorBidi" w:hAnsiTheme="majorBidi" w:cstheme="majorBidi"/>
          <w:sz w:val="24"/>
          <w:szCs w:val="24"/>
          <w:lang w:val="en-GB"/>
        </w:rPr>
        <w:t>,</w:t>
      </w:r>
      <w:r w:rsidR="00FE5228" w:rsidRPr="001B3BA5">
        <w:rPr>
          <w:rFonts w:asciiTheme="majorBidi" w:hAnsiTheme="majorBidi" w:cstheme="majorBidi"/>
          <w:sz w:val="24"/>
          <w:szCs w:val="24"/>
          <w:lang w:val="en-GB"/>
        </w:rPr>
        <w:t xml:space="preserve"> </w:t>
      </w:r>
      <w:r w:rsidR="00484B34" w:rsidRPr="001B3BA5">
        <w:rPr>
          <w:rFonts w:asciiTheme="majorBidi" w:hAnsiTheme="majorBidi" w:cstheme="majorBidi"/>
          <w:sz w:val="24"/>
          <w:szCs w:val="24"/>
          <w:lang w:val="en-GB"/>
        </w:rPr>
        <w:t>immigrant minority attitudes</w:t>
      </w:r>
      <w:r w:rsidR="007408B2" w:rsidRPr="001B3BA5">
        <w:rPr>
          <w:rFonts w:asciiTheme="majorBidi" w:hAnsiTheme="majorBidi" w:cstheme="majorBidi"/>
          <w:sz w:val="24"/>
          <w:szCs w:val="24"/>
          <w:lang w:val="en-GB"/>
        </w:rPr>
        <w:t>,</w:t>
      </w:r>
      <w:r w:rsidR="00484B34" w:rsidRPr="001B3BA5">
        <w:rPr>
          <w:rFonts w:asciiTheme="majorBidi" w:hAnsiTheme="majorBidi" w:cstheme="majorBidi"/>
          <w:sz w:val="24"/>
          <w:szCs w:val="24"/>
          <w:lang w:val="en-GB"/>
        </w:rPr>
        <w:t xml:space="preserve"> and European </w:t>
      </w:r>
      <w:r w:rsidR="004F3906" w:rsidRPr="001B3BA5">
        <w:rPr>
          <w:rFonts w:asciiTheme="majorBidi" w:hAnsiTheme="majorBidi" w:cstheme="majorBidi"/>
          <w:sz w:val="24"/>
          <w:szCs w:val="24"/>
          <w:lang w:val="en-GB"/>
        </w:rPr>
        <w:t>integration</w:t>
      </w:r>
      <w:r w:rsidR="00484B34" w:rsidRPr="001B3BA5">
        <w:rPr>
          <w:rFonts w:asciiTheme="majorBidi" w:hAnsiTheme="majorBidi" w:cstheme="majorBidi"/>
          <w:sz w:val="24"/>
          <w:szCs w:val="24"/>
          <w:lang w:val="en-GB"/>
        </w:rPr>
        <w:t xml:space="preserve"> attitudes</w:t>
      </w:r>
      <w:r w:rsidR="00FE5228" w:rsidRPr="001B3BA5">
        <w:rPr>
          <w:rFonts w:asciiTheme="majorBidi" w:hAnsiTheme="majorBidi" w:cstheme="majorBidi"/>
          <w:sz w:val="24"/>
          <w:szCs w:val="24"/>
          <w:lang w:val="en-GB"/>
        </w:rPr>
        <w:t xml:space="preserve">. </w:t>
      </w:r>
      <w:bookmarkEnd w:id="19"/>
      <w:r w:rsidR="007408B2" w:rsidRPr="001B3BA5">
        <w:rPr>
          <w:rFonts w:asciiTheme="majorBidi" w:hAnsiTheme="majorBidi" w:cstheme="majorBidi"/>
          <w:sz w:val="24"/>
          <w:szCs w:val="24"/>
          <w:lang w:val="en-GB"/>
        </w:rPr>
        <w:t>Further, w</w:t>
      </w:r>
      <w:r w:rsidRPr="001B3BA5">
        <w:rPr>
          <w:rFonts w:asciiTheme="majorBidi" w:hAnsiTheme="majorBidi" w:cstheme="majorBidi"/>
          <w:sz w:val="24"/>
          <w:szCs w:val="24"/>
          <w:lang w:val="en-GB"/>
        </w:rPr>
        <w:t>e used o</w:t>
      </w:r>
      <w:r w:rsidR="00F85F30" w:rsidRPr="001B3BA5">
        <w:rPr>
          <w:rFonts w:asciiTheme="majorBidi" w:hAnsiTheme="majorBidi" w:cstheme="majorBidi"/>
          <w:sz w:val="24"/>
          <w:szCs w:val="24"/>
          <w:lang w:val="en-GB"/>
        </w:rPr>
        <w:t xml:space="preserve">rdinary least squares regression analysis </w:t>
      </w:r>
      <w:r w:rsidRPr="001B3BA5">
        <w:rPr>
          <w:rFonts w:asciiTheme="majorBidi" w:hAnsiTheme="majorBidi" w:cstheme="majorBidi"/>
          <w:sz w:val="24"/>
          <w:szCs w:val="24"/>
          <w:lang w:val="en-GB"/>
        </w:rPr>
        <w:t>with</w:t>
      </w:r>
      <w:r w:rsidR="00011BCD" w:rsidRPr="001B3BA5">
        <w:rPr>
          <w:rFonts w:asciiTheme="majorBidi" w:hAnsiTheme="majorBidi" w:cstheme="majorBidi"/>
          <w:sz w:val="24"/>
          <w:szCs w:val="24"/>
          <w:lang w:val="en-GB"/>
        </w:rPr>
        <w:t xml:space="preserve"> robust </w:t>
      </w:r>
      <w:r w:rsidR="00F85F30" w:rsidRPr="001B3BA5">
        <w:rPr>
          <w:rFonts w:asciiTheme="majorBidi" w:hAnsiTheme="majorBidi" w:cstheme="majorBidi"/>
          <w:sz w:val="24"/>
          <w:szCs w:val="24"/>
          <w:lang w:val="en-GB"/>
        </w:rPr>
        <w:t>maximum likelihood estimation</w:t>
      </w:r>
      <w:r w:rsidR="00011BCD" w:rsidRPr="001B3BA5">
        <w:rPr>
          <w:rFonts w:asciiTheme="majorBidi" w:hAnsiTheme="majorBidi" w:cstheme="majorBidi"/>
          <w:sz w:val="24"/>
          <w:szCs w:val="24"/>
          <w:lang w:val="en-GB"/>
        </w:rPr>
        <w:t xml:space="preserve"> (MLR)</w:t>
      </w:r>
      <w:r w:rsidR="00F85F30" w:rsidRPr="001B3BA5">
        <w:rPr>
          <w:rFonts w:asciiTheme="majorBidi" w:hAnsiTheme="majorBidi" w:cstheme="majorBidi"/>
          <w:sz w:val="24"/>
          <w:szCs w:val="24"/>
          <w:lang w:val="en-GB"/>
        </w:rPr>
        <w:t xml:space="preserve"> </w:t>
      </w:r>
      <w:r w:rsidR="00011BCD" w:rsidRPr="001B3BA5">
        <w:rPr>
          <w:rFonts w:asciiTheme="majorBidi" w:hAnsiTheme="majorBidi" w:cstheme="majorBidi"/>
          <w:sz w:val="24"/>
          <w:szCs w:val="24"/>
          <w:lang w:val="en-GB"/>
        </w:rPr>
        <w:t xml:space="preserve">to </w:t>
      </w:r>
      <w:r w:rsidR="005A279E" w:rsidRPr="001B3BA5">
        <w:rPr>
          <w:rFonts w:asciiTheme="majorBidi" w:hAnsiTheme="majorBidi" w:cstheme="majorBidi"/>
          <w:sz w:val="24"/>
          <w:szCs w:val="24"/>
          <w:lang w:val="en-GB"/>
        </w:rPr>
        <w:t>account for</w:t>
      </w:r>
      <w:r w:rsidR="00011BCD" w:rsidRPr="001B3BA5">
        <w:rPr>
          <w:rFonts w:asciiTheme="majorBidi" w:hAnsiTheme="majorBidi" w:cstheme="majorBidi"/>
          <w:sz w:val="24"/>
          <w:szCs w:val="24"/>
          <w:lang w:val="en-GB"/>
        </w:rPr>
        <w:t xml:space="preserve"> non-normally distributed endogenous variables. </w:t>
      </w:r>
      <w:r w:rsidR="00B66D7D" w:rsidRPr="001B3BA5">
        <w:rPr>
          <w:rFonts w:asciiTheme="majorBidi" w:hAnsiTheme="majorBidi" w:cstheme="majorBidi"/>
          <w:sz w:val="24"/>
          <w:szCs w:val="24"/>
          <w:lang w:val="en-GB"/>
        </w:rPr>
        <w:t xml:space="preserve">We </w:t>
      </w:r>
      <w:r w:rsidR="007408B2" w:rsidRPr="001B3BA5">
        <w:rPr>
          <w:rFonts w:asciiTheme="majorBidi" w:hAnsiTheme="majorBidi" w:cstheme="majorBidi"/>
          <w:sz w:val="24"/>
          <w:szCs w:val="24"/>
          <w:lang w:val="en-GB"/>
        </w:rPr>
        <w:t xml:space="preserve">also </w:t>
      </w:r>
      <w:r w:rsidR="00B66D7D" w:rsidRPr="001B3BA5">
        <w:rPr>
          <w:rFonts w:asciiTheme="majorBidi" w:hAnsiTheme="majorBidi" w:cstheme="majorBidi"/>
          <w:sz w:val="24"/>
          <w:szCs w:val="24"/>
          <w:lang w:val="en-GB"/>
        </w:rPr>
        <w:t xml:space="preserve">used </w:t>
      </w:r>
      <w:r w:rsidR="002D5730" w:rsidRPr="001B3BA5">
        <w:rPr>
          <w:rFonts w:asciiTheme="majorBidi" w:hAnsiTheme="majorBidi" w:cstheme="majorBidi"/>
          <w:sz w:val="24"/>
          <w:szCs w:val="24"/>
          <w:lang w:val="en-GB"/>
        </w:rPr>
        <w:t xml:space="preserve">the </w:t>
      </w:r>
      <w:r w:rsidR="00B66D7D" w:rsidRPr="001B3BA5">
        <w:rPr>
          <w:rFonts w:asciiTheme="majorBidi" w:hAnsiTheme="majorBidi" w:cstheme="majorBidi"/>
          <w:sz w:val="24"/>
          <w:szCs w:val="24"/>
          <w:lang w:val="en-GB"/>
        </w:rPr>
        <w:t xml:space="preserve">full information maximum likelihood </w:t>
      </w:r>
      <w:r w:rsidR="002D5730" w:rsidRPr="001B3BA5">
        <w:rPr>
          <w:rFonts w:asciiTheme="majorBidi" w:hAnsiTheme="majorBidi" w:cstheme="majorBidi"/>
          <w:sz w:val="24"/>
          <w:szCs w:val="24"/>
          <w:lang w:val="en-GB"/>
        </w:rPr>
        <w:t xml:space="preserve">procedure </w:t>
      </w:r>
      <w:r w:rsidR="00B66D7D" w:rsidRPr="001B3BA5">
        <w:rPr>
          <w:rFonts w:asciiTheme="majorBidi" w:hAnsiTheme="majorBidi" w:cstheme="majorBidi"/>
          <w:sz w:val="24"/>
          <w:szCs w:val="24"/>
          <w:lang w:val="en-GB"/>
        </w:rPr>
        <w:t xml:space="preserve">(FIML), which </w:t>
      </w:r>
      <w:r w:rsidR="00F85F30" w:rsidRPr="001B3BA5">
        <w:rPr>
          <w:rFonts w:asciiTheme="majorBidi" w:hAnsiTheme="majorBidi" w:cstheme="majorBidi"/>
          <w:sz w:val="24"/>
          <w:szCs w:val="24"/>
          <w:lang w:val="en-GB"/>
        </w:rPr>
        <w:t xml:space="preserve">allows missing values in endogenous variables, assuming missingness at random. </w:t>
      </w:r>
      <w:r w:rsidR="00685CE8" w:rsidRPr="001B3BA5">
        <w:rPr>
          <w:rFonts w:asciiTheme="majorBidi" w:hAnsiTheme="majorBidi" w:cstheme="majorBidi"/>
          <w:sz w:val="24"/>
          <w:szCs w:val="24"/>
          <w:lang w:val="en-GB"/>
        </w:rPr>
        <w:t>We therefore endogen</w:t>
      </w:r>
      <w:r w:rsidR="008643F0" w:rsidRPr="001B3BA5">
        <w:rPr>
          <w:rFonts w:asciiTheme="majorBidi" w:hAnsiTheme="majorBidi" w:cstheme="majorBidi"/>
          <w:sz w:val="24"/>
          <w:szCs w:val="24"/>
          <w:lang w:val="en-GB"/>
        </w:rPr>
        <w:t>ise</w:t>
      </w:r>
      <w:r w:rsidR="00685CE8" w:rsidRPr="001B3BA5">
        <w:rPr>
          <w:rFonts w:asciiTheme="majorBidi" w:hAnsiTheme="majorBidi" w:cstheme="majorBidi"/>
          <w:sz w:val="24"/>
          <w:szCs w:val="24"/>
          <w:lang w:val="en-GB"/>
        </w:rPr>
        <w:t>d e</w:t>
      </w:r>
      <w:r w:rsidR="00F85F30" w:rsidRPr="001B3BA5">
        <w:rPr>
          <w:rFonts w:asciiTheme="majorBidi" w:hAnsiTheme="majorBidi" w:cstheme="majorBidi"/>
          <w:sz w:val="24"/>
          <w:szCs w:val="24"/>
          <w:lang w:val="en-GB"/>
        </w:rPr>
        <w:t xml:space="preserve">xogenous variables with missing variables </w:t>
      </w:r>
      <w:r w:rsidR="00174461" w:rsidRPr="001B3BA5">
        <w:rPr>
          <w:rFonts w:asciiTheme="majorBidi" w:hAnsiTheme="majorBidi" w:cstheme="majorBidi"/>
          <w:sz w:val="24"/>
          <w:szCs w:val="24"/>
          <w:lang w:val="en-GB"/>
        </w:rPr>
        <w:t xml:space="preserve">by </w:t>
      </w:r>
      <w:r w:rsidR="00B66D7D" w:rsidRPr="001B3BA5">
        <w:rPr>
          <w:rFonts w:asciiTheme="majorBidi" w:hAnsiTheme="majorBidi" w:cstheme="majorBidi"/>
          <w:sz w:val="24"/>
          <w:szCs w:val="24"/>
          <w:lang w:val="en-GB"/>
        </w:rPr>
        <w:t>estimating their variance.</w:t>
      </w:r>
      <w:r w:rsidR="00DB599E" w:rsidRPr="001B3BA5">
        <w:rPr>
          <w:rFonts w:asciiTheme="majorBidi" w:hAnsiTheme="majorBidi" w:cstheme="majorBidi"/>
          <w:sz w:val="24"/>
          <w:szCs w:val="24"/>
          <w:lang w:val="en-GB"/>
        </w:rPr>
        <w:t xml:space="preserve"> </w:t>
      </w:r>
      <w:r w:rsidR="00513307" w:rsidRPr="001B3BA5">
        <w:rPr>
          <w:rFonts w:asciiTheme="majorBidi" w:hAnsiTheme="majorBidi" w:cstheme="majorBidi"/>
          <w:sz w:val="24"/>
          <w:szCs w:val="24"/>
          <w:lang w:val="en-GB"/>
        </w:rPr>
        <w:t>See Table 1</w:t>
      </w:r>
      <w:r w:rsidR="00484B34" w:rsidRPr="001B3BA5">
        <w:rPr>
          <w:rFonts w:asciiTheme="majorBidi" w:hAnsiTheme="majorBidi" w:cstheme="majorBidi"/>
          <w:sz w:val="24"/>
          <w:szCs w:val="24"/>
          <w:lang w:val="en-GB"/>
        </w:rPr>
        <w:t xml:space="preserve"> </w:t>
      </w:r>
      <w:r w:rsidR="00513307" w:rsidRPr="001B3BA5">
        <w:rPr>
          <w:rFonts w:asciiTheme="majorBidi" w:hAnsiTheme="majorBidi" w:cstheme="majorBidi"/>
          <w:sz w:val="24"/>
          <w:szCs w:val="24"/>
          <w:lang w:val="en-GB"/>
        </w:rPr>
        <w:t xml:space="preserve">for the number of </w:t>
      </w:r>
      <w:r w:rsidR="00484B34" w:rsidRPr="001B3BA5">
        <w:rPr>
          <w:rFonts w:asciiTheme="majorBidi" w:hAnsiTheme="majorBidi" w:cstheme="majorBidi"/>
          <w:sz w:val="24"/>
          <w:szCs w:val="24"/>
          <w:lang w:val="en-GB"/>
        </w:rPr>
        <w:t>valid responses</w:t>
      </w:r>
      <w:r w:rsidR="00513307" w:rsidRPr="001B3BA5">
        <w:rPr>
          <w:rFonts w:asciiTheme="majorBidi" w:hAnsiTheme="majorBidi" w:cstheme="majorBidi"/>
          <w:sz w:val="24"/>
          <w:szCs w:val="24"/>
          <w:lang w:val="en-GB"/>
        </w:rPr>
        <w:t xml:space="preserve"> per variable. </w:t>
      </w:r>
    </w:p>
    <w:bookmarkEnd w:id="17"/>
    <w:p w14:paraId="05EDF2B1" w14:textId="7FCC9198" w:rsidR="00F85F30" w:rsidRPr="001B3BA5" w:rsidRDefault="00F85F30" w:rsidP="00584266">
      <w:pPr>
        <w:spacing w:after="0" w:line="480" w:lineRule="exact"/>
        <w:rPr>
          <w:rFonts w:asciiTheme="majorBidi" w:hAnsiTheme="majorBidi" w:cstheme="majorBidi"/>
          <w:b/>
          <w:sz w:val="24"/>
          <w:szCs w:val="24"/>
          <w:lang w:val="en-GB"/>
        </w:rPr>
      </w:pPr>
      <w:r w:rsidRPr="001B3BA5">
        <w:rPr>
          <w:rFonts w:asciiTheme="majorBidi" w:hAnsiTheme="majorBidi" w:cstheme="majorBidi"/>
          <w:b/>
          <w:sz w:val="24"/>
          <w:szCs w:val="24"/>
          <w:lang w:val="en-GB"/>
        </w:rPr>
        <w:t>Results</w:t>
      </w:r>
      <w:r w:rsidR="00051EEA" w:rsidRPr="001B3BA5">
        <w:rPr>
          <w:rFonts w:asciiTheme="majorBidi" w:hAnsiTheme="majorBidi" w:cstheme="majorBidi"/>
          <w:b/>
          <w:sz w:val="24"/>
          <w:szCs w:val="24"/>
          <w:lang w:val="en-GB"/>
        </w:rPr>
        <w:t xml:space="preserve"> and Discussion</w:t>
      </w:r>
    </w:p>
    <w:p w14:paraId="1484267A" w14:textId="691E2C11" w:rsidR="007C49FE" w:rsidRPr="001B3BA5" w:rsidRDefault="00F85F30">
      <w:pPr>
        <w:spacing w:after="0" w:line="480" w:lineRule="exact"/>
        <w:ind w:firstLine="709"/>
        <w:rPr>
          <w:rFonts w:asciiTheme="majorBidi" w:hAnsiTheme="majorBidi" w:cstheme="majorBidi"/>
          <w:sz w:val="24"/>
          <w:szCs w:val="24"/>
          <w:lang w:val="en-GB"/>
        </w:rPr>
      </w:pPr>
      <w:r w:rsidRPr="001B3BA5">
        <w:rPr>
          <w:rFonts w:asciiTheme="majorBidi" w:hAnsiTheme="majorBidi" w:cstheme="majorBidi"/>
          <w:b/>
          <w:bCs/>
          <w:iCs/>
          <w:sz w:val="24"/>
          <w:szCs w:val="24"/>
          <w:lang w:val="en-GB"/>
        </w:rPr>
        <w:t>Measurement model</w:t>
      </w:r>
      <w:r w:rsidRPr="001B3BA5">
        <w:rPr>
          <w:rFonts w:asciiTheme="majorBidi" w:hAnsiTheme="majorBidi" w:cstheme="majorBidi"/>
          <w:i/>
          <w:sz w:val="24"/>
          <w:szCs w:val="24"/>
          <w:lang w:val="en-GB"/>
        </w:rPr>
        <w:t xml:space="preserve">. </w:t>
      </w:r>
      <w:r w:rsidRPr="001B3BA5">
        <w:rPr>
          <w:rFonts w:asciiTheme="majorBidi" w:hAnsiTheme="majorBidi" w:cstheme="majorBidi"/>
          <w:sz w:val="24"/>
          <w:szCs w:val="24"/>
          <w:lang w:val="en-GB"/>
        </w:rPr>
        <w:t>The expected 5-factor model did not fit the data well</w:t>
      </w:r>
      <w:r w:rsidR="00865897"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(CFI</w:t>
      </w:r>
      <w:r w:rsidR="00955643" w:rsidRPr="001B3BA5">
        <w:rPr>
          <w:rFonts w:asciiTheme="majorBidi" w:hAnsiTheme="majorBidi" w:cstheme="majorBidi"/>
          <w:i/>
          <w:iCs/>
          <w:sz w:val="24"/>
          <w:szCs w:val="24"/>
          <w:lang w:val="en-GB"/>
        </w:rPr>
        <w:t>=</w:t>
      </w:r>
      <w:r w:rsidRPr="001B3BA5">
        <w:rPr>
          <w:rFonts w:asciiTheme="majorBidi" w:hAnsiTheme="majorBidi" w:cstheme="majorBidi"/>
          <w:sz w:val="24"/>
          <w:szCs w:val="24"/>
          <w:lang w:val="en-GB"/>
        </w:rPr>
        <w:t>.86</w:t>
      </w:r>
      <w:r w:rsidR="00B96184" w:rsidRPr="001B3BA5">
        <w:rPr>
          <w:rFonts w:asciiTheme="majorBidi" w:hAnsiTheme="majorBidi" w:cstheme="majorBidi"/>
          <w:sz w:val="24"/>
          <w:szCs w:val="24"/>
          <w:lang w:val="en-GB"/>
        </w:rPr>
        <w:t>1</w:t>
      </w:r>
      <w:r w:rsidRPr="001B3BA5">
        <w:rPr>
          <w:rFonts w:asciiTheme="majorBidi" w:hAnsiTheme="majorBidi" w:cstheme="majorBidi"/>
          <w:sz w:val="24"/>
          <w:szCs w:val="24"/>
          <w:lang w:val="en-GB"/>
        </w:rPr>
        <w:t>, RMSEA</w:t>
      </w:r>
      <w:r w:rsidR="00955643" w:rsidRPr="001B3BA5">
        <w:rPr>
          <w:rFonts w:asciiTheme="majorBidi" w:hAnsiTheme="majorBidi" w:cstheme="majorBidi"/>
          <w:i/>
          <w:iCs/>
          <w:sz w:val="24"/>
          <w:szCs w:val="24"/>
          <w:lang w:val="en-GB"/>
        </w:rPr>
        <w:t>=</w:t>
      </w:r>
      <w:r w:rsidRPr="001B3BA5">
        <w:rPr>
          <w:rFonts w:asciiTheme="majorBidi" w:hAnsiTheme="majorBidi" w:cstheme="majorBidi"/>
          <w:sz w:val="24"/>
          <w:szCs w:val="24"/>
          <w:lang w:val="en-GB"/>
        </w:rPr>
        <w:t>.09</w:t>
      </w:r>
      <w:r w:rsidR="00B96184" w:rsidRPr="001B3BA5">
        <w:rPr>
          <w:rFonts w:asciiTheme="majorBidi" w:hAnsiTheme="majorBidi" w:cstheme="majorBidi"/>
          <w:sz w:val="24"/>
          <w:szCs w:val="24"/>
          <w:lang w:val="en-GB"/>
        </w:rPr>
        <w:t>9</w:t>
      </w:r>
      <w:r w:rsidRPr="001B3BA5">
        <w:rPr>
          <w:rFonts w:asciiTheme="majorBidi" w:hAnsiTheme="majorBidi" w:cstheme="majorBidi"/>
          <w:sz w:val="24"/>
          <w:szCs w:val="24"/>
          <w:lang w:val="en-GB"/>
        </w:rPr>
        <w:t>, SRMR</w:t>
      </w:r>
      <w:r w:rsidR="00955643" w:rsidRPr="001B3BA5">
        <w:rPr>
          <w:rFonts w:asciiTheme="majorBidi" w:hAnsiTheme="majorBidi" w:cstheme="majorBidi"/>
          <w:i/>
          <w:iCs/>
          <w:sz w:val="24"/>
          <w:szCs w:val="24"/>
          <w:lang w:val="en-GB"/>
        </w:rPr>
        <w:t>=</w:t>
      </w:r>
      <w:r w:rsidRPr="001B3BA5">
        <w:rPr>
          <w:rFonts w:asciiTheme="majorBidi" w:hAnsiTheme="majorBidi" w:cstheme="majorBidi"/>
          <w:sz w:val="24"/>
          <w:szCs w:val="24"/>
          <w:lang w:val="en-GB"/>
        </w:rPr>
        <w:t xml:space="preserve">.064). Modification indices suggested that the factor for immigrant minority attitudes did not sufficiently account for variation in the 10 items. </w:t>
      </w:r>
      <w:r w:rsidR="00246121" w:rsidRPr="001B3BA5">
        <w:rPr>
          <w:rFonts w:asciiTheme="majorBidi" w:hAnsiTheme="majorBidi" w:cstheme="majorBidi"/>
          <w:sz w:val="24"/>
          <w:szCs w:val="24"/>
          <w:lang w:val="en-GB"/>
        </w:rPr>
        <w:t xml:space="preserve">Thus, </w:t>
      </w:r>
      <w:r w:rsidRPr="001B3BA5">
        <w:rPr>
          <w:rFonts w:asciiTheme="majorBidi" w:hAnsiTheme="majorBidi" w:cstheme="majorBidi"/>
          <w:sz w:val="24"/>
          <w:szCs w:val="24"/>
          <w:lang w:val="en-GB"/>
        </w:rPr>
        <w:t>we specified five meaningful factors of two items each (Antilleans</w:t>
      </w:r>
      <w:r w:rsidR="005956FA" w:rsidRPr="001B3BA5">
        <w:rPr>
          <w:rFonts w:asciiTheme="majorBidi" w:hAnsiTheme="majorBidi" w:cstheme="majorBidi"/>
          <w:sz w:val="24"/>
          <w:szCs w:val="24"/>
          <w:lang w:val="en-GB"/>
        </w:rPr>
        <w:t xml:space="preserve"> and Surinamese;</w:t>
      </w:r>
      <w:r w:rsidRPr="001B3BA5">
        <w:rPr>
          <w:rFonts w:asciiTheme="majorBidi" w:hAnsiTheme="majorBidi" w:cstheme="majorBidi"/>
          <w:sz w:val="24"/>
          <w:szCs w:val="24"/>
          <w:lang w:val="en-GB"/>
        </w:rPr>
        <w:t xml:space="preserve"> Bulgarians</w:t>
      </w:r>
      <w:r w:rsidR="005956FA" w:rsidRPr="001B3BA5">
        <w:rPr>
          <w:rFonts w:asciiTheme="majorBidi" w:hAnsiTheme="majorBidi" w:cstheme="majorBidi"/>
          <w:sz w:val="24"/>
          <w:szCs w:val="24"/>
          <w:lang w:val="en-GB"/>
        </w:rPr>
        <w:t xml:space="preserve"> and Poles</w:t>
      </w:r>
      <w:r w:rsidRPr="001B3BA5">
        <w:rPr>
          <w:rFonts w:asciiTheme="majorBidi" w:hAnsiTheme="majorBidi" w:cstheme="majorBidi"/>
          <w:sz w:val="24"/>
          <w:szCs w:val="24"/>
          <w:lang w:val="en-GB"/>
        </w:rPr>
        <w:t xml:space="preserve">; </w:t>
      </w:r>
      <w:r w:rsidR="005956FA" w:rsidRPr="001B3BA5">
        <w:rPr>
          <w:rFonts w:asciiTheme="majorBidi" w:hAnsiTheme="majorBidi" w:cstheme="majorBidi"/>
          <w:sz w:val="24"/>
          <w:szCs w:val="24"/>
          <w:lang w:val="en-GB"/>
        </w:rPr>
        <w:t xml:space="preserve">Moroccans and Turks; </w:t>
      </w:r>
      <w:r w:rsidRPr="001B3BA5">
        <w:rPr>
          <w:rFonts w:asciiTheme="majorBidi" w:hAnsiTheme="majorBidi" w:cstheme="majorBidi"/>
          <w:sz w:val="24"/>
          <w:szCs w:val="24"/>
          <w:lang w:val="en-GB"/>
        </w:rPr>
        <w:t>asylum seekers</w:t>
      </w:r>
      <w:r w:rsidR="001E2C47" w:rsidRPr="001B3BA5">
        <w:rPr>
          <w:rFonts w:asciiTheme="majorBidi" w:hAnsiTheme="majorBidi" w:cstheme="majorBidi"/>
          <w:sz w:val="24"/>
          <w:szCs w:val="24"/>
          <w:lang w:val="en-GB"/>
        </w:rPr>
        <w:t xml:space="preserve"> and refugees</w:t>
      </w:r>
      <w:r w:rsidRPr="001B3BA5">
        <w:rPr>
          <w:rFonts w:asciiTheme="majorBidi" w:hAnsiTheme="majorBidi" w:cstheme="majorBidi"/>
          <w:sz w:val="24"/>
          <w:szCs w:val="24"/>
          <w:lang w:val="en-GB"/>
        </w:rPr>
        <w:t xml:space="preserve">; people who entered </w:t>
      </w:r>
      <w:r w:rsidR="005956FA" w:rsidRPr="001B3BA5">
        <w:rPr>
          <w:rFonts w:asciiTheme="majorBidi" w:hAnsiTheme="majorBidi" w:cstheme="majorBidi"/>
          <w:sz w:val="24"/>
          <w:szCs w:val="24"/>
          <w:lang w:val="en-GB"/>
        </w:rPr>
        <w:t>T</w:t>
      </w:r>
      <w:r w:rsidRPr="001B3BA5">
        <w:rPr>
          <w:rFonts w:asciiTheme="majorBidi" w:hAnsiTheme="majorBidi" w:cstheme="majorBidi"/>
          <w:sz w:val="24"/>
          <w:szCs w:val="24"/>
          <w:lang w:val="en-GB"/>
        </w:rPr>
        <w:t xml:space="preserve">he Netherlands </w:t>
      </w:r>
      <w:r w:rsidR="00174461" w:rsidRPr="001B3BA5">
        <w:rPr>
          <w:rFonts w:asciiTheme="majorBidi" w:hAnsiTheme="majorBidi" w:cstheme="majorBidi"/>
          <w:sz w:val="24"/>
          <w:szCs w:val="24"/>
          <w:lang w:val="en-GB"/>
        </w:rPr>
        <w:t>illegally</w:t>
      </w:r>
      <w:r w:rsidR="00C518D9"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people who </w:t>
      </w:r>
      <w:r w:rsidR="00174461" w:rsidRPr="001B3BA5">
        <w:rPr>
          <w:rFonts w:asciiTheme="majorBidi" w:hAnsiTheme="majorBidi" w:cstheme="majorBidi"/>
          <w:sz w:val="24"/>
          <w:szCs w:val="24"/>
          <w:lang w:val="en-GB"/>
        </w:rPr>
        <w:t>over</w:t>
      </w:r>
      <w:r w:rsidRPr="001B3BA5">
        <w:rPr>
          <w:rFonts w:asciiTheme="majorBidi" w:hAnsiTheme="majorBidi" w:cstheme="majorBidi"/>
          <w:sz w:val="24"/>
          <w:szCs w:val="24"/>
          <w:lang w:val="en-GB"/>
        </w:rPr>
        <w:t xml:space="preserve">stayed their </w:t>
      </w:r>
      <w:r w:rsidR="00C518D9" w:rsidRPr="001B3BA5">
        <w:rPr>
          <w:rFonts w:asciiTheme="majorBidi" w:hAnsiTheme="majorBidi" w:cstheme="majorBidi"/>
          <w:sz w:val="24"/>
          <w:szCs w:val="24"/>
          <w:lang w:val="en-GB"/>
        </w:rPr>
        <w:t xml:space="preserve">resident </w:t>
      </w:r>
      <w:r w:rsidRPr="001B3BA5">
        <w:rPr>
          <w:rFonts w:asciiTheme="majorBidi" w:hAnsiTheme="majorBidi" w:cstheme="majorBidi"/>
          <w:sz w:val="24"/>
          <w:szCs w:val="24"/>
          <w:lang w:val="en-GB"/>
        </w:rPr>
        <w:t>permit</w:t>
      </w:r>
      <w:r w:rsidR="00174461" w:rsidRPr="001B3BA5">
        <w:rPr>
          <w:rFonts w:asciiTheme="majorBidi" w:hAnsiTheme="majorBidi" w:cstheme="majorBidi"/>
          <w:sz w:val="24"/>
          <w:szCs w:val="24"/>
          <w:lang w:val="en-GB"/>
        </w:rPr>
        <w:t>s</w:t>
      </w:r>
      <w:r w:rsidRPr="001B3BA5">
        <w:rPr>
          <w:rFonts w:asciiTheme="majorBidi" w:hAnsiTheme="majorBidi" w:cstheme="majorBidi"/>
          <w:sz w:val="24"/>
          <w:szCs w:val="24"/>
          <w:lang w:val="en-GB"/>
        </w:rPr>
        <w:t>) and loaded the</w:t>
      </w:r>
      <w:r w:rsidR="005956FA" w:rsidRPr="001B3BA5">
        <w:rPr>
          <w:rFonts w:asciiTheme="majorBidi" w:hAnsiTheme="majorBidi" w:cstheme="majorBidi"/>
          <w:sz w:val="24"/>
          <w:szCs w:val="24"/>
          <w:lang w:val="en-GB"/>
        </w:rPr>
        <w:t>m</w:t>
      </w:r>
      <w:r w:rsidRPr="001B3BA5">
        <w:rPr>
          <w:rFonts w:asciiTheme="majorBidi" w:hAnsiTheme="majorBidi" w:cstheme="majorBidi"/>
          <w:sz w:val="24"/>
          <w:szCs w:val="24"/>
          <w:lang w:val="en-GB"/>
        </w:rPr>
        <w:t xml:space="preserve"> on a second order factor. </w:t>
      </w:r>
      <w:bookmarkStart w:id="20" w:name="_Hlk34830347"/>
      <w:r w:rsidRPr="001B3BA5">
        <w:rPr>
          <w:rFonts w:asciiTheme="majorBidi" w:hAnsiTheme="majorBidi" w:cstheme="majorBidi"/>
          <w:sz w:val="24"/>
          <w:szCs w:val="24"/>
          <w:lang w:val="en-GB"/>
        </w:rPr>
        <w:t xml:space="preserve">This </w:t>
      </w:r>
      <w:r w:rsidR="00865897" w:rsidRPr="001B3BA5">
        <w:rPr>
          <w:rFonts w:asciiTheme="majorBidi" w:hAnsiTheme="majorBidi" w:cstheme="majorBidi"/>
          <w:sz w:val="24"/>
          <w:szCs w:val="24"/>
          <w:lang w:val="en-GB"/>
        </w:rPr>
        <w:t>allowed us</w:t>
      </w:r>
      <w:r w:rsidRPr="001B3BA5">
        <w:rPr>
          <w:rFonts w:asciiTheme="majorBidi" w:hAnsiTheme="majorBidi" w:cstheme="majorBidi"/>
          <w:sz w:val="24"/>
          <w:szCs w:val="24"/>
          <w:lang w:val="en-GB"/>
        </w:rPr>
        <w:t xml:space="preserve"> to account for the </w:t>
      </w:r>
      <w:r w:rsidR="00AC7738" w:rsidRPr="001B3BA5">
        <w:rPr>
          <w:rFonts w:asciiTheme="majorBidi" w:hAnsiTheme="majorBidi" w:cstheme="majorBidi"/>
          <w:sz w:val="24"/>
          <w:szCs w:val="24"/>
          <w:lang w:val="en-GB"/>
        </w:rPr>
        <w:t xml:space="preserve">multidimensionality </w:t>
      </w:r>
      <w:r w:rsidRPr="001B3BA5">
        <w:rPr>
          <w:rFonts w:asciiTheme="majorBidi" w:hAnsiTheme="majorBidi" w:cstheme="majorBidi"/>
          <w:sz w:val="24"/>
          <w:szCs w:val="24"/>
          <w:lang w:val="en-GB"/>
        </w:rPr>
        <w:t xml:space="preserve">within the factor while using </w:t>
      </w:r>
      <w:r w:rsidR="000E18F9" w:rsidRPr="001B3BA5">
        <w:rPr>
          <w:rFonts w:asciiTheme="majorBidi" w:hAnsiTheme="majorBidi" w:cstheme="majorBidi"/>
          <w:sz w:val="24"/>
          <w:szCs w:val="24"/>
          <w:lang w:val="en-GB"/>
        </w:rPr>
        <w:t xml:space="preserve">general </w:t>
      </w:r>
      <w:r w:rsidR="005956FA" w:rsidRPr="001B3BA5">
        <w:rPr>
          <w:rFonts w:asciiTheme="majorBidi" w:hAnsiTheme="majorBidi" w:cstheme="majorBidi"/>
          <w:sz w:val="24"/>
          <w:szCs w:val="24"/>
          <w:lang w:val="en-GB"/>
        </w:rPr>
        <w:t>immigrant</w:t>
      </w:r>
      <w:r w:rsidR="00362973" w:rsidRPr="001B3BA5">
        <w:rPr>
          <w:rFonts w:asciiTheme="majorBidi" w:hAnsiTheme="majorBidi" w:cstheme="majorBidi"/>
          <w:sz w:val="24"/>
          <w:szCs w:val="24"/>
          <w:lang w:val="en-GB"/>
        </w:rPr>
        <w:t xml:space="preserve"> minority</w:t>
      </w:r>
      <w:r w:rsidRPr="001B3BA5">
        <w:rPr>
          <w:rFonts w:asciiTheme="majorBidi" w:hAnsiTheme="majorBidi" w:cstheme="majorBidi"/>
          <w:sz w:val="24"/>
          <w:szCs w:val="24"/>
          <w:lang w:val="en-GB"/>
        </w:rPr>
        <w:t xml:space="preserve"> attitudes as the dependent variable.</w:t>
      </w:r>
      <w:r w:rsidR="00A26948" w:rsidRPr="001B3BA5">
        <w:rPr>
          <w:rFonts w:asciiTheme="majorBidi" w:hAnsiTheme="majorBidi" w:cstheme="majorBidi"/>
          <w:sz w:val="24"/>
          <w:szCs w:val="24"/>
          <w:lang w:val="en-GB"/>
        </w:rPr>
        <w:t xml:space="preserve"> </w:t>
      </w:r>
      <w:bookmarkStart w:id="21" w:name="_Hlk34830340"/>
      <w:bookmarkStart w:id="22" w:name="_Hlk36107571"/>
      <w:bookmarkEnd w:id="20"/>
      <w:r w:rsidR="00865897" w:rsidRPr="001B3BA5">
        <w:rPr>
          <w:rFonts w:asciiTheme="majorBidi" w:hAnsiTheme="majorBidi" w:cstheme="majorBidi"/>
          <w:sz w:val="24"/>
          <w:szCs w:val="24"/>
          <w:lang w:val="en-GB"/>
        </w:rPr>
        <w:t>A</w:t>
      </w:r>
      <w:r w:rsidR="00DE4B79" w:rsidRPr="001B3BA5">
        <w:rPr>
          <w:rFonts w:asciiTheme="majorBidi" w:hAnsiTheme="majorBidi" w:cstheme="majorBidi"/>
          <w:sz w:val="24"/>
          <w:szCs w:val="24"/>
          <w:lang w:val="en-GB"/>
        </w:rPr>
        <w:t xml:space="preserve"> second-order factor is a more parsimonious solution than specifying error covariances</w:t>
      </w:r>
      <w:r w:rsidR="000F4B30" w:rsidRPr="001B3BA5">
        <w:rPr>
          <w:rFonts w:asciiTheme="majorBidi" w:hAnsiTheme="majorBidi" w:cstheme="majorBidi"/>
          <w:sz w:val="24"/>
          <w:szCs w:val="24"/>
          <w:lang w:val="en-GB"/>
        </w:rPr>
        <w:t>,</w:t>
      </w:r>
      <w:r w:rsidR="00A27EF6" w:rsidRPr="001B3BA5">
        <w:rPr>
          <w:rFonts w:asciiTheme="majorBidi" w:hAnsiTheme="majorBidi" w:cstheme="majorBidi"/>
          <w:sz w:val="24"/>
          <w:szCs w:val="24"/>
          <w:lang w:val="en-GB"/>
        </w:rPr>
        <w:t xml:space="preserve"> and</w:t>
      </w:r>
      <w:r w:rsidR="00DE4B79" w:rsidRPr="001B3BA5">
        <w:rPr>
          <w:rFonts w:asciiTheme="majorBidi" w:hAnsiTheme="majorBidi" w:cstheme="majorBidi"/>
          <w:sz w:val="24"/>
          <w:szCs w:val="24"/>
          <w:lang w:val="en-GB"/>
        </w:rPr>
        <w:t xml:space="preserve"> </w:t>
      </w:r>
      <w:r w:rsidR="00DF6EFA" w:rsidRPr="001B3BA5">
        <w:rPr>
          <w:rFonts w:asciiTheme="majorBidi" w:hAnsiTheme="majorBidi" w:cstheme="majorBidi"/>
          <w:sz w:val="24"/>
          <w:szCs w:val="24"/>
          <w:lang w:val="en-GB"/>
        </w:rPr>
        <w:t xml:space="preserve">it </w:t>
      </w:r>
      <w:r w:rsidR="00A37081" w:rsidRPr="001B3BA5">
        <w:rPr>
          <w:rFonts w:asciiTheme="majorBidi" w:hAnsiTheme="majorBidi" w:cstheme="majorBidi"/>
          <w:sz w:val="24"/>
          <w:szCs w:val="24"/>
          <w:lang w:val="en-GB"/>
        </w:rPr>
        <w:t>reflects</w:t>
      </w:r>
      <w:r w:rsidR="00DE4B79" w:rsidRPr="001B3BA5">
        <w:rPr>
          <w:rFonts w:asciiTheme="majorBidi" w:hAnsiTheme="majorBidi" w:cstheme="majorBidi"/>
          <w:sz w:val="24"/>
          <w:szCs w:val="24"/>
          <w:lang w:val="en-GB"/>
        </w:rPr>
        <w:t xml:space="preserve"> </w:t>
      </w:r>
      <w:r w:rsidR="000F4B30" w:rsidRPr="001B3BA5">
        <w:rPr>
          <w:rFonts w:asciiTheme="majorBidi" w:hAnsiTheme="majorBidi" w:cstheme="majorBidi"/>
          <w:sz w:val="24"/>
          <w:szCs w:val="24"/>
          <w:lang w:val="en-GB"/>
        </w:rPr>
        <w:t xml:space="preserve">better </w:t>
      </w:r>
      <w:r w:rsidR="00DE4B79" w:rsidRPr="001B3BA5">
        <w:rPr>
          <w:rFonts w:asciiTheme="majorBidi" w:hAnsiTheme="majorBidi" w:cstheme="majorBidi"/>
          <w:sz w:val="24"/>
          <w:szCs w:val="24"/>
          <w:lang w:val="en-GB"/>
        </w:rPr>
        <w:t>the theoretically meaningful</w:t>
      </w:r>
      <w:r w:rsidR="007425CF" w:rsidRPr="001B3BA5">
        <w:rPr>
          <w:rFonts w:asciiTheme="majorBidi" w:hAnsiTheme="majorBidi" w:cstheme="majorBidi"/>
          <w:sz w:val="24"/>
          <w:szCs w:val="24"/>
          <w:lang w:val="en-GB"/>
        </w:rPr>
        <w:t xml:space="preserve"> multidimensionality</w:t>
      </w:r>
      <w:r w:rsidR="00CC7355" w:rsidRPr="001B3BA5">
        <w:rPr>
          <w:rFonts w:asciiTheme="majorBidi" w:hAnsiTheme="majorBidi" w:cstheme="majorBidi"/>
          <w:sz w:val="24"/>
          <w:szCs w:val="24"/>
          <w:lang w:val="en-GB"/>
        </w:rPr>
        <w:t xml:space="preserve"> </w:t>
      </w:r>
      <w:r w:rsidR="003576F1" w:rsidRPr="001B3BA5">
        <w:rPr>
          <w:rFonts w:asciiTheme="majorBidi" w:hAnsiTheme="majorBidi" w:cstheme="majorBidi"/>
          <w:sz w:val="24"/>
          <w:szCs w:val="24"/>
          <w:lang w:val="en-GB"/>
        </w:rPr>
        <w:fldChar w:fldCharType="begin"/>
      </w:r>
      <w:r w:rsidR="003576F1" w:rsidRPr="001B3BA5">
        <w:rPr>
          <w:rFonts w:asciiTheme="majorBidi" w:hAnsiTheme="majorBidi" w:cstheme="majorBidi"/>
          <w:sz w:val="24"/>
          <w:szCs w:val="24"/>
          <w:lang w:val="en-GB"/>
        </w:rPr>
        <w:instrText xml:space="preserve"> ADDIN EN.CITE &lt;EndNote&gt;&lt;Cite&gt;&lt;Author&gt;Brown&lt;/Author&gt;&lt;Year&gt;2015&lt;/Year&gt;&lt;RecNum&gt;1589&lt;/RecNum&gt;&lt;DisplayText&gt;(T. A. Brown, 2015)&lt;/DisplayText&gt;&lt;record&gt;&lt;rec-number&gt;1589&lt;/rec-number&gt;&lt;foreign-keys&gt;&lt;key app="EN" db-id="es92r5v5dve2z0erx59pv50vtp29v0t9ef5f" timestamp="1584361836"&gt;1589&lt;/key&gt;&lt;/foreign-keys&gt;&lt;ref-type name="Book"&gt;6&lt;/ref-type&gt;&lt;contributors&gt;&lt;authors&gt;&lt;author&gt;Brown, Timothy A&lt;/author&gt;&lt;/authors&gt;&lt;/contributors&gt;&lt;titles&gt;&lt;title&gt;Confirmatory factor analysis for applied research&lt;/title&gt;&lt;/titles&gt;&lt;dates&gt;&lt;year&gt;2015&lt;/year&gt;&lt;/dates&gt;&lt;publisher&gt;Guilford publications&lt;/publisher&gt;&lt;isbn&gt;1462515363&lt;/isbn&gt;&lt;urls&gt;&lt;/urls&gt;&lt;/record&gt;&lt;/Cite&gt;&lt;/EndNote&gt;</w:instrText>
      </w:r>
      <w:r w:rsidR="003576F1" w:rsidRPr="001B3BA5">
        <w:rPr>
          <w:rFonts w:asciiTheme="majorBidi" w:hAnsiTheme="majorBidi" w:cstheme="majorBidi"/>
          <w:sz w:val="24"/>
          <w:szCs w:val="24"/>
          <w:lang w:val="en-GB"/>
        </w:rPr>
        <w:fldChar w:fldCharType="separate"/>
      </w:r>
      <w:r w:rsidR="003576F1" w:rsidRPr="001B3BA5">
        <w:rPr>
          <w:rFonts w:asciiTheme="majorBidi" w:hAnsiTheme="majorBidi" w:cstheme="majorBidi"/>
          <w:noProof/>
          <w:sz w:val="24"/>
          <w:szCs w:val="24"/>
          <w:lang w:val="en-GB"/>
        </w:rPr>
        <w:t>(T. A. Brown, 2015)</w:t>
      </w:r>
      <w:r w:rsidR="003576F1" w:rsidRPr="001B3BA5">
        <w:rPr>
          <w:rFonts w:asciiTheme="majorBidi" w:hAnsiTheme="majorBidi" w:cstheme="majorBidi"/>
          <w:sz w:val="24"/>
          <w:szCs w:val="24"/>
          <w:lang w:val="en-GB"/>
        </w:rPr>
        <w:fldChar w:fldCharType="end"/>
      </w:r>
      <w:r w:rsidR="00DE4B79"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w:t>
      </w:r>
      <w:bookmarkEnd w:id="21"/>
      <w:bookmarkEnd w:id="22"/>
      <w:r w:rsidR="00865897" w:rsidRPr="001B3BA5">
        <w:rPr>
          <w:rFonts w:asciiTheme="majorBidi" w:hAnsiTheme="majorBidi" w:cstheme="majorBidi"/>
          <w:sz w:val="24"/>
          <w:szCs w:val="24"/>
          <w:lang w:val="en-GB"/>
        </w:rPr>
        <w:t>We obtained</w:t>
      </w:r>
      <w:r w:rsidRPr="001B3BA5">
        <w:rPr>
          <w:rFonts w:asciiTheme="majorBidi" w:hAnsiTheme="majorBidi" w:cstheme="majorBidi"/>
          <w:sz w:val="24"/>
          <w:szCs w:val="24"/>
          <w:lang w:val="en-GB"/>
        </w:rPr>
        <w:t xml:space="preserve"> a model fit (CFI</w:t>
      </w:r>
      <w:r w:rsidR="00955643" w:rsidRPr="001B3BA5">
        <w:rPr>
          <w:rFonts w:asciiTheme="majorBidi" w:hAnsiTheme="majorBidi" w:cstheme="majorBidi"/>
          <w:i/>
          <w:iCs/>
          <w:sz w:val="24"/>
          <w:szCs w:val="24"/>
          <w:lang w:val="en-GB"/>
        </w:rPr>
        <w:t>=</w:t>
      </w:r>
      <w:r w:rsidRPr="001B3BA5">
        <w:rPr>
          <w:rFonts w:asciiTheme="majorBidi" w:hAnsiTheme="majorBidi" w:cstheme="majorBidi"/>
          <w:sz w:val="24"/>
          <w:szCs w:val="24"/>
          <w:lang w:val="en-GB"/>
        </w:rPr>
        <w:t>.9</w:t>
      </w:r>
      <w:r w:rsidR="005871CF" w:rsidRPr="001B3BA5">
        <w:rPr>
          <w:rFonts w:asciiTheme="majorBidi" w:hAnsiTheme="majorBidi" w:cstheme="majorBidi"/>
          <w:sz w:val="24"/>
          <w:szCs w:val="24"/>
          <w:lang w:val="en-GB"/>
        </w:rPr>
        <w:t>60</w:t>
      </w:r>
      <w:r w:rsidRPr="001B3BA5">
        <w:rPr>
          <w:rFonts w:asciiTheme="majorBidi" w:hAnsiTheme="majorBidi" w:cstheme="majorBidi"/>
          <w:sz w:val="24"/>
          <w:szCs w:val="24"/>
          <w:lang w:val="en-GB"/>
        </w:rPr>
        <w:t>, RMSEA</w:t>
      </w:r>
      <w:r w:rsidR="00955643" w:rsidRPr="001B3BA5">
        <w:rPr>
          <w:rFonts w:asciiTheme="majorBidi" w:hAnsiTheme="majorBidi" w:cstheme="majorBidi"/>
          <w:i/>
          <w:iCs/>
          <w:sz w:val="24"/>
          <w:szCs w:val="24"/>
          <w:lang w:val="en-GB"/>
        </w:rPr>
        <w:t>=</w:t>
      </w:r>
      <w:r w:rsidRPr="001B3BA5">
        <w:rPr>
          <w:rFonts w:asciiTheme="majorBidi" w:hAnsiTheme="majorBidi" w:cstheme="majorBidi"/>
          <w:sz w:val="24"/>
          <w:szCs w:val="24"/>
          <w:lang w:val="en-GB"/>
        </w:rPr>
        <w:t>.054, SRMR</w:t>
      </w:r>
      <w:r w:rsidR="00955643" w:rsidRPr="001B3BA5">
        <w:rPr>
          <w:rFonts w:asciiTheme="majorBidi" w:hAnsiTheme="majorBidi" w:cstheme="majorBidi"/>
          <w:i/>
          <w:iCs/>
          <w:sz w:val="24"/>
          <w:szCs w:val="24"/>
          <w:lang w:val="en-GB"/>
        </w:rPr>
        <w:t>=</w:t>
      </w:r>
      <w:r w:rsidRPr="001B3BA5">
        <w:rPr>
          <w:rFonts w:asciiTheme="majorBidi" w:hAnsiTheme="majorBidi" w:cstheme="majorBidi"/>
          <w:sz w:val="24"/>
          <w:szCs w:val="24"/>
          <w:lang w:val="en-GB"/>
        </w:rPr>
        <w:t>.05</w:t>
      </w:r>
      <w:r w:rsidR="005871CF" w:rsidRPr="001B3BA5">
        <w:rPr>
          <w:rFonts w:asciiTheme="majorBidi" w:hAnsiTheme="majorBidi" w:cstheme="majorBidi"/>
          <w:sz w:val="24"/>
          <w:szCs w:val="24"/>
          <w:lang w:val="en-GB"/>
        </w:rPr>
        <w:t>6</w:t>
      </w:r>
      <w:r w:rsidRPr="001B3BA5">
        <w:rPr>
          <w:rFonts w:asciiTheme="majorBidi" w:hAnsiTheme="majorBidi" w:cstheme="majorBidi"/>
          <w:sz w:val="24"/>
          <w:szCs w:val="24"/>
          <w:lang w:val="en-GB"/>
        </w:rPr>
        <w:t>) that was significantly better than the previous model and</w:t>
      </w:r>
      <w:r w:rsidR="00C646EE" w:rsidRPr="001B3BA5">
        <w:rPr>
          <w:rFonts w:asciiTheme="majorBidi" w:hAnsiTheme="majorBidi" w:cstheme="majorBidi"/>
          <w:sz w:val="24"/>
          <w:szCs w:val="24"/>
          <w:lang w:val="en-GB"/>
        </w:rPr>
        <w:t xml:space="preserve"> better</w:t>
      </w:r>
      <w:r w:rsidRPr="001B3BA5">
        <w:rPr>
          <w:rFonts w:asciiTheme="majorBidi" w:hAnsiTheme="majorBidi" w:cstheme="majorBidi"/>
          <w:sz w:val="24"/>
          <w:szCs w:val="24"/>
          <w:lang w:val="en-GB"/>
        </w:rPr>
        <w:t xml:space="preserve"> than alternative 4-factor solutions</w:t>
      </w:r>
      <w:r w:rsidR="00865897"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(Appendix </w:t>
      </w:r>
      <w:r w:rsidR="009E79FC" w:rsidRPr="001B3BA5">
        <w:rPr>
          <w:rFonts w:asciiTheme="majorBidi" w:hAnsiTheme="majorBidi" w:cstheme="majorBidi"/>
          <w:sz w:val="24"/>
          <w:szCs w:val="24"/>
          <w:lang w:val="en-GB"/>
        </w:rPr>
        <w:t>A</w:t>
      </w:r>
      <w:r w:rsidRPr="001B3BA5">
        <w:rPr>
          <w:rFonts w:asciiTheme="majorBidi" w:hAnsiTheme="majorBidi" w:cstheme="majorBidi"/>
          <w:sz w:val="24"/>
          <w:szCs w:val="24"/>
          <w:lang w:val="en-GB"/>
        </w:rPr>
        <w:t xml:space="preserve">). </w:t>
      </w:r>
      <w:r w:rsidR="007C49FE" w:rsidRPr="001B3BA5">
        <w:rPr>
          <w:rFonts w:asciiTheme="majorBidi" w:hAnsiTheme="majorBidi" w:cstheme="majorBidi"/>
          <w:sz w:val="24"/>
          <w:szCs w:val="24"/>
          <w:lang w:val="en-GB"/>
        </w:rPr>
        <w:t xml:space="preserve">All items loaded significantly on their respective factor </w:t>
      </w:r>
      <w:r w:rsidR="00F61164" w:rsidRPr="001B3BA5">
        <w:rPr>
          <w:rFonts w:asciiTheme="majorBidi" w:hAnsiTheme="majorBidi" w:cstheme="majorBidi"/>
          <w:sz w:val="24"/>
          <w:szCs w:val="24"/>
          <w:lang w:val="en-GB"/>
        </w:rPr>
        <w:t xml:space="preserve">with </w:t>
      </w:r>
      <w:r w:rsidR="007C49FE" w:rsidRPr="001B3BA5">
        <w:rPr>
          <w:rFonts w:asciiTheme="majorBidi" w:hAnsiTheme="majorBidi" w:cstheme="majorBidi"/>
          <w:sz w:val="24"/>
          <w:szCs w:val="24"/>
          <w:lang w:val="en-GB"/>
        </w:rPr>
        <w:t xml:space="preserve">loadings </w:t>
      </w:r>
      <w:r w:rsidR="00F61164" w:rsidRPr="001B3BA5">
        <w:rPr>
          <w:rFonts w:asciiTheme="majorBidi" w:hAnsiTheme="majorBidi" w:cstheme="majorBidi"/>
          <w:sz w:val="24"/>
          <w:szCs w:val="24"/>
          <w:lang w:val="en-GB"/>
        </w:rPr>
        <w:t>above</w:t>
      </w:r>
      <w:r w:rsidR="007C49FE" w:rsidRPr="001B3BA5">
        <w:rPr>
          <w:rFonts w:asciiTheme="majorBidi" w:hAnsiTheme="majorBidi" w:cstheme="majorBidi"/>
          <w:sz w:val="24"/>
          <w:szCs w:val="24"/>
          <w:lang w:val="en-GB"/>
        </w:rPr>
        <w:t xml:space="preserve"> .</w:t>
      </w:r>
      <w:r w:rsidR="006E5DB3" w:rsidRPr="001B3BA5">
        <w:rPr>
          <w:rFonts w:asciiTheme="majorBidi" w:hAnsiTheme="majorBidi" w:cstheme="majorBidi"/>
          <w:sz w:val="24"/>
          <w:szCs w:val="24"/>
          <w:lang w:val="en-GB"/>
        </w:rPr>
        <w:t>74</w:t>
      </w:r>
      <w:r w:rsidR="007C49FE" w:rsidRPr="001B3BA5">
        <w:rPr>
          <w:rFonts w:asciiTheme="majorBidi" w:hAnsiTheme="majorBidi" w:cstheme="majorBidi"/>
          <w:sz w:val="24"/>
          <w:szCs w:val="24"/>
          <w:lang w:val="en-GB"/>
        </w:rPr>
        <w:t>.</w:t>
      </w:r>
    </w:p>
    <w:p w14:paraId="2CC4D650" w14:textId="7F56B6F2" w:rsidR="0051771C" w:rsidRPr="001B3BA5" w:rsidRDefault="00F85F30" w:rsidP="00584266">
      <w:pPr>
        <w:spacing w:after="0" w:line="480" w:lineRule="exact"/>
        <w:ind w:firstLine="708"/>
        <w:rPr>
          <w:rFonts w:ascii="Times" w:hAnsi="Times"/>
          <w:sz w:val="24"/>
          <w:szCs w:val="24"/>
          <w:lang w:val="en-GB"/>
        </w:rPr>
      </w:pPr>
      <w:r w:rsidRPr="001B3BA5">
        <w:rPr>
          <w:rFonts w:asciiTheme="majorBidi" w:hAnsiTheme="majorBidi" w:cstheme="majorBidi"/>
          <w:b/>
          <w:bCs/>
          <w:iCs/>
          <w:sz w:val="24"/>
          <w:szCs w:val="24"/>
          <w:lang w:val="en-GB"/>
        </w:rPr>
        <w:t>Descriptive statistics</w:t>
      </w:r>
      <w:bookmarkStart w:id="23" w:name="_Hlk7102426"/>
      <w:r w:rsidRPr="001B3BA5">
        <w:rPr>
          <w:rFonts w:asciiTheme="majorBidi" w:hAnsiTheme="majorBidi" w:cstheme="majorBidi"/>
          <w:i/>
          <w:sz w:val="24"/>
          <w:szCs w:val="24"/>
          <w:lang w:val="en-GB"/>
        </w:rPr>
        <w:t xml:space="preserve">. </w:t>
      </w:r>
      <w:r w:rsidRPr="001B3BA5">
        <w:rPr>
          <w:rFonts w:asciiTheme="majorBidi" w:hAnsiTheme="majorBidi" w:cstheme="majorBidi"/>
          <w:sz w:val="24"/>
          <w:szCs w:val="24"/>
          <w:lang w:val="en-GB"/>
        </w:rPr>
        <w:t xml:space="preserve">Table </w:t>
      </w:r>
      <w:r w:rsidR="004D6023" w:rsidRPr="001B3BA5">
        <w:rPr>
          <w:rFonts w:asciiTheme="majorBidi" w:hAnsiTheme="majorBidi" w:cstheme="majorBidi"/>
          <w:sz w:val="24"/>
          <w:szCs w:val="24"/>
          <w:lang w:val="en-GB"/>
        </w:rPr>
        <w:t>1</w:t>
      </w:r>
      <w:r w:rsidR="003F0E88" w:rsidRPr="001B3BA5">
        <w:rPr>
          <w:rFonts w:asciiTheme="majorBidi" w:hAnsiTheme="majorBidi" w:cstheme="majorBidi"/>
          <w:sz w:val="24"/>
          <w:szCs w:val="24"/>
          <w:lang w:val="en-GB"/>
        </w:rPr>
        <w:t xml:space="preserve"> shows</w:t>
      </w:r>
      <w:bookmarkStart w:id="24" w:name="_Hlk24106488"/>
      <w:r w:rsidR="003F0E88" w:rsidRPr="001B3BA5">
        <w:rPr>
          <w:rFonts w:asciiTheme="majorBidi" w:hAnsiTheme="majorBidi" w:cstheme="majorBidi"/>
          <w:sz w:val="24"/>
          <w:szCs w:val="24"/>
          <w:lang w:val="en-GB"/>
        </w:rPr>
        <w:t xml:space="preserve"> that p</w:t>
      </w:r>
      <w:r w:rsidR="00014220" w:rsidRPr="001B3BA5">
        <w:rPr>
          <w:rFonts w:asciiTheme="majorBidi" w:hAnsiTheme="majorBidi" w:cstheme="majorBidi"/>
          <w:sz w:val="24"/>
          <w:szCs w:val="24"/>
          <w:lang w:val="en-GB"/>
        </w:rPr>
        <w:t xml:space="preserve">articipants held neutral </w:t>
      </w:r>
      <w:r w:rsidR="003F0E88" w:rsidRPr="001B3BA5">
        <w:rPr>
          <w:rFonts w:asciiTheme="majorBidi" w:hAnsiTheme="majorBidi" w:cstheme="majorBidi"/>
          <w:sz w:val="24"/>
          <w:szCs w:val="24"/>
          <w:lang w:val="en-GB"/>
        </w:rPr>
        <w:t xml:space="preserve">attitudes toward </w:t>
      </w:r>
      <w:r w:rsidR="00014220" w:rsidRPr="001B3BA5">
        <w:rPr>
          <w:rFonts w:asciiTheme="majorBidi" w:hAnsiTheme="majorBidi" w:cstheme="majorBidi"/>
          <w:sz w:val="24"/>
          <w:szCs w:val="24"/>
          <w:lang w:val="en-GB"/>
        </w:rPr>
        <w:t>immigrant minorit</w:t>
      </w:r>
      <w:r w:rsidR="003F0E88" w:rsidRPr="001B3BA5">
        <w:rPr>
          <w:rFonts w:asciiTheme="majorBidi" w:hAnsiTheme="majorBidi" w:cstheme="majorBidi"/>
          <w:sz w:val="24"/>
          <w:szCs w:val="24"/>
          <w:lang w:val="en-GB"/>
        </w:rPr>
        <w:t>ies</w:t>
      </w:r>
      <w:r w:rsidR="00014220" w:rsidRPr="001B3BA5">
        <w:rPr>
          <w:rFonts w:asciiTheme="majorBidi" w:hAnsiTheme="majorBidi" w:cstheme="majorBidi"/>
          <w:sz w:val="24"/>
          <w:szCs w:val="24"/>
          <w:lang w:val="en-GB"/>
        </w:rPr>
        <w:t xml:space="preserve"> and </w:t>
      </w:r>
      <w:r w:rsidR="00246121" w:rsidRPr="001B3BA5">
        <w:rPr>
          <w:rFonts w:asciiTheme="majorBidi" w:hAnsiTheme="majorBidi" w:cstheme="majorBidi"/>
          <w:sz w:val="24"/>
          <w:szCs w:val="24"/>
          <w:lang w:val="en-GB"/>
        </w:rPr>
        <w:t xml:space="preserve">thought </w:t>
      </w:r>
      <w:r w:rsidR="00014220" w:rsidRPr="001B3BA5">
        <w:rPr>
          <w:rFonts w:asciiTheme="majorBidi" w:hAnsiTheme="majorBidi" w:cstheme="majorBidi"/>
          <w:sz w:val="24"/>
          <w:szCs w:val="24"/>
          <w:lang w:val="en-GB"/>
        </w:rPr>
        <w:t xml:space="preserve">that European integration had gone a bit too far. Further, </w:t>
      </w:r>
      <w:r w:rsidR="00246121" w:rsidRPr="001B3BA5">
        <w:rPr>
          <w:rFonts w:asciiTheme="majorBidi" w:hAnsiTheme="majorBidi" w:cstheme="majorBidi"/>
          <w:sz w:val="24"/>
          <w:szCs w:val="24"/>
          <w:lang w:val="en-GB"/>
        </w:rPr>
        <w:t xml:space="preserve">they </w:t>
      </w:r>
      <w:r w:rsidR="00014220" w:rsidRPr="001B3BA5">
        <w:rPr>
          <w:rFonts w:asciiTheme="majorBidi" w:hAnsiTheme="majorBidi" w:cstheme="majorBidi"/>
          <w:sz w:val="24"/>
          <w:szCs w:val="24"/>
          <w:lang w:val="en-GB"/>
        </w:rPr>
        <w:t>slightly agreed with the CPO items and the exclusive determination right items.</w:t>
      </w:r>
      <w:bookmarkEnd w:id="24"/>
      <w:r w:rsidR="00014220" w:rsidRPr="001B3BA5">
        <w:rPr>
          <w:rFonts w:asciiTheme="majorBidi" w:hAnsiTheme="majorBidi" w:cstheme="majorBidi"/>
          <w:sz w:val="24"/>
          <w:szCs w:val="24"/>
          <w:lang w:val="en-GB"/>
        </w:rPr>
        <w:t xml:space="preserve"> </w:t>
      </w:r>
      <w:r w:rsidR="00533925" w:rsidRPr="001B3BA5">
        <w:rPr>
          <w:rFonts w:asciiTheme="majorBidi" w:hAnsiTheme="majorBidi" w:cstheme="majorBidi"/>
          <w:sz w:val="24"/>
          <w:szCs w:val="24"/>
          <w:lang w:val="en-GB"/>
        </w:rPr>
        <w:t>CPO</w:t>
      </w:r>
      <w:r w:rsidRPr="001B3BA5">
        <w:rPr>
          <w:rFonts w:asciiTheme="majorBidi" w:hAnsiTheme="majorBidi" w:cstheme="majorBidi"/>
          <w:sz w:val="24"/>
          <w:szCs w:val="24"/>
          <w:lang w:val="en-GB"/>
        </w:rPr>
        <w:t xml:space="preserve"> </w:t>
      </w:r>
      <w:r w:rsidR="00533925" w:rsidRPr="001B3BA5">
        <w:rPr>
          <w:rFonts w:asciiTheme="majorBidi" w:hAnsiTheme="majorBidi" w:cstheme="majorBidi"/>
          <w:sz w:val="24"/>
          <w:szCs w:val="24"/>
          <w:lang w:val="en-GB"/>
        </w:rPr>
        <w:t xml:space="preserve">and </w:t>
      </w:r>
      <w:r w:rsidR="00DC01FF" w:rsidRPr="001B3BA5">
        <w:rPr>
          <w:rFonts w:asciiTheme="majorBidi" w:hAnsiTheme="majorBidi" w:cstheme="majorBidi"/>
          <w:sz w:val="24"/>
          <w:szCs w:val="24"/>
          <w:lang w:val="en-GB"/>
        </w:rPr>
        <w:t>exclusive determination right</w:t>
      </w:r>
      <w:r w:rsidR="00533925" w:rsidRPr="001B3BA5">
        <w:rPr>
          <w:rFonts w:asciiTheme="majorBidi" w:hAnsiTheme="majorBidi" w:cstheme="majorBidi"/>
          <w:sz w:val="24"/>
          <w:szCs w:val="24"/>
          <w:lang w:val="en-GB"/>
        </w:rPr>
        <w:t xml:space="preserve"> </w:t>
      </w:r>
      <w:r w:rsidR="0062526E" w:rsidRPr="001B3BA5">
        <w:rPr>
          <w:rFonts w:asciiTheme="majorBidi" w:hAnsiTheme="majorBidi" w:cstheme="majorBidi"/>
          <w:sz w:val="24"/>
          <w:szCs w:val="24"/>
          <w:lang w:val="en-GB"/>
        </w:rPr>
        <w:t xml:space="preserve">were positively related </w:t>
      </w:r>
      <w:r w:rsidR="00533925" w:rsidRPr="001B3BA5">
        <w:rPr>
          <w:rFonts w:asciiTheme="majorBidi" w:hAnsiTheme="majorBidi" w:cstheme="majorBidi"/>
          <w:sz w:val="24"/>
          <w:szCs w:val="24"/>
          <w:lang w:val="en-GB"/>
        </w:rPr>
        <w:t>(</w:t>
      </w:r>
      <w:r w:rsidR="00533925" w:rsidRPr="001B3BA5">
        <w:rPr>
          <w:rFonts w:asciiTheme="majorBidi" w:hAnsiTheme="majorBidi" w:cstheme="majorBidi"/>
          <w:i/>
          <w:iCs/>
          <w:sz w:val="24"/>
          <w:szCs w:val="24"/>
          <w:lang w:val="en-GB"/>
        </w:rPr>
        <w:t>r</w:t>
      </w:r>
      <w:r w:rsidR="00955643"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.6</w:t>
      </w:r>
      <w:r w:rsidR="007425D3" w:rsidRPr="001B3BA5">
        <w:rPr>
          <w:rFonts w:asciiTheme="majorBidi" w:hAnsiTheme="majorBidi" w:cstheme="majorBidi"/>
          <w:sz w:val="24"/>
          <w:szCs w:val="24"/>
          <w:lang w:val="en-GB"/>
        </w:rPr>
        <w:t>4</w:t>
      </w:r>
      <w:r w:rsidR="00533925" w:rsidRPr="001B3BA5">
        <w:rPr>
          <w:rFonts w:asciiTheme="majorBidi" w:hAnsiTheme="majorBidi" w:cstheme="majorBidi"/>
          <w:sz w:val="24"/>
          <w:szCs w:val="24"/>
          <w:lang w:val="en-GB"/>
        </w:rPr>
        <w:t>). A</w:t>
      </w:r>
      <w:r w:rsidRPr="001B3BA5">
        <w:rPr>
          <w:rFonts w:asciiTheme="majorBidi" w:hAnsiTheme="majorBidi" w:cstheme="majorBidi"/>
          <w:sz w:val="24"/>
          <w:szCs w:val="24"/>
          <w:lang w:val="en-GB"/>
        </w:rPr>
        <w:t>ll correlations were significant and in the expected direction</w:t>
      </w:r>
      <w:bookmarkEnd w:id="23"/>
      <w:r w:rsidR="0051771C" w:rsidRPr="001B3BA5">
        <w:rPr>
          <w:rFonts w:ascii="Times" w:hAnsi="Times"/>
          <w:sz w:val="24"/>
          <w:szCs w:val="24"/>
          <w:lang w:val="en-GB"/>
        </w:rPr>
        <w:t>.</w:t>
      </w:r>
    </w:p>
    <w:p w14:paraId="4FBF3ECC" w14:textId="5FA4DAB4" w:rsidR="00483DAA" w:rsidRPr="001B3BA5" w:rsidRDefault="003F0E88" w:rsidP="00584266">
      <w:pPr>
        <w:spacing w:after="0" w:line="480" w:lineRule="exact"/>
        <w:ind w:firstLine="709"/>
        <w:rPr>
          <w:rFonts w:asciiTheme="majorBidi" w:hAnsiTheme="majorBidi" w:cstheme="majorBidi"/>
          <w:b/>
          <w:sz w:val="24"/>
          <w:szCs w:val="24"/>
          <w:lang w:val="en-GB"/>
        </w:rPr>
      </w:pPr>
      <w:bookmarkStart w:id="25" w:name="_Hlk34379777"/>
      <w:bookmarkStart w:id="26" w:name="_Hlk18075008"/>
      <w:bookmarkStart w:id="27" w:name="_Hlk34381698"/>
      <w:bookmarkStart w:id="28" w:name="_Hlk18311169"/>
      <w:bookmarkEnd w:id="16"/>
      <w:r w:rsidRPr="001B3BA5">
        <w:rPr>
          <w:rFonts w:asciiTheme="majorBidi" w:hAnsiTheme="majorBidi"/>
          <w:b/>
          <w:sz w:val="24"/>
          <w:lang w:val="en-GB"/>
        </w:rPr>
        <w:t>Structural model</w:t>
      </w:r>
      <w:r w:rsidR="00C64364" w:rsidRPr="001B3BA5">
        <w:rPr>
          <w:rFonts w:asciiTheme="majorBidi" w:hAnsiTheme="majorBidi"/>
          <w:i/>
          <w:sz w:val="24"/>
          <w:lang w:val="en-GB"/>
        </w:rPr>
        <w:t>.</w:t>
      </w:r>
      <w:r w:rsidR="00B7761D" w:rsidRPr="001B3BA5">
        <w:rPr>
          <w:rFonts w:asciiTheme="majorBidi" w:hAnsiTheme="majorBidi"/>
          <w:iCs/>
          <w:sz w:val="24"/>
          <w:lang w:val="en-GB"/>
        </w:rPr>
        <w:t xml:space="preserve"> </w:t>
      </w:r>
      <w:bookmarkStart w:id="29" w:name="_Hlk34379840"/>
      <w:bookmarkEnd w:id="25"/>
      <w:r w:rsidR="00792F6A" w:rsidRPr="001B3BA5">
        <w:rPr>
          <w:rFonts w:asciiTheme="majorBidi" w:hAnsiTheme="majorBidi" w:cstheme="majorBidi"/>
          <w:sz w:val="24"/>
          <w:szCs w:val="24"/>
          <w:lang w:val="en-GB"/>
        </w:rPr>
        <w:t>W</w:t>
      </w:r>
      <w:r w:rsidR="00C64364" w:rsidRPr="001B3BA5">
        <w:rPr>
          <w:rFonts w:asciiTheme="majorBidi" w:hAnsiTheme="majorBidi" w:cstheme="majorBidi"/>
          <w:sz w:val="24"/>
          <w:szCs w:val="24"/>
          <w:lang w:val="en-GB"/>
        </w:rPr>
        <w:t xml:space="preserve">e regressed immigrant minority attitudes and </w:t>
      </w:r>
      <w:r w:rsidR="00F17C87" w:rsidRPr="001B3BA5">
        <w:rPr>
          <w:rFonts w:asciiTheme="majorBidi" w:hAnsiTheme="majorBidi" w:cstheme="majorBidi"/>
          <w:sz w:val="24"/>
          <w:szCs w:val="24"/>
          <w:lang w:val="en-GB"/>
        </w:rPr>
        <w:t>European integration</w:t>
      </w:r>
      <w:r w:rsidR="00C64364" w:rsidRPr="001B3BA5">
        <w:rPr>
          <w:rFonts w:asciiTheme="majorBidi" w:hAnsiTheme="majorBidi" w:cstheme="majorBidi"/>
          <w:sz w:val="24"/>
          <w:szCs w:val="24"/>
          <w:lang w:val="en-GB"/>
        </w:rPr>
        <w:t xml:space="preserve"> attitudes on CPO</w:t>
      </w:r>
      <w:r w:rsidR="00253931" w:rsidRPr="001B3BA5">
        <w:rPr>
          <w:rFonts w:asciiTheme="majorBidi" w:hAnsiTheme="majorBidi" w:cstheme="majorBidi"/>
          <w:sz w:val="24"/>
          <w:szCs w:val="24"/>
          <w:lang w:val="en-GB"/>
        </w:rPr>
        <w:t xml:space="preserve">, mediated by </w:t>
      </w:r>
      <w:r w:rsidR="00DC01FF" w:rsidRPr="001B3BA5">
        <w:rPr>
          <w:rFonts w:asciiTheme="majorBidi" w:hAnsiTheme="majorBidi" w:cstheme="majorBidi"/>
          <w:sz w:val="24"/>
          <w:szCs w:val="24"/>
          <w:lang w:val="en-GB"/>
        </w:rPr>
        <w:t>exclusive determination right</w:t>
      </w:r>
      <w:r w:rsidR="008A0313" w:rsidRPr="001B3BA5">
        <w:rPr>
          <w:rFonts w:asciiTheme="majorBidi" w:hAnsiTheme="majorBidi" w:cstheme="majorBidi"/>
          <w:sz w:val="24"/>
          <w:szCs w:val="24"/>
          <w:lang w:val="en-GB"/>
        </w:rPr>
        <w:t xml:space="preserve"> and including all control variables</w:t>
      </w:r>
      <w:r w:rsidR="00C64364" w:rsidRPr="001B3BA5">
        <w:rPr>
          <w:rFonts w:asciiTheme="majorBidi" w:hAnsiTheme="majorBidi" w:cstheme="majorBidi"/>
          <w:sz w:val="24"/>
          <w:szCs w:val="24"/>
          <w:lang w:val="en-GB"/>
        </w:rPr>
        <w:t>.</w:t>
      </w:r>
      <w:bookmarkEnd w:id="29"/>
      <w:r w:rsidR="00C64364" w:rsidRPr="001B3BA5">
        <w:rPr>
          <w:rFonts w:asciiTheme="majorBidi" w:hAnsiTheme="majorBidi" w:cstheme="majorBidi"/>
          <w:sz w:val="24"/>
          <w:szCs w:val="24"/>
          <w:lang w:val="en-GB"/>
        </w:rPr>
        <w:t xml:space="preserve"> </w:t>
      </w:r>
      <w:bookmarkStart w:id="30" w:name="_Hlk34379913"/>
      <w:r w:rsidR="00C64364" w:rsidRPr="001B3BA5">
        <w:rPr>
          <w:rFonts w:asciiTheme="majorBidi" w:hAnsiTheme="majorBidi" w:cstheme="majorBidi"/>
          <w:sz w:val="24"/>
          <w:szCs w:val="24"/>
          <w:lang w:val="en-GB"/>
        </w:rPr>
        <w:t xml:space="preserve">The </w:t>
      </w:r>
      <w:r w:rsidR="007E239D" w:rsidRPr="001B3BA5">
        <w:rPr>
          <w:rFonts w:asciiTheme="majorBidi" w:hAnsiTheme="majorBidi" w:cstheme="majorBidi"/>
          <w:sz w:val="24"/>
          <w:szCs w:val="24"/>
          <w:lang w:val="en-GB"/>
        </w:rPr>
        <w:t>standard</w:t>
      </w:r>
      <w:r w:rsidR="008643F0" w:rsidRPr="001B3BA5">
        <w:rPr>
          <w:rFonts w:asciiTheme="majorBidi" w:hAnsiTheme="majorBidi" w:cstheme="majorBidi"/>
          <w:sz w:val="24"/>
          <w:szCs w:val="24"/>
          <w:lang w:val="en-GB"/>
        </w:rPr>
        <w:t>ise</w:t>
      </w:r>
      <w:r w:rsidR="007E239D" w:rsidRPr="001B3BA5">
        <w:rPr>
          <w:rFonts w:asciiTheme="majorBidi" w:hAnsiTheme="majorBidi" w:cstheme="majorBidi"/>
          <w:sz w:val="24"/>
          <w:szCs w:val="24"/>
          <w:lang w:val="en-GB"/>
        </w:rPr>
        <w:t xml:space="preserve">d </w:t>
      </w:r>
      <w:r w:rsidR="008D7E87" w:rsidRPr="001B3BA5">
        <w:rPr>
          <w:rFonts w:asciiTheme="majorBidi" w:hAnsiTheme="majorBidi" w:cstheme="majorBidi"/>
          <w:sz w:val="24"/>
          <w:szCs w:val="24"/>
          <w:lang w:val="en-GB"/>
        </w:rPr>
        <w:t xml:space="preserve">total effects </w:t>
      </w:r>
      <w:r w:rsidR="00C64364" w:rsidRPr="001B3BA5">
        <w:rPr>
          <w:rFonts w:asciiTheme="majorBidi" w:hAnsiTheme="majorBidi" w:cstheme="majorBidi"/>
          <w:sz w:val="24"/>
          <w:szCs w:val="24"/>
          <w:lang w:val="en-GB"/>
        </w:rPr>
        <w:t xml:space="preserve">show that CPO </w:t>
      </w:r>
      <w:r w:rsidR="005B30C8" w:rsidRPr="001B3BA5">
        <w:rPr>
          <w:rFonts w:asciiTheme="majorBidi" w:hAnsiTheme="majorBidi" w:cstheme="majorBidi"/>
          <w:sz w:val="24"/>
          <w:szCs w:val="24"/>
          <w:lang w:val="en-GB"/>
        </w:rPr>
        <w:t xml:space="preserve">was </w:t>
      </w:r>
      <w:r w:rsidR="003C5775" w:rsidRPr="001B3BA5">
        <w:rPr>
          <w:rFonts w:asciiTheme="majorBidi" w:hAnsiTheme="majorBidi" w:cstheme="majorBidi"/>
          <w:sz w:val="24"/>
          <w:szCs w:val="24"/>
          <w:lang w:val="en-GB"/>
        </w:rPr>
        <w:t>related to more negative attitudes towards immigrant minorities (</w:t>
      </w:r>
      <w:r w:rsidR="003C5775" w:rsidRPr="001B3BA5">
        <w:rPr>
          <w:rFonts w:asciiTheme="majorBidi" w:eastAsia="Times New Roman" w:hAnsiTheme="majorBidi" w:cstheme="majorBidi"/>
          <w:i/>
          <w:iCs/>
          <w:color w:val="000000"/>
          <w:sz w:val="24"/>
          <w:szCs w:val="24"/>
          <w:lang w:val="en-GB" w:eastAsia="nl-NL"/>
        </w:rPr>
        <w:t xml:space="preserve">β </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w:t>
      </w:r>
      <w:r w:rsidR="00B7761D" w:rsidRPr="001B3BA5">
        <w:rPr>
          <w:rFonts w:asciiTheme="majorBidi" w:hAnsiTheme="majorBidi" w:cstheme="majorBidi"/>
          <w:sz w:val="24"/>
          <w:szCs w:val="24"/>
          <w:lang w:val="en-GB"/>
        </w:rPr>
        <w:t>244</w:t>
      </w:r>
      <w:r w:rsidR="003C5775" w:rsidRPr="001B3BA5">
        <w:rPr>
          <w:rFonts w:asciiTheme="majorBidi" w:hAnsiTheme="majorBidi" w:cstheme="majorBidi"/>
          <w:sz w:val="24"/>
          <w:szCs w:val="24"/>
          <w:lang w:val="en-GB"/>
        </w:rPr>
        <w:t xml:space="preserve">, </w:t>
      </w:r>
      <w:r w:rsidR="003C5775"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.0</w:t>
      </w:r>
      <w:r w:rsidR="00B7761D" w:rsidRPr="001B3BA5">
        <w:rPr>
          <w:rFonts w:asciiTheme="majorBidi" w:hAnsiTheme="majorBidi" w:cstheme="majorBidi"/>
          <w:sz w:val="24"/>
          <w:szCs w:val="24"/>
          <w:lang w:val="en-GB"/>
        </w:rPr>
        <w:t>52</w:t>
      </w:r>
      <w:r w:rsidR="003C5775" w:rsidRPr="001B3BA5">
        <w:rPr>
          <w:rFonts w:asciiTheme="majorBidi" w:hAnsiTheme="majorBidi" w:cstheme="majorBidi"/>
          <w:sz w:val="24"/>
          <w:szCs w:val="24"/>
          <w:lang w:val="en-GB"/>
        </w:rPr>
        <w:t xml:space="preserve">, </w:t>
      </w:r>
      <w:r w:rsidR="003C5775"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&lt;</w:t>
      </w:r>
      <w:r w:rsidR="003C5775" w:rsidRPr="001B3BA5">
        <w:rPr>
          <w:rFonts w:asciiTheme="majorBidi" w:hAnsiTheme="majorBidi" w:cstheme="majorBidi"/>
          <w:sz w:val="24"/>
          <w:szCs w:val="24"/>
          <w:lang w:val="en-GB"/>
        </w:rPr>
        <w:t>.001) and European integration (</w:t>
      </w:r>
      <w:r w:rsidR="003C5775" w:rsidRPr="001B3BA5">
        <w:rPr>
          <w:rFonts w:asciiTheme="majorBidi" w:eastAsia="Times New Roman" w:hAnsiTheme="majorBidi" w:cstheme="majorBidi"/>
          <w:i/>
          <w:iCs/>
          <w:color w:val="000000"/>
          <w:sz w:val="24"/>
          <w:szCs w:val="24"/>
          <w:lang w:val="en-GB" w:eastAsia="nl-NL"/>
        </w:rPr>
        <w:t xml:space="preserve">β </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-.3</w:t>
      </w:r>
      <w:r w:rsidR="00B7761D" w:rsidRPr="001B3BA5">
        <w:rPr>
          <w:rFonts w:asciiTheme="majorBidi" w:hAnsiTheme="majorBidi" w:cstheme="majorBidi"/>
          <w:sz w:val="24"/>
          <w:szCs w:val="24"/>
          <w:lang w:val="en-GB"/>
        </w:rPr>
        <w:t>41</w:t>
      </w:r>
      <w:r w:rsidR="003C5775" w:rsidRPr="001B3BA5">
        <w:rPr>
          <w:rFonts w:asciiTheme="majorBidi" w:hAnsiTheme="majorBidi" w:cstheme="majorBidi"/>
          <w:sz w:val="24"/>
          <w:szCs w:val="24"/>
          <w:lang w:val="en-GB"/>
        </w:rPr>
        <w:t xml:space="preserve">, </w:t>
      </w:r>
      <w:r w:rsidR="003C5775"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.0</w:t>
      </w:r>
      <w:r w:rsidR="00B7761D" w:rsidRPr="001B3BA5">
        <w:rPr>
          <w:rFonts w:asciiTheme="majorBidi" w:hAnsiTheme="majorBidi" w:cstheme="majorBidi"/>
          <w:sz w:val="24"/>
          <w:szCs w:val="24"/>
          <w:lang w:val="en-GB"/>
        </w:rPr>
        <w:t>52</w:t>
      </w:r>
      <w:r w:rsidR="003C5775" w:rsidRPr="001B3BA5">
        <w:rPr>
          <w:rFonts w:asciiTheme="majorBidi" w:hAnsiTheme="majorBidi" w:cstheme="majorBidi"/>
          <w:sz w:val="24"/>
          <w:szCs w:val="24"/>
          <w:lang w:val="en-GB"/>
        </w:rPr>
        <w:t xml:space="preserve">, </w:t>
      </w:r>
      <w:r w:rsidR="003C5775"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&lt;</w:t>
      </w:r>
      <w:r w:rsidR="003C5775" w:rsidRPr="001B3BA5">
        <w:rPr>
          <w:rFonts w:asciiTheme="majorBidi" w:hAnsiTheme="majorBidi" w:cstheme="majorBidi"/>
          <w:sz w:val="24"/>
          <w:szCs w:val="24"/>
          <w:lang w:val="en-GB"/>
        </w:rPr>
        <w:t>.001), consistent with H1a and H1b</w:t>
      </w:r>
      <w:r w:rsidR="007C6CCC" w:rsidRPr="001B3BA5">
        <w:rPr>
          <w:rFonts w:asciiTheme="majorBidi" w:hAnsiTheme="majorBidi" w:cstheme="majorBidi"/>
          <w:sz w:val="24"/>
          <w:szCs w:val="24"/>
          <w:lang w:val="en-GB"/>
        </w:rPr>
        <w:t xml:space="preserve"> (</w:t>
      </w:r>
      <w:bookmarkStart w:id="31" w:name="_Hlk34380144"/>
      <w:bookmarkEnd w:id="30"/>
      <w:r w:rsidR="007C6CCC" w:rsidRPr="001B3BA5">
        <w:rPr>
          <w:rFonts w:asciiTheme="majorBidi" w:hAnsiTheme="majorBidi" w:cstheme="majorBidi"/>
          <w:sz w:val="24"/>
          <w:szCs w:val="24"/>
          <w:lang w:val="en-GB"/>
        </w:rPr>
        <w:t>s</w:t>
      </w:r>
      <w:r w:rsidR="00B7761D" w:rsidRPr="001B3BA5">
        <w:rPr>
          <w:rFonts w:asciiTheme="majorBidi" w:hAnsiTheme="majorBidi" w:cstheme="majorBidi"/>
          <w:sz w:val="24"/>
          <w:szCs w:val="24"/>
          <w:lang w:val="en-GB"/>
        </w:rPr>
        <w:t>ee all results</w:t>
      </w:r>
      <w:r w:rsidR="008E339B" w:rsidRPr="001B3BA5">
        <w:rPr>
          <w:rFonts w:asciiTheme="majorBidi" w:hAnsiTheme="majorBidi" w:cstheme="majorBidi"/>
          <w:sz w:val="24"/>
          <w:szCs w:val="24"/>
          <w:lang w:val="en-GB"/>
        </w:rPr>
        <w:t>, including all control variables,</w:t>
      </w:r>
      <w:r w:rsidR="00B7761D" w:rsidRPr="001B3BA5">
        <w:rPr>
          <w:rFonts w:asciiTheme="majorBidi" w:hAnsiTheme="majorBidi" w:cstheme="majorBidi"/>
          <w:sz w:val="24"/>
          <w:szCs w:val="24"/>
          <w:lang w:val="en-GB"/>
        </w:rPr>
        <w:t xml:space="preserve"> in Appendix </w:t>
      </w:r>
      <w:r w:rsidR="000B55B0" w:rsidRPr="001B3BA5">
        <w:rPr>
          <w:rFonts w:asciiTheme="majorBidi" w:hAnsiTheme="majorBidi" w:cstheme="majorBidi"/>
          <w:sz w:val="24"/>
          <w:szCs w:val="24"/>
          <w:lang w:val="en-GB"/>
        </w:rPr>
        <w:t>B</w:t>
      </w:r>
      <w:r w:rsidR="007C6CCC" w:rsidRPr="001B3BA5">
        <w:rPr>
          <w:rFonts w:asciiTheme="majorBidi" w:hAnsiTheme="majorBidi" w:cstheme="majorBidi"/>
          <w:sz w:val="24"/>
          <w:szCs w:val="24"/>
          <w:lang w:val="en-GB"/>
        </w:rPr>
        <w:t>)</w:t>
      </w:r>
      <w:r w:rsidR="00B7761D" w:rsidRPr="001B3BA5">
        <w:rPr>
          <w:rFonts w:asciiTheme="majorBidi" w:hAnsiTheme="majorBidi" w:cstheme="majorBidi"/>
          <w:sz w:val="24"/>
          <w:szCs w:val="24"/>
          <w:lang w:val="en-GB"/>
        </w:rPr>
        <w:t xml:space="preserve">. </w:t>
      </w:r>
      <w:r w:rsidR="008D7E87" w:rsidRPr="001B3BA5">
        <w:rPr>
          <w:rFonts w:asciiTheme="majorBidi" w:hAnsiTheme="majorBidi" w:cstheme="majorBidi"/>
          <w:sz w:val="24"/>
          <w:szCs w:val="24"/>
          <w:lang w:val="en-GB"/>
        </w:rPr>
        <w:t xml:space="preserve">To compare the magnitude of these results, we also obtained </w:t>
      </w:r>
      <w:r w:rsidR="00F13C63" w:rsidRPr="001B3BA5">
        <w:rPr>
          <w:rFonts w:asciiTheme="majorBidi" w:hAnsiTheme="majorBidi" w:cstheme="majorBidi"/>
          <w:sz w:val="24"/>
          <w:szCs w:val="24"/>
          <w:lang w:val="en-GB"/>
        </w:rPr>
        <w:t>standard</w:t>
      </w:r>
      <w:r w:rsidR="008643F0" w:rsidRPr="001B3BA5">
        <w:rPr>
          <w:rFonts w:asciiTheme="majorBidi" w:hAnsiTheme="majorBidi" w:cstheme="majorBidi"/>
          <w:sz w:val="24"/>
          <w:szCs w:val="24"/>
          <w:lang w:val="en-GB"/>
        </w:rPr>
        <w:t>ise</w:t>
      </w:r>
      <w:r w:rsidR="00F13C63" w:rsidRPr="001B3BA5">
        <w:rPr>
          <w:rFonts w:asciiTheme="majorBidi" w:hAnsiTheme="majorBidi" w:cstheme="majorBidi"/>
          <w:sz w:val="24"/>
          <w:szCs w:val="24"/>
          <w:lang w:val="en-GB"/>
        </w:rPr>
        <w:t xml:space="preserve">d </w:t>
      </w:r>
      <w:r w:rsidR="008D7E87" w:rsidRPr="001B3BA5">
        <w:rPr>
          <w:rFonts w:asciiTheme="majorBidi" w:hAnsiTheme="majorBidi" w:cstheme="majorBidi"/>
          <w:sz w:val="24"/>
          <w:szCs w:val="24"/>
          <w:lang w:val="en-GB"/>
        </w:rPr>
        <w:t>t</w:t>
      </w:r>
      <w:r w:rsidRPr="001B3BA5">
        <w:rPr>
          <w:rFonts w:asciiTheme="majorBidi" w:hAnsiTheme="majorBidi" w:cstheme="majorBidi"/>
          <w:sz w:val="24"/>
          <w:szCs w:val="24"/>
          <w:lang w:val="en-GB"/>
        </w:rPr>
        <w:t xml:space="preserve">otal effects </w:t>
      </w:r>
      <w:r w:rsidR="008D7E87" w:rsidRPr="001B3BA5">
        <w:rPr>
          <w:rFonts w:asciiTheme="majorBidi" w:hAnsiTheme="majorBidi" w:cstheme="majorBidi"/>
          <w:sz w:val="24"/>
          <w:szCs w:val="24"/>
          <w:lang w:val="en-GB"/>
        </w:rPr>
        <w:t xml:space="preserve">of the main control variables. These </w:t>
      </w:r>
      <w:r w:rsidRPr="001B3BA5">
        <w:rPr>
          <w:rFonts w:asciiTheme="majorBidi" w:hAnsiTheme="majorBidi" w:cstheme="majorBidi"/>
          <w:sz w:val="24"/>
          <w:szCs w:val="24"/>
          <w:lang w:val="en-GB"/>
        </w:rPr>
        <w:t>show that CPO was a stronger predictor than national identification (</w:t>
      </w:r>
      <w:r w:rsidRPr="001B3BA5">
        <w:rPr>
          <w:rFonts w:asciiTheme="majorBidi" w:eastAsia="Times New Roman" w:hAnsiTheme="majorBidi" w:cstheme="majorBidi"/>
          <w:i/>
          <w:iCs/>
          <w:color w:val="000000"/>
          <w:sz w:val="24"/>
          <w:szCs w:val="24"/>
          <w:lang w:val="en-GB" w:eastAsia="nl-NL"/>
        </w:rPr>
        <w:t xml:space="preserve">β </w:t>
      </w:r>
      <w:r w:rsidR="008D7E87" w:rsidRPr="001B3BA5">
        <w:rPr>
          <w:rFonts w:asciiTheme="majorBidi" w:eastAsia="Times New Roman" w:hAnsiTheme="majorBidi" w:cstheme="majorBidi"/>
          <w:color w:val="000000"/>
          <w:sz w:val="24"/>
          <w:szCs w:val="24"/>
          <w:vertAlign w:val="subscript"/>
          <w:lang w:val="en-GB" w:eastAsia="nl-NL"/>
        </w:rPr>
        <w:t>immigrants</w:t>
      </w:r>
      <w:r w:rsidRPr="001B3BA5">
        <w:rPr>
          <w:rFonts w:asciiTheme="majorBidi" w:hAnsiTheme="majorBidi" w:cstheme="majorBidi"/>
          <w:sz w:val="24"/>
          <w:szCs w:val="24"/>
          <w:lang w:val="en-GB"/>
        </w:rPr>
        <w:t xml:space="preserve">=-.214, </w:t>
      </w:r>
      <w:r w:rsidRPr="001B3BA5">
        <w:rPr>
          <w:rFonts w:asciiTheme="majorBidi" w:hAnsiTheme="majorBidi" w:cstheme="majorBidi"/>
          <w:i/>
          <w:sz w:val="24"/>
          <w:szCs w:val="24"/>
          <w:lang w:val="en-GB"/>
        </w:rPr>
        <w:t>SE</w:t>
      </w:r>
      <w:r w:rsidRPr="001B3BA5">
        <w:rPr>
          <w:rFonts w:asciiTheme="majorBidi" w:hAnsiTheme="majorBidi" w:cstheme="majorBidi"/>
          <w:sz w:val="24"/>
          <w:szCs w:val="24"/>
          <w:lang w:val="en-GB"/>
        </w:rPr>
        <w:t xml:space="preserve">=.088, </w:t>
      </w:r>
      <w:r w:rsidRPr="001B3BA5">
        <w:rPr>
          <w:rFonts w:asciiTheme="majorBidi" w:hAnsiTheme="majorBidi" w:cstheme="majorBidi"/>
          <w:i/>
          <w:sz w:val="24"/>
          <w:szCs w:val="24"/>
          <w:lang w:val="en-GB"/>
        </w:rPr>
        <w:t>p</w:t>
      </w:r>
      <w:r w:rsidRPr="001B3BA5">
        <w:rPr>
          <w:rFonts w:asciiTheme="majorBidi" w:hAnsiTheme="majorBidi" w:cstheme="majorBidi"/>
          <w:sz w:val="24"/>
          <w:szCs w:val="24"/>
          <w:lang w:val="en-GB"/>
        </w:rPr>
        <w:t xml:space="preserve">=.014 and </w:t>
      </w:r>
      <w:r w:rsidRPr="001B3BA5">
        <w:rPr>
          <w:rFonts w:asciiTheme="majorBidi" w:eastAsia="Times New Roman" w:hAnsiTheme="majorBidi" w:cstheme="majorBidi"/>
          <w:i/>
          <w:iCs/>
          <w:color w:val="000000"/>
          <w:sz w:val="24"/>
          <w:szCs w:val="24"/>
          <w:lang w:val="en-GB" w:eastAsia="nl-NL"/>
        </w:rPr>
        <w:t>β</w:t>
      </w:r>
      <w:r w:rsidR="008D7E87" w:rsidRPr="001B3BA5">
        <w:rPr>
          <w:rFonts w:asciiTheme="majorBidi" w:eastAsia="Times New Roman" w:hAnsiTheme="majorBidi" w:cstheme="majorBidi"/>
          <w:i/>
          <w:iCs/>
          <w:color w:val="000000"/>
          <w:sz w:val="24"/>
          <w:szCs w:val="24"/>
          <w:lang w:val="en-GB" w:eastAsia="nl-NL"/>
        </w:rPr>
        <w:t xml:space="preserve"> </w:t>
      </w:r>
      <w:r w:rsidR="008D7E87" w:rsidRPr="001B3BA5">
        <w:rPr>
          <w:rFonts w:asciiTheme="majorBidi" w:eastAsia="Times New Roman" w:hAnsiTheme="majorBidi" w:cstheme="majorBidi"/>
          <w:color w:val="000000"/>
          <w:sz w:val="24"/>
          <w:szCs w:val="24"/>
          <w:vertAlign w:val="subscript"/>
          <w:lang w:val="en-GB" w:eastAsia="nl-NL"/>
        </w:rPr>
        <w:t>EU</w:t>
      </w:r>
      <w:r w:rsidRPr="001B3BA5">
        <w:rPr>
          <w:rFonts w:asciiTheme="majorBidi" w:hAnsiTheme="majorBidi" w:cstheme="majorBidi"/>
          <w:sz w:val="24"/>
          <w:szCs w:val="24"/>
          <w:lang w:val="en-GB"/>
        </w:rPr>
        <w:t xml:space="preserve">=-.119, </w:t>
      </w:r>
      <w:r w:rsidRPr="001B3BA5">
        <w:rPr>
          <w:rFonts w:asciiTheme="majorBidi" w:hAnsiTheme="majorBidi" w:cstheme="majorBidi"/>
          <w:i/>
          <w:sz w:val="24"/>
          <w:szCs w:val="24"/>
          <w:lang w:val="en-GB"/>
        </w:rPr>
        <w:t>SE</w:t>
      </w:r>
      <w:r w:rsidRPr="001B3BA5">
        <w:rPr>
          <w:rFonts w:asciiTheme="majorBidi" w:hAnsiTheme="majorBidi" w:cstheme="majorBidi"/>
          <w:sz w:val="24"/>
          <w:szCs w:val="24"/>
          <w:lang w:val="en-GB"/>
        </w:rPr>
        <w:t xml:space="preserve">=.083, </w:t>
      </w:r>
      <w:r w:rsidRPr="001B3BA5">
        <w:rPr>
          <w:rFonts w:asciiTheme="majorBidi" w:hAnsiTheme="majorBidi" w:cstheme="majorBidi"/>
          <w:i/>
          <w:sz w:val="24"/>
          <w:szCs w:val="24"/>
          <w:lang w:val="en-GB"/>
        </w:rPr>
        <w:t>p</w:t>
      </w:r>
      <w:r w:rsidRPr="001B3BA5">
        <w:rPr>
          <w:rFonts w:asciiTheme="majorBidi" w:hAnsiTheme="majorBidi" w:cstheme="majorBidi"/>
          <w:sz w:val="24"/>
          <w:szCs w:val="24"/>
          <w:lang w:val="en-GB"/>
        </w:rPr>
        <w:t>=.155) and place attachment (</w:t>
      </w:r>
      <w:r w:rsidRPr="001B3BA5">
        <w:rPr>
          <w:rFonts w:asciiTheme="majorBidi" w:eastAsia="Times New Roman" w:hAnsiTheme="majorBidi" w:cstheme="majorBidi"/>
          <w:i/>
          <w:iCs/>
          <w:color w:val="000000"/>
          <w:sz w:val="24"/>
          <w:szCs w:val="24"/>
          <w:lang w:val="en-GB" w:eastAsia="nl-NL"/>
        </w:rPr>
        <w:t xml:space="preserve">β </w:t>
      </w:r>
      <w:r w:rsidR="008D7E87" w:rsidRPr="001B3BA5">
        <w:rPr>
          <w:rFonts w:asciiTheme="majorBidi" w:eastAsia="Times New Roman" w:hAnsiTheme="majorBidi" w:cstheme="majorBidi"/>
          <w:color w:val="000000"/>
          <w:sz w:val="24"/>
          <w:szCs w:val="24"/>
          <w:vertAlign w:val="subscript"/>
          <w:lang w:val="en-GB" w:eastAsia="nl-NL"/>
        </w:rPr>
        <w:t>immigrants</w:t>
      </w:r>
      <w:r w:rsidRPr="001B3BA5">
        <w:rPr>
          <w:rFonts w:asciiTheme="majorBidi" w:hAnsiTheme="majorBidi" w:cstheme="majorBidi"/>
          <w:sz w:val="24"/>
          <w:szCs w:val="24"/>
          <w:lang w:val="en-GB"/>
        </w:rPr>
        <w:t xml:space="preserve">=.152, </w:t>
      </w:r>
      <w:r w:rsidRPr="001B3BA5">
        <w:rPr>
          <w:rFonts w:asciiTheme="majorBidi" w:hAnsiTheme="majorBidi" w:cstheme="majorBidi"/>
          <w:i/>
          <w:sz w:val="24"/>
          <w:szCs w:val="24"/>
          <w:lang w:val="en-GB"/>
        </w:rPr>
        <w:t>SE</w:t>
      </w:r>
      <w:r w:rsidRPr="001B3BA5">
        <w:rPr>
          <w:rFonts w:asciiTheme="majorBidi" w:hAnsiTheme="majorBidi" w:cstheme="majorBidi"/>
          <w:sz w:val="24"/>
          <w:szCs w:val="24"/>
          <w:lang w:val="en-GB"/>
        </w:rPr>
        <w:t xml:space="preserve">=.078, </w:t>
      </w:r>
      <w:r w:rsidRPr="001B3BA5">
        <w:rPr>
          <w:rFonts w:asciiTheme="majorBidi" w:hAnsiTheme="majorBidi" w:cstheme="majorBidi"/>
          <w:i/>
          <w:sz w:val="24"/>
          <w:szCs w:val="24"/>
          <w:lang w:val="en-GB"/>
        </w:rPr>
        <w:t>p</w:t>
      </w:r>
      <w:r w:rsidRPr="001B3BA5">
        <w:rPr>
          <w:rFonts w:asciiTheme="majorBidi" w:hAnsiTheme="majorBidi" w:cstheme="majorBidi"/>
          <w:sz w:val="24"/>
          <w:szCs w:val="24"/>
          <w:lang w:val="en-GB"/>
        </w:rPr>
        <w:t xml:space="preserve">=.051 and </w:t>
      </w:r>
      <w:r w:rsidRPr="001B3BA5">
        <w:rPr>
          <w:rFonts w:asciiTheme="majorBidi" w:eastAsia="Times New Roman" w:hAnsiTheme="majorBidi" w:cstheme="majorBidi"/>
          <w:i/>
          <w:iCs/>
          <w:color w:val="000000"/>
          <w:sz w:val="24"/>
          <w:szCs w:val="24"/>
          <w:lang w:val="en-GB" w:eastAsia="nl-NL"/>
        </w:rPr>
        <w:t>β</w:t>
      </w:r>
      <w:r w:rsidR="008D7E87" w:rsidRPr="001B3BA5">
        <w:rPr>
          <w:rFonts w:asciiTheme="majorBidi" w:eastAsia="Times New Roman" w:hAnsiTheme="majorBidi" w:cstheme="majorBidi"/>
          <w:i/>
          <w:iCs/>
          <w:color w:val="000000"/>
          <w:sz w:val="24"/>
          <w:szCs w:val="24"/>
          <w:vertAlign w:val="subscript"/>
          <w:lang w:val="en-GB" w:eastAsia="nl-NL"/>
        </w:rPr>
        <w:t xml:space="preserve"> </w:t>
      </w:r>
      <w:r w:rsidR="008D7E87" w:rsidRPr="001B3BA5">
        <w:rPr>
          <w:rFonts w:asciiTheme="majorBidi" w:eastAsia="Times New Roman" w:hAnsiTheme="majorBidi" w:cstheme="majorBidi"/>
          <w:color w:val="000000"/>
          <w:sz w:val="24"/>
          <w:szCs w:val="24"/>
          <w:vertAlign w:val="subscript"/>
          <w:lang w:val="en-GB" w:eastAsia="nl-NL"/>
        </w:rPr>
        <w:t>EU</w:t>
      </w:r>
      <w:r w:rsidRPr="001B3BA5">
        <w:rPr>
          <w:rFonts w:asciiTheme="majorBidi" w:hAnsiTheme="majorBidi" w:cstheme="majorBidi"/>
          <w:sz w:val="24"/>
          <w:szCs w:val="24"/>
          <w:lang w:val="en-GB"/>
        </w:rPr>
        <w:t xml:space="preserve">=.074, </w:t>
      </w:r>
      <w:r w:rsidRPr="001B3BA5">
        <w:rPr>
          <w:rFonts w:asciiTheme="majorBidi" w:hAnsiTheme="majorBidi" w:cstheme="majorBidi"/>
          <w:i/>
          <w:sz w:val="24"/>
          <w:szCs w:val="24"/>
          <w:lang w:val="en-GB"/>
        </w:rPr>
        <w:t>SE</w:t>
      </w:r>
      <w:r w:rsidRPr="001B3BA5">
        <w:rPr>
          <w:rFonts w:asciiTheme="majorBidi" w:hAnsiTheme="majorBidi" w:cstheme="majorBidi"/>
          <w:sz w:val="24"/>
          <w:szCs w:val="24"/>
          <w:lang w:val="en-GB"/>
        </w:rPr>
        <w:t xml:space="preserve">=.072, </w:t>
      </w:r>
      <w:r w:rsidRPr="001B3BA5">
        <w:rPr>
          <w:rFonts w:asciiTheme="majorBidi" w:hAnsiTheme="majorBidi" w:cstheme="majorBidi"/>
          <w:i/>
          <w:sz w:val="24"/>
          <w:szCs w:val="24"/>
          <w:lang w:val="en-GB"/>
        </w:rPr>
        <w:t>p</w:t>
      </w:r>
      <w:r w:rsidRPr="001B3BA5">
        <w:rPr>
          <w:rFonts w:asciiTheme="majorBidi" w:hAnsiTheme="majorBidi" w:cstheme="majorBidi"/>
          <w:sz w:val="24"/>
          <w:szCs w:val="24"/>
          <w:lang w:val="en-GB"/>
        </w:rPr>
        <w:t>=.304).</w:t>
      </w:r>
      <w:r w:rsidRPr="001B3BA5" w:rsidDel="006908F3">
        <w:rPr>
          <w:rStyle w:val="CommentReference"/>
          <w:lang w:val="en-GB"/>
        </w:rPr>
        <w:t xml:space="preserve"> </w:t>
      </w:r>
      <w:r w:rsidRPr="001B3BA5">
        <w:rPr>
          <w:rFonts w:asciiTheme="majorBidi" w:hAnsiTheme="majorBidi" w:cstheme="majorBidi"/>
          <w:sz w:val="24"/>
          <w:szCs w:val="24"/>
          <w:lang w:val="en-GB"/>
        </w:rPr>
        <w:t>Furthermore, i</w:t>
      </w:r>
      <w:r w:rsidR="003C5775" w:rsidRPr="001B3BA5">
        <w:rPr>
          <w:rFonts w:asciiTheme="majorBidi" w:hAnsiTheme="majorBidi" w:cstheme="majorBidi"/>
          <w:sz w:val="24"/>
          <w:szCs w:val="24"/>
          <w:lang w:val="en-GB"/>
        </w:rPr>
        <w:t xml:space="preserve">ndirect </w:t>
      </w:r>
      <w:r w:rsidR="00F13C63" w:rsidRPr="001B3BA5">
        <w:rPr>
          <w:rFonts w:asciiTheme="majorBidi" w:hAnsiTheme="majorBidi" w:cstheme="majorBidi"/>
          <w:sz w:val="24"/>
          <w:szCs w:val="24"/>
          <w:lang w:val="en-GB"/>
        </w:rPr>
        <w:t xml:space="preserve">associations </w:t>
      </w:r>
      <w:r w:rsidR="003C5775" w:rsidRPr="001B3BA5">
        <w:rPr>
          <w:rFonts w:asciiTheme="majorBidi" w:hAnsiTheme="majorBidi" w:cstheme="majorBidi"/>
          <w:sz w:val="24"/>
          <w:szCs w:val="24"/>
          <w:lang w:val="en-GB"/>
        </w:rPr>
        <w:t>i</w:t>
      </w:r>
      <w:r w:rsidR="007C6CCC" w:rsidRPr="001B3BA5">
        <w:rPr>
          <w:rFonts w:asciiTheme="majorBidi" w:hAnsiTheme="majorBidi" w:cstheme="majorBidi"/>
          <w:sz w:val="24"/>
          <w:szCs w:val="24"/>
          <w:lang w:val="en-GB"/>
        </w:rPr>
        <w:t>ndicate</w:t>
      </w:r>
      <w:r w:rsidR="003C5775" w:rsidRPr="001B3BA5">
        <w:rPr>
          <w:rFonts w:asciiTheme="majorBidi" w:hAnsiTheme="majorBidi" w:cstheme="majorBidi"/>
          <w:sz w:val="24"/>
          <w:szCs w:val="24"/>
          <w:lang w:val="en-GB"/>
        </w:rPr>
        <w:t xml:space="preserve"> that the association between CPO and immigrant minority attitudes was mediated by </w:t>
      </w:r>
      <w:r w:rsidR="00DC01FF" w:rsidRPr="001B3BA5">
        <w:rPr>
          <w:rFonts w:asciiTheme="majorBidi" w:hAnsiTheme="majorBidi" w:cstheme="majorBidi"/>
          <w:sz w:val="24"/>
          <w:szCs w:val="24"/>
          <w:lang w:val="en-GB"/>
        </w:rPr>
        <w:t>exclusive determination right</w:t>
      </w:r>
      <w:r w:rsidR="003C5775" w:rsidRPr="001B3BA5">
        <w:rPr>
          <w:rFonts w:asciiTheme="majorBidi" w:hAnsiTheme="majorBidi" w:cstheme="majorBidi"/>
          <w:sz w:val="24"/>
          <w:szCs w:val="24"/>
          <w:lang w:val="en-GB"/>
        </w:rPr>
        <w:t xml:space="preserve"> (</w:t>
      </w:r>
      <w:r w:rsidR="003C5775"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w:t>
      </w:r>
      <w:r w:rsidR="00B7761D" w:rsidRPr="001B3BA5">
        <w:rPr>
          <w:rFonts w:asciiTheme="majorBidi" w:hAnsiTheme="majorBidi" w:cstheme="majorBidi"/>
          <w:sz w:val="24"/>
          <w:szCs w:val="24"/>
          <w:lang w:val="en-GB"/>
        </w:rPr>
        <w:t>169</w:t>
      </w:r>
      <w:r w:rsidR="003C5775" w:rsidRPr="001B3BA5">
        <w:rPr>
          <w:rFonts w:asciiTheme="majorBidi" w:hAnsiTheme="majorBidi" w:cstheme="majorBidi"/>
          <w:sz w:val="24"/>
          <w:szCs w:val="24"/>
          <w:lang w:val="en-GB"/>
        </w:rPr>
        <w:t xml:space="preserve">, </w:t>
      </w:r>
      <w:r w:rsidR="003C5775"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.03</w:t>
      </w:r>
      <w:r w:rsidR="00B7761D" w:rsidRPr="001B3BA5">
        <w:rPr>
          <w:rFonts w:asciiTheme="majorBidi" w:hAnsiTheme="majorBidi" w:cstheme="majorBidi"/>
          <w:sz w:val="24"/>
          <w:szCs w:val="24"/>
          <w:lang w:val="en-GB"/>
        </w:rPr>
        <w:t>6</w:t>
      </w:r>
      <w:r w:rsidR="003C5775" w:rsidRPr="001B3BA5">
        <w:rPr>
          <w:rFonts w:asciiTheme="majorBidi" w:hAnsiTheme="majorBidi" w:cstheme="majorBidi"/>
          <w:sz w:val="24"/>
          <w:szCs w:val="24"/>
          <w:lang w:val="en-GB"/>
        </w:rPr>
        <w:t xml:space="preserve">, </w:t>
      </w:r>
      <w:r w:rsidR="003C5775"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&lt;</w:t>
      </w:r>
      <w:r w:rsidR="003C5775" w:rsidRPr="001B3BA5">
        <w:rPr>
          <w:rFonts w:asciiTheme="majorBidi" w:hAnsiTheme="majorBidi" w:cstheme="majorBidi"/>
          <w:sz w:val="24"/>
          <w:szCs w:val="24"/>
          <w:lang w:val="en-GB"/>
        </w:rPr>
        <w:t>.001</w:t>
      </w:r>
      <w:r w:rsidR="002453CB" w:rsidRPr="001B3BA5">
        <w:rPr>
          <w:rFonts w:asciiTheme="majorBidi" w:hAnsiTheme="majorBidi" w:cstheme="majorBidi"/>
          <w:sz w:val="24"/>
          <w:szCs w:val="24"/>
          <w:lang w:val="en-GB"/>
        </w:rPr>
        <w:t>, 95% CI [.</w:t>
      </w:r>
      <w:r w:rsidR="00FA206F" w:rsidRPr="001B3BA5">
        <w:rPr>
          <w:rFonts w:asciiTheme="majorBidi" w:hAnsiTheme="majorBidi" w:cstheme="majorBidi"/>
          <w:sz w:val="24"/>
          <w:szCs w:val="24"/>
          <w:lang w:val="en-GB"/>
        </w:rPr>
        <w:t>-.238</w:t>
      </w:r>
      <w:r w:rsidR="002453CB" w:rsidRPr="001B3BA5">
        <w:rPr>
          <w:rFonts w:asciiTheme="majorBidi" w:hAnsiTheme="majorBidi" w:cstheme="majorBidi"/>
          <w:sz w:val="24"/>
          <w:szCs w:val="24"/>
          <w:lang w:val="en-GB"/>
        </w:rPr>
        <w:t xml:space="preserve">, </w:t>
      </w:r>
      <w:r w:rsidR="00FA206F" w:rsidRPr="001B3BA5">
        <w:rPr>
          <w:rFonts w:asciiTheme="majorBidi" w:hAnsiTheme="majorBidi" w:cstheme="majorBidi"/>
          <w:sz w:val="24"/>
          <w:szCs w:val="24"/>
          <w:lang w:val="en-GB"/>
        </w:rPr>
        <w:t>-.099</w:t>
      </w:r>
      <w:r w:rsidR="002453CB" w:rsidRPr="001B3BA5">
        <w:rPr>
          <w:rFonts w:asciiTheme="majorBidi" w:hAnsiTheme="majorBidi" w:cstheme="majorBidi"/>
          <w:sz w:val="24"/>
          <w:szCs w:val="24"/>
          <w:lang w:val="en-GB"/>
        </w:rPr>
        <w:t>]</w:t>
      </w:r>
      <w:r w:rsidR="00143D74" w:rsidRPr="001B3BA5">
        <w:rPr>
          <w:rStyle w:val="FootnoteReference"/>
          <w:rFonts w:asciiTheme="majorBidi" w:hAnsiTheme="majorBidi" w:cstheme="majorBidi"/>
          <w:sz w:val="24"/>
          <w:szCs w:val="24"/>
          <w:lang w:val="en-GB"/>
        </w:rPr>
        <w:footnoteReference w:id="5"/>
      </w:r>
      <w:r w:rsidR="003C5775" w:rsidRPr="001B3BA5">
        <w:rPr>
          <w:rFonts w:asciiTheme="majorBidi" w:hAnsiTheme="majorBidi" w:cstheme="majorBidi"/>
          <w:sz w:val="24"/>
          <w:szCs w:val="24"/>
          <w:lang w:val="en-GB"/>
        </w:rPr>
        <w:t>)</w:t>
      </w:r>
      <w:r w:rsidR="00424A8C"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in line</w:t>
      </w:r>
      <w:r w:rsidR="00424A8C" w:rsidRPr="001B3BA5">
        <w:rPr>
          <w:rFonts w:asciiTheme="majorBidi" w:hAnsiTheme="majorBidi" w:cstheme="majorBidi"/>
          <w:sz w:val="24"/>
          <w:szCs w:val="24"/>
          <w:lang w:val="en-GB"/>
        </w:rPr>
        <w:t xml:space="preserve"> with H</w:t>
      </w:r>
      <w:r w:rsidRPr="001B3BA5">
        <w:rPr>
          <w:rFonts w:asciiTheme="majorBidi" w:hAnsiTheme="majorBidi" w:cstheme="majorBidi"/>
          <w:sz w:val="24"/>
          <w:szCs w:val="24"/>
          <w:lang w:val="en-GB"/>
        </w:rPr>
        <w:t>2a</w:t>
      </w:r>
      <w:r w:rsidR="003C5775" w:rsidRPr="001B3BA5">
        <w:rPr>
          <w:rFonts w:asciiTheme="majorBidi" w:hAnsiTheme="majorBidi" w:cstheme="majorBidi"/>
          <w:sz w:val="24"/>
          <w:szCs w:val="24"/>
          <w:lang w:val="en-GB"/>
        </w:rPr>
        <w:t>. No direct relationship remained (</w:t>
      </w:r>
      <w:r w:rsidR="003C5775"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-.0</w:t>
      </w:r>
      <w:r w:rsidR="00B7761D" w:rsidRPr="001B3BA5">
        <w:rPr>
          <w:rFonts w:asciiTheme="majorBidi" w:hAnsiTheme="majorBidi" w:cstheme="majorBidi"/>
          <w:sz w:val="24"/>
          <w:szCs w:val="24"/>
          <w:lang w:val="en-GB"/>
        </w:rPr>
        <w:t>76</w:t>
      </w:r>
      <w:r w:rsidR="003C5775" w:rsidRPr="001B3BA5">
        <w:rPr>
          <w:rFonts w:asciiTheme="majorBidi" w:hAnsiTheme="majorBidi" w:cstheme="majorBidi"/>
          <w:sz w:val="24"/>
          <w:szCs w:val="24"/>
          <w:lang w:val="en-GB"/>
        </w:rPr>
        <w:t xml:space="preserve">, </w:t>
      </w:r>
      <w:r w:rsidR="003C5775"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.05</w:t>
      </w:r>
      <w:r w:rsidR="00B7761D" w:rsidRPr="001B3BA5">
        <w:rPr>
          <w:rFonts w:asciiTheme="majorBidi" w:hAnsiTheme="majorBidi" w:cstheme="majorBidi"/>
          <w:sz w:val="24"/>
          <w:szCs w:val="24"/>
          <w:lang w:val="en-GB"/>
        </w:rPr>
        <w:t>9</w:t>
      </w:r>
      <w:r w:rsidR="003C5775" w:rsidRPr="001B3BA5">
        <w:rPr>
          <w:rFonts w:asciiTheme="majorBidi" w:hAnsiTheme="majorBidi" w:cstheme="majorBidi"/>
          <w:sz w:val="24"/>
          <w:szCs w:val="24"/>
          <w:lang w:val="en-GB"/>
        </w:rPr>
        <w:t xml:space="preserve">, </w:t>
      </w:r>
      <w:r w:rsidR="003C5775"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.1</w:t>
      </w:r>
      <w:r w:rsidR="00B7761D" w:rsidRPr="001B3BA5">
        <w:rPr>
          <w:rFonts w:asciiTheme="majorBidi" w:hAnsiTheme="majorBidi" w:cstheme="majorBidi"/>
          <w:sz w:val="24"/>
          <w:szCs w:val="24"/>
          <w:lang w:val="en-GB"/>
        </w:rPr>
        <w:t>98</w:t>
      </w:r>
      <w:r w:rsidR="003C5775" w:rsidRPr="001B3BA5">
        <w:rPr>
          <w:rFonts w:asciiTheme="majorBidi" w:hAnsiTheme="majorBidi" w:cstheme="majorBidi"/>
          <w:sz w:val="24"/>
          <w:szCs w:val="24"/>
          <w:lang w:val="en-GB"/>
        </w:rPr>
        <w:t xml:space="preserve">). </w:t>
      </w:r>
      <w:r w:rsidR="00246121" w:rsidRPr="001B3BA5">
        <w:rPr>
          <w:rFonts w:asciiTheme="majorBidi" w:hAnsiTheme="majorBidi" w:cstheme="majorBidi"/>
          <w:sz w:val="24"/>
          <w:szCs w:val="24"/>
          <w:lang w:val="en-GB"/>
        </w:rPr>
        <w:t>Consistent with H2b, t</w:t>
      </w:r>
      <w:r w:rsidR="003C5775" w:rsidRPr="001B3BA5">
        <w:rPr>
          <w:rFonts w:asciiTheme="majorBidi" w:hAnsiTheme="majorBidi" w:cstheme="majorBidi"/>
          <w:sz w:val="24"/>
          <w:szCs w:val="24"/>
          <w:lang w:val="en-GB"/>
        </w:rPr>
        <w:t>he association between CPO and European integration attitudes was part</w:t>
      </w:r>
      <w:r w:rsidRPr="001B3BA5">
        <w:rPr>
          <w:rFonts w:asciiTheme="majorBidi" w:hAnsiTheme="majorBidi" w:cstheme="majorBidi"/>
          <w:sz w:val="24"/>
          <w:szCs w:val="24"/>
          <w:lang w:val="en-GB"/>
        </w:rPr>
        <w:t>ial</w:t>
      </w:r>
      <w:r w:rsidR="003C5775" w:rsidRPr="001B3BA5">
        <w:rPr>
          <w:rFonts w:asciiTheme="majorBidi" w:hAnsiTheme="majorBidi" w:cstheme="majorBidi"/>
          <w:sz w:val="24"/>
          <w:szCs w:val="24"/>
          <w:lang w:val="en-GB"/>
        </w:rPr>
        <w:t xml:space="preserve">ly mediated by </w:t>
      </w:r>
      <w:r w:rsidR="00DC01FF" w:rsidRPr="001B3BA5">
        <w:rPr>
          <w:rFonts w:asciiTheme="majorBidi" w:hAnsiTheme="majorBidi" w:cstheme="majorBidi"/>
          <w:sz w:val="24"/>
          <w:szCs w:val="24"/>
          <w:lang w:val="en-GB"/>
        </w:rPr>
        <w:t>exclusive determination right</w:t>
      </w:r>
      <w:r w:rsidR="003C5775" w:rsidRPr="001B3BA5">
        <w:rPr>
          <w:rFonts w:asciiTheme="majorBidi" w:hAnsiTheme="majorBidi" w:cstheme="majorBidi"/>
          <w:sz w:val="24"/>
          <w:szCs w:val="24"/>
          <w:lang w:val="en-GB"/>
        </w:rPr>
        <w:t xml:space="preserve"> (</w:t>
      </w:r>
      <w:r w:rsidR="003C5775"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w:t>
      </w:r>
      <w:r w:rsidR="00B7761D" w:rsidRPr="001B3BA5">
        <w:rPr>
          <w:rFonts w:asciiTheme="majorBidi" w:hAnsiTheme="majorBidi" w:cstheme="majorBidi"/>
          <w:sz w:val="24"/>
          <w:szCs w:val="24"/>
          <w:lang w:val="en-GB"/>
        </w:rPr>
        <w:t>182</w:t>
      </w:r>
      <w:r w:rsidR="003C5775" w:rsidRPr="001B3BA5">
        <w:rPr>
          <w:rFonts w:asciiTheme="majorBidi" w:hAnsiTheme="majorBidi" w:cstheme="majorBidi"/>
          <w:sz w:val="24"/>
          <w:szCs w:val="24"/>
          <w:lang w:val="en-GB"/>
        </w:rPr>
        <w:t xml:space="preserve">, </w:t>
      </w:r>
      <w:r w:rsidR="003C5775"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.03</w:t>
      </w:r>
      <w:r w:rsidR="00B7761D" w:rsidRPr="001B3BA5">
        <w:rPr>
          <w:rFonts w:asciiTheme="majorBidi" w:hAnsiTheme="majorBidi" w:cstheme="majorBidi"/>
          <w:sz w:val="24"/>
          <w:szCs w:val="24"/>
          <w:lang w:val="en-GB"/>
        </w:rPr>
        <w:t>5</w:t>
      </w:r>
      <w:r w:rsidR="003C5775" w:rsidRPr="001B3BA5">
        <w:rPr>
          <w:rFonts w:asciiTheme="majorBidi" w:hAnsiTheme="majorBidi" w:cstheme="majorBidi"/>
          <w:sz w:val="24"/>
          <w:szCs w:val="24"/>
          <w:lang w:val="en-GB"/>
        </w:rPr>
        <w:t xml:space="preserve">, </w:t>
      </w:r>
      <w:r w:rsidR="003C5775"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&lt;</w:t>
      </w:r>
      <w:r w:rsidR="003C5775" w:rsidRPr="001B3BA5">
        <w:rPr>
          <w:rFonts w:asciiTheme="majorBidi" w:hAnsiTheme="majorBidi" w:cstheme="majorBidi"/>
          <w:sz w:val="24"/>
          <w:szCs w:val="24"/>
          <w:lang w:val="en-GB"/>
        </w:rPr>
        <w:t>.001</w:t>
      </w:r>
      <w:r w:rsidR="00FA206F" w:rsidRPr="001B3BA5">
        <w:rPr>
          <w:rFonts w:asciiTheme="majorBidi" w:hAnsiTheme="majorBidi" w:cstheme="majorBidi"/>
          <w:sz w:val="24"/>
          <w:szCs w:val="24"/>
          <w:lang w:val="en-GB"/>
        </w:rPr>
        <w:t>, 95% CI [-.249, -.115]</w:t>
      </w:r>
      <w:r w:rsidR="003C5775" w:rsidRPr="001B3BA5">
        <w:rPr>
          <w:rFonts w:asciiTheme="majorBidi" w:hAnsiTheme="majorBidi" w:cstheme="majorBidi"/>
          <w:sz w:val="24"/>
          <w:szCs w:val="24"/>
          <w:lang w:val="en-GB"/>
        </w:rPr>
        <w:t xml:space="preserve">), given that </w:t>
      </w:r>
      <w:r w:rsidR="00D55C68" w:rsidRPr="001B3BA5">
        <w:rPr>
          <w:rFonts w:asciiTheme="majorBidi" w:hAnsiTheme="majorBidi" w:cstheme="majorBidi"/>
          <w:sz w:val="24"/>
          <w:szCs w:val="24"/>
          <w:lang w:val="en-GB"/>
        </w:rPr>
        <w:t>a</w:t>
      </w:r>
      <w:r w:rsidR="003C5775" w:rsidRPr="001B3BA5">
        <w:rPr>
          <w:rFonts w:asciiTheme="majorBidi" w:hAnsiTheme="majorBidi" w:cstheme="majorBidi"/>
          <w:sz w:val="24"/>
          <w:szCs w:val="24"/>
          <w:lang w:val="en-GB"/>
        </w:rPr>
        <w:t xml:space="preserve"> direct negative </w:t>
      </w:r>
      <w:r w:rsidR="00D55C68" w:rsidRPr="001B3BA5">
        <w:rPr>
          <w:rFonts w:asciiTheme="majorBidi" w:hAnsiTheme="majorBidi" w:cstheme="majorBidi"/>
          <w:sz w:val="24"/>
          <w:szCs w:val="24"/>
          <w:lang w:val="en-GB"/>
        </w:rPr>
        <w:t xml:space="preserve">path remained </w:t>
      </w:r>
      <w:r w:rsidR="003C5775" w:rsidRPr="001B3BA5">
        <w:rPr>
          <w:rFonts w:asciiTheme="majorBidi" w:hAnsiTheme="majorBidi" w:cstheme="majorBidi"/>
          <w:sz w:val="24"/>
          <w:szCs w:val="24"/>
          <w:lang w:val="en-GB"/>
        </w:rPr>
        <w:t>(</w:t>
      </w:r>
      <w:r w:rsidR="003C5775"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 xml:space="preserve">-.159, </w:t>
      </w:r>
      <w:r w:rsidR="003C5775"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.0</w:t>
      </w:r>
      <w:r w:rsidR="00B7761D" w:rsidRPr="001B3BA5">
        <w:rPr>
          <w:rFonts w:asciiTheme="majorBidi" w:hAnsiTheme="majorBidi" w:cstheme="majorBidi"/>
          <w:sz w:val="24"/>
          <w:szCs w:val="24"/>
          <w:lang w:val="en-GB"/>
        </w:rPr>
        <w:t>61</w:t>
      </w:r>
      <w:r w:rsidR="003C5775" w:rsidRPr="001B3BA5">
        <w:rPr>
          <w:rFonts w:asciiTheme="majorBidi" w:hAnsiTheme="majorBidi" w:cstheme="majorBidi"/>
          <w:sz w:val="24"/>
          <w:szCs w:val="24"/>
          <w:lang w:val="en-GB"/>
        </w:rPr>
        <w:t xml:space="preserve">, </w:t>
      </w:r>
      <w:r w:rsidR="003C5775"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w:t>
      </w:r>
      <w:r w:rsidR="003C5775" w:rsidRPr="001B3BA5">
        <w:rPr>
          <w:rFonts w:asciiTheme="majorBidi" w:hAnsiTheme="majorBidi" w:cstheme="majorBidi"/>
          <w:sz w:val="24"/>
          <w:szCs w:val="24"/>
          <w:lang w:val="en-GB"/>
        </w:rPr>
        <w:t>.00</w:t>
      </w:r>
      <w:r w:rsidR="00B7761D" w:rsidRPr="001B3BA5">
        <w:rPr>
          <w:rFonts w:asciiTheme="majorBidi" w:hAnsiTheme="majorBidi" w:cstheme="majorBidi"/>
          <w:sz w:val="24"/>
          <w:szCs w:val="24"/>
          <w:lang w:val="en-GB"/>
        </w:rPr>
        <w:t>9</w:t>
      </w:r>
      <w:r w:rsidR="003C5775" w:rsidRPr="001B3BA5">
        <w:rPr>
          <w:rFonts w:asciiTheme="majorBidi" w:hAnsiTheme="majorBidi" w:cstheme="majorBidi"/>
          <w:sz w:val="24"/>
          <w:szCs w:val="24"/>
          <w:lang w:val="en-GB"/>
        </w:rPr>
        <w:t>).</w:t>
      </w:r>
      <w:r w:rsidR="00483DAA" w:rsidRPr="001B3BA5">
        <w:rPr>
          <w:rFonts w:asciiTheme="majorBidi" w:hAnsiTheme="majorBidi" w:cstheme="majorBidi"/>
          <w:sz w:val="24"/>
          <w:szCs w:val="24"/>
          <w:lang w:val="en-GB"/>
        </w:rPr>
        <w:t xml:space="preserve"> </w:t>
      </w:r>
    </w:p>
    <w:bookmarkEnd w:id="26"/>
    <w:bookmarkEnd w:id="31"/>
    <w:p w14:paraId="0215E0CB" w14:textId="5996082F" w:rsidR="00C64364" w:rsidRPr="001B3BA5" w:rsidRDefault="00B7761D" w:rsidP="00584266">
      <w:pPr>
        <w:spacing w:after="0" w:line="480" w:lineRule="exact"/>
        <w:ind w:firstLine="709"/>
        <w:rPr>
          <w:rFonts w:asciiTheme="majorBidi" w:hAnsiTheme="majorBidi" w:cstheme="majorBidi"/>
          <w:sz w:val="24"/>
          <w:szCs w:val="24"/>
          <w:lang w:val="en-GB"/>
        </w:rPr>
      </w:pPr>
      <w:r w:rsidRPr="001B3BA5">
        <w:rPr>
          <w:rFonts w:asciiTheme="majorBidi" w:hAnsiTheme="majorBidi" w:cstheme="majorBidi"/>
          <w:sz w:val="24"/>
          <w:szCs w:val="24"/>
          <w:lang w:val="en-GB"/>
        </w:rPr>
        <w:t>Figure 1 shows the standard</w:t>
      </w:r>
      <w:r w:rsidR="008643F0" w:rsidRPr="001B3BA5">
        <w:rPr>
          <w:rFonts w:asciiTheme="majorBidi" w:hAnsiTheme="majorBidi" w:cstheme="majorBidi"/>
          <w:sz w:val="24"/>
          <w:szCs w:val="24"/>
          <w:lang w:val="en-GB"/>
        </w:rPr>
        <w:t>ise</w:t>
      </w:r>
      <w:r w:rsidRPr="001B3BA5">
        <w:rPr>
          <w:rFonts w:asciiTheme="majorBidi" w:hAnsiTheme="majorBidi" w:cstheme="majorBidi"/>
          <w:sz w:val="24"/>
          <w:szCs w:val="24"/>
          <w:lang w:val="en-GB"/>
        </w:rPr>
        <w:t xml:space="preserve">d coefficients of the </w:t>
      </w:r>
      <w:r w:rsidR="00C6224E" w:rsidRPr="001B3BA5">
        <w:rPr>
          <w:rFonts w:asciiTheme="majorBidi" w:hAnsiTheme="majorBidi" w:cstheme="majorBidi"/>
          <w:sz w:val="24"/>
          <w:szCs w:val="24"/>
          <w:lang w:val="en-GB"/>
        </w:rPr>
        <w:t xml:space="preserve">full </w:t>
      </w:r>
      <w:r w:rsidRPr="001B3BA5">
        <w:rPr>
          <w:rFonts w:asciiTheme="majorBidi" w:hAnsiTheme="majorBidi" w:cstheme="majorBidi"/>
          <w:sz w:val="24"/>
          <w:szCs w:val="24"/>
          <w:lang w:val="en-GB"/>
        </w:rPr>
        <w:t xml:space="preserve">model </w:t>
      </w:r>
      <w:r w:rsidR="005E712E" w:rsidRPr="001B3BA5">
        <w:rPr>
          <w:rFonts w:asciiTheme="majorBidi" w:hAnsiTheme="majorBidi" w:cstheme="majorBidi"/>
          <w:sz w:val="24"/>
          <w:szCs w:val="24"/>
          <w:lang w:val="en-GB"/>
        </w:rPr>
        <w:t>with</w:t>
      </w:r>
      <w:r w:rsidRPr="001B3BA5">
        <w:rPr>
          <w:rFonts w:asciiTheme="majorBidi" w:hAnsiTheme="majorBidi" w:cstheme="majorBidi"/>
          <w:sz w:val="24"/>
          <w:szCs w:val="24"/>
          <w:lang w:val="en-GB"/>
        </w:rPr>
        <w:t xml:space="preserve"> interactions with political ideology.</w:t>
      </w:r>
      <w:r w:rsidR="00CE22B5" w:rsidRPr="001B3BA5">
        <w:rPr>
          <w:rFonts w:asciiTheme="majorBidi" w:hAnsiTheme="majorBidi" w:cstheme="majorBidi"/>
          <w:sz w:val="24"/>
          <w:szCs w:val="24"/>
          <w:lang w:val="en-GB"/>
        </w:rPr>
        <w:t xml:space="preserve"> </w:t>
      </w:r>
      <w:bookmarkStart w:id="33" w:name="_Hlk34380407"/>
      <w:r w:rsidRPr="001B3BA5">
        <w:rPr>
          <w:rFonts w:asciiTheme="majorBidi" w:hAnsiTheme="majorBidi" w:cstheme="majorBidi"/>
          <w:sz w:val="24"/>
          <w:szCs w:val="24"/>
          <w:lang w:val="en-GB"/>
        </w:rPr>
        <w:t>T</w:t>
      </w:r>
      <w:r w:rsidR="00C64364" w:rsidRPr="001B3BA5">
        <w:rPr>
          <w:rFonts w:asciiTheme="majorBidi" w:hAnsiTheme="majorBidi" w:cstheme="majorBidi"/>
          <w:sz w:val="24"/>
          <w:szCs w:val="24"/>
          <w:lang w:val="en-GB"/>
        </w:rPr>
        <w:t xml:space="preserve">he negative relationship between </w:t>
      </w:r>
      <w:r w:rsidR="00DC01FF" w:rsidRPr="001B3BA5">
        <w:rPr>
          <w:rFonts w:asciiTheme="majorBidi" w:hAnsiTheme="majorBidi" w:cstheme="majorBidi"/>
          <w:sz w:val="24"/>
          <w:szCs w:val="24"/>
          <w:lang w:val="en-GB"/>
        </w:rPr>
        <w:t>exclusive determination right</w:t>
      </w:r>
      <w:r w:rsidR="00C64364" w:rsidRPr="001B3BA5">
        <w:rPr>
          <w:rFonts w:asciiTheme="majorBidi" w:hAnsiTheme="majorBidi" w:cstheme="majorBidi"/>
          <w:sz w:val="24"/>
          <w:szCs w:val="24"/>
          <w:lang w:val="en-GB"/>
        </w:rPr>
        <w:t xml:space="preserve"> and immigrant</w:t>
      </w:r>
      <w:r w:rsidR="00362973" w:rsidRPr="001B3BA5">
        <w:rPr>
          <w:rFonts w:asciiTheme="majorBidi" w:hAnsiTheme="majorBidi" w:cstheme="majorBidi"/>
          <w:sz w:val="24"/>
          <w:szCs w:val="24"/>
          <w:lang w:val="en-GB"/>
        </w:rPr>
        <w:t xml:space="preserve"> minority</w:t>
      </w:r>
      <w:r w:rsidR="00C64364" w:rsidRPr="001B3BA5">
        <w:rPr>
          <w:rFonts w:asciiTheme="majorBidi" w:hAnsiTheme="majorBidi" w:cstheme="majorBidi"/>
          <w:sz w:val="24"/>
          <w:szCs w:val="24"/>
          <w:lang w:val="en-GB"/>
        </w:rPr>
        <w:t xml:space="preserve"> attitudes was especially strong for right-wing </w:t>
      </w:r>
      <w:r w:rsidR="00BE1F4A" w:rsidRPr="001B3BA5">
        <w:rPr>
          <w:rFonts w:asciiTheme="majorBidi" w:hAnsiTheme="majorBidi" w:cstheme="majorBidi"/>
          <w:sz w:val="24"/>
          <w:szCs w:val="24"/>
          <w:lang w:val="en-GB"/>
        </w:rPr>
        <w:t>participants</w:t>
      </w:r>
      <w:r w:rsidR="00C64364" w:rsidRPr="001B3BA5">
        <w:rPr>
          <w:rFonts w:asciiTheme="majorBidi" w:hAnsiTheme="majorBidi" w:cstheme="majorBidi"/>
          <w:sz w:val="24"/>
          <w:szCs w:val="24"/>
          <w:lang w:val="en-GB"/>
        </w:rPr>
        <w:t xml:space="preserve">, as indicated by </w:t>
      </w:r>
      <w:r w:rsidR="00BE1F4A" w:rsidRPr="001B3BA5">
        <w:rPr>
          <w:rFonts w:asciiTheme="majorBidi" w:hAnsiTheme="majorBidi" w:cstheme="majorBidi"/>
          <w:sz w:val="24"/>
          <w:szCs w:val="24"/>
          <w:lang w:val="en-GB"/>
        </w:rPr>
        <w:t xml:space="preserve">the </w:t>
      </w:r>
      <w:r w:rsidR="00C64364" w:rsidRPr="001B3BA5">
        <w:rPr>
          <w:rFonts w:asciiTheme="majorBidi" w:hAnsiTheme="majorBidi" w:cstheme="majorBidi"/>
          <w:sz w:val="24"/>
          <w:szCs w:val="24"/>
          <w:lang w:val="en-GB"/>
        </w:rPr>
        <w:t xml:space="preserve">negative </w:t>
      </w:r>
      <w:r w:rsidR="006B370B" w:rsidRPr="001B3BA5">
        <w:rPr>
          <w:rFonts w:asciiTheme="majorBidi" w:hAnsiTheme="majorBidi" w:cstheme="majorBidi"/>
          <w:sz w:val="24"/>
          <w:szCs w:val="24"/>
          <w:lang w:val="en-GB"/>
        </w:rPr>
        <w:t xml:space="preserve">interaction </w:t>
      </w:r>
      <w:r w:rsidR="00C64364" w:rsidRPr="001B3BA5">
        <w:rPr>
          <w:rFonts w:asciiTheme="majorBidi" w:hAnsiTheme="majorBidi" w:cstheme="majorBidi"/>
          <w:sz w:val="24"/>
          <w:szCs w:val="24"/>
          <w:lang w:val="en-GB"/>
        </w:rPr>
        <w:t>term (</w:t>
      </w:r>
      <w:r w:rsidR="00C64364"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 xml:space="preserve">-.091, </w:t>
      </w:r>
      <w:r w:rsidR="00C64364"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 xml:space="preserve">.043, </w:t>
      </w:r>
      <w:r w:rsidR="00C64364"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.033).</w:t>
      </w:r>
      <w:bookmarkEnd w:id="33"/>
      <w:r w:rsidR="00C64364" w:rsidRPr="001B3BA5">
        <w:rPr>
          <w:rFonts w:asciiTheme="majorBidi" w:hAnsiTheme="majorBidi" w:cstheme="majorBidi"/>
          <w:sz w:val="24"/>
          <w:szCs w:val="24"/>
          <w:lang w:val="en-GB"/>
        </w:rPr>
        <w:t xml:space="preserve"> </w:t>
      </w:r>
      <w:bookmarkStart w:id="34" w:name="_Hlk34380436"/>
      <w:r w:rsidR="006C4202" w:rsidRPr="001B3BA5">
        <w:rPr>
          <w:rFonts w:asciiTheme="majorBidi" w:hAnsiTheme="majorBidi" w:cstheme="majorBidi"/>
          <w:sz w:val="24"/>
          <w:szCs w:val="24"/>
          <w:lang w:val="en-GB"/>
        </w:rPr>
        <w:t xml:space="preserve">The </w:t>
      </w:r>
      <w:r w:rsidR="00F13C63" w:rsidRPr="001B3BA5">
        <w:rPr>
          <w:rFonts w:asciiTheme="majorBidi" w:hAnsiTheme="majorBidi" w:cstheme="majorBidi"/>
          <w:sz w:val="24"/>
          <w:szCs w:val="24"/>
          <w:lang w:val="en-GB"/>
        </w:rPr>
        <w:t>unstandard</w:t>
      </w:r>
      <w:r w:rsidR="008643F0" w:rsidRPr="001B3BA5">
        <w:rPr>
          <w:rFonts w:asciiTheme="majorBidi" w:hAnsiTheme="majorBidi" w:cstheme="majorBidi"/>
          <w:sz w:val="24"/>
          <w:szCs w:val="24"/>
          <w:lang w:val="en-GB"/>
        </w:rPr>
        <w:t>ise</w:t>
      </w:r>
      <w:r w:rsidR="00F13C63" w:rsidRPr="001B3BA5">
        <w:rPr>
          <w:rFonts w:asciiTheme="majorBidi" w:hAnsiTheme="majorBidi" w:cstheme="majorBidi"/>
          <w:sz w:val="24"/>
          <w:szCs w:val="24"/>
          <w:lang w:val="en-GB"/>
        </w:rPr>
        <w:t xml:space="preserve">d </w:t>
      </w:r>
      <w:r w:rsidR="006C4202" w:rsidRPr="001B3BA5">
        <w:rPr>
          <w:rFonts w:asciiTheme="majorBidi" w:hAnsiTheme="majorBidi" w:cstheme="majorBidi"/>
          <w:sz w:val="24"/>
          <w:szCs w:val="24"/>
          <w:lang w:val="en-GB"/>
        </w:rPr>
        <w:t>s</w:t>
      </w:r>
      <w:r w:rsidR="00C64364" w:rsidRPr="001B3BA5">
        <w:rPr>
          <w:rFonts w:asciiTheme="majorBidi" w:hAnsiTheme="majorBidi" w:cstheme="majorBidi"/>
          <w:sz w:val="24"/>
          <w:szCs w:val="24"/>
          <w:lang w:val="en-GB"/>
        </w:rPr>
        <w:t>imple slope</w:t>
      </w:r>
      <w:r w:rsidR="006C4202" w:rsidRPr="001B3BA5">
        <w:rPr>
          <w:rFonts w:asciiTheme="majorBidi" w:hAnsiTheme="majorBidi" w:cstheme="majorBidi"/>
          <w:sz w:val="24"/>
          <w:szCs w:val="24"/>
          <w:lang w:val="en-GB"/>
        </w:rPr>
        <w:t>s</w:t>
      </w:r>
      <w:r w:rsidR="006C0B7C" w:rsidRPr="001B3BA5">
        <w:rPr>
          <w:rFonts w:asciiTheme="majorBidi" w:hAnsiTheme="majorBidi" w:cstheme="majorBidi"/>
          <w:sz w:val="24"/>
          <w:szCs w:val="24"/>
          <w:lang w:val="en-GB"/>
        </w:rPr>
        <w:t xml:space="preserve"> </w:t>
      </w:r>
      <w:r w:rsidR="006C4202" w:rsidRPr="001B3BA5">
        <w:rPr>
          <w:rFonts w:asciiTheme="majorBidi" w:hAnsiTheme="majorBidi" w:cstheme="majorBidi"/>
          <w:sz w:val="24"/>
          <w:szCs w:val="24"/>
          <w:lang w:val="en-GB"/>
        </w:rPr>
        <w:t xml:space="preserve">in Figure </w:t>
      </w:r>
      <w:r w:rsidRPr="001B3BA5">
        <w:rPr>
          <w:rFonts w:asciiTheme="majorBidi" w:hAnsiTheme="majorBidi" w:cstheme="majorBidi"/>
          <w:sz w:val="24"/>
          <w:szCs w:val="24"/>
          <w:lang w:val="en-GB"/>
        </w:rPr>
        <w:t>2</w:t>
      </w:r>
      <w:r w:rsidR="006C4202" w:rsidRPr="001B3BA5">
        <w:rPr>
          <w:rFonts w:asciiTheme="majorBidi" w:hAnsiTheme="majorBidi" w:cstheme="majorBidi"/>
          <w:sz w:val="24"/>
          <w:szCs w:val="24"/>
          <w:lang w:val="en-GB"/>
        </w:rPr>
        <w:t xml:space="preserve"> </w:t>
      </w:r>
      <w:r w:rsidR="00C64364" w:rsidRPr="001B3BA5">
        <w:rPr>
          <w:rFonts w:asciiTheme="majorBidi" w:hAnsiTheme="majorBidi" w:cstheme="majorBidi"/>
          <w:sz w:val="24"/>
          <w:szCs w:val="24"/>
          <w:lang w:val="en-GB"/>
        </w:rPr>
        <w:t>show that</w:t>
      </w:r>
      <w:r w:rsidR="00BE1F4A"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 xml:space="preserve"> for left-wing </w:t>
      </w:r>
      <w:r w:rsidR="00BE1F4A" w:rsidRPr="001B3BA5">
        <w:rPr>
          <w:rFonts w:asciiTheme="majorBidi" w:hAnsiTheme="majorBidi" w:cstheme="majorBidi"/>
          <w:sz w:val="24"/>
          <w:szCs w:val="24"/>
          <w:lang w:val="en-GB"/>
        </w:rPr>
        <w:t xml:space="preserve">participants </w:t>
      </w:r>
      <w:r w:rsidR="00C64364" w:rsidRPr="001B3BA5">
        <w:rPr>
          <w:rFonts w:asciiTheme="majorBidi" w:hAnsiTheme="majorBidi" w:cstheme="majorBidi"/>
          <w:sz w:val="24"/>
          <w:szCs w:val="24"/>
          <w:lang w:val="en-GB"/>
        </w:rPr>
        <w:t>(</w:t>
      </w:r>
      <w:r w:rsidR="006B370B" w:rsidRPr="001B3BA5">
        <w:rPr>
          <w:rFonts w:asciiTheme="majorBidi" w:hAnsiTheme="majorBidi" w:cstheme="majorBidi"/>
          <w:sz w:val="24"/>
          <w:szCs w:val="24"/>
          <w:lang w:val="en-GB"/>
        </w:rPr>
        <w:t>one</w:t>
      </w:r>
      <w:r w:rsidR="00C64364" w:rsidRPr="001B3BA5">
        <w:rPr>
          <w:rFonts w:asciiTheme="majorBidi" w:hAnsiTheme="majorBidi" w:cstheme="majorBidi"/>
          <w:sz w:val="24"/>
          <w:szCs w:val="24"/>
          <w:lang w:val="en-GB"/>
        </w:rPr>
        <w:t xml:space="preserve"> standard deviation</w:t>
      </w:r>
      <w:r w:rsidR="00BF43B0" w:rsidRPr="001B3BA5">
        <w:rPr>
          <w:rFonts w:asciiTheme="majorBidi" w:hAnsiTheme="majorBidi" w:cstheme="majorBidi"/>
          <w:sz w:val="24"/>
          <w:szCs w:val="24"/>
          <w:lang w:val="en-GB"/>
        </w:rPr>
        <w:t xml:space="preserve"> [SD]</w:t>
      </w:r>
      <w:r w:rsidR="00C64364" w:rsidRPr="001B3BA5">
        <w:rPr>
          <w:rFonts w:asciiTheme="majorBidi" w:hAnsiTheme="majorBidi" w:cstheme="majorBidi"/>
          <w:sz w:val="24"/>
          <w:szCs w:val="24"/>
          <w:lang w:val="en-GB"/>
        </w:rPr>
        <w:t xml:space="preserve"> below the mean of political ideology), </w:t>
      </w:r>
      <w:r w:rsidR="00DC01FF" w:rsidRPr="001B3BA5">
        <w:rPr>
          <w:rFonts w:asciiTheme="majorBidi" w:hAnsiTheme="majorBidi" w:cstheme="majorBidi"/>
          <w:sz w:val="24"/>
          <w:szCs w:val="24"/>
          <w:lang w:val="en-GB"/>
        </w:rPr>
        <w:t>exclusive determination right</w:t>
      </w:r>
      <w:r w:rsidR="00C64364" w:rsidRPr="001B3BA5">
        <w:rPr>
          <w:rFonts w:asciiTheme="majorBidi" w:hAnsiTheme="majorBidi" w:cstheme="majorBidi"/>
          <w:sz w:val="24"/>
          <w:szCs w:val="24"/>
          <w:lang w:val="en-GB"/>
        </w:rPr>
        <w:t xml:space="preserve"> was related to more negative immigrant </w:t>
      </w:r>
      <w:r w:rsidR="00362973" w:rsidRPr="001B3BA5">
        <w:rPr>
          <w:rFonts w:asciiTheme="majorBidi" w:hAnsiTheme="majorBidi" w:cstheme="majorBidi"/>
          <w:sz w:val="24"/>
          <w:szCs w:val="24"/>
          <w:lang w:val="en-GB"/>
        </w:rPr>
        <w:t xml:space="preserve">minority </w:t>
      </w:r>
      <w:r w:rsidR="00C64364" w:rsidRPr="001B3BA5">
        <w:rPr>
          <w:rFonts w:asciiTheme="majorBidi" w:hAnsiTheme="majorBidi" w:cstheme="majorBidi"/>
          <w:sz w:val="24"/>
          <w:szCs w:val="24"/>
          <w:lang w:val="en-GB"/>
        </w:rPr>
        <w:t>attitudes (</w:t>
      </w:r>
      <w:r w:rsidR="00C64364" w:rsidRPr="001B3BA5">
        <w:rPr>
          <w:rFonts w:asciiTheme="majorBidi" w:eastAsia="Times New Roman" w:hAnsiTheme="majorBidi" w:cstheme="majorBidi"/>
          <w:i/>
          <w:iCs/>
          <w:color w:val="000000"/>
          <w:sz w:val="24"/>
          <w:szCs w:val="24"/>
          <w:lang w:val="en-GB" w:eastAsia="nl-NL"/>
        </w:rPr>
        <w:t>b</w:t>
      </w:r>
      <w:r w:rsidR="00955643"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 xml:space="preserve">-.152, </w:t>
      </w:r>
      <w:r w:rsidR="00C64364"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 xml:space="preserve">.060, </w:t>
      </w:r>
      <w:r w:rsidR="00C64364"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 xml:space="preserve">.012), but this association was stronger for right-wing </w:t>
      </w:r>
      <w:r w:rsidR="00BE1F4A" w:rsidRPr="001B3BA5">
        <w:rPr>
          <w:rFonts w:asciiTheme="majorBidi" w:hAnsiTheme="majorBidi" w:cstheme="majorBidi"/>
          <w:sz w:val="24"/>
          <w:szCs w:val="24"/>
          <w:lang w:val="en-GB"/>
        </w:rPr>
        <w:t xml:space="preserve">participants </w:t>
      </w:r>
      <w:r w:rsidR="00C64364" w:rsidRPr="001B3BA5">
        <w:rPr>
          <w:rFonts w:asciiTheme="majorBidi" w:hAnsiTheme="majorBidi" w:cstheme="majorBidi"/>
          <w:sz w:val="24"/>
          <w:szCs w:val="24"/>
          <w:lang w:val="en-GB"/>
        </w:rPr>
        <w:t>(</w:t>
      </w:r>
      <w:r w:rsidR="00246121" w:rsidRPr="001B3BA5">
        <w:rPr>
          <w:rFonts w:asciiTheme="majorBidi" w:hAnsiTheme="majorBidi" w:cstheme="majorBidi"/>
          <w:sz w:val="24"/>
          <w:szCs w:val="24"/>
          <w:lang w:val="en-GB"/>
        </w:rPr>
        <w:t xml:space="preserve">1 SD </w:t>
      </w:r>
      <w:r w:rsidR="00C64364" w:rsidRPr="001B3BA5">
        <w:rPr>
          <w:rFonts w:asciiTheme="majorBidi" w:hAnsiTheme="majorBidi" w:cstheme="majorBidi"/>
          <w:sz w:val="24"/>
          <w:szCs w:val="24"/>
          <w:lang w:val="en-GB"/>
        </w:rPr>
        <w:t>above the mean of political ideology) (</w:t>
      </w:r>
      <w:r w:rsidR="00C64364" w:rsidRPr="001B3BA5">
        <w:rPr>
          <w:rFonts w:asciiTheme="majorBidi" w:eastAsia="Times New Roman" w:hAnsiTheme="majorBidi" w:cstheme="majorBidi"/>
          <w:i/>
          <w:iCs/>
          <w:color w:val="000000"/>
          <w:sz w:val="24"/>
          <w:szCs w:val="24"/>
          <w:lang w:val="en-GB" w:eastAsia="nl-NL"/>
        </w:rPr>
        <w:t>b</w:t>
      </w:r>
      <w:r w:rsidR="00955643"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 xml:space="preserve">-.295, </w:t>
      </w:r>
      <w:r w:rsidR="00C64364"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 xml:space="preserve">.054, </w:t>
      </w:r>
      <w:r w:rsidR="00C64364"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&lt;</w:t>
      </w:r>
      <w:r w:rsidR="00C64364" w:rsidRPr="001B3BA5">
        <w:rPr>
          <w:rFonts w:asciiTheme="majorBidi" w:hAnsiTheme="majorBidi" w:cstheme="majorBidi"/>
          <w:sz w:val="24"/>
          <w:szCs w:val="24"/>
          <w:lang w:val="en-GB"/>
        </w:rPr>
        <w:t>.001). This</w:t>
      </w:r>
      <w:r w:rsidR="00BE1F4A" w:rsidRPr="001B3BA5">
        <w:rPr>
          <w:rFonts w:asciiTheme="majorBidi" w:hAnsiTheme="majorBidi" w:cstheme="majorBidi"/>
          <w:sz w:val="24"/>
          <w:szCs w:val="24"/>
          <w:lang w:val="en-GB"/>
        </w:rPr>
        <w:t xml:space="preserve"> finding</w:t>
      </w:r>
      <w:r w:rsidR="00C64364" w:rsidRPr="001B3BA5">
        <w:rPr>
          <w:rFonts w:asciiTheme="majorBidi" w:hAnsiTheme="majorBidi" w:cstheme="majorBidi"/>
          <w:sz w:val="24"/>
          <w:szCs w:val="24"/>
          <w:lang w:val="en-GB"/>
        </w:rPr>
        <w:t xml:space="preserve"> is consistent with H4. However, the relationship between </w:t>
      </w:r>
      <w:r w:rsidR="00DC01FF" w:rsidRPr="001B3BA5">
        <w:rPr>
          <w:rFonts w:asciiTheme="majorBidi" w:hAnsiTheme="majorBidi" w:cstheme="majorBidi"/>
          <w:sz w:val="24"/>
          <w:szCs w:val="24"/>
          <w:lang w:val="en-GB"/>
        </w:rPr>
        <w:t>exclusive determination right</w:t>
      </w:r>
      <w:r w:rsidR="00C64364" w:rsidRPr="001B3BA5">
        <w:rPr>
          <w:rFonts w:asciiTheme="majorBidi" w:hAnsiTheme="majorBidi" w:cstheme="majorBidi"/>
          <w:sz w:val="24"/>
          <w:szCs w:val="24"/>
          <w:lang w:val="en-GB"/>
        </w:rPr>
        <w:t xml:space="preserve"> and </w:t>
      </w:r>
      <w:r w:rsidR="00F17C87" w:rsidRPr="001B3BA5">
        <w:rPr>
          <w:rFonts w:asciiTheme="majorBidi" w:hAnsiTheme="majorBidi" w:cstheme="majorBidi"/>
          <w:sz w:val="24"/>
          <w:szCs w:val="24"/>
          <w:lang w:val="en-GB"/>
        </w:rPr>
        <w:t xml:space="preserve">European integration </w:t>
      </w:r>
      <w:r w:rsidR="00C64364" w:rsidRPr="001B3BA5">
        <w:rPr>
          <w:rFonts w:asciiTheme="majorBidi" w:hAnsiTheme="majorBidi" w:cstheme="majorBidi"/>
          <w:sz w:val="24"/>
          <w:szCs w:val="24"/>
          <w:lang w:val="en-GB"/>
        </w:rPr>
        <w:t>attitudes</w:t>
      </w:r>
      <w:r w:rsidR="00052A2A" w:rsidRPr="001B3BA5">
        <w:rPr>
          <w:rFonts w:asciiTheme="majorBidi" w:hAnsiTheme="majorBidi" w:cstheme="majorBidi"/>
          <w:sz w:val="24"/>
          <w:szCs w:val="24"/>
          <w:lang w:val="en-GB"/>
        </w:rPr>
        <w:t xml:space="preserve"> was not moderated by political ideology</w:t>
      </w:r>
      <w:r w:rsidR="00C64364" w:rsidRPr="001B3BA5">
        <w:rPr>
          <w:rFonts w:asciiTheme="majorBidi" w:hAnsiTheme="majorBidi" w:cstheme="majorBidi"/>
          <w:sz w:val="24"/>
          <w:szCs w:val="24"/>
          <w:lang w:val="en-GB"/>
        </w:rPr>
        <w:t xml:space="preserve"> (</w:t>
      </w:r>
      <w:r w:rsidR="00C64364"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-.0</w:t>
      </w:r>
      <w:r w:rsidRPr="001B3BA5">
        <w:rPr>
          <w:rFonts w:asciiTheme="majorBidi" w:hAnsiTheme="majorBidi" w:cstheme="majorBidi"/>
          <w:sz w:val="24"/>
          <w:szCs w:val="24"/>
          <w:lang w:val="en-GB"/>
        </w:rPr>
        <w:t>21</w:t>
      </w:r>
      <w:r w:rsidR="00C64364" w:rsidRPr="001B3BA5">
        <w:rPr>
          <w:rFonts w:asciiTheme="majorBidi" w:hAnsiTheme="majorBidi" w:cstheme="majorBidi"/>
          <w:sz w:val="24"/>
          <w:szCs w:val="24"/>
          <w:lang w:val="en-GB"/>
        </w:rPr>
        <w:t xml:space="preserve">, </w:t>
      </w:r>
      <w:r w:rsidR="00C64364"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.03</w:t>
      </w:r>
      <w:r w:rsidRPr="001B3BA5">
        <w:rPr>
          <w:rFonts w:asciiTheme="majorBidi" w:hAnsiTheme="majorBidi" w:cstheme="majorBidi"/>
          <w:sz w:val="24"/>
          <w:szCs w:val="24"/>
          <w:lang w:val="en-GB"/>
        </w:rPr>
        <w:t>7</w:t>
      </w:r>
      <w:r w:rsidR="00C64364" w:rsidRPr="001B3BA5">
        <w:rPr>
          <w:rFonts w:asciiTheme="majorBidi" w:hAnsiTheme="majorBidi" w:cstheme="majorBidi"/>
          <w:sz w:val="24"/>
          <w:szCs w:val="24"/>
          <w:lang w:val="en-GB"/>
        </w:rPr>
        <w:t xml:space="preserve">, </w:t>
      </w:r>
      <w:r w:rsidR="00C64364"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w:t>
      </w:r>
      <w:r w:rsidR="00C64364"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564</w:t>
      </w:r>
      <w:r w:rsidR="00C64364" w:rsidRPr="001B3BA5">
        <w:rPr>
          <w:rFonts w:asciiTheme="majorBidi" w:hAnsiTheme="majorBidi" w:cstheme="majorBidi"/>
          <w:sz w:val="24"/>
          <w:szCs w:val="24"/>
          <w:lang w:val="en-GB"/>
        </w:rPr>
        <w:t>)</w:t>
      </w:r>
      <w:bookmarkStart w:id="35" w:name="_Hlk19605670"/>
      <w:r w:rsidR="00F13C63" w:rsidRPr="001B3BA5">
        <w:rPr>
          <w:rFonts w:asciiTheme="majorBidi" w:hAnsiTheme="majorBidi" w:cstheme="majorBidi"/>
          <w:sz w:val="24"/>
          <w:szCs w:val="24"/>
          <w:lang w:val="en-GB"/>
        </w:rPr>
        <w:t>.</w:t>
      </w:r>
    </w:p>
    <w:bookmarkEnd w:id="27"/>
    <w:bookmarkEnd w:id="34"/>
    <w:bookmarkEnd w:id="35"/>
    <w:p w14:paraId="262430F4" w14:textId="77D9B329" w:rsidR="00F85F30" w:rsidRPr="001B3BA5" w:rsidRDefault="00F85F30" w:rsidP="00584266">
      <w:pPr>
        <w:spacing w:after="0" w:line="480" w:lineRule="exact"/>
        <w:ind w:firstLine="709"/>
        <w:jc w:val="center"/>
        <w:rPr>
          <w:rFonts w:ascii="Times New Roman" w:hAnsi="Times New Roman" w:cs="Times New Roman"/>
          <w:b/>
          <w:sz w:val="24"/>
          <w:szCs w:val="24"/>
          <w:lang w:val="en-GB"/>
        </w:rPr>
      </w:pPr>
      <w:r w:rsidRPr="001B3BA5">
        <w:rPr>
          <w:rFonts w:ascii="Times New Roman" w:hAnsi="Times New Roman" w:cs="Times New Roman"/>
          <w:b/>
          <w:sz w:val="24"/>
          <w:szCs w:val="24"/>
          <w:lang w:val="en-GB"/>
        </w:rPr>
        <w:t>S</w:t>
      </w:r>
      <w:r w:rsidR="00DD1D01" w:rsidRPr="001B3BA5">
        <w:rPr>
          <w:rFonts w:ascii="Times New Roman" w:hAnsi="Times New Roman" w:cs="Times New Roman"/>
          <w:b/>
          <w:sz w:val="24"/>
          <w:szCs w:val="24"/>
          <w:lang w:val="en-GB"/>
        </w:rPr>
        <w:t>tudy</w:t>
      </w:r>
      <w:r w:rsidRPr="001B3BA5">
        <w:rPr>
          <w:rFonts w:ascii="Times New Roman" w:hAnsi="Times New Roman" w:cs="Times New Roman"/>
          <w:b/>
          <w:sz w:val="24"/>
          <w:szCs w:val="24"/>
          <w:lang w:val="en-GB"/>
        </w:rPr>
        <w:t xml:space="preserve"> 2</w:t>
      </w:r>
    </w:p>
    <w:bookmarkEnd w:id="28"/>
    <w:p w14:paraId="0CAAE9E2" w14:textId="19A2EA48" w:rsidR="00E757EB" w:rsidRPr="001B3BA5" w:rsidRDefault="008D218B">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We</w:t>
      </w:r>
      <w:r w:rsidR="00675368" w:rsidRPr="001B3BA5">
        <w:rPr>
          <w:rFonts w:asciiTheme="majorBidi" w:hAnsiTheme="majorBidi" w:cstheme="majorBidi"/>
          <w:sz w:val="24"/>
          <w:szCs w:val="24"/>
          <w:lang w:val="en-GB"/>
        </w:rPr>
        <w:t xml:space="preserve"> </w:t>
      </w:r>
      <w:r w:rsidR="007C6CCC" w:rsidRPr="001B3BA5">
        <w:rPr>
          <w:rFonts w:asciiTheme="majorBidi" w:hAnsiTheme="majorBidi" w:cstheme="majorBidi"/>
          <w:sz w:val="24"/>
          <w:szCs w:val="24"/>
          <w:lang w:val="en-GB"/>
        </w:rPr>
        <w:t>examine</w:t>
      </w:r>
      <w:r w:rsidRPr="001B3BA5">
        <w:rPr>
          <w:rFonts w:asciiTheme="majorBidi" w:hAnsiTheme="majorBidi" w:cstheme="majorBidi"/>
          <w:sz w:val="24"/>
          <w:szCs w:val="24"/>
          <w:lang w:val="en-GB"/>
        </w:rPr>
        <w:t>d</w:t>
      </w:r>
      <w:r w:rsidR="007C6CCC" w:rsidRPr="001B3BA5">
        <w:rPr>
          <w:rFonts w:asciiTheme="majorBidi" w:hAnsiTheme="majorBidi" w:cstheme="majorBidi"/>
          <w:sz w:val="24"/>
          <w:szCs w:val="24"/>
          <w:lang w:val="en-GB"/>
        </w:rPr>
        <w:t xml:space="preserve"> the cross-national robustness of the findings by </w:t>
      </w:r>
      <w:r w:rsidR="00E757EB" w:rsidRPr="001B3BA5">
        <w:rPr>
          <w:rFonts w:asciiTheme="majorBidi" w:hAnsiTheme="majorBidi" w:cstheme="majorBidi"/>
          <w:sz w:val="24"/>
          <w:szCs w:val="24"/>
          <w:lang w:val="en-GB"/>
        </w:rPr>
        <w:t>re-test</w:t>
      </w:r>
      <w:r w:rsidR="007C6CCC" w:rsidRPr="001B3BA5">
        <w:rPr>
          <w:rFonts w:asciiTheme="majorBidi" w:hAnsiTheme="majorBidi" w:cstheme="majorBidi"/>
          <w:sz w:val="24"/>
          <w:szCs w:val="24"/>
          <w:lang w:val="en-GB"/>
        </w:rPr>
        <w:t>ing</w:t>
      </w:r>
      <w:r w:rsidR="00E757EB" w:rsidRPr="001B3BA5">
        <w:rPr>
          <w:rFonts w:asciiTheme="majorBidi" w:hAnsiTheme="majorBidi" w:cstheme="majorBidi"/>
          <w:sz w:val="24"/>
          <w:szCs w:val="24"/>
          <w:lang w:val="en-GB"/>
        </w:rPr>
        <w:t xml:space="preserve"> the </w:t>
      </w:r>
      <w:r w:rsidR="00DE0D8D" w:rsidRPr="001B3BA5">
        <w:rPr>
          <w:rFonts w:asciiTheme="majorBidi" w:hAnsiTheme="majorBidi" w:cstheme="majorBidi"/>
          <w:sz w:val="24"/>
          <w:szCs w:val="24"/>
          <w:lang w:val="en-GB"/>
        </w:rPr>
        <w:t>hypotheses</w:t>
      </w:r>
      <w:r w:rsidR="00E757EB" w:rsidRPr="001B3BA5">
        <w:rPr>
          <w:rFonts w:asciiTheme="majorBidi" w:hAnsiTheme="majorBidi" w:cstheme="majorBidi"/>
          <w:sz w:val="24"/>
          <w:szCs w:val="24"/>
          <w:lang w:val="en-GB"/>
        </w:rPr>
        <w:t xml:space="preserve"> that </w:t>
      </w:r>
      <w:bookmarkStart w:id="36" w:name="_Hlk36458722"/>
      <w:r w:rsidR="00E757EB" w:rsidRPr="001B3BA5">
        <w:rPr>
          <w:rFonts w:asciiTheme="majorBidi" w:hAnsiTheme="majorBidi" w:cstheme="majorBidi"/>
          <w:sz w:val="24"/>
          <w:szCs w:val="24"/>
          <w:lang w:val="en-GB"/>
        </w:rPr>
        <w:t xml:space="preserve">CPO is related to more negative attitudes towards immigrant minorities </w:t>
      </w:r>
      <w:r w:rsidR="00796D45">
        <w:rPr>
          <w:rFonts w:asciiTheme="majorBidi" w:hAnsiTheme="majorBidi" w:cstheme="majorBidi"/>
          <w:sz w:val="24"/>
          <w:szCs w:val="24"/>
          <w:lang w:val="en-GB"/>
        </w:rPr>
        <w:t xml:space="preserve">(H1a) </w:t>
      </w:r>
      <w:r w:rsidR="00E757EB" w:rsidRPr="001B3BA5">
        <w:rPr>
          <w:rFonts w:asciiTheme="majorBidi" w:hAnsiTheme="majorBidi" w:cstheme="majorBidi"/>
          <w:sz w:val="24"/>
          <w:szCs w:val="24"/>
          <w:lang w:val="en-GB"/>
        </w:rPr>
        <w:t>and European integration</w:t>
      </w:r>
      <w:r w:rsidR="00796D45">
        <w:rPr>
          <w:rFonts w:asciiTheme="majorBidi" w:hAnsiTheme="majorBidi" w:cstheme="majorBidi"/>
          <w:sz w:val="24"/>
          <w:szCs w:val="24"/>
          <w:lang w:val="en-GB"/>
        </w:rPr>
        <w:t xml:space="preserve"> (H1b)</w:t>
      </w:r>
      <w:r w:rsidR="00E757EB" w:rsidRPr="001B3BA5">
        <w:rPr>
          <w:rFonts w:asciiTheme="majorBidi" w:hAnsiTheme="majorBidi" w:cstheme="majorBidi"/>
          <w:sz w:val="24"/>
          <w:szCs w:val="24"/>
          <w:lang w:val="en-GB"/>
        </w:rPr>
        <w:t xml:space="preserve">, and </w:t>
      </w:r>
      <w:r w:rsidR="00675368" w:rsidRPr="001B3BA5">
        <w:rPr>
          <w:rFonts w:asciiTheme="majorBidi" w:hAnsiTheme="majorBidi" w:cstheme="majorBidi"/>
          <w:sz w:val="24"/>
          <w:szCs w:val="24"/>
          <w:lang w:val="en-GB"/>
        </w:rPr>
        <w:t xml:space="preserve">that </w:t>
      </w:r>
      <w:r w:rsidR="00E757EB" w:rsidRPr="001B3BA5">
        <w:rPr>
          <w:rFonts w:asciiTheme="majorBidi" w:hAnsiTheme="majorBidi" w:cstheme="majorBidi"/>
          <w:sz w:val="24"/>
          <w:szCs w:val="24"/>
          <w:lang w:val="en-GB"/>
        </w:rPr>
        <w:t>these associations are mediated by exclusive determination right</w:t>
      </w:r>
      <w:r w:rsidR="00796D45">
        <w:rPr>
          <w:rFonts w:asciiTheme="majorBidi" w:hAnsiTheme="majorBidi" w:cstheme="majorBidi"/>
          <w:sz w:val="24"/>
          <w:szCs w:val="24"/>
          <w:lang w:val="en-GB"/>
        </w:rPr>
        <w:t xml:space="preserve"> (H2a and H2b)</w:t>
      </w:r>
      <w:r w:rsidR="00E757EB" w:rsidRPr="001B3BA5">
        <w:rPr>
          <w:rFonts w:asciiTheme="majorBidi" w:hAnsiTheme="majorBidi" w:cstheme="majorBidi"/>
          <w:sz w:val="24"/>
          <w:szCs w:val="24"/>
          <w:lang w:val="en-GB"/>
        </w:rPr>
        <w:t xml:space="preserve">. </w:t>
      </w:r>
      <w:r w:rsidR="00C53191" w:rsidRPr="001B3BA5">
        <w:rPr>
          <w:rFonts w:asciiTheme="majorBidi" w:hAnsiTheme="majorBidi" w:cstheme="majorBidi"/>
          <w:sz w:val="24"/>
          <w:szCs w:val="24"/>
          <w:lang w:val="en-GB"/>
        </w:rPr>
        <w:t>Additionally</w:t>
      </w:r>
      <w:r w:rsidR="00E757EB" w:rsidRPr="001B3BA5">
        <w:rPr>
          <w:rFonts w:asciiTheme="majorBidi" w:hAnsiTheme="majorBidi" w:cstheme="majorBidi"/>
          <w:sz w:val="24"/>
          <w:szCs w:val="24"/>
          <w:lang w:val="en-GB"/>
        </w:rPr>
        <w:t xml:space="preserve">, we </w:t>
      </w:r>
      <w:r w:rsidRPr="001B3BA5">
        <w:rPr>
          <w:rFonts w:asciiTheme="majorBidi" w:hAnsiTheme="majorBidi" w:cstheme="majorBidi"/>
          <w:sz w:val="24"/>
          <w:szCs w:val="24"/>
          <w:lang w:val="en-GB"/>
        </w:rPr>
        <w:t xml:space="preserve">tested </w:t>
      </w:r>
      <w:r w:rsidR="00E757EB" w:rsidRPr="001B3BA5">
        <w:rPr>
          <w:rFonts w:asciiTheme="majorBidi" w:hAnsiTheme="majorBidi" w:cstheme="majorBidi"/>
          <w:sz w:val="24"/>
          <w:szCs w:val="24"/>
          <w:lang w:val="en-GB"/>
        </w:rPr>
        <w:t xml:space="preserve">whether </w:t>
      </w:r>
      <w:r w:rsidR="00C53191" w:rsidRPr="001B3BA5">
        <w:rPr>
          <w:rFonts w:asciiTheme="majorBidi" w:hAnsiTheme="majorBidi" w:cstheme="majorBidi"/>
          <w:sz w:val="24"/>
          <w:szCs w:val="24"/>
          <w:lang w:val="en-GB"/>
        </w:rPr>
        <w:t>these</w:t>
      </w:r>
      <w:r w:rsidR="00E757EB" w:rsidRPr="001B3BA5">
        <w:rPr>
          <w:rFonts w:asciiTheme="majorBidi" w:hAnsiTheme="majorBidi" w:cstheme="majorBidi"/>
          <w:sz w:val="24"/>
          <w:szCs w:val="24"/>
          <w:lang w:val="en-GB"/>
        </w:rPr>
        <w:t xml:space="preserve"> negative attitudes towards immigrant minorities and European integration</w:t>
      </w:r>
      <w:r w:rsidR="00C53191" w:rsidRPr="001B3BA5">
        <w:rPr>
          <w:rFonts w:asciiTheme="majorBidi" w:hAnsiTheme="majorBidi" w:cstheme="majorBidi"/>
          <w:sz w:val="24"/>
          <w:szCs w:val="24"/>
          <w:lang w:val="en-GB"/>
        </w:rPr>
        <w:t xml:space="preserve"> </w:t>
      </w:r>
      <w:r w:rsidR="00675368" w:rsidRPr="001B3BA5">
        <w:rPr>
          <w:rFonts w:asciiTheme="majorBidi" w:hAnsiTheme="majorBidi" w:cstheme="majorBidi"/>
          <w:sz w:val="24"/>
          <w:szCs w:val="24"/>
          <w:lang w:val="en-GB"/>
        </w:rPr>
        <w:t xml:space="preserve">in turn </w:t>
      </w:r>
      <w:r w:rsidR="00C53191" w:rsidRPr="001B3BA5">
        <w:rPr>
          <w:rFonts w:asciiTheme="majorBidi" w:hAnsiTheme="majorBidi" w:cstheme="majorBidi"/>
          <w:sz w:val="24"/>
          <w:szCs w:val="24"/>
          <w:lang w:val="en-GB"/>
        </w:rPr>
        <w:t>accounted for</w:t>
      </w:r>
      <w:r w:rsidR="00E757EB" w:rsidRPr="001B3BA5">
        <w:rPr>
          <w:rFonts w:asciiTheme="majorBidi" w:hAnsiTheme="majorBidi" w:cstheme="majorBidi"/>
          <w:sz w:val="24"/>
          <w:szCs w:val="24"/>
          <w:lang w:val="en-GB"/>
        </w:rPr>
        <w:t xml:space="preserve"> </w:t>
      </w:r>
      <w:r w:rsidR="007C6CCC" w:rsidRPr="001B3BA5">
        <w:rPr>
          <w:rFonts w:asciiTheme="majorBidi" w:hAnsiTheme="majorBidi" w:cstheme="majorBidi"/>
          <w:sz w:val="24"/>
          <w:szCs w:val="24"/>
          <w:lang w:val="en-GB"/>
        </w:rPr>
        <w:t>pro</w:t>
      </w:r>
      <w:r w:rsidR="00F922A9" w:rsidRPr="001B3BA5">
        <w:rPr>
          <w:rFonts w:asciiTheme="majorBidi" w:hAnsiTheme="majorBidi" w:cstheme="majorBidi"/>
          <w:sz w:val="24"/>
          <w:szCs w:val="24"/>
          <w:lang w:val="en-GB"/>
        </w:rPr>
        <w:t>-</w:t>
      </w:r>
      <w:r w:rsidR="00E757EB" w:rsidRPr="001B3BA5">
        <w:rPr>
          <w:rFonts w:asciiTheme="majorBidi" w:hAnsiTheme="majorBidi" w:cstheme="majorBidi"/>
          <w:sz w:val="24"/>
          <w:szCs w:val="24"/>
          <w:lang w:val="en-GB"/>
        </w:rPr>
        <w:t>Brexit voting</w:t>
      </w:r>
      <w:r w:rsidR="00796D45">
        <w:rPr>
          <w:rFonts w:asciiTheme="majorBidi" w:hAnsiTheme="majorBidi" w:cstheme="majorBidi"/>
          <w:sz w:val="24"/>
          <w:szCs w:val="24"/>
          <w:lang w:val="en-GB"/>
        </w:rPr>
        <w:t xml:space="preserve"> (H3)</w:t>
      </w:r>
      <w:r w:rsidR="00E757EB" w:rsidRPr="001B3BA5">
        <w:rPr>
          <w:rFonts w:asciiTheme="majorBidi" w:hAnsiTheme="majorBidi" w:cstheme="majorBidi"/>
          <w:sz w:val="24"/>
          <w:szCs w:val="24"/>
          <w:lang w:val="en-GB"/>
        </w:rPr>
        <w:t>. We again considered the moderating influence of political ideology</w:t>
      </w:r>
      <w:r w:rsidR="00796D45">
        <w:rPr>
          <w:rFonts w:asciiTheme="majorBidi" w:hAnsiTheme="majorBidi" w:cstheme="majorBidi"/>
          <w:sz w:val="24"/>
          <w:szCs w:val="24"/>
          <w:lang w:val="en-GB"/>
        </w:rPr>
        <w:t xml:space="preserve"> (H4)</w:t>
      </w:r>
      <w:r w:rsidR="00E757EB" w:rsidRPr="001B3BA5">
        <w:rPr>
          <w:rFonts w:asciiTheme="majorBidi" w:hAnsiTheme="majorBidi" w:cstheme="majorBidi"/>
          <w:sz w:val="24"/>
          <w:szCs w:val="24"/>
          <w:lang w:val="en-GB"/>
        </w:rPr>
        <w:t xml:space="preserve">. </w:t>
      </w:r>
      <w:bookmarkEnd w:id="36"/>
      <w:r w:rsidR="00E757EB" w:rsidRPr="001B3BA5">
        <w:rPr>
          <w:rFonts w:asciiTheme="majorBidi" w:hAnsiTheme="majorBidi" w:cstheme="majorBidi"/>
          <w:sz w:val="24"/>
          <w:szCs w:val="24"/>
          <w:lang w:val="en-GB"/>
        </w:rPr>
        <w:t>Moreover, we controlled for adherence to sovereignty along with national identification</w:t>
      </w:r>
      <w:r w:rsidR="00C60825" w:rsidRPr="001B3BA5">
        <w:rPr>
          <w:rFonts w:asciiTheme="majorBidi" w:hAnsiTheme="majorBidi" w:cstheme="majorBidi"/>
          <w:sz w:val="24"/>
          <w:szCs w:val="24"/>
          <w:lang w:val="en-GB"/>
        </w:rPr>
        <w:t>,</w:t>
      </w:r>
      <w:r w:rsidR="00052A2A" w:rsidRPr="001B3BA5">
        <w:rPr>
          <w:rFonts w:asciiTheme="majorBidi" w:hAnsiTheme="majorBidi" w:cstheme="majorBidi"/>
          <w:sz w:val="24"/>
          <w:szCs w:val="24"/>
          <w:lang w:val="en-GB"/>
        </w:rPr>
        <w:t xml:space="preserve"> </w:t>
      </w:r>
      <w:r w:rsidR="00E757EB" w:rsidRPr="001B3BA5">
        <w:rPr>
          <w:rFonts w:asciiTheme="majorBidi" w:hAnsiTheme="majorBidi" w:cstheme="majorBidi"/>
          <w:sz w:val="24"/>
          <w:szCs w:val="24"/>
          <w:lang w:val="en-GB"/>
        </w:rPr>
        <w:t>place attachment</w:t>
      </w:r>
      <w:r w:rsidR="00C60825" w:rsidRPr="001B3BA5">
        <w:rPr>
          <w:rFonts w:asciiTheme="majorBidi" w:hAnsiTheme="majorBidi" w:cstheme="majorBidi"/>
          <w:sz w:val="24"/>
          <w:szCs w:val="24"/>
          <w:lang w:val="en-GB"/>
        </w:rPr>
        <w:t>, and demographic characteristics.</w:t>
      </w:r>
    </w:p>
    <w:p w14:paraId="4B2CD7EB" w14:textId="77777777" w:rsidR="00F85F30" w:rsidRPr="001B3BA5" w:rsidRDefault="00F85F30" w:rsidP="00584266">
      <w:pPr>
        <w:spacing w:after="0" w:line="480" w:lineRule="exact"/>
        <w:rPr>
          <w:rFonts w:ascii="Times New Roman" w:hAnsi="Times New Roman" w:cs="Times New Roman"/>
          <w:b/>
          <w:sz w:val="24"/>
          <w:szCs w:val="24"/>
          <w:lang w:val="en-GB"/>
        </w:rPr>
      </w:pPr>
      <w:r w:rsidRPr="001B3BA5">
        <w:rPr>
          <w:rFonts w:ascii="Times New Roman" w:hAnsi="Times New Roman" w:cs="Times New Roman"/>
          <w:b/>
          <w:sz w:val="24"/>
          <w:szCs w:val="24"/>
          <w:lang w:val="en-GB"/>
        </w:rPr>
        <w:t>Sample</w:t>
      </w:r>
    </w:p>
    <w:p w14:paraId="12641D27" w14:textId="094AABA2" w:rsidR="00616E23" w:rsidRPr="001B3BA5" w:rsidRDefault="00F85F30">
      <w:pPr>
        <w:spacing w:after="0" w:line="480" w:lineRule="exact"/>
        <w:rPr>
          <w:rFonts w:ascii="Times New Roman" w:hAnsi="Times New Roman" w:cs="Times New Roman"/>
          <w:sz w:val="24"/>
          <w:szCs w:val="24"/>
          <w:lang w:val="en-GB"/>
        </w:rPr>
      </w:pPr>
      <w:r w:rsidRPr="001B3BA5">
        <w:rPr>
          <w:rFonts w:ascii="Times New Roman" w:hAnsi="Times New Roman" w:cs="Times New Roman"/>
          <w:b/>
          <w:sz w:val="24"/>
          <w:szCs w:val="24"/>
          <w:lang w:val="en-GB"/>
        </w:rPr>
        <w:tab/>
      </w:r>
      <w:r w:rsidR="00616E23" w:rsidRPr="001B3BA5">
        <w:rPr>
          <w:rFonts w:asciiTheme="majorBidi" w:hAnsiTheme="majorBidi" w:cstheme="majorBidi"/>
          <w:sz w:val="24"/>
          <w:szCs w:val="24"/>
          <w:lang w:val="en-GB"/>
        </w:rPr>
        <w:t xml:space="preserve">We </w:t>
      </w:r>
      <w:r w:rsidR="00071263" w:rsidRPr="001B3BA5">
        <w:rPr>
          <w:rFonts w:asciiTheme="majorBidi" w:hAnsiTheme="majorBidi" w:cstheme="majorBidi"/>
          <w:sz w:val="24"/>
          <w:szCs w:val="24"/>
          <w:lang w:val="en-GB"/>
        </w:rPr>
        <w:t xml:space="preserve">recruited </w:t>
      </w:r>
      <w:r w:rsidR="00BB5057" w:rsidRPr="001B3BA5">
        <w:rPr>
          <w:rFonts w:asciiTheme="majorBidi" w:hAnsiTheme="majorBidi" w:cstheme="majorBidi"/>
          <w:sz w:val="24"/>
          <w:szCs w:val="24"/>
          <w:lang w:val="en-GB"/>
        </w:rPr>
        <w:t xml:space="preserve">a sample of native British adults </w:t>
      </w:r>
      <w:r w:rsidR="00616E23" w:rsidRPr="001B3BA5">
        <w:rPr>
          <w:rFonts w:asciiTheme="majorBidi" w:hAnsiTheme="majorBidi" w:cstheme="majorBidi"/>
          <w:sz w:val="24"/>
          <w:szCs w:val="24"/>
          <w:lang w:val="en-GB"/>
        </w:rPr>
        <w:t>via the</w:t>
      </w:r>
      <w:r w:rsidR="00BB5057" w:rsidRPr="001B3BA5">
        <w:rPr>
          <w:rFonts w:ascii="Times New Roman" w:hAnsi="Times New Roman" w:cs="Times New Roman"/>
          <w:sz w:val="24"/>
          <w:szCs w:val="24"/>
          <w:lang w:val="en-GB"/>
        </w:rPr>
        <w:t xml:space="preserve"> Kantar Public </w:t>
      </w:r>
      <w:r w:rsidR="00BB5057" w:rsidRPr="001B3BA5">
        <w:rPr>
          <w:rFonts w:ascii="Times New Roman" w:hAnsi="Times New Roman" w:cs="Times New Roman"/>
          <w:sz w:val="24"/>
          <w:szCs w:val="24"/>
          <w:lang w:val="en-GB"/>
        </w:rPr>
        <w:fldChar w:fldCharType="begin"/>
      </w:r>
      <w:r w:rsidR="0056663E" w:rsidRPr="001B3BA5">
        <w:rPr>
          <w:rFonts w:ascii="Times New Roman" w:hAnsi="Times New Roman" w:cs="Times New Roman"/>
          <w:sz w:val="24"/>
          <w:szCs w:val="24"/>
          <w:lang w:val="en-GB"/>
        </w:rPr>
        <w:instrText xml:space="preserve"> ADDIN EN.CITE &lt;EndNote&gt;&lt;Cite ExcludeAuth="1"&gt;&lt;Author&gt;Kantar Public&lt;/Author&gt;&lt;Year&gt;2019&lt;/Year&gt;&lt;RecNum&gt;1491&lt;/RecNum&gt;&lt;DisplayText&gt;(2019)&lt;/DisplayText&gt;&lt;record&gt;&lt;rec-number&gt;1491&lt;/rec-number&gt;&lt;foreign-keys&gt;&lt;key app="EN" db-id="es92r5v5dve2z0erx59pv50vtp29v0t9ef5f" timestamp="1570441481"&gt;1491&lt;/key&gt;&lt;/foreign-keys&gt;&lt;ref-type name="Web Page"&gt;12&lt;/ref-type&gt;&lt;contributors&gt;&lt;authors&gt;&lt;author&gt;Kantar Public,&lt;/author&gt;&lt;/authors&gt;&lt;/contributors&gt;&lt;titles&gt;&lt;title&gt;Kantar public&lt;/title&gt;&lt;/titles&gt;&lt;volume&gt;2019&lt;/volume&gt;&lt;number&gt;7-10-2019&lt;/number&gt;&lt;dates&gt;&lt;year&gt;2019&lt;/year&gt;&lt;/dates&gt;&lt;urls&gt;&lt;related-urls&gt;&lt;url&gt;https://www.kantar.com/public/&lt;/url&gt;&lt;/related-urls&gt;&lt;/urls&gt;&lt;/record&gt;&lt;/Cite&gt;&lt;/EndNote&gt;</w:instrText>
      </w:r>
      <w:r w:rsidR="00BB5057" w:rsidRPr="001B3BA5">
        <w:rPr>
          <w:rFonts w:ascii="Times New Roman" w:hAnsi="Times New Roman" w:cs="Times New Roman"/>
          <w:sz w:val="24"/>
          <w:szCs w:val="24"/>
          <w:lang w:val="en-GB"/>
        </w:rPr>
        <w:fldChar w:fldCharType="separate"/>
      </w:r>
      <w:r w:rsidR="00BB5057" w:rsidRPr="001B3BA5">
        <w:rPr>
          <w:rFonts w:ascii="Times New Roman" w:hAnsi="Times New Roman" w:cs="Times New Roman"/>
          <w:noProof/>
          <w:sz w:val="24"/>
          <w:szCs w:val="24"/>
          <w:lang w:val="en-GB"/>
        </w:rPr>
        <w:t>(2019)</w:t>
      </w:r>
      <w:r w:rsidR="00BB5057" w:rsidRPr="001B3BA5">
        <w:rPr>
          <w:rFonts w:ascii="Times New Roman" w:hAnsi="Times New Roman" w:cs="Times New Roman"/>
          <w:sz w:val="24"/>
          <w:szCs w:val="24"/>
          <w:lang w:val="en-GB"/>
        </w:rPr>
        <w:fldChar w:fldCharType="end"/>
      </w:r>
      <w:r w:rsidR="00616E23" w:rsidRPr="001B3BA5">
        <w:rPr>
          <w:rFonts w:asciiTheme="majorBidi" w:hAnsiTheme="majorBidi" w:cstheme="majorBidi"/>
          <w:sz w:val="24"/>
          <w:szCs w:val="24"/>
          <w:lang w:val="en-GB"/>
        </w:rPr>
        <w:t xml:space="preserve"> online </w:t>
      </w:r>
      <w:r w:rsidR="00BB5057" w:rsidRPr="001B3BA5">
        <w:rPr>
          <w:rFonts w:asciiTheme="majorBidi" w:hAnsiTheme="majorBidi" w:cstheme="majorBidi"/>
          <w:sz w:val="24"/>
          <w:szCs w:val="24"/>
          <w:lang w:val="en-GB"/>
        </w:rPr>
        <w:t>platform</w:t>
      </w:r>
      <w:r w:rsidR="00071263" w:rsidRPr="001B3BA5">
        <w:rPr>
          <w:rFonts w:asciiTheme="majorBidi" w:hAnsiTheme="majorBidi" w:cstheme="majorBidi"/>
          <w:sz w:val="24"/>
          <w:szCs w:val="24"/>
          <w:lang w:val="en-GB"/>
        </w:rPr>
        <w:t>, which</w:t>
      </w:r>
      <w:r w:rsidR="004960D0" w:rsidRPr="001B3BA5">
        <w:rPr>
          <w:rFonts w:asciiTheme="majorBidi" w:hAnsiTheme="majorBidi" w:cstheme="majorBidi"/>
          <w:sz w:val="24"/>
          <w:szCs w:val="24"/>
          <w:lang w:val="en-GB"/>
        </w:rPr>
        <w:t xml:space="preserve"> targeted a sample that would match the British population in terms of sex, age, education level, and country (England, Scotland, Wales). </w:t>
      </w:r>
      <w:r w:rsidR="00BB5057" w:rsidRPr="001B3BA5">
        <w:rPr>
          <w:rFonts w:asciiTheme="majorBidi" w:hAnsiTheme="majorBidi" w:cstheme="majorBidi"/>
          <w:sz w:val="24"/>
          <w:szCs w:val="24"/>
          <w:lang w:val="en-GB"/>
        </w:rPr>
        <w:t>We collected these data</w:t>
      </w:r>
      <w:r w:rsidR="00616E23" w:rsidRPr="001B3BA5">
        <w:rPr>
          <w:rFonts w:asciiTheme="majorBidi" w:hAnsiTheme="majorBidi" w:cstheme="majorBidi"/>
          <w:sz w:val="24"/>
          <w:szCs w:val="24"/>
          <w:lang w:val="en-GB"/>
        </w:rPr>
        <w:t xml:space="preserve"> </w:t>
      </w:r>
      <w:r w:rsidR="00D11BC5" w:rsidRPr="001B3BA5">
        <w:rPr>
          <w:rFonts w:ascii="Times New Roman" w:hAnsi="Times New Roman" w:cs="Times New Roman"/>
          <w:sz w:val="24"/>
          <w:szCs w:val="24"/>
          <w:lang w:val="en-GB"/>
        </w:rPr>
        <w:t xml:space="preserve">between 25 February and 5 March 2019, </w:t>
      </w:r>
      <w:r w:rsidR="00BB5057" w:rsidRPr="001B3BA5">
        <w:rPr>
          <w:rFonts w:ascii="Times New Roman" w:hAnsi="Times New Roman" w:cs="Times New Roman"/>
          <w:sz w:val="24"/>
          <w:szCs w:val="24"/>
          <w:lang w:val="en-GB"/>
        </w:rPr>
        <w:t>approximately</w:t>
      </w:r>
      <w:r w:rsidR="00D11BC5" w:rsidRPr="001B3BA5">
        <w:rPr>
          <w:rFonts w:ascii="Times New Roman" w:hAnsi="Times New Roman" w:cs="Times New Roman"/>
          <w:sz w:val="24"/>
          <w:szCs w:val="24"/>
          <w:lang w:val="en-GB"/>
        </w:rPr>
        <w:t xml:space="preserve"> one month before the initial</w:t>
      </w:r>
      <w:r w:rsidR="00BB5057" w:rsidRPr="001B3BA5">
        <w:rPr>
          <w:rFonts w:ascii="Times New Roman" w:hAnsi="Times New Roman" w:cs="Times New Roman"/>
          <w:sz w:val="24"/>
          <w:szCs w:val="24"/>
          <w:lang w:val="en-GB"/>
        </w:rPr>
        <w:t xml:space="preserve"> Brexit</w:t>
      </w:r>
      <w:r w:rsidR="00D11BC5" w:rsidRPr="001B3BA5">
        <w:rPr>
          <w:rFonts w:ascii="Times New Roman" w:hAnsi="Times New Roman" w:cs="Times New Roman"/>
          <w:sz w:val="24"/>
          <w:szCs w:val="24"/>
          <w:lang w:val="en-GB"/>
        </w:rPr>
        <w:t xml:space="preserve"> </w:t>
      </w:r>
      <w:r w:rsidR="00BB5057" w:rsidRPr="001B3BA5">
        <w:rPr>
          <w:rFonts w:ascii="Times New Roman" w:hAnsi="Times New Roman" w:cs="Times New Roman"/>
          <w:sz w:val="24"/>
          <w:szCs w:val="24"/>
          <w:lang w:val="en-GB"/>
        </w:rPr>
        <w:t>deadline</w:t>
      </w:r>
      <w:r w:rsidR="00D11BC5" w:rsidRPr="001B3BA5">
        <w:rPr>
          <w:rFonts w:ascii="Times New Roman" w:hAnsi="Times New Roman" w:cs="Times New Roman"/>
          <w:sz w:val="24"/>
          <w:szCs w:val="24"/>
          <w:lang w:val="en-GB"/>
        </w:rPr>
        <w:t>.</w:t>
      </w:r>
      <w:r w:rsidR="00D11BC5" w:rsidRPr="001B3BA5">
        <w:rPr>
          <w:rFonts w:asciiTheme="majorBidi" w:hAnsiTheme="majorBidi" w:cstheme="majorBidi"/>
          <w:sz w:val="24"/>
          <w:szCs w:val="24"/>
          <w:lang w:val="en-GB"/>
        </w:rPr>
        <w:t xml:space="preserve"> </w:t>
      </w:r>
      <w:r w:rsidR="002E4BEB" w:rsidRPr="001B3BA5">
        <w:rPr>
          <w:rFonts w:asciiTheme="majorBidi" w:hAnsiTheme="majorBidi" w:cstheme="majorBidi"/>
          <w:sz w:val="24"/>
          <w:szCs w:val="24"/>
          <w:lang w:val="en-GB"/>
        </w:rPr>
        <w:t>In total</w:t>
      </w:r>
      <w:r w:rsidR="00D11BC5" w:rsidRPr="001B3BA5">
        <w:rPr>
          <w:rFonts w:asciiTheme="majorBidi" w:hAnsiTheme="majorBidi" w:cstheme="majorBidi"/>
          <w:sz w:val="24"/>
          <w:szCs w:val="24"/>
          <w:lang w:val="en-GB"/>
        </w:rPr>
        <w:t xml:space="preserve">, 502 </w:t>
      </w:r>
      <w:r w:rsidR="00D11BC5" w:rsidRPr="001B3BA5">
        <w:rPr>
          <w:rFonts w:ascii="Times New Roman" w:hAnsi="Times New Roman" w:cs="Times New Roman"/>
          <w:sz w:val="24"/>
          <w:szCs w:val="24"/>
          <w:lang w:val="en-GB"/>
        </w:rPr>
        <w:t>participants</w:t>
      </w:r>
      <w:r w:rsidRPr="001B3BA5">
        <w:rPr>
          <w:rFonts w:ascii="Times New Roman" w:hAnsi="Times New Roman" w:cs="Times New Roman"/>
          <w:sz w:val="24"/>
          <w:szCs w:val="24"/>
          <w:lang w:val="en-GB"/>
        </w:rPr>
        <w:t xml:space="preserve"> completed the </w:t>
      </w:r>
      <w:r w:rsidR="00D11BC5" w:rsidRPr="001B3BA5">
        <w:rPr>
          <w:rFonts w:ascii="Times New Roman" w:hAnsi="Times New Roman" w:cs="Times New Roman"/>
          <w:sz w:val="24"/>
          <w:szCs w:val="24"/>
          <w:lang w:val="en-GB"/>
        </w:rPr>
        <w:t>survey</w:t>
      </w:r>
      <w:r w:rsidRPr="001B3BA5">
        <w:rPr>
          <w:rFonts w:ascii="Times New Roman" w:hAnsi="Times New Roman" w:cs="Times New Roman"/>
          <w:sz w:val="24"/>
          <w:szCs w:val="24"/>
          <w:lang w:val="en-GB"/>
        </w:rPr>
        <w:t>.</w:t>
      </w:r>
      <w:r w:rsidRPr="001B3BA5">
        <w:rPr>
          <w:rStyle w:val="FootnoteReference"/>
          <w:rFonts w:ascii="Times New Roman" w:hAnsi="Times New Roman" w:cs="Times New Roman"/>
          <w:sz w:val="24"/>
          <w:szCs w:val="24"/>
          <w:lang w:val="en-GB"/>
        </w:rPr>
        <w:footnoteReference w:id="6"/>
      </w:r>
      <w:r w:rsidRPr="001B3BA5">
        <w:rPr>
          <w:rFonts w:ascii="Times New Roman" w:hAnsi="Times New Roman" w:cs="Times New Roman"/>
          <w:sz w:val="24"/>
          <w:szCs w:val="24"/>
          <w:lang w:val="en-GB"/>
        </w:rPr>
        <w:t xml:space="preserve"> </w:t>
      </w:r>
      <w:bookmarkStart w:id="37" w:name="_Hlk23319177"/>
      <w:r w:rsidR="00375CE1" w:rsidRPr="001B3BA5">
        <w:rPr>
          <w:rFonts w:ascii="Times New Roman" w:hAnsi="Times New Roman" w:cs="Times New Roman"/>
          <w:sz w:val="24"/>
          <w:szCs w:val="24"/>
          <w:lang w:val="en-GB"/>
        </w:rPr>
        <w:t xml:space="preserve">To test the main model with 21 observed indicators and three latent variables we needed a minimum of 400 respondents </w:t>
      </w:r>
      <w:r w:rsidR="00DE0D8D" w:rsidRPr="001B3BA5">
        <w:rPr>
          <w:rFonts w:ascii="Times New Roman" w:hAnsi="Times New Roman" w:cs="Times New Roman"/>
          <w:sz w:val="24"/>
          <w:szCs w:val="24"/>
          <w:lang w:val="en-GB"/>
        </w:rPr>
        <w:t xml:space="preserve">for </w:t>
      </w:r>
      <w:r w:rsidR="00375CE1" w:rsidRPr="001B3BA5">
        <w:rPr>
          <w:rFonts w:ascii="Times New Roman" w:hAnsi="Times New Roman" w:cs="Times New Roman"/>
          <w:sz w:val="24"/>
          <w:szCs w:val="24"/>
          <w:lang w:val="en-GB"/>
        </w:rPr>
        <w:t>detect</w:t>
      </w:r>
      <w:r w:rsidR="00DE0D8D" w:rsidRPr="001B3BA5">
        <w:rPr>
          <w:rFonts w:ascii="Times New Roman" w:hAnsi="Times New Roman" w:cs="Times New Roman"/>
          <w:sz w:val="24"/>
          <w:szCs w:val="24"/>
          <w:lang w:val="en-GB"/>
        </w:rPr>
        <w:t>ing</w:t>
      </w:r>
      <w:r w:rsidR="00375CE1" w:rsidRPr="001B3BA5">
        <w:rPr>
          <w:rFonts w:ascii="Times New Roman" w:hAnsi="Times New Roman" w:cs="Times New Roman"/>
          <w:sz w:val="24"/>
          <w:szCs w:val="24"/>
          <w:lang w:val="en-GB"/>
        </w:rPr>
        <w:t xml:space="preserve"> a medium-sized effect (Cohen’s d</w:t>
      </w:r>
      <w:r w:rsidR="00955643" w:rsidRPr="001B3BA5">
        <w:rPr>
          <w:rFonts w:ascii="Times New Roman" w:hAnsi="Times New Roman" w:cs="Times New Roman"/>
          <w:sz w:val="24"/>
          <w:szCs w:val="24"/>
          <w:lang w:val="en-GB"/>
        </w:rPr>
        <w:t>=</w:t>
      </w:r>
      <w:r w:rsidR="00375CE1" w:rsidRPr="001B3BA5">
        <w:rPr>
          <w:rFonts w:ascii="Times New Roman" w:hAnsi="Times New Roman" w:cs="Times New Roman"/>
          <w:sz w:val="24"/>
          <w:szCs w:val="24"/>
          <w:lang w:val="en-GB"/>
        </w:rPr>
        <w:t>.4) at the .05 alpha level</w:t>
      </w:r>
      <w:r w:rsidR="00272BDE" w:rsidRPr="001B3BA5">
        <w:rPr>
          <w:rFonts w:ascii="Times New Roman" w:hAnsi="Times New Roman" w:cs="Times New Roman"/>
          <w:sz w:val="24"/>
          <w:szCs w:val="24"/>
          <w:lang w:val="en-GB"/>
        </w:rPr>
        <w:t xml:space="preserve"> </w:t>
      </w:r>
      <w:r w:rsidR="00272BDE" w:rsidRPr="001B3BA5">
        <w:rPr>
          <w:rFonts w:ascii="Times New Roman" w:hAnsi="Times New Roman" w:cs="Times New Roman"/>
          <w:sz w:val="24"/>
          <w:szCs w:val="24"/>
          <w:lang w:val="en-GB"/>
        </w:rPr>
        <w:fldChar w:fldCharType="begin"/>
      </w:r>
      <w:r w:rsidR="00A8146C" w:rsidRPr="001B3BA5">
        <w:rPr>
          <w:rFonts w:ascii="Times New Roman" w:hAnsi="Times New Roman" w:cs="Times New Roman"/>
          <w:sz w:val="24"/>
          <w:szCs w:val="24"/>
          <w:lang w:val="en-GB"/>
        </w:rPr>
        <w:instrText xml:space="preserve"> ADDIN EN.CITE &lt;EndNote&gt;&lt;Cite&gt;&lt;Author&gt;Soper&lt;/Author&gt;&lt;Year&gt;2017&lt;/Year&gt;&lt;RecNum&gt;1510&lt;/RecNum&gt;&lt;DisplayText&gt;(Soper, 2017)&lt;/DisplayText&gt;&lt;record&gt;&lt;rec-number&gt;1510&lt;/rec-number&gt;&lt;foreign-keys&gt;&lt;key app="EN" db-id="es92r5v5dve2z0erx59pv50vtp29v0t9ef5f" timestamp="1573559324"&gt;1510&lt;/key&gt;&lt;/foreign-keys&gt;&lt;ref-type name="Web Page"&gt;12&lt;/ref-type&gt;&lt;contributors&gt;&lt;authors&gt;&lt;author&gt;Soper, D.S.&lt;/author&gt;&lt;/authors&gt;&lt;/contributors&gt;&lt;titles&gt;&lt;title&gt;A-priori sample size calculator for structural equation models [software]&lt;/title&gt;&lt;/titles&gt;&lt;dates&gt;&lt;year&gt;2017&lt;/year&gt;&lt;/dates&gt;&lt;urls&gt;&lt;related-urls&gt;&lt;url&gt;https://www.danielsoper.com/statcalc/&lt;/url&gt;&lt;/related-urls&gt;&lt;/urls&gt;&lt;/record&gt;&lt;/Cite&gt;&lt;/EndNote&gt;</w:instrText>
      </w:r>
      <w:r w:rsidR="00272BDE" w:rsidRPr="001B3BA5">
        <w:rPr>
          <w:rFonts w:ascii="Times New Roman" w:hAnsi="Times New Roman" w:cs="Times New Roman"/>
          <w:sz w:val="24"/>
          <w:szCs w:val="24"/>
          <w:lang w:val="en-GB"/>
        </w:rPr>
        <w:fldChar w:fldCharType="separate"/>
      </w:r>
      <w:r w:rsidR="00272BDE" w:rsidRPr="001B3BA5">
        <w:rPr>
          <w:rFonts w:ascii="Times New Roman" w:hAnsi="Times New Roman" w:cs="Times New Roman"/>
          <w:noProof/>
          <w:sz w:val="24"/>
          <w:szCs w:val="24"/>
          <w:lang w:val="en-GB"/>
        </w:rPr>
        <w:t>(Soper, 2017)</w:t>
      </w:r>
      <w:r w:rsidR="00272BDE" w:rsidRPr="001B3BA5">
        <w:rPr>
          <w:rFonts w:ascii="Times New Roman" w:hAnsi="Times New Roman" w:cs="Times New Roman"/>
          <w:sz w:val="24"/>
          <w:szCs w:val="24"/>
          <w:lang w:val="en-GB"/>
        </w:rPr>
        <w:fldChar w:fldCharType="end"/>
      </w:r>
      <w:r w:rsidR="00375CE1" w:rsidRPr="001B3BA5">
        <w:rPr>
          <w:rFonts w:ascii="Times New Roman" w:hAnsi="Times New Roman" w:cs="Times New Roman"/>
          <w:sz w:val="24"/>
          <w:szCs w:val="24"/>
          <w:lang w:val="en-GB"/>
        </w:rPr>
        <w:t>. We aimed for a larger sample size</w:t>
      </w:r>
      <w:r w:rsidR="00DE0D8D" w:rsidRPr="001B3BA5">
        <w:rPr>
          <w:rFonts w:ascii="Times New Roman" w:hAnsi="Times New Roman" w:cs="Times New Roman"/>
          <w:sz w:val="24"/>
          <w:szCs w:val="24"/>
          <w:lang w:val="en-GB"/>
        </w:rPr>
        <w:t>,</w:t>
      </w:r>
      <w:r w:rsidR="00375CE1" w:rsidRPr="001B3BA5">
        <w:rPr>
          <w:rFonts w:ascii="Times New Roman" w:hAnsi="Times New Roman" w:cs="Times New Roman"/>
          <w:sz w:val="24"/>
          <w:szCs w:val="24"/>
          <w:lang w:val="en-GB"/>
        </w:rPr>
        <w:t xml:space="preserve"> because the final model </w:t>
      </w:r>
      <w:r w:rsidR="00DE0D8D" w:rsidRPr="001B3BA5">
        <w:rPr>
          <w:rFonts w:ascii="Times New Roman" w:hAnsi="Times New Roman" w:cs="Times New Roman"/>
          <w:sz w:val="24"/>
          <w:szCs w:val="24"/>
          <w:lang w:val="en-GB"/>
        </w:rPr>
        <w:t xml:space="preserve">that </w:t>
      </w:r>
      <w:r w:rsidR="00375CE1" w:rsidRPr="001B3BA5">
        <w:rPr>
          <w:rFonts w:ascii="Times New Roman" w:hAnsi="Times New Roman" w:cs="Times New Roman"/>
          <w:sz w:val="24"/>
          <w:szCs w:val="24"/>
          <w:lang w:val="en-GB"/>
        </w:rPr>
        <w:t>includ</w:t>
      </w:r>
      <w:r w:rsidR="00DE0D8D" w:rsidRPr="001B3BA5">
        <w:rPr>
          <w:rFonts w:ascii="Times New Roman" w:hAnsi="Times New Roman" w:cs="Times New Roman"/>
          <w:sz w:val="24"/>
          <w:szCs w:val="24"/>
          <w:lang w:val="en-GB"/>
        </w:rPr>
        <w:t>ed</w:t>
      </w:r>
      <w:r w:rsidR="00375CE1" w:rsidRPr="001B3BA5">
        <w:rPr>
          <w:rFonts w:ascii="Times New Roman" w:hAnsi="Times New Roman" w:cs="Times New Roman"/>
          <w:sz w:val="24"/>
          <w:szCs w:val="24"/>
          <w:lang w:val="en-GB"/>
        </w:rPr>
        <w:t xml:space="preserve"> control variables was more complex. </w:t>
      </w:r>
      <w:r w:rsidR="00D11BC5" w:rsidRPr="001B3BA5">
        <w:rPr>
          <w:rFonts w:ascii="Times New Roman" w:hAnsi="Times New Roman" w:cs="Times New Roman"/>
          <w:sz w:val="24"/>
          <w:szCs w:val="24"/>
          <w:lang w:val="en-GB"/>
        </w:rPr>
        <w:t>We</w:t>
      </w:r>
      <w:r w:rsidR="00375CE1" w:rsidRPr="001B3BA5">
        <w:rPr>
          <w:rFonts w:ascii="Times New Roman" w:hAnsi="Times New Roman" w:cs="Times New Roman"/>
          <w:sz w:val="24"/>
          <w:szCs w:val="24"/>
          <w:lang w:val="en-GB"/>
        </w:rPr>
        <w:t xml:space="preserve"> </w:t>
      </w:r>
      <w:r w:rsidR="00D11BC5" w:rsidRPr="001B3BA5">
        <w:rPr>
          <w:rFonts w:ascii="Times New Roman" w:hAnsi="Times New Roman" w:cs="Times New Roman"/>
          <w:sz w:val="24"/>
          <w:szCs w:val="24"/>
          <w:lang w:val="en-GB"/>
        </w:rPr>
        <w:t>excluded s</w:t>
      </w:r>
      <w:r w:rsidRPr="001B3BA5">
        <w:rPr>
          <w:rFonts w:ascii="Times New Roman" w:hAnsi="Times New Roman" w:cs="Times New Roman"/>
          <w:sz w:val="24"/>
          <w:szCs w:val="24"/>
          <w:lang w:val="en-GB"/>
        </w:rPr>
        <w:t xml:space="preserve">even </w:t>
      </w:r>
      <w:r w:rsidR="004857CA" w:rsidRPr="001B3BA5">
        <w:rPr>
          <w:rFonts w:ascii="Times New Roman" w:hAnsi="Times New Roman" w:cs="Times New Roman"/>
          <w:sz w:val="24"/>
          <w:szCs w:val="24"/>
          <w:lang w:val="en-GB"/>
        </w:rPr>
        <w:t>participant</w:t>
      </w:r>
      <w:r w:rsidRPr="001B3BA5">
        <w:rPr>
          <w:rFonts w:ascii="Times New Roman" w:hAnsi="Times New Roman" w:cs="Times New Roman"/>
          <w:sz w:val="24"/>
          <w:szCs w:val="24"/>
          <w:lang w:val="en-GB"/>
        </w:rPr>
        <w:t xml:space="preserve">s who gave </w:t>
      </w:r>
      <w:r w:rsidR="00D11BC5" w:rsidRPr="001B3BA5">
        <w:rPr>
          <w:rFonts w:ascii="Times New Roman" w:hAnsi="Times New Roman" w:cs="Times New Roman"/>
          <w:sz w:val="24"/>
          <w:szCs w:val="24"/>
          <w:lang w:val="en-GB"/>
        </w:rPr>
        <w:t xml:space="preserve">uniform </w:t>
      </w:r>
      <w:r w:rsidRPr="001B3BA5">
        <w:rPr>
          <w:rFonts w:ascii="Times New Roman" w:hAnsi="Times New Roman" w:cs="Times New Roman"/>
          <w:sz w:val="24"/>
          <w:szCs w:val="24"/>
          <w:lang w:val="en-GB"/>
        </w:rPr>
        <w:t>answer</w:t>
      </w:r>
      <w:r w:rsidR="00D11BC5" w:rsidRPr="001B3BA5">
        <w:rPr>
          <w:rFonts w:ascii="Times New Roman" w:hAnsi="Times New Roman" w:cs="Times New Roman"/>
          <w:sz w:val="24"/>
          <w:szCs w:val="24"/>
          <w:lang w:val="en-GB"/>
        </w:rPr>
        <w:t>s</w:t>
      </w:r>
      <w:r w:rsidRPr="001B3BA5">
        <w:rPr>
          <w:rFonts w:ascii="Times New Roman" w:hAnsi="Times New Roman" w:cs="Times New Roman"/>
          <w:sz w:val="24"/>
          <w:szCs w:val="24"/>
          <w:lang w:val="en-GB"/>
        </w:rPr>
        <w:t xml:space="preserve"> to all questions</w:t>
      </w:r>
      <w:r w:rsidR="00D11BC5" w:rsidRPr="001B3BA5">
        <w:rPr>
          <w:rFonts w:ascii="Times New Roman" w:hAnsi="Times New Roman" w:cs="Times New Roman"/>
          <w:sz w:val="24"/>
          <w:szCs w:val="24"/>
          <w:lang w:val="en-GB"/>
        </w:rPr>
        <w:t xml:space="preserve">, </w:t>
      </w:r>
      <w:bookmarkEnd w:id="37"/>
      <w:r w:rsidR="00D11BC5" w:rsidRPr="001B3BA5">
        <w:rPr>
          <w:rFonts w:ascii="Times New Roman" w:hAnsi="Times New Roman" w:cs="Times New Roman"/>
          <w:sz w:val="24"/>
          <w:szCs w:val="24"/>
          <w:lang w:val="en-GB"/>
        </w:rPr>
        <w:t xml:space="preserve">resulting in </w:t>
      </w:r>
      <w:r w:rsidRPr="001B3BA5">
        <w:rPr>
          <w:rFonts w:ascii="Times New Roman" w:hAnsi="Times New Roman" w:cs="Times New Roman"/>
          <w:sz w:val="24"/>
          <w:szCs w:val="24"/>
          <w:lang w:val="en-GB"/>
        </w:rPr>
        <w:t>a final sample of</w:t>
      </w:r>
      <w:r w:rsidR="003C1752" w:rsidRPr="001B3BA5">
        <w:rPr>
          <w:rFonts w:ascii="Times New Roman" w:hAnsi="Times New Roman" w:cs="Times New Roman"/>
          <w:sz w:val="24"/>
          <w:szCs w:val="24"/>
          <w:lang w:val="en-GB"/>
        </w:rPr>
        <w:t xml:space="preserve"> 495 </w:t>
      </w:r>
      <w:r w:rsidR="003C1752" w:rsidRPr="001B3BA5">
        <w:rPr>
          <w:rFonts w:asciiTheme="majorBidi" w:hAnsiTheme="majorBidi" w:cstheme="majorBidi"/>
          <w:sz w:val="24"/>
          <w:szCs w:val="24"/>
          <w:lang w:val="en-GB"/>
        </w:rPr>
        <w:t>(249</w:t>
      </w:r>
      <w:r w:rsidR="00C118D4" w:rsidRPr="001B3BA5">
        <w:rPr>
          <w:rFonts w:asciiTheme="majorBidi" w:hAnsiTheme="majorBidi" w:cstheme="majorBidi"/>
          <w:sz w:val="24"/>
          <w:szCs w:val="24"/>
          <w:lang w:val="en-GB"/>
        </w:rPr>
        <w:t xml:space="preserve"> [50%]</w:t>
      </w:r>
      <w:r w:rsidR="003C1752" w:rsidRPr="001B3BA5">
        <w:rPr>
          <w:rFonts w:asciiTheme="majorBidi" w:hAnsiTheme="majorBidi" w:cstheme="majorBidi"/>
          <w:sz w:val="24"/>
          <w:szCs w:val="24"/>
          <w:lang w:val="en-GB"/>
        </w:rPr>
        <w:t xml:space="preserve"> women, 246 men)</w:t>
      </w:r>
      <w:r w:rsidR="002A2279" w:rsidRPr="001B3BA5">
        <w:rPr>
          <w:rFonts w:asciiTheme="majorBidi" w:hAnsiTheme="majorBidi" w:cstheme="majorBidi"/>
          <w:sz w:val="24"/>
          <w:szCs w:val="24"/>
          <w:lang w:val="en-GB"/>
        </w:rPr>
        <w:t xml:space="preserve">, </w:t>
      </w:r>
      <w:r w:rsidR="00D11BC5" w:rsidRPr="001B3BA5">
        <w:rPr>
          <w:rFonts w:asciiTheme="majorBidi" w:hAnsiTheme="majorBidi" w:cstheme="majorBidi"/>
          <w:sz w:val="24"/>
          <w:szCs w:val="24"/>
          <w:lang w:val="en-GB"/>
        </w:rPr>
        <w:t>rang</w:t>
      </w:r>
      <w:r w:rsidR="00C536BB" w:rsidRPr="001B3BA5">
        <w:rPr>
          <w:rFonts w:asciiTheme="majorBidi" w:hAnsiTheme="majorBidi" w:cstheme="majorBidi"/>
          <w:sz w:val="24"/>
          <w:szCs w:val="24"/>
          <w:lang w:val="en-GB"/>
        </w:rPr>
        <w:t>ing</w:t>
      </w:r>
      <w:r w:rsidR="00D11BC5" w:rsidRPr="001B3BA5">
        <w:rPr>
          <w:rFonts w:asciiTheme="majorBidi" w:hAnsiTheme="majorBidi" w:cstheme="majorBidi"/>
          <w:sz w:val="24"/>
          <w:szCs w:val="24"/>
          <w:lang w:val="en-GB"/>
        </w:rPr>
        <w:t xml:space="preserve"> in age from </w:t>
      </w:r>
      <w:r w:rsidR="00D3369A" w:rsidRPr="001B3BA5">
        <w:rPr>
          <w:rFonts w:asciiTheme="majorBidi" w:hAnsiTheme="majorBidi" w:cstheme="majorBidi"/>
          <w:sz w:val="24"/>
          <w:szCs w:val="24"/>
          <w:lang w:val="en-GB"/>
        </w:rPr>
        <w:t>18</w:t>
      </w:r>
      <w:r w:rsidR="00955643" w:rsidRPr="001B3BA5">
        <w:rPr>
          <w:rFonts w:asciiTheme="majorBidi" w:hAnsiTheme="majorBidi" w:cstheme="majorBidi"/>
          <w:sz w:val="24"/>
          <w:szCs w:val="24"/>
          <w:lang w:val="en-GB"/>
        </w:rPr>
        <w:t>-</w:t>
      </w:r>
      <w:r w:rsidR="00D3369A" w:rsidRPr="001B3BA5">
        <w:rPr>
          <w:rFonts w:asciiTheme="majorBidi" w:hAnsiTheme="majorBidi" w:cstheme="majorBidi"/>
          <w:sz w:val="24"/>
          <w:szCs w:val="24"/>
          <w:lang w:val="en-GB"/>
        </w:rPr>
        <w:t>84</w:t>
      </w:r>
      <w:r w:rsidR="00D11BC5" w:rsidRPr="001B3BA5">
        <w:rPr>
          <w:rFonts w:asciiTheme="majorBidi" w:hAnsiTheme="majorBidi" w:cstheme="majorBidi"/>
          <w:sz w:val="24"/>
          <w:szCs w:val="24"/>
          <w:lang w:val="en-GB"/>
        </w:rPr>
        <w:t xml:space="preserve"> years (</w:t>
      </w:r>
      <w:r w:rsidR="00D11BC5" w:rsidRPr="001B3BA5">
        <w:rPr>
          <w:rFonts w:asciiTheme="majorBidi" w:hAnsiTheme="majorBidi" w:cstheme="majorBidi"/>
          <w:i/>
          <w:iCs/>
          <w:sz w:val="24"/>
          <w:szCs w:val="24"/>
          <w:lang w:val="en-GB"/>
        </w:rPr>
        <w:t>M</w:t>
      </w:r>
      <w:r w:rsidR="00955643" w:rsidRPr="001B3BA5">
        <w:rPr>
          <w:rFonts w:asciiTheme="majorBidi" w:hAnsiTheme="majorBidi" w:cstheme="majorBidi"/>
          <w:sz w:val="24"/>
          <w:szCs w:val="24"/>
          <w:lang w:val="en-GB"/>
        </w:rPr>
        <w:t>=</w:t>
      </w:r>
      <w:r w:rsidR="00D11BC5" w:rsidRPr="001B3BA5">
        <w:rPr>
          <w:rFonts w:asciiTheme="majorBidi" w:hAnsiTheme="majorBidi" w:cstheme="majorBidi"/>
          <w:sz w:val="24"/>
          <w:szCs w:val="24"/>
          <w:lang w:val="en-GB"/>
        </w:rPr>
        <w:t>4</w:t>
      </w:r>
      <w:r w:rsidR="00D3369A" w:rsidRPr="001B3BA5">
        <w:rPr>
          <w:rFonts w:asciiTheme="majorBidi" w:hAnsiTheme="majorBidi" w:cstheme="majorBidi"/>
          <w:sz w:val="24"/>
          <w:szCs w:val="24"/>
          <w:lang w:val="en-GB"/>
        </w:rPr>
        <w:t>7.60</w:t>
      </w:r>
      <w:r w:rsidR="00D11BC5" w:rsidRPr="001B3BA5">
        <w:rPr>
          <w:rFonts w:asciiTheme="majorBidi" w:hAnsiTheme="majorBidi" w:cstheme="majorBidi"/>
          <w:sz w:val="24"/>
          <w:szCs w:val="24"/>
          <w:lang w:val="en-GB"/>
        </w:rPr>
        <w:t xml:space="preserve">, </w:t>
      </w:r>
      <w:r w:rsidR="00D11BC5" w:rsidRPr="001B3BA5">
        <w:rPr>
          <w:rFonts w:asciiTheme="majorBidi" w:hAnsiTheme="majorBidi" w:cstheme="majorBidi"/>
          <w:i/>
          <w:iCs/>
          <w:sz w:val="24"/>
          <w:szCs w:val="24"/>
          <w:lang w:val="en-GB"/>
        </w:rPr>
        <w:t>SD</w:t>
      </w:r>
      <w:r w:rsidR="00955643" w:rsidRPr="001B3BA5">
        <w:rPr>
          <w:rFonts w:asciiTheme="majorBidi" w:hAnsiTheme="majorBidi" w:cstheme="majorBidi"/>
          <w:sz w:val="24"/>
          <w:szCs w:val="24"/>
          <w:lang w:val="en-GB"/>
        </w:rPr>
        <w:t>=</w:t>
      </w:r>
      <w:r w:rsidR="00D11BC5" w:rsidRPr="001B3BA5">
        <w:rPr>
          <w:rFonts w:asciiTheme="majorBidi" w:hAnsiTheme="majorBidi" w:cstheme="majorBidi"/>
          <w:sz w:val="24"/>
          <w:szCs w:val="24"/>
          <w:lang w:val="en-GB"/>
        </w:rPr>
        <w:t>1</w:t>
      </w:r>
      <w:r w:rsidR="00D3369A" w:rsidRPr="001B3BA5">
        <w:rPr>
          <w:rFonts w:asciiTheme="majorBidi" w:hAnsiTheme="majorBidi" w:cstheme="majorBidi"/>
          <w:sz w:val="24"/>
          <w:szCs w:val="24"/>
          <w:lang w:val="en-GB"/>
        </w:rPr>
        <w:t>6.54</w:t>
      </w:r>
      <w:r w:rsidR="00D11BC5" w:rsidRPr="001B3BA5">
        <w:rPr>
          <w:rFonts w:asciiTheme="majorBidi" w:hAnsiTheme="majorBidi" w:cstheme="majorBidi"/>
          <w:sz w:val="24"/>
          <w:szCs w:val="24"/>
          <w:lang w:val="en-GB"/>
        </w:rPr>
        <w:t xml:space="preserve">). </w:t>
      </w:r>
      <w:r w:rsidR="00071263" w:rsidRPr="001B3BA5">
        <w:rPr>
          <w:rFonts w:asciiTheme="majorBidi" w:hAnsiTheme="majorBidi" w:cstheme="majorBidi"/>
          <w:sz w:val="24"/>
          <w:szCs w:val="24"/>
          <w:lang w:val="en-GB"/>
        </w:rPr>
        <w:t>Of them, 11%</w:t>
      </w:r>
      <w:r w:rsidR="008360C9" w:rsidRPr="001B3BA5">
        <w:rPr>
          <w:rFonts w:asciiTheme="majorBidi" w:hAnsiTheme="majorBidi" w:cstheme="majorBidi"/>
          <w:sz w:val="24"/>
          <w:szCs w:val="24"/>
          <w:lang w:val="en-GB"/>
        </w:rPr>
        <w:t xml:space="preserve"> had low</w:t>
      </w:r>
      <w:r w:rsidR="002A2279" w:rsidRPr="001B3BA5">
        <w:rPr>
          <w:rFonts w:asciiTheme="majorBidi" w:hAnsiTheme="majorBidi" w:cstheme="majorBidi"/>
          <w:sz w:val="24"/>
          <w:szCs w:val="24"/>
          <w:lang w:val="en-GB"/>
        </w:rPr>
        <w:t>er</w:t>
      </w:r>
      <w:r w:rsidR="008360C9" w:rsidRPr="001B3BA5">
        <w:rPr>
          <w:rFonts w:asciiTheme="majorBidi" w:hAnsiTheme="majorBidi" w:cstheme="majorBidi"/>
          <w:sz w:val="24"/>
          <w:szCs w:val="24"/>
          <w:lang w:val="en-GB"/>
        </w:rPr>
        <w:t xml:space="preserve"> educational level (</w:t>
      </w:r>
      <w:r w:rsidR="00E8738F" w:rsidRPr="001B3BA5">
        <w:rPr>
          <w:rFonts w:asciiTheme="majorBidi" w:hAnsiTheme="majorBidi" w:cstheme="majorBidi"/>
          <w:sz w:val="24"/>
          <w:szCs w:val="24"/>
          <w:lang w:val="en-GB"/>
        </w:rPr>
        <w:t>no education, primary school, or lower secondary education</w:t>
      </w:r>
      <w:r w:rsidR="008360C9" w:rsidRPr="001B3BA5">
        <w:rPr>
          <w:rFonts w:asciiTheme="majorBidi" w:hAnsiTheme="majorBidi" w:cstheme="majorBidi"/>
          <w:sz w:val="24"/>
          <w:szCs w:val="24"/>
          <w:lang w:val="en-GB"/>
        </w:rPr>
        <w:t xml:space="preserve">), 49% </w:t>
      </w:r>
      <w:r w:rsidR="002A2279" w:rsidRPr="001B3BA5">
        <w:rPr>
          <w:rFonts w:asciiTheme="majorBidi" w:hAnsiTheme="majorBidi" w:cstheme="majorBidi"/>
          <w:sz w:val="24"/>
          <w:szCs w:val="24"/>
          <w:lang w:val="en-GB"/>
        </w:rPr>
        <w:t xml:space="preserve">intermediate </w:t>
      </w:r>
      <w:r w:rsidR="008360C9" w:rsidRPr="001B3BA5">
        <w:rPr>
          <w:rFonts w:asciiTheme="majorBidi" w:hAnsiTheme="majorBidi" w:cstheme="majorBidi"/>
          <w:sz w:val="24"/>
          <w:szCs w:val="24"/>
          <w:lang w:val="en-GB"/>
        </w:rPr>
        <w:t>educational level</w:t>
      </w:r>
      <w:r w:rsidR="00E8738F" w:rsidRPr="001B3BA5">
        <w:rPr>
          <w:rFonts w:asciiTheme="majorBidi" w:hAnsiTheme="majorBidi" w:cstheme="majorBidi"/>
          <w:sz w:val="24"/>
          <w:szCs w:val="24"/>
          <w:lang w:val="en-GB"/>
        </w:rPr>
        <w:t xml:space="preserve"> (secondary education oriented towards vocational training or upper secondary education)</w:t>
      </w:r>
      <w:r w:rsidR="008360C9" w:rsidRPr="001B3BA5">
        <w:rPr>
          <w:rFonts w:asciiTheme="majorBidi" w:hAnsiTheme="majorBidi" w:cstheme="majorBidi"/>
          <w:sz w:val="24"/>
          <w:szCs w:val="24"/>
          <w:lang w:val="en-GB"/>
        </w:rPr>
        <w:t xml:space="preserve">, </w:t>
      </w:r>
      <w:r w:rsidR="00C536BB" w:rsidRPr="001B3BA5">
        <w:rPr>
          <w:rFonts w:asciiTheme="majorBidi" w:hAnsiTheme="majorBidi" w:cstheme="majorBidi"/>
          <w:sz w:val="24"/>
          <w:szCs w:val="24"/>
          <w:lang w:val="en-GB"/>
        </w:rPr>
        <w:t xml:space="preserve">and </w:t>
      </w:r>
      <w:r w:rsidR="008360C9" w:rsidRPr="001B3BA5">
        <w:rPr>
          <w:rFonts w:asciiTheme="majorBidi" w:hAnsiTheme="majorBidi" w:cstheme="majorBidi"/>
          <w:sz w:val="24"/>
          <w:szCs w:val="24"/>
          <w:lang w:val="en-GB"/>
        </w:rPr>
        <w:t>40% high</w:t>
      </w:r>
      <w:r w:rsidR="002A2279" w:rsidRPr="001B3BA5">
        <w:rPr>
          <w:rFonts w:asciiTheme="majorBidi" w:hAnsiTheme="majorBidi" w:cstheme="majorBidi"/>
          <w:sz w:val="24"/>
          <w:szCs w:val="24"/>
          <w:lang w:val="en-GB"/>
        </w:rPr>
        <w:t>er</w:t>
      </w:r>
      <w:r w:rsidR="008360C9" w:rsidRPr="001B3BA5">
        <w:rPr>
          <w:rFonts w:asciiTheme="majorBidi" w:hAnsiTheme="majorBidi" w:cstheme="majorBidi"/>
          <w:sz w:val="24"/>
          <w:szCs w:val="24"/>
          <w:lang w:val="en-GB"/>
        </w:rPr>
        <w:t xml:space="preserve"> educational level (</w:t>
      </w:r>
      <w:r w:rsidR="00E8738F" w:rsidRPr="001B3BA5">
        <w:rPr>
          <w:rFonts w:asciiTheme="majorBidi" w:hAnsiTheme="majorBidi" w:cstheme="majorBidi"/>
          <w:sz w:val="24"/>
          <w:szCs w:val="24"/>
          <w:lang w:val="en-GB"/>
        </w:rPr>
        <w:t>tertiary higher professional education or university education</w:t>
      </w:r>
      <w:r w:rsidR="008360C9" w:rsidRPr="001B3BA5">
        <w:rPr>
          <w:rFonts w:asciiTheme="majorBidi" w:hAnsiTheme="majorBidi" w:cstheme="majorBidi"/>
          <w:sz w:val="24"/>
          <w:szCs w:val="24"/>
          <w:lang w:val="en-GB"/>
        </w:rPr>
        <w:t xml:space="preserve">). </w:t>
      </w:r>
      <w:r w:rsidR="00071263" w:rsidRPr="001B3BA5">
        <w:rPr>
          <w:rFonts w:asciiTheme="majorBidi" w:hAnsiTheme="majorBidi" w:cstheme="majorBidi"/>
          <w:sz w:val="24"/>
          <w:szCs w:val="24"/>
          <w:lang w:val="en-GB"/>
        </w:rPr>
        <w:t>We added w</w:t>
      </w:r>
      <w:r w:rsidR="002908CE" w:rsidRPr="001B3BA5">
        <w:rPr>
          <w:rFonts w:asciiTheme="majorBidi" w:hAnsiTheme="majorBidi" w:cstheme="majorBidi"/>
          <w:sz w:val="24"/>
          <w:szCs w:val="24"/>
          <w:lang w:val="en-GB"/>
        </w:rPr>
        <w:t xml:space="preserve">eights to correct for deviations from the targeted quotas, </w:t>
      </w:r>
      <w:r w:rsidR="00675368" w:rsidRPr="001B3BA5">
        <w:rPr>
          <w:rFonts w:asciiTheme="majorBidi" w:hAnsiTheme="majorBidi" w:cstheme="majorBidi"/>
          <w:sz w:val="24"/>
          <w:szCs w:val="24"/>
          <w:lang w:val="en-GB"/>
        </w:rPr>
        <w:t>thereby</w:t>
      </w:r>
      <w:r w:rsidR="002908CE" w:rsidRPr="001B3BA5">
        <w:rPr>
          <w:rFonts w:asciiTheme="majorBidi" w:hAnsiTheme="majorBidi" w:cstheme="majorBidi"/>
          <w:sz w:val="24"/>
          <w:szCs w:val="24"/>
          <w:lang w:val="en-GB"/>
        </w:rPr>
        <w:t xml:space="preserve"> mak</w:t>
      </w:r>
      <w:r w:rsidR="00675368" w:rsidRPr="001B3BA5">
        <w:rPr>
          <w:rFonts w:asciiTheme="majorBidi" w:hAnsiTheme="majorBidi" w:cstheme="majorBidi"/>
          <w:sz w:val="24"/>
          <w:szCs w:val="24"/>
          <w:lang w:val="en-GB"/>
        </w:rPr>
        <w:t>ing</w:t>
      </w:r>
      <w:r w:rsidRPr="001B3BA5">
        <w:rPr>
          <w:rFonts w:ascii="Times New Roman" w:hAnsi="Times New Roman" w:cs="Times New Roman"/>
          <w:sz w:val="24"/>
          <w:szCs w:val="24"/>
          <w:lang w:val="en-GB"/>
        </w:rPr>
        <w:t xml:space="preserve"> </w:t>
      </w:r>
      <w:r w:rsidR="00780E22" w:rsidRPr="001B3BA5">
        <w:rPr>
          <w:rFonts w:ascii="Times New Roman" w:hAnsi="Times New Roman" w:cs="Times New Roman"/>
          <w:sz w:val="24"/>
          <w:szCs w:val="24"/>
          <w:lang w:val="en-GB"/>
        </w:rPr>
        <w:t xml:space="preserve">the findings </w:t>
      </w:r>
      <w:r w:rsidRPr="001B3BA5">
        <w:rPr>
          <w:rFonts w:ascii="Times New Roman" w:hAnsi="Times New Roman" w:cs="Times New Roman"/>
          <w:sz w:val="24"/>
          <w:szCs w:val="24"/>
          <w:lang w:val="en-GB"/>
        </w:rPr>
        <w:t>representative for the British majority population.</w:t>
      </w:r>
      <w:r w:rsidR="003D7144" w:rsidRPr="001B3BA5">
        <w:rPr>
          <w:rStyle w:val="FootnoteReference"/>
          <w:rFonts w:ascii="Times New Roman" w:hAnsi="Times New Roman" w:cs="Times New Roman"/>
          <w:sz w:val="24"/>
          <w:szCs w:val="24"/>
          <w:lang w:val="en-GB"/>
        </w:rPr>
        <w:footnoteReference w:id="7"/>
      </w:r>
    </w:p>
    <w:p w14:paraId="25BF1F49" w14:textId="77777777" w:rsidR="00F85F30" w:rsidRPr="001B3BA5" w:rsidRDefault="00F85F30" w:rsidP="00584266">
      <w:pPr>
        <w:spacing w:after="0" w:line="480" w:lineRule="exact"/>
        <w:rPr>
          <w:rFonts w:ascii="Times New Roman" w:hAnsi="Times New Roman" w:cs="Times New Roman"/>
          <w:b/>
          <w:sz w:val="24"/>
          <w:szCs w:val="24"/>
          <w:lang w:val="en-GB"/>
        </w:rPr>
      </w:pPr>
      <w:r w:rsidRPr="001B3BA5">
        <w:rPr>
          <w:rFonts w:ascii="Times New Roman" w:hAnsi="Times New Roman" w:cs="Times New Roman"/>
          <w:b/>
          <w:sz w:val="24"/>
          <w:szCs w:val="24"/>
          <w:lang w:val="en-GB"/>
        </w:rPr>
        <w:t>Measures</w:t>
      </w:r>
    </w:p>
    <w:p w14:paraId="301FFD40" w14:textId="4CB28F0B" w:rsidR="00D11BC5" w:rsidRPr="001B3BA5" w:rsidRDefault="00D11BC5" w:rsidP="00584266">
      <w:pPr>
        <w:spacing w:after="0" w:line="480" w:lineRule="exact"/>
        <w:ind w:firstLine="708"/>
        <w:rPr>
          <w:rFonts w:ascii="Times New Roman" w:hAnsi="Times New Roman" w:cs="Times New Roman"/>
          <w:sz w:val="24"/>
          <w:szCs w:val="24"/>
          <w:lang w:val="en-GB"/>
        </w:rPr>
      </w:pPr>
      <w:r w:rsidRPr="001B3BA5">
        <w:rPr>
          <w:rFonts w:ascii="Times New Roman" w:hAnsi="Times New Roman" w:cs="Times New Roman"/>
          <w:b/>
          <w:bCs/>
          <w:iCs/>
          <w:sz w:val="24"/>
          <w:szCs w:val="24"/>
          <w:lang w:val="en-GB"/>
        </w:rPr>
        <w:t>Collective psychological ownership</w:t>
      </w:r>
      <w:r w:rsidRPr="001B3BA5">
        <w:rPr>
          <w:rFonts w:ascii="Times New Roman" w:hAnsi="Times New Roman" w:cs="Times New Roman"/>
          <w:sz w:val="24"/>
          <w:szCs w:val="24"/>
          <w:lang w:val="en-GB"/>
        </w:rPr>
        <w:t>. Participants viewed the same instructions</w:t>
      </w:r>
      <w:r w:rsidR="00480C88" w:rsidRPr="001B3BA5">
        <w:rPr>
          <w:rFonts w:ascii="Times New Roman" w:hAnsi="Times New Roman" w:cs="Times New Roman"/>
          <w:sz w:val="24"/>
          <w:szCs w:val="24"/>
          <w:lang w:val="en-GB"/>
        </w:rPr>
        <w:t xml:space="preserve"> as in Study 1</w:t>
      </w:r>
      <w:r w:rsidRPr="001B3BA5">
        <w:rPr>
          <w:rFonts w:ascii="Times New Roman" w:hAnsi="Times New Roman" w:cs="Times New Roman"/>
          <w:sz w:val="24"/>
          <w:szCs w:val="24"/>
          <w:lang w:val="en-GB"/>
        </w:rPr>
        <w:t xml:space="preserve"> and responded to four items: </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W</w:t>
      </w:r>
      <w:r w:rsidRPr="001B3BA5">
        <w:rPr>
          <w:rFonts w:ascii="Times New Roman" w:hAnsi="Times New Roman" w:cs="Times New Roman"/>
          <w:iCs/>
          <w:sz w:val="24"/>
          <w:szCs w:val="24"/>
          <w:lang w:val="en-GB"/>
        </w:rPr>
        <w:t>e the Brits own this country,</w:t>
      </w:r>
      <w:r w:rsidR="00B146E8" w:rsidRPr="001B3BA5">
        <w:rPr>
          <w:rFonts w:ascii="Times New Roman" w:hAnsi="Times New Roman" w:cs="Times New Roman"/>
          <w:iCs/>
          <w:sz w:val="24"/>
          <w:szCs w:val="24"/>
          <w:lang w:val="en-GB"/>
        </w:rPr>
        <w:t>’</w:t>
      </w:r>
      <w:r w:rsidRPr="001B3BA5">
        <w:rPr>
          <w:rFonts w:ascii="Times New Roman" w:hAnsi="Times New Roman" w:cs="Times New Roman"/>
          <w:iCs/>
          <w:sz w:val="24"/>
          <w:szCs w:val="24"/>
          <w:lang w:val="en-GB"/>
        </w:rPr>
        <w:t xml:space="preserve"> </w:t>
      </w:r>
      <w:r w:rsidR="00B146E8" w:rsidRPr="001B3BA5">
        <w:rPr>
          <w:rFonts w:ascii="Times New Roman" w:hAnsi="Times New Roman" w:cs="Times New Roman"/>
          <w:iCs/>
          <w:sz w:val="24"/>
          <w:szCs w:val="24"/>
          <w:lang w:val="en-GB"/>
        </w:rPr>
        <w:t>‘</w:t>
      </w:r>
      <w:r w:rsidRPr="001B3BA5">
        <w:rPr>
          <w:rFonts w:ascii="Times New Roman" w:hAnsi="Times New Roman" w:cs="Times New Roman"/>
          <w:iCs/>
          <w:sz w:val="24"/>
          <w:szCs w:val="24"/>
          <w:lang w:val="en-GB"/>
        </w:rPr>
        <w:t>This country belongs to us Brits,</w:t>
      </w:r>
      <w:r w:rsidR="00B146E8" w:rsidRPr="001B3BA5">
        <w:rPr>
          <w:rFonts w:ascii="Times New Roman" w:hAnsi="Times New Roman" w:cs="Times New Roman"/>
          <w:iCs/>
          <w:sz w:val="24"/>
          <w:szCs w:val="24"/>
          <w:lang w:val="en-GB"/>
        </w:rPr>
        <w:t>’</w:t>
      </w:r>
      <w:r w:rsidRPr="001B3BA5">
        <w:rPr>
          <w:rFonts w:ascii="Times New Roman" w:hAnsi="Times New Roman" w:cs="Times New Roman"/>
          <w:iCs/>
          <w:sz w:val="24"/>
          <w:szCs w:val="24"/>
          <w:lang w:val="en-GB"/>
        </w:rPr>
        <w:t xml:space="preserve"> </w:t>
      </w:r>
      <w:r w:rsidR="00B146E8" w:rsidRPr="001B3BA5">
        <w:rPr>
          <w:rFonts w:ascii="Times New Roman" w:hAnsi="Times New Roman" w:cs="Times New Roman"/>
          <w:iCs/>
          <w:sz w:val="24"/>
          <w:szCs w:val="24"/>
          <w:lang w:val="en-GB"/>
        </w:rPr>
        <w:t>‘</w:t>
      </w:r>
      <w:r w:rsidRPr="001B3BA5">
        <w:rPr>
          <w:rFonts w:ascii="Times New Roman" w:hAnsi="Times New Roman" w:cs="Times New Roman"/>
          <w:iCs/>
          <w:sz w:val="24"/>
          <w:szCs w:val="24"/>
          <w:lang w:val="en-GB"/>
        </w:rPr>
        <w:t>I would agree with someone who says this country is collectively owned by us Brits,</w:t>
      </w:r>
      <w:r w:rsidR="00B146E8" w:rsidRPr="001B3BA5">
        <w:rPr>
          <w:rFonts w:ascii="Times New Roman" w:hAnsi="Times New Roman" w:cs="Times New Roman"/>
          <w:iCs/>
          <w:sz w:val="24"/>
          <w:szCs w:val="24"/>
          <w:lang w:val="en-GB"/>
        </w:rPr>
        <w:t>’</w:t>
      </w:r>
      <w:r w:rsidRPr="001B3BA5">
        <w:rPr>
          <w:rFonts w:ascii="Times New Roman" w:hAnsi="Times New Roman" w:cs="Times New Roman"/>
          <w:iCs/>
          <w:sz w:val="24"/>
          <w:szCs w:val="24"/>
          <w:lang w:val="en-GB"/>
        </w:rPr>
        <w:t xml:space="preserve"> </w:t>
      </w:r>
      <w:r w:rsidR="00B146E8" w:rsidRPr="001B3BA5">
        <w:rPr>
          <w:rFonts w:ascii="Times New Roman" w:hAnsi="Times New Roman" w:cs="Times New Roman"/>
          <w:iCs/>
          <w:sz w:val="24"/>
          <w:szCs w:val="24"/>
          <w:lang w:val="en-GB"/>
        </w:rPr>
        <w:t>‘</w:t>
      </w:r>
      <w:r w:rsidRPr="001B3BA5">
        <w:rPr>
          <w:rFonts w:ascii="Times New Roman" w:hAnsi="Times New Roman" w:cs="Times New Roman"/>
          <w:iCs/>
          <w:sz w:val="24"/>
          <w:szCs w:val="24"/>
          <w:lang w:val="en-GB"/>
        </w:rPr>
        <w:t>I feel as though we Brits own this country together</w:t>
      </w:r>
      <w:r w:rsidR="00B146E8" w:rsidRPr="001B3BA5">
        <w:rPr>
          <w:rFonts w:ascii="Times New Roman" w:hAnsi="Times New Roman" w:cs="Times New Roman"/>
          <w:iCs/>
          <w:sz w:val="24"/>
          <w:szCs w:val="24"/>
          <w:lang w:val="en-GB"/>
        </w:rPr>
        <w:t>’</w:t>
      </w:r>
      <w:r w:rsidRPr="001B3BA5">
        <w:rPr>
          <w:rFonts w:ascii="Times New Roman" w:hAnsi="Times New Roman" w:cs="Times New Roman"/>
          <w:iCs/>
          <w:sz w:val="24"/>
          <w:szCs w:val="24"/>
          <w:lang w:val="en-GB"/>
        </w:rPr>
        <w:t xml:space="preserve"> (1</w:t>
      </w:r>
      <w:r w:rsidR="00955643" w:rsidRPr="001B3BA5">
        <w:rPr>
          <w:rFonts w:ascii="Times New Roman" w:hAnsi="Times New Roman" w:cs="Times New Roman"/>
          <w:iCs/>
          <w:sz w:val="24"/>
          <w:szCs w:val="24"/>
          <w:lang w:val="en-GB"/>
        </w:rPr>
        <w:t>=</w:t>
      </w:r>
      <w:r w:rsidR="00C837D0" w:rsidRPr="001B3BA5">
        <w:rPr>
          <w:rFonts w:ascii="Times New Roman" w:hAnsi="Times New Roman" w:cs="Times New Roman"/>
          <w:i/>
          <w:iCs/>
          <w:sz w:val="24"/>
          <w:szCs w:val="24"/>
          <w:lang w:val="en-GB"/>
        </w:rPr>
        <w:t>strongly</w:t>
      </w:r>
      <w:r w:rsidRPr="001B3BA5">
        <w:rPr>
          <w:rFonts w:ascii="Times New Roman" w:hAnsi="Times New Roman" w:cs="Times New Roman"/>
          <w:i/>
          <w:iCs/>
          <w:sz w:val="24"/>
          <w:szCs w:val="24"/>
          <w:lang w:val="en-GB"/>
        </w:rPr>
        <w:t xml:space="preserve"> disagree</w:t>
      </w:r>
      <w:r w:rsidRPr="001B3BA5">
        <w:rPr>
          <w:rFonts w:ascii="Times New Roman" w:hAnsi="Times New Roman" w:cs="Times New Roman"/>
          <w:sz w:val="24"/>
          <w:szCs w:val="24"/>
          <w:lang w:val="en-GB"/>
        </w:rPr>
        <w:t>, 7</w:t>
      </w:r>
      <w:r w:rsidR="00955643" w:rsidRPr="001B3BA5">
        <w:rPr>
          <w:rFonts w:ascii="Times New Roman" w:hAnsi="Times New Roman" w:cs="Times New Roman"/>
          <w:sz w:val="24"/>
          <w:szCs w:val="24"/>
          <w:lang w:val="en-GB"/>
        </w:rPr>
        <w:t>=</w:t>
      </w:r>
      <w:r w:rsidR="00C837D0" w:rsidRPr="001B3BA5">
        <w:rPr>
          <w:rFonts w:ascii="Times New Roman" w:hAnsi="Times New Roman" w:cs="Times New Roman"/>
          <w:i/>
          <w:iCs/>
          <w:sz w:val="24"/>
          <w:szCs w:val="24"/>
          <w:lang w:val="en-GB"/>
        </w:rPr>
        <w:t>strongly</w:t>
      </w:r>
      <w:r w:rsidRPr="001B3BA5">
        <w:rPr>
          <w:rFonts w:ascii="Times New Roman" w:hAnsi="Times New Roman" w:cs="Times New Roman"/>
          <w:i/>
          <w:iCs/>
          <w:sz w:val="24"/>
          <w:szCs w:val="24"/>
          <w:lang w:val="en-GB"/>
        </w:rPr>
        <w:t xml:space="preserve"> agree</w:t>
      </w:r>
      <w:r w:rsidR="00447479" w:rsidRPr="001B3BA5">
        <w:rPr>
          <w:rFonts w:ascii="Times New Roman" w:hAnsi="Times New Roman" w:cs="Times New Roman"/>
          <w:sz w:val="24"/>
          <w:szCs w:val="24"/>
          <w:lang w:val="en-GB"/>
        </w:rPr>
        <w:t xml:space="preserve">; </w:t>
      </w:r>
      <w:r w:rsidR="008541D6" w:rsidRPr="001B3BA5">
        <w:rPr>
          <w:rFonts w:ascii="Times New Roman" w:hAnsi="Times New Roman" w:cs="Times New Roman"/>
          <w:iCs/>
          <w:sz w:val="24"/>
          <w:szCs w:val="24"/>
          <w:lang w:val="en-GB"/>
        </w:rPr>
        <w:t>α</w:t>
      </w:r>
      <w:r w:rsidR="00955643" w:rsidRPr="001B3BA5">
        <w:rPr>
          <w:rFonts w:ascii="Times New Roman" w:hAnsi="Times New Roman" w:cs="Times New Roman"/>
          <w:sz w:val="24"/>
          <w:szCs w:val="24"/>
          <w:lang w:val="en-GB"/>
        </w:rPr>
        <w:t>=</w:t>
      </w:r>
      <w:r w:rsidR="008541D6" w:rsidRPr="001B3BA5">
        <w:rPr>
          <w:rFonts w:ascii="Times New Roman" w:hAnsi="Times New Roman" w:cs="Times New Roman"/>
          <w:sz w:val="24"/>
          <w:szCs w:val="24"/>
          <w:lang w:val="en-GB"/>
        </w:rPr>
        <w:t>.96).</w:t>
      </w:r>
    </w:p>
    <w:p w14:paraId="56434FE6" w14:textId="76591DE8" w:rsidR="00D11BC5" w:rsidRPr="001B3BA5" w:rsidRDefault="00DC01FF" w:rsidP="00584266">
      <w:pPr>
        <w:spacing w:after="0" w:line="480" w:lineRule="exact"/>
        <w:ind w:firstLine="708"/>
        <w:rPr>
          <w:rFonts w:ascii="Times New Roman" w:hAnsi="Times New Roman" w:cs="Times New Roman"/>
          <w:sz w:val="24"/>
          <w:szCs w:val="24"/>
          <w:lang w:val="en-GB"/>
        </w:rPr>
      </w:pPr>
      <w:r w:rsidRPr="001B3BA5">
        <w:rPr>
          <w:rFonts w:ascii="Times New Roman" w:hAnsi="Times New Roman" w:cs="Times New Roman"/>
          <w:b/>
          <w:bCs/>
          <w:iCs/>
          <w:sz w:val="24"/>
          <w:szCs w:val="24"/>
          <w:lang w:val="en-GB"/>
        </w:rPr>
        <w:t>Exclusive determination right</w:t>
      </w:r>
      <w:r w:rsidR="00D11BC5" w:rsidRPr="001B3BA5">
        <w:rPr>
          <w:rFonts w:ascii="Times New Roman" w:hAnsi="Times New Roman" w:cs="Times New Roman"/>
          <w:b/>
          <w:bCs/>
          <w:iCs/>
          <w:sz w:val="24"/>
          <w:szCs w:val="24"/>
          <w:lang w:val="en-GB"/>
        </w:rPr>
        <w:t xml:space="preserve">. </w:t>
      </w:r>
      <w:r w:rsidR="00D11BC5" w:rsidRPr="001B3BA5">
        <w:rPr>
          <w:rFonts w:ascii="Times New Roman" w:hAnsi="Times New Roman" w:cs="Times New Roman"/>
          <w:sz w:val="24"/>
          <w:szCs w:val="24"/>
          <w:lang w:val="en-GB"/>
        </w:rPr>
        <w:t>We assessed this construct as in Study 1</w:t>
      </w:r>
      <w:r w:rsidR="00482460" w:rsidRPr="001B3BA5">
        <w:rPr>
          <w:rFonts w:ascii="Times New Roman" w:hAnsi="Times New Roman" w:cs="Times New Roman"/>
          <w:sz w:val="24"/>
          <w:szCs w:val="24"/>
          <w:lang w:val="en-GB"/>
        </w:rPr>
        <w:t xml:space="preserve">, only in reference to </w:t>
      </w:r>
      <w:r w:rsidR="009366F7" w:rsidRPr="001B3BA5">
        <w:rPr>
          <w:rFonts w:ascii="Times New Roman" w:hAnsi="Times New Roman" w:cs="Times New Roman"/>
          <w:sz w:val="24"/>
          <w:szCs w:val="24"/>
          <w:lang w:val="en-GB"/>
        </w:rPr>
        <w:t xml:space="preserve">the </w:t>
      </w:r>
      <w:r w:rsidR="00482460" w:rsidRPr="001B3BA5">
        <w:rPr>
          <w:rFonts w:ascii="Times New Roman" w:hAnsi="Times New Roman" w:cs="Times New Roman"/>
          <w:sz w:val="24"/>
          <w:szCs w:val="24"/>
          <w:lang w:val="en-GB"/>
        </w:rPr>
        <w:t>Brit</w:t>
      </w:r>
      <w:r w:rsidR="009366F7" w:rsidRPr="001B3BA5">
        <w:rPr>
          <w:rFonts w:ascii="Times New Roman" w:hAnsi="Times New Roman" w:cs="Times New Roman"/>
          <w:sz w:val="24"/>
          <w:szCs w:val="24"/>
          <w:lang w:val="en-GB"/>
        </w:rPr>
        <w:t>i</w:t>
      </w:r>
      <w:r w:rsidR="00482460" w:rsidRPr="001B3BA5">
        <w:rPr>
          <w:rFonts w:ascii="Times New Roman" w:hAnsi="Times New Roman" w:cs="Times New Roman"/>
          <w:sz w:val="24"/>
          <w:szCs w:val="24"/>
          <w:lang w:val="en-GB"/>
        </w:rPr>
        <w:t>s</w:t>
      </w:r>
      <w:r w:rsidR="009366F7" w:rsidRPr="001B3BA5">
        <w:rPr>
          <w:rFonts w:ascii="Times New Roman" w:hAnsi="Times New Roman" w:cs="Times New Roman"/>
          <w:sz w:val="24"/>
          <w:szCs w:val="24"/>
          <w:lang w:val="en-GB"/>
        </w:rPr>
        <w:t>h</w:t>
      </w:r>
      <w:r w:rsidR="00447479" w:rsidRPr="001B3BA5">
        <w:rPr>
          <w:rFonts w:ascii="Times New Roman" w:hAnsi="Times New Roman" w:cs="Times New Roman"/>
          <w:sz w:val="24"/>
          <w:szCs w:val="24"/>
          <w:lang w:val="en-GB"/>
        </w:rPr>
        <w:t xml:space="preserve"> </w:t>
      </w:r>
      <w:r w:rsidR="008541D6" w:rsidRPr="001B3BA5">
        <w:rPr>
          <w:rFonts w:asciiTheme="majorBidi" w:hAnsiTheme="majorBidi" w:cstheme="majorBidi"/>
          <w:sz w:val="24"/>
          <w:szCs w:val="24"/>
          <w:lang w:val="en-GB"/>
        </w:rPr>
        <w:t>(</w:t>
      </w:r>
      <w:r w:rsidR="00D870CD" w:rsidRPr="001B3BA5">
        <w:rPr>
          <w:rFonts w:asciiTheme="majorBidi" w:hAnsiTheme="majorBidi" w:cstheme="majorBidi"/>
          <w:iCs/>
          <w:sz w:val="24"/>
          <w:szCs w:val="24"/>
          <w:lang w:val="en-GB"/>
        </w:rPr>
        <w:t>α</w:t>
      </w:r>
      <w:r w:rsidR="00955643" w:rsidRPr="001B3BA5">
        <w:rPr>
          <w:rFonts w:asciiTheme="majorBidi" w:hAnsiTheme="majorBidi" w:cstheme="majorBidi"/>
          <w:sz w:val="24"/>
          <w:szCs w:val="24"/>
          <w:lang w:val="en-GB"/>
        </w:rPr>
        <w:t>=</w:t>
      </w:r>
      <w:r w:rsidR="008541D6" w:rsidRPr="001B3BA5">
        <w:rPr>
          <w:rFonts w:asciiTheme="majorBidi" w:hAnsiTheme="majorBidi" w:cstheme="majorBidi"/>
          <w:sz w:val="24"/>
          <w:szCs w:val="24"/>
          <w:lang w:val="en-GB"/>
        </w:rPr>
        <w:t>.96).</w:t>
      </w:r>
    </w:p>
    <w:p w14:paraId="1E406C65" w14:textId="54803CDC" w:rsidR="00FE42BA" w:rsidRPr="001B3BA5" w:rsidRDefault="00FE42BA" w:rsidP="00584266">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b/>
          <w:bCs/>
          <w:iCs/>
          <w:sz w:val="24"/>
          <w:szCs w:val="24"/>
          <w:lang w:val="en-GB"/>
        </w:rPr>
        <w:t>Immigrant minority attitudes</w:t>
      </w:r>
      <w:r w:rsidRPr="001B3BA5">
        <w:rPr>
          <w:rFonts w:asciiTheme="majorBidi" w:hAnsiTheme="majorBidi" w:cstheme="majorBidi"/>
          <w:i/>
          <w:sz w:val="24"/>
          <w:szCs w:val="24"/>
          <w:lang w:val="en-GB"/>
        </w:rPr>
        <w:t xml:space="preserve">. </w:t>
      </w:r>
      <w:r w:rsidR="000C51C4" w:rsidRPr="001B3BA5">
        <w:rPr>
          <w:rFonts w:asciiTheme="majorBidi" w:hAnsiTheme="majorBidi" w:cstheme="majorBidi"/>
          <w:sz w:val="24"/>
          <w:szCs w:val="24"/>
          <w:lang w:val="en-GB"/>
        </w:rPr>
        <w:t>We used</w:t>
      </w:r>
      <w:r w:rsidRPr="001B3BA5">
        <w:rPr>
          <w:rFonts w:asciiTheme="majorBidi" w:hAnsiTheme="majorBidi" w:cstheme="majorBidi"/>
          <w:sz w:val="24"/>
          <w:szCs w:val="24"/>
          <w:lang w:val="en-GB"/>
        </w:rPr>
        <w:t xml:space="preserve"> the same feeling thermometer as in Study 1, but with 10 immigrant minority groups</w:t>
      </w:r>
      <w:r w:rsidR="00330414" w:rsidRPr="001B3BA5">
        <w:rPr>
          <w:rFonts w:asciiTheme="majorBidi" w:hAnsiTheme="majorBidi" w:cstheme="majorBidi"/>
          <w:sz w:val="24"/>
          <w:szCs w:val="24"/>
          <w:lang w:val="en-GB"/>
        </w:rPr>
        <w:t xml:space="preserve"> that are relevant in the British context</w:t>
      </w:r>
      <w:r w:rsidR="00447479"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 xml:space="preserve">Caribbean Blacks, </w:t>
      </w:r>
      <w:r w:rsidR="00D870CD" w:rsidRPr="001B3BA5">
        <w:rPr>
          <w:rFonts w:asciiTheme="majorBidi" w:hAnsiTheme="majorBidi" w:cstheme="majorBidi"/>
          <w:sz w:val="24"/>
          <w:szCs w:val="24"/>
          <w:lang w:val="en-GB"/>
        </w:rPr>
        <w:t xml:space="preserve">Bangladeshis, Indians, Pakistanis, Poles, </w:t>
      </w:r>
      <w:r w:rsidRPr="001B3BA5">
        <w:rPr>
          <w:rFonts w:asciiTheme="majorBidi" w:hAnsiTheme="majorBidi" w:cstheme="majorBidi"/>
          <w:sz w:val="24"/>
          <w:szCs w:val="24"/>
          <w:lang w:val="en-GB"/>
        </w:rPr>
        <w:t xml:space="preserve">Refugees, </w:t>
      </w:r>
      <w:r w:rsidR="00D870CD" w:rsidRPr="001B3BA5">
        <w:rPr>
          <w:rFonts w:asciiTheme="majorBidi" w:hAnsiTheme="majorBidi" w:cstheme="majorBidi"/>
          <w:sz w:val="24"/>
          <w:szCs w:val="24"/>
          <w:lang w:val="en-GB"/>
        </w:rPr>
        <w:t xml:space="preserve">Romanians, Russians, Muslims, </w:t>
      </w:r>
      <w:r w:rsidRPr="001B3BA5">
        <w:rPr>
          <w:rFonts w:asciiTheme="majorBidi" w:hAnsiTheme="majorBidi" w:cstheme="majorBidi"/>
          <w:sz w:val="24"/>
          <w:szCs w:val="24"/>
          <w:lang w:val="en-GB"/>
        </w:rPr>
        <w:t>Turks</w:t>
      </w:r>
      <w:r w:rsidR="00447479" w:rsidRPr="001B3BA5">
        <w:rPr>
          <w:rFonts w:asciiTheme="majorBidi" w:hAnsiTheme="majorBidi" w:cstheme="majorBidi"/>
          <w:sz w:val="24"/>
          <w:szCs w:val="24"/>
          <w:lang w:val="en-GB"/>
        </w:rPr>
        <w:t xml:space="preserve"> (</w:t>
      </w:r>
      <w:r w:rsidR="00D870CD" w:rsidRPr="001B3BA5">
        <w:rPr>
          <w:rFonts w:asciiTheme="majorBidi" w:hAnsiTheme="majorBidi" w:cstheme="majorBidi"/>
          <w:iCs/>
          <w:sz w:val="24"/>
          <w:szCs w:val="24"/>
          <w:lang w:val="en-GB"/>
        </w:rPr>
        <w:t>α</w:t>
      </w:r>
      <w:r w:rsidR="00955643" w:rsidRPr="001B3BA5">
        <w:rPr>
          <w:rFonts w:asciiTheme="majorBidi" w:hAnsiTheme="majorBidi" w:cstheme="majorBidi"/>
          <w:iCs/>
          <w:sz w:val="24"/>
          <w:szCs w:val="24"/>
          <w:lang w:val="en-GB"/>
        </w:rPr>
        <w:t>=</w:t>
      </w:r>
      <w:r w:rsidR="008541D6" w:rsidRPr="001B3BA5">
        <w:rPr>
          <w:rFonts w:asciiTheme="majorBidi" w:hAnsiTheme="majorBidi" w:cstheme="majorBidi"/>
          <w:sz w:val="24"/>
          <w:szCs w:val="24"/>
          <w:lang w:val="en-GB"/>
        </w:rPr>
        <w:t>.97).</w:t>
      </w:r>
    </w:p>
    <w:p w14:paraId="330C0430" w14:textId="53FF0A6F" w:rsidR="00E54E8D" w:rsidRPr="001B3BA5" w:rsidRDefault="00F17C87" w:rsidP="00584266">
      <w:pPr>
        <w:spacing w:after="0" w:line="480" w:lineRule="exact"/>
        <w:ind w:firstLine="708"/>
        <w:rPr>
          <w:rFonts w:ascii="Times New Roman" w:hAnsi="Times New Roman" w:cs="Times New Roman"/>
          <w:sz w:val="24"/>
          <w:szCs w:val="24"/>
          <w:lang w:val="en-GB"/>
        </w:rPr>
      </w:pPr>
      <w:r w:rsidRPr="001B3BA5">
        <w:rPr>
          <w:rFonts w:asciiTheme="majorBidi" w:hAnsiTheme="majorBidi" w:cstheme="majorBidi"/>
          <w:b/>
          <w:sz w:val="24"/>
          <w:szCs w:val="24"/>
          <w:lang w:val="en-GB"/>
        </w:rPr>
        <w:t xml:space="preserve">European integration </w:t>
      </w:r>
      <w:r w:rsidR="00FE42BA" w:rsidRPr="001B3BA5">
        <w:rPr>
          <w:rFonts w:asciiTheme="majorBidi" w:hAnsiTheme="majorBidi" w:cstheme="majorBidi"/>
          <w:b/>
          <w:bCs/>
          <w:iCs/>
          <w:sz w:val="24"/>
          <w:szCs w:val="24"/>
          <w:lang w:val="en-GB"/>
        </w:rPr>
        <w:t>attitudes</w:t>
      </w:r>
      <w:r w:rsidR="00FE42BA" w:rsidRPr="001B3BA5">
        <w:rPr>
          <w:rFonts w:asciiTheme="majorBidi" w:hAnsiTheme="majorBidi" w:cstheme="majorBidi"/>
          <w:i/>
          <w:sz w:val="24"/>
          <w:szCs w:val="24"/>
          <w:lang w:val="en-GB"/>
        </w:rPr>
        <w:t xml:space="preserve">. </w:t>
      </w:r>
      <w:r w:rsidR="00FE42BA" w:rsidRPr="001B3BA5">
        <w:rPr>
          <w:rFonts w:ascii="Times New Roman" w:hAnsi="Times New Roman" w:cs="Times New Roman"/>
          <w:iCs/>
          <w:sz w:val="24"/>
          <w:szCs w:val="24"/>
          <w:lang w:val="en-GB"/>
        </w:rPr>
        <w:t xml:space="preserve">We measured this construct as </w:t>
      </w:r>
      <w:r w:rsidR="00FE42BA" w:rsidRPr="001B3BA5">
        <w:rPr>
          <w:rFonts w:ascii="Times New Roman" w:hAnsi="Times New Roman" w:cs="Times New Roman"/>
          <w:sz w:val="24"/>
          <w:szCs w:val="24"/>
          <w:lang w:val="en-GB"/>
        </w:rPr>
        <w:t>in Study 1</w:t>
      </w:r>
      <w:r w:rsidR="001672BD" w:rsidRPr="001B3BA5">
        <w:rPr>
          <w:rFonts w:ascii="Times New Roman" w:hAnsi="Times New Roman" w:cs="Times New Roman"/>
          <w:sz w:val="24"/>
          <w:szCs w:val="24"/>
          <w:lang w:val="en-GB"/>
        </w:rPr>
        <w:t xml:space="preserve">, except that </w:t>
      </w:r>
      <w:r w:rsidR="001E6F7B" w:rsidRPr="001B3BA5">
        <w:rPr>
          <w:rFonts w:ascii="Times New Roman" w:hAnsi="Times New Roman" w:cs="Times New Roman"/>
          <w:sz w:val="24"/>
          <w:szCs w:val="24"/>
          <w:lang w:val="en-GB"/>
        </w:rPr>
        <w:t>we</w:t>
      </w:r>
      <w:r w:rsidR="001672BD" w:rsidRPr="001B3BA5">
        <w:rPr>
          <w:rFonts w:ascii="Times New Roman" w:hAnsi="Times New Roman" w:cs="Times New Roman"/>
          <w:sz w:val="24"/>
          <w:szCs w:val="24"/>
          <w:lang w:val="en-GB"/>
        </w:rPr>
        <w:t xml:space="preserve"> rephrased</w:t>
      </w:r>
      <w:r w:rsidR="001E6F7B" w:rsidRPr="001B3BA5">
        <w:rPr>
          <w:rFonts w:ascii="Times New Roman" w:hAnsi="Times New Roman" w:cs="Times New Roman"/>
          <w:sz w:val="24"/>
          <w:szCs w:val="24"/>
          <w:lang w:val="en-GB"/>
        </w:rPr>
        <w:t xml:space="preserve"> it</w:t>
      </w:r>
      <w:r w:rsidR="001672BD" w:rsidRPr="001B3BA5">
        <w:rPr>
          <w:rFonts w:ascii="Times New Roman" w:hAnsi="Times New Roman" w:cs="Times New Roman"/>
          <w:sz w:val="24"/>
          <w:szCs w:val="24"/>
          <w:lang w:val="en-GB"/>
        </w:rPr>
        <w:t xml:space="preserve"> in past tense</w:t>
      </w:r>
      <w:r w:rsidR="0038702A" w:rsidRPr="001B3BA5">
        <w:rPr>
          <w:rFonts w:ascii="Times New Roman" w:hAnsi="Times New Roman" w:cs="Times New Roman"/>
          <w:sz w:val="24"/>
          <w:szCs w:val="24"/>
          <w:lang w:val="en-GB"/>
        </w:rPr>
        <w:t xml:space="preserve"> </w:t>
      </w:r>
      <w:r w:rsidR="001672BD" w:rsidRPr="001B3BA5">
        <w:rPr>
          <w:rFonts w:ascii="Times New Roman" w:hAnsi="Times New Roman" w:cs="Times New Roman"/>
          <w:sz w:val="24"/>
          <w:szCs w:val="24"/>
          <w:lang w:val="en-GB"/>
        </w:rPr>
        <w:t xml:space="preserve">(e.g., </w:t>
      </w:r>
      <w:r w:rsidR="00B146E8" w:rsidRPr="001B3BA5">
        <w:rPr>
          <w:rFonts w:ascii="Times New Roman" w:hAnsi="Times New Roman" w:cs="Times New Roman"/>
          <w:sz w:val="24"/>
          <w:szCs w:val="24"/>
          <w:lang w:val="en-GB"/>
        </w:rPr>
        <w:t>‘</w:t>
      </w:r>
      <w:r w:rsidR="001672BD" w:rsidRPr="001B3BA5">
        <w:rPr>
          <w:rFonts w:asciiTheme="majorBidi" w:hAnsiTheme="majorBidi" w:cstheme="majorBidi"/>
          <w:sz w:val="24"/>
          <w:szCs w:val="24"/>
          <w:lang w:val="en-GB"/>
        </w:rPr>
        <w:t xml:space="preserve">European </w:t>
      </w:r>
      <w:r w:rsidRPr="001B3BA5">
        <w:rPr>
          <w:rFonts w:asciiTheme="majorBidi" w:hAnsiTheme="majorBidi" w:cstheme="majorBidi"/>
          <w:sz w:val="24"/>
          <w:szCs w:val="24"/>
          <w:lang w:val="en-GB"/>
        </w:rPr>
        <w:t>integration</w:t>
      </w:r>
      <w:r w:rsidR="001672BD" w:rsidRPr="001B3BA5">
        <w:rPr>
          <w:rFonts w:asciiTheme="majorBidi" w:hAnsiTheme="majorBidi" w:cstheme="majorBidi"/>
          <w:sz w:val="24"/>
          <w:szCs w:val="24"/>
          <w:lang w:val="en-GB"/>
        </w:rPr>
        <w:t xml:space="preserve"> should have gone a lot further</w:t>
      </w:r>
      <w:r w:rsidR="00B146E8" w:rsidRPr="001B3BA5">
        <w:rPr>
          <w:rFonts w:asciiTheme="majorBidi" w:hAnsiTheme="majorBidi" w:cstheme="majorBidi"/>
          <w:sz w:val="24"/>
          <w:szCs w:val="24"/>
          <w:lang w:val="en-GB"/>
        </w:rPr>
        <w:t>’</w:t>
      </w:r>
      <w:r w:rsidR="001672BD" w:rsidRPr="001B3BA5">
        <w:rPr>
          <w:rFonts w:asciiTheme="majorBidi" w:hAnsiTheme="majorBidi" w:cstheme="majorBidi"/>
          <w:sz w:val="24"/>
          <w:szCs w:val="24"/>
          <w:lang w:val="en-GB"/>
        </w:rPr>
        <w:t>)</w:t>
      </w:r>
      <w:r w:rsidR="001E6F7B" w:rsidRPr="001B3BA5">
        <w:rPr>
          <w:rFonts w:asciiTheme="majorBidi" w:hAnsiTheme="majorBidi" w:cstheme="majorBidi"/>
          <w:sz w:val="24"/>
          <w:szCs w:val="24"/>
          <w:lang w:val="en-GB"/>
        </w:rPr>
        <w:t xml:space="preserve">, given that </w:t>
      </w:r>
      <w:r w:rsidR="0038702A" w:rsidRPr="001B3BA5">
        <w:rPr>
          <w:rFonts w:asciiTheme="majorBidi" w:hAnsiTheme="majorBidi" w:cstheme="majorBidi"/>
          <w:sz w:val="24"/>
          <w:szCs w:val="24"/>
          <w:lang w:val="en-GB"/>
        </w:rPr>
        <w:t xml:space="preserve">the </w:t>
      </w:r>
      <w:r w:rsidR="00753E0A" w:rsidRPr="001B3BA5">
        <w:rPr>
          <w:rFonts w:asciiTheme="majorBidi" w:hAnsiTheme="majorBidi" w:cstheme="majorBidi"/>
          <w:sz w:val="24"/>
          <w:szCs w:val="24"/>
          <w:lang w:val="en-GB"/>
        </w:rPr>
        <w:t>electorate</w:t>
      </w:r>
      <w:r w:rsidR="0038702A" w:rsidRPr="001B3BA5">
        <w:rPr>
          <w:rFonts w:asciiTheme="majorBidi" w:hAnsiTheme="majorBidi" w:cstheme="majorBidi"/>
          <w:sz w:val="24"/>
          <w:szCs w:val="24"/>
          <w:lang w:val="en-GB"/>
        </w:rPr>
        <w:t xml:space="preserve"> had already</w:t>
      </w:r>
      <w:r w:rsidR="001E6F7B" w:rsidRPr="001B3BA5">
        <w:rPr>
          <w:rFonts w:asciiTheme="majorBidi" w:hAnsiTheme="majorBidi" w:cstheme="majorBidi"/>
          <w:sz w:val="24"/>
          <w:szCs w:val="24"/>
          <w:lang w:val="en-GB"/>
        </w:rPr>
        <w:t xml:space="preserve"> voted </w:t>
      </w:r>
      <w:r w:rsidR="00753E0A" w:rsidRPr="001B3BA5">
        <w:rPr>
          <w:rFonts w:asciiTheme="majorBidi" w:hAnsiTheme="majorBidi" w:cstheme="majorBidi"/>
          <w:sz w:val="24"/>
          <w:szCs w:val="24"/>
          <w:lang w:val="en-GB"/>
        </w:rPr>
        <w:t>for</w:t>
      </w:r>
      <w:r w:rsidR="001E6F7B" w:rsidRPr="001B3BA5">
        <w:rPr>
          <w:rFonts w:asciiTheme="majorBidi" w:hAnsiTheme="majorBidi" w:cstheme="majorBidi"/>
          <w:sz w:val="24"/>
          <w:szCs w:val="24"/>
          <w:lang w:val="en-GB"/>
        </w:rPr>
        <w:t xml:space="preserve"> Brexit</w:t>
      </w:r>
      <w:r w:rsidR="0038702A" w:rsidRPr="001B3BA5">
        <w:rPr>
          <w:rFonts w:asciiTheme="majorBidi" w:hAnsiTheme="majorBidi" w:cstheme="majorBidi"/>
          <w:sz w:val="24"/>
          <w:szCs w:val="24"/>
          <w:lang w:val="en-GB"/>
        </w:rPr>
        <w:t>.</w:t>
      </w:r>
    </w:p>
    <w:p w14:paraId="6F5D079D" w14:textId="6A8EAF17" w:rsidR="00272A02" w:rsidRPr="001B3BA5" w:rsidRDefault="00D11BC5" w:rsidP="00584266">
      <w:pPr>
        <w:spacing w:after="0" w:line="480" w:lineRule="exact"/>
        <w:ind w:firstLine="708"/>
        <w:rPr>
          <w:rFonts w:ascii="Times New Roman" w:hAnsi="Times New Roman" w:cs="Times New Roman"/>
          <w:sz w:val="24"/>
          <w:szCs w:val="24"/>
          <w:lang w:val="en-GB"/>
        </w:rPr>
      </w:pPr>
      <w:r w:rsidRPr="001B3BA5">
        <w:rPr>
          <w:rFonts w:ascii="Times New Roman" w:hAnsi="Times New Roman" w:cs="Times New Roman"/>
          <w:b/>
          <w:bCs/>
          <w:iCs/>
          <w:sz w:val="24"/>
          <w:szCs w:val="24"/>
          <w:lang w:val="en-GB"/>
        </w:rPr>
        <w:t>Brexit voting</w:t>
      </w:r>
      <w:r w:rsidRPr="001B3BA5">
        <w:rPr>
          <w:rFonts w:ascii="Times New Roman" w:hAnsi="Times New Roman" w:cs="Times New Roman"/>
          <w:i/>
          <w:sz w:val="24"/>
          <w:szCs w:val="24"/>
          <w:lang w:val="en-GB"/>
        </w:rPr>
        <w:t>.</w:t>
      </w:r>
      <w:r w:rsidRPr="001B3BA5">
        <w:rPr>
          <w:rFonts w:ascii="Times New Roman" w:hAnsi="Times New Roman" w:cs="Times New Roman"/>
          <w:sz w:val="24"/>
          <w:szCs w:val="24"/>
          <w:lang w:val="en-GB"/>
        </w:rPr>
        <w:t xml:space="preserve"> We assessed this construct with the question</w:t>
      </w:r>
      <w:r w:rsidR="00940636" w:rsidRPr="001B3BA5">
        <w:rPr>
          <w:rFonts w:ascii="Times New Roman" w:hAnsi="Times New Roman" w:cs="Times New Roman"/>
          <w:sz w:val="24"/>
          <w:szCs w:val="24"/>
          <w:lang w:val="en-GB"/>
        </w:rPr>
        <w:t xml:space="preserve">: </w:t>
      </w:r>
      <w:r w:rsidR="00B146E8" w:rsidRPr="001B3BA5">
        <w:rPr>
          <w:rFonts w:ascii="Times New Roman" w:hAnsi="Times New Roman" w:cs="Times New Roman"/>
          <w:sz w:val="24"/>
          <w:szCs w:val="24"/>
          <w:lang w:val="en-GB"/>
        </w:rPr>
        <w:t>‘</w:t>
      </w:r>
      <w:r w:rsidRPr="001B3BA5">
        <w:rPr>
          <w:rFonts w:ascii="Times New Roman" w:hAnsi="Times New Roman" w:cs="Times New Roman"/>
          <w:iCs/>
          <w:sz w:val="24"/>
          <w:szCs w:val="24"/>
          <w:lang w:val="en-GB"/>
        </w:rPr>
        <w:t>What did you vote in the 2016 Referendum?</w:t>
      </w:r>
      <w:r w:rsidR="00B146E8" w:rsidRPr="001B3BA5">
        <w:rPr>
          <w:rFonts w:ascii="Times New Roman" w:hAnsi="Times New Roman" w:cs="Times New Roman"/>
          <w:iCs/>
          <w:sz w:val="24"/>
          <w:szCs w:val="24"/>
          <w:lang w:val="en-GB"/>
        </w:rPr>
        <w:t>’</w:t>
      </w:r>
      <w:r w:rsidR="00940636" w:rsidRPr="001B3BA5">
        <w:rPr>
          <w:rFonts w:ascii="Times New Roman" w:hAnsi="Times New Roman" w:cs="Times New Roman"/>
          <w:iCs/>
          <w:sz w:val="24"/>
          <w:szCs w:val="24"/>
          <w:lang w:val="en-GB"/>
        </w:rPr>
        <w:t xml:space="preserve">. </w:t>
      </w:r>
      <w:r w:rsidRPr="001B3BA5">
        <w:rPr>
          <w:rFonts w:ascii="Times New Roman" w:hAnsi="Times New Roman" w:cs="Times New Roman"/>
          <w:sz w:val="24"/>
          <w:szCs w:val="24"/>
          <w:lang w:val="en-GB"/>
        </w:rPr>
        <w:t xml:space="preserve">The </w:t>
      </w:r>
      <w:r w:rsidR="00940636" w:rsidRPr="001B3BA5">
        <w:rPr>
          <w:rFonts w:ascii="Times New Roman" w:hAnsi="Times New Roman" w:cs="Times New Roman"/>
          <w:sz w:val="24"/>
          <w:szCs w:val="24"/>
          <w:lang w:val="en-GB"/>
        </w:rPr>
        <w:t>options</w:t>
      </w:r>
      <w:r w:rsidRPr="001B3BA5">
        <w:rPr>
          <w:rFonts w:ascii="Times New Roman" w:hAnsi="Times New Roman" w:cs="Times New Roman"/>
          <w:sz w:val="24"/>
          <w:szCs w:val="24"/>
          <w:lang w:val="en-GB"/>
        </w:rPr>
        <w:t xml:space="preserve"> were</w:t>
      </w:r>
      <w:r w:rsidR="00940636" w:rsidRPr="001B3BA5">
        <w:rPr>
          <w:rFonts w:ascii="Times New Roman" w:hAnsi="Times New Roman" w:cs="Times New Roman"/>
          <w:sz w:val="24"/>
          <w:szCs w:val="24"/>
          <w:lang w:val="en-GB"/>
        </w:rPr>
        <w:t xml:space="preserve">: </w:t>
      </w:r>
      <w:r w:rsidR="00940636" w:rsidRPr="001B3BA5">
        <w:rPr>
          <w:rFonts w:ascii="Times New Roman" w:hAnsi="Times New Roman" w:cs="Times New Roman"/>
          <w:i/>
          <w:iCs/>
          <w:sz w:val="24"/>
          <w:szCs w:val="24"/>
          <w:lang w:val="en-GB"/>
        </w:rPr>
        <w:t>l</w:t>
      </w:r>
      <w:r w:rsidRPr="001B3BA5">
        <w:rPr>
          <w:rFonts w:ascii="Times New Roman" w:hAnsi="Times New Roman" w:cs="Times New Roman"/>
          <w:i/>
          <w:iCs/>
          <w:sz w:val="24"/>
          <w:szCs w:val="24"/>
          <w:lang w:val="en-GB"/>
        </w:rPr>
        <w:t>eave</w:t>
      </w:r>
      <w:r w:rsidR="00940636" w:rsidRPr="001B3BA5">
        <w:rPr>
          <w:rFonts w:ascii="Times New Roman" w:hAnsi="Times New Roman" w:cs="Times New Roman"/>
          <w:sz w:val="24"/>
          <w:szCs w:val="24"/>
          <w:lang w:val="en-GB"/>
        </w:rPr>
        <w:t xml:space="preserve">, </w:t>
      </w:r>
      <w:r w:rsidR="00940636" w:rsidRPr="001B3BA5">
        <w:rPr>
          <w:rFonts w:ascii="Times New Roman" w:hAnsi="Times New Roman" w:cs="Times New Roman"/>
          <w:i/>
          <w:iCs/>
          <w:sz w:val="24"/>
          <w:szCs w:val="24"/>
          <w:lang w:val="en-GB"/>
        </w:rPr>
        <w:t>r</w:t>
      </w:r>
      <w:r w:rsidRPr="001B3BA5">
        <w:rPr>
          <w:rFonts w:ascii="Times New Roman" w:hAnsi="Times New Roman" w:cs="Times New Roman"/>
          <w:i/>
          <w:iCs/>
          <w:sz w:val="24"/>
          <w:szCs w:val="24"/>
          <w:lang w:val="en-GB"/>
        </w:rPr>
        <w:t>emain</w:t>
      </w:r>
      <w:r w:rsidR="00940636" w:rsidRPr="001B3BA5">
        <w:rPr>
          <w:rFonts w:ascii="Times New Roman" w:hAnsi="Times New Roman" w:cs="Times New Roman"/>
          <w:sz w:val="24"/>
          <w:szCs w:val="24"/>
          <w:lang w:val="en-GB"/>
        </w:rPr>
        <w:t xml:space="preserve">, </w:t>
      </w:r>
      <w:r w:rsidRPr="001B3BA5">
        <w:rPr>
          <w:rFonts w:ascii="Times New Roman" w:hAnsi="Times New Roman" w:cs="Times New Roman"/>
          <w:i/>
          <w:iCs/>
          <w:sz w:val="24"/>
          <w:szCs w:val="24"/>
          <w:lang w:val="en-GB"/>
        </w:rPr>
        <w:t>I chose not to vote</w:t>
      </w:r>
      <w:r w:rsidR="00940636" w:rsidRPr="001B3BA5">
        <w:rPr>
          <w:rFonts w:ascii="Times New Roman" w:hAnsi="Times New Roman" w:cs="Times New Roman"/>
          <w:sz w:val="24"/>
          <w:szCs w:val="24"/>
          <w:lang w:val="en-GB"/>
        </w:rPr>
        <w:t xml:space="preserve">, </w:t>
      </w:r>
      <w:r w:rsidRPr="001B3BA5">
        <w:rPr>
          <w:rFonts w:ascii="Times New Roman" w:hAnsi="Times New Roman" w:cs="Times New Roman"/>
          <w:i/>
          <w:iCs/>
          <w:sz w:val="24"/>
          <w:szCs w:val="24"/>
          <w:lang w:val="en-GB"/>
        </w:rPr>
        <w:t>I was not allowed to vote</w:t>
      </w:r>
      <w:r w:rsidR="00940636"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and </w:t>
      </w:r>
      <w:r w:rsidR="00940636" w:rsidRPr="001B3BA5">
        <w:rPr>
          <w:rFonts w:ascii="Times New Roman" w:hAnsi="Times New Roman" w:cs="Times New Roman"/>
          <w:i/>
          <w:iCs/>
          <w:sz w:val="24"/>
          <w:szCs w:val="24"/>
          <w:lang w:val="en-GB"/>
        </w:rPr>
        <w:t>p</w:t>
      </w:r>
      <w:r w:rsidRPr="001B3BA5">
        <w:rPr>
          <w:rFonts w:ascii="Times New Roman" w:hAnsi="Times New Roman" w:cs="Times New Roman"/>
          <w:i/>
          <w:iCs/>
          <w:sz w:val="24"/>
          <w:szCs w:val="24"/>
          <w:lang w:val="en-GB"/>
        </w:rPr>
        <w:t>refer not to sa</w:t>
      </w:r>
      <w:r w:rsidR="00940636" w:rsidRPr="001B3BA5">
        <w:rPr>
          <w:rFonts w:ascii="Times New Roman" w:hAnsi="Times New Roman" w:cs="Times New Roman"/>
          <w:i/>
          <w:iCs/>
          <w:sz w:val="24"/>
          <w:szCs w:val="24"/>
          <w:lang w:val="en-GB"/>
        </w:rPr>
        <w:t>y</w:t>
      </w:r>
      <w:r w:rsidR="00940636"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w:t>
      </w:r>
      <w:r w:rsidR="00940636" w:rsidRPr="001B3BA5">
        <w:rPr>
          <w:rFonts w:ascii="Times New Roman" w:hAnsi="Times New Roman" w:cs="Times New Roman"/>
          <w:sz w:val="24"/>
          <w:szCs w:val="24"/>
          <w:lang w:val="en-GB"/>
        </w:rPr>
        <w:t>We treated this</w:t>
      </w:r>
      <w:r w:rsidRPr="001B3BA5">
        <w:rPr>
          <w:rFonts w:ascii="Times New Roman" w:hAnsi="Times New Roman" w:cs="Times New Roman"/>
          <w:sz w:val="24"/>
          <w:szCs w:val="24"/>
          <w:lang w:val="en-GB"/>
        </w:rPr>
        <w:t xml:space="preserve"> variable as a dummy in which</w:t>
      </w:r>
      <w:r w:rsidR="00940636" w:rsidRPr="001B3BA5">
        <w:rPr>
          <w:rFonts w:ascii="Times New Roman" w:hAnsi="Times New Roman" w:cs="Times New Roman"/>
          <w:sz w:val="24"/>
          <w:szCs w:val="24"/>
          <w:lang w:val="en-GB"/>
        </w:rPr>
        <w:t xml:space="preserve"> we coded</w:t>
      </w:r>
      <w:r w:rsidRPr="001B3BA5">
        <w:rPr>
          <w:rFonts w:ascii="Times New Roman" w:hAnsi="Times New Roman" w:cs="Times New Roman"/>
          <w:sz w:val="24"/>
          <w:szCs w:val="24"/>
          <w:lang w:val="en-GB"/>
        </w:rPr>
        <w:t xml:space="preserve"> </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leave</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as 1 and </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remain</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as 0. </w:t>
      </w:r>
      <w:r w:rsidR="00C22CFB" w:rsidRPr="001B3BA5">
        <w:rPr>
          <w:rFonts w:ascii="Times New Roman" w:hAnsi="Times New Roman" w:cs="Times New Roman"/>
          <w:sz w:val="24"/>
          <w:szCs w:val="24"/>
          <w:lang w:val="en-GB"/>
        </w:rPr>
        <w:t>Four hundred twenty-one</w:t>
      </w:r>
      <w:r w:rsidR="00940636" w:rsidRPr="001B3BA5">
        <w:rPr>
          <w:rFonts w:ascii="Times New Roman" w:hAnsi="Times New Roman" w:cs="Times New Roman"/>
          <w:sz w:val="24"/>
          <w:szCs w:val="24"/>
          <w:lang w:val="en-GB"/>
        </w:rPr>
        <w:t xml:space="preserve"> participants </w:t>
      </w:r>
      <w:r w:rsidR="004A5F13" w:rsidRPr="001B3BA5">
        <w:rPr>
          <w:rFonts w:ascii="Times New Roman" w:hAnsi="Times New Roman" w:cs="Times New Roman"/>
          <w:sz w:val="24"/>
          <w:szCs w:val="24"/>
          <w:lang w:val="en-GB"/>
        </w:rPr>
        <w:t xml:space="preserve">voted either </w:t>
      </w:r>
      <w:r w:rsidR="00B146E8" w:rsidRPr="001B3BA5">
        <w:rPr>
          <w:rFonts w:ascii="Times New Roman" w:hAnsi="Times New Roman" w:cs="Times New Roman"/>
          <w:sz w:val="24"/>
          <w:szCs w:val="24"/>
          <w:lang w:val="en-GB"/>
        </w:rPr>
        <w:t>‘</w:t>
      </w:r>
      <w:r w:rsidR="004A5F13" w:rsidRPr="001B3BA5">
        <w:rPr>
          <w:rFonts w:ascii="Times New Roman" w:hAnsi="Times New Roman" w:cs="Times New Roman"/>
          <w:sz w:val="24"/>
          <w:szCs w:val="24"/>
          <w:lang w:val="en-GB"/>
        </w:rPr>
        <w:t>leave</w:t>
      </w:r>
      <w:r w:rsidR="00B146E8" w:rsidRPr="001B3BA5">
        <w:rPr>
          <w:rFonts w:ascii="Times New Roman" w:hAnsi="Times New Roman" w:cs="Times New Roman"/>
          <w:sz w:val="24"/>
          <w:szCs w:val="24"/>
          <w:lang w:val="en-GB"/>
        </w:rPr>
        <w:t>’</w:t>
      </w:r>
      <w:r w:rsidR="004A5F13" w:rsidRPr="001B3BA5">
        <w:rPr>
          <w:rFonts w:ascii="Times New Roman" w:hAnsi="Times New Roman" w:cs="Times New Roman"/>
          <w:sz w:val="24"/>
          <w:szCs w:val="24"/>
          <w:lang w:val="en-GB"/>
        </w:rPr>
        <w:t xml:space="preserve"> or </w:t>
      </w:r>
      <w:r w:rsidR="00B146E8" w:rsidRPr="001B3BA5">
        <w:rPr>
          <w:rFonts w:ascii="Times New Roman" w:hAnsi="Times New Roman" w:cs="Times New Roman"/>
          <w:sz w:val="24"/>
          <w:szCs w:val="24"/>
          <w:lang w:val="en-GB"/>
        </w:rPr>
        <w:t>‘</w:t>
      </w:r>
      <w:r w:rsidR="004A5F13" w:rsidRPr="001B3BA5">
        <w:rPr>
          <w:rFonts w:ascii="Times New Roman" w:hAnsi="Times New Roman" w:cs="Times New Roman"/>
          <w:sz w:val="24"/>
          <w:szCs w:val="24"/>
          <w:lang w:val="en-GB"/>
        </w:rPr>
        <w:t>remain</w:t>
      </w:r>
      <w:r w:rsidR="00B146E8" w:rsidRPr="001B3BA5">
        <w:rPr>
          <w:rFonts w:ascii="Times New Roman" w:hAnsi="Times New Roman" w:cs="Times New Roman"/>
          <w:sz w:val="24"/>
          <w:szCs w:val="24"/>
          <w:lang w:val="en-GB"/>
        </w:rPr>
        <w:t>’</w:t>
      </w:r>
      <w:r w:rsidR="004A5F13" w:rsidRPr="001B3BA5">
        <w:rPr>
          <w:rFonts w:ascii="Times New Roman" w:hAnsi="Times New Roman" w:cs="Times New Roman"/>
          <w:sz w:val="24"/>
          <w:szCs w:val="24"/>
          <w:lang w:val="en-GB"/>
        </w:rPr>
        <w:t>, and w</w:t>
      </w:r>
      <w:r w:rsidR="00940636" w:rsidRPr="001B3BA5">
        <w:rPr>
          <w:rFonts w:ascii="Times New Roman" w:hAnsi="Times New Roman" w:cs="Times New Roman"/>
          <w:sz w:val="24"/>
          <w:szCs w:val="24"/>
          <w:lang w:val="en-GB"/>
        </w:rPr>
        <w:t>e treated the responses of the remaining 74 participants</w:t>
      </w:r>
      <w:r w:rsidR="00C22CFB" w:rsidRPr="001B3BA5">
        <w:rPr>
          <w:rFonts w:ascii="Times New Roman" w:hAnsi="Times New Roman" w:cs="Times New Roman"/>
          <w:sz w:val="24"/>
          <w:szCs w:val="24"/>
          <w:lang w:val="en-GB"/>
        </w:rPr>
        <w:t xml:space="preserve"> on this variable</w:t>
      </w:r>
      <w:r w:rsidR="00940636" w:rsidRPr="001B3BA5">
        <w:rPr>
          <w:rFonts w:ascii="Times New Roman" w:hAnsi="Times New Roman" w:cs="Times New Roman"/>
          <w:sz w:val="24"/>
          <w:szCs w:val="24"/>
          <w:lang w:val="en-GB"/>
        </w:rPr>
        <w:t xml:space="preserve"> as missing</w:t>
      </w:r>
      <w:r w:rsidRPr="001B3BA5">
        <w:rPr>
          <w:rFonts w:ascii="Times New Roman" w:hAnsi="Times New Roman" w:cs="Times New Roman"/>
          <w:sz w:val="24"/>
          <w:szCs w:val="24"/>
          <w:lang w:val="en-GB"/>
        </w:rPr>
        <w:t>.</w:t>
      </w:r>
      <w:r w:rsidR="00272A02" w:rsidRPr="001B3BA5">
        <w:rPr>
          <w:rFonts w:ascii="Times New Roman" w:hAnsi="Times New Roman" w:cs="Times New Roman"/>
          <w:sz w:val="24"/>
          <w:szCs w:val="24"/>
          <w:lang w:val="en-GB"/>
        </w:rPr>
        <w:t xml:space="preserve"> We </w:t>
      </w:r>
      <w:r w:rsidR="00B30433" w:rsidRPr="001B3BA5">
        <w:rPr>
          <w:rFonts w:ascii="Times New Roman" w:hAnsi="Times New Roman" w:cs="Times New Roman"/>
          <w:sz w:val="24"/>
          <w:szCs w:val="24"/>
          <w:lang w:val="en-GB"/>
        </w:rPr>
        <w:t xml:space="preserve">used this </w:t>
      </w:r>
      <w:r w:rsidR="00C22CFB" w:rsidRPr="001B3BA5">
        <w:rPr>
          <w:rFonts w:ascii="Times New Roman" w:hAnsi="Times New Roman" w:cs="Times New Roman"/>
          <w:sz w:val="24"/>
          <w:szCs w:val="24"/>
          <w:lang w:val="en-GB"/>
        </w:rPr>
        <w:t xml:space="preserve">voting </w:t>
      </w:r>
      <w:r w:rsidR="006C0B7C" w:rsidRPr="001B3BA5">
        <w:rPr>
          <w:rFonts w:ascii="Times New Roman" w:hAnsi="Times New Roman" w:cs="Times New Roman"/>
          <w:sz w:val="24"/>
          <w:szCs w:val="24"/>
          <w:lang w:val="en-GB"/>
        </w:rPr>
        <w:t>question</w:t>
      </w:r>
      <w:r w:rsidR="006F70C2" w:rsidRPr="001B3BA5">
        <w:rPr>
          <w:rFonts w:ascii="Times New Roman" w:hAnsi="Times New Roman" w:cs="Times New Roman"/>
          <w:sz w:val="24"/>
          <w:szCs w:val="24"/>
          <w:lang w:val="en-GB"/>
        </w:rPr>
        <w:t xml:space="preserve"> in </w:t>
      </w:r>
      <w:r w:rsidR="00B30433" w:rsidRPr="001B3BA5">
        <w:rPr>
          <w:rFonts w:ascii="Times New Roman" w:hAnsi="Times New Roman" w:cs="Times New Roman"/>
          <w:sz w:val="24"/>
          <w:szCs w:val="24"/>
          <w:lang w:val="en-GB"/>
        </w:rPr>
        <w:t xml:space="preserve">our main analyses </w:t>
      </w:r>
      <w:r w:rsidR="001E6F7B" w:rsidRPr="001B3BA5">
        <w:rPr>
          <w:rFonts w:ascii="Times New Roman" w:hAnsi="Times New Roman" w:cs="Times New Roman"/>
          <w:sz w:val="24"/>
          <w:szCs w:val="24"/>
          <w:lang w:val="en-GB"/>
        </w:rPr>
        <w:t xml:space="preserve">as a proxy </w:t>
      </w:r>
      <w:r w:rsidR="00480C88" w:rsidRPr="001B3BA5">
        <w:rPr>
          <w:rFonts w:ascii="Times New Roman" w:hAnsi="Times New Roman" w:cs="Times New Roman"/>
          <w:sz w:val="24"/>
          <w:szCs w:val="24"/>
          <w:lang w:val="en-GB"/>
        </w:rPr>
        <w:t xml:space="preserve">for </w:t>
      </w:r>
      <w:r w:rsidR="00970812" w:rsidRPr="001B3BA5">
        <w:rPr>
          <w:rFonts w:ascii="Times New Roman" w:hAnsi="Times New Roman" w:cs="Times New Roman"/>
          <w:sz w:val="24"/>
          <w:szCs w:val="24"/>
          <w:lang w:val="en-GB"/>
        </w:rPr>
        <w:t>voting</w:t>
      </w:r>
      <w:r w:rsidR="008B7B0D" w:rsidRPr="001B3BA5">
        <w:rPr>
          <w:rFonts w:ascii="Times New Roman" w:hAnsi="Times New Roman" w:cs="Times New Roman"/>
          <w:sz w:val="24"/>
          <w:szCs w:val="24"/>
          <w:lang w:val="en-GB"/>
        </w:rPr>
        <w:t xml:space="preserve"> </w:t>
      </w:r>
      <w:r w:rsidR="006817AF" w:rsidRPr="001B3BA5">
        <w:rPr>
          <w:rFonts w:ascii="Times New Roman" w:hAnsi="Times New Roman" w:cs="Times New Roman"/>
          <w:sz w:val="24"/>
          <w:szCs w:val="24"/>
          <w:lang w:val="en-GB"/>
        </w:rPr>
        <w:t>behavio</w:t>
      </w:r>
      <w:r w:rsidR="008643F0" w:rsidRPr="001B3BA5">
        <w:rPr>
          <w:rFonts w:ascii="Times New Roman" w:hAnsi="Times New Roman" w:cs="Times New Roman"/>
          <w:sz w:val="24"/>
          <w:szCs w:val="24"/>
          <w:lang w:val="en-GB"/>
        </w:rPr>
        <w:t>u</w:t>
      </w:r>
      <w:r w:rsidR="006817AF" w:rsidRPr="001B3BA5">
        <w:rPr>
          <w:rFonts w:ascii="Times New Roman" w:hAnsi="Times New Roman" w:cs="Times New Roman"/>
          <w:sz w:val="24"/>
          <w:szCs w:val="24"/>
          <w:lang w:val="en-GB"/>
        </w:rPr>
        <w:t>r,</w:t>
      </w:r>
      <w:r w:rsidR="00C409EC" w:rsidRPr="001B3BA5">
        <w:rPr>
          <w:rFonts w:ascii="Times New Roman" w:hAnsi="Times New Roman" w:cs="Times New Roman"/>
          <w:sz w:val="24"/>
          <w:szCs w:val="24"/>
          <w:lang w:val="en-GB"/>
        </w:rPr>
        <w:t xml:space="preserve"> </w:t>
      </w:r>
      <w:r w:rsidR="001E6F7B" w:rsidRPr="001B3BA5">
        <w:rPr>
          <w:rFonts w:ascii="Times New Roman" w:hAnsi="Times New Roman" w:cs="Times New Roman"/>
          <w:sz w:val="24"/>
          <w:szCs w:val="24"/>
          <w:lang w:val="en-GB"/>
        </w:rPr>
        <w:t>meaning</w:t>
      </w:r>
      <w:r w:rsidR="00C409EC" w:rsidRPr="001B3BA5">
        <w:rPr>
          <w:rFonts w:ascii="Times New Roman" w:hAnsi="Times New Roman" w:cs="Times New Roman"/>
          <w:sz w:val="24"/>
          <w:szCs w:val="24"/>
          <w:lang w:val="en-GB"/>
        </w:rPr>
        <w:t xml:space="preserve"> </w:t>
      </w:r>
      <w:r w:rsidR="00480C88" w:rsidRPr="001B3BA5">
        <w:rPr>
          <w:rFonts w:ascii="Times New Roman" w:hAnsi="Times New Roman" w:cs="Times New Roman"/>
          <w:sz w:val="24"/>
          <w:szCs w:val="24"/>
          <w:lang w:val="en-GB"/>
        </w:rPr>
        <w:t xml:space="preserve">that </w:t>
      </w:r>
      <w:r w:rsidR="00C409EC" w:rsidRPr="001B3BA5">
        <w:rPr>
          <w:rFonts w:ascii="Times New Roman" w:hAnsi="Times New Roman" w:cs="Times New Roman"/>
          <w:sz w:val="24"/>
          <w:szCs w:val="24"/>
          <w:lang w:val="en-GB"/>
        </w:rPr>
        <w:t>we predicted past voting behavio</w:t>
      </w:r>
      <w:r w:rsidR="008643F0" w:rsidRPr="001B3BA5">
        <w:rPr>
          <w:rFonts w:ascii="Times New Roman" w:hAnsi="Times New Roman" w:cs="Times New Roman"/>
          <w:sz w:val="24"/>
          <w:szCs w:val="24"/>
          <w:lang w:val="en-GB"/>
        </w:rPr>
        <w:t>u</w:t>
      </w:r>
      <w:r w:rsidR="00C409EC" w:rsidRPr="001B3BA5">
        <w:rPr>
          <w:rFonts w:ascii="Times New Roman" w:hAnsi="Times New Roman" w:cs="Times New Roman"/>
          <w:sz w:val="24"/>
          <w:szCs w:val="24"/>
          <w:lang w:val="en-GB"/>
        </w:rPr>
        <w:t>r with current attitudes. Therefore, i</w:t>
      </w:r>
      <w:r w:rsidR="008B7B0D" w:rsidRPr="001B3BA5">
        <w:rPr>
          <w:rFonts w:ascii="Times New Roman" w:hAnsi="Times New Roman" w:cs="Times New Roman"/>
          <w:sz w:val="24"/>
          <w:szCs w:val="24"/>
          <w:lang w:val="en-GB"/>
        </w:rPr>
        <w:t xml:space="preserve">n </w:t>
      </w:r>
      <w:r w:rsidR="00C66003" w:rsidRPr="001B3BA5">
        <w:rPr>
          <w:rFonts w:ascii="Times New Roman" w:hAnsi="Times New Roman" w:cs="Times New Roman"/>
          <w:sz w:val="24"/>
          <w:szCs w:val="24"/>
          <w:lang w:val="en-GB"/>
        </w:rPr>
        <w:t>an alternative model</w:t>
      </w:r>
      <w:r w:rsidR="008B7B0D" w:rsidRPr="001B3BA5">
        <w:rPr>
          <w:rFonts w:ascii="Times New Roman" w:hAnsi="Times New Roman" w:cs="Times New Roman"/>
          <w:sz w:val="24"/>
          <w:szCs w:val="24"/>
          <w:lang w:val="en-GB"/>
        </w:rPr>
        <w:t xml:space="preserve">, we ran the analyses with </w:t>
      </w:r>
      <w:r w:rsidR="00C66003" w:rsidRPr="001B3BA5">
        <w:rPr>
          <w:rFonts w:ascii="Times New Roman" w:hAnsi="Times New Roman" w:cs="Times New Roman"/>
          <w:sz w:val="24"/>
          <w:szCs w:val="24"/>
          <w:lang w:val="en-GB"/>
        </w:rPr>
        <w:t xml:space="preserve">a different </w:t>
      </w:r>
      <w:r w:rsidR="008B7B0D" w:rsidRPr="001B3BA5">
        <w:rPr>
          <w:rFonts w:ascii="Times New Roman" w:hAnsi="Times New Roman" w:cs="Times New Roman"/>
          <w:sz w:val="24"/>
          <w:szCs w:val="24"/>
          <w:lang w:val="en-GB"/>
        </w:rPr>
        <w:t xml:space="preserve">dependent variable, asking </w:t>
      </w:r>
      <w:r w:rsidR="00B146E8" w:rsidRPr="001B3BA5">
        <w:rPr>
          <w:rFonts w:ascii="Times New Roman" w:hAnsi="Times New Roman" w:cs="Times New Roman"/>
          <w:sz w:val="24"/>
          <w:szCs w:val="24"/>
          <w:lang w:val="en-GB"/>
        </w:rPr>
        <w:t>‘</w:t>
      </w:r>
      <w:r w:rsidR="008B7B0D" w:rsidRPr="001B3BA5">
        <w:rPr>
          <w:rFonts w:ascii="Times New Roman" w:hAnsi="Times New Roman" w:cs="Times New Roman"/>
          <w:sz w:val="24"/>
          <w:szCs w:val="24"/>
          <w:lang w:val="en-GB"/>
        </w:rPr>
        <w:t>if a second referendum were to be held today, what would you vote?</w:t>
      </w:r>
      <w:r w:rsidR="00B146E8" w:rsidRPr="001B3BA5">
        <w:rPr>
          <w:rFonts w:ascii="Times New Roman" w:hAnsi="Times New Roman" w:cs="Times New Roman"/>
          <w:sz w:val="24"/>
          <w:szCs w:val="24"/>
          <w:lang w:val="en-GB"/>
        </w:rPr>
        <w:t>’</w:t>
      </w:r>
      <w:r w:rsidR="008B7B0D" w:rsidRPr="001B3BA5">
        <w:rPr>
          <w:rFonts w:ascii="Times New Roman" w:hAnsi="Times New Roman" w:cs="Times New Roman"/>
          <w:sz w:val="24"/>
          <w:szCs w:val="24"/>
          <w:lang w:val="en-GB"/>
        </w:rPr>
        <w:t>.</w:t>
      </w:r>
      <w:r w:rsidR="008B7B0D" w:rsidRPr="001B3BA5">
        <w:rPr>
          <w:rFonts w:ascii="Times" w:hAnsi="Times"/>
          <w:sz w:val="24"/>
          <w:szCs w:val="24"/>
          <w:lang w:val="en-GB"/>
        </w:rPr>
        <w:t xml:space="preserve"> </w:t>
      </w:r>
      <w:r w:rsidR="008B7B0D" w:rsidRPr="001B3BA5">
        <w:rPr>
          <w:rFonts w:ascii="Times New Roman" w:hAnsi="Times New Roman" w:cs="Times New Roman"/>
          <w:sz w:val="24"/>
          <w:szCs w:val="24"/>
          <w:lang w:val="en-GB"/>
        </w:rPr>
        <w:t xml:space="preserve">We again treated this variable as a dummy in which we coded </w:t>
      </w:r>
      <w:r w:rsidR="00B146E8" w:rsidRPr="001B3BA5">
        <w:rPr>
          <w:rFonts w:ascii="Times New Roman" w:hAnsi="Times New Roman" w:cs="Times New Roman"/>
          <w:sz w:val="24"/>
          <w:szCs w:val="24"/>
          <w:lang w:val="en-GB"/>
        </w:rPr>
        <w:t>‘</w:t>
      </w:r>
      <w:r w:rsidR="008B7B0D" w:rsidRPr="001B3BA5">
        <w:rPr>
          <w:rFonts w:ascii="Times New Roman" w:hAnsi="Times New Roman" w:cs="Times New Roman"/>
          <w:sz w:val="24"/>
          <w:szCs w:val="24"/>
          <w:lang w:val="en-GB"/>
        </w:rPr>
        <w:t>leave</w:t>
      </w:r>
      <w:r w:rsidR="00B146E8" w:rsidRPr="001B3BA5">
        <w:rPr>
          <w:rFonts w:ascii="Times New Roman" w:hAnsi="Times New Roman" w:cs="Times New Roman"/>
          <w:sz w:val="24"/>
          <w:szCs w:val="24"/>
          <w:lang w:val="en-GB"/>
        </w:rPr>
        <w:t>’</w:t>
      </w:r>
      <w:r w:rsidR="008B7B0D" w:rsidRPr="001B3BA5">
        <w:rPr>
          <w:rFonts w:ascii="Times New Roman" w:hAnsi="Times New Roman" w:cs="Times New Roman"/>
          <w:sz w:val="24"/>
          <w:szCs w:val="24"/>
          <w:lang w:val="en-GB"/>
        </w:rPr>
        <w:t xml:space="preserve"> as 1 and </w:t>
      </w:r>
      <w:r w:rsidR="00B146E8" w:rsidRPr="001B3BA5">
        <w:rPr>
          <w:rFonts w:ascii="Times New Roman" w:hAnsi="Times New Roman" w:cs="Times New Roman"/>
          <w:sz w:val="24"/>
          <w:szCs w:val="24"/>
          <w:lang w:val="en-GB"/>
        </w:rPr>
        <w:t>‘</w:t>
      </w:r>
      <w:r w:rsidR="008B7B0D" w:rsidRPr="001B3BA5">
        <w:rPr>
          <w:rFonts w:ascii="Times New Roman" w:hAnsi="Times New Roman" w:cs="Times New Roman"/>
          <w:sz w:val="24"/>
          <w:szCs w:val="24"/>
          <w:lang w:val="en-GB"/>
        </w:rPr>
        <w:t>remain</w:t>
      </w:r>
      <w:r w:rsidR="00B146E8" w:rsidRPr="001B3BA5">
        <w:rPr>
          <w:rFonts w:ascii="Times New Roman" w:hAnsi="Times New Roman" w:cs="Times New Roman"/>
          <w:sz w:val="24"/>
          <w:szCs w:val="24"/>
          <w:lang w:val="en-GB"/>
        </w:rPr>
        <w:t>’</w:t>
      </w:r>
      <w:r w:rsidR="008B7B0D" w:rsidRPr="001B3BA5">
        <w:rPr>
          <w:rFonts w:ascii="Times New Roman" w:hAnsi="Times New Roman" w:cs="Times New Roman"/>
          <w:sz w:val="24"/>
          <w:szCs w:val="24"/>
          <w:lang w:val="en-GB"/>
        </w:rPr>
        <w:t xml:space="preserve"> as 0</w:t>
      </w:r>
      <w:r w:rsidR="00027CD4" w:rsidRPr="001B3BA5">
        <w:rPr>
          <w:rFonts w:ascii="Times New Roman" w:hAnsi="Times New Roman" w:cs="Times New Roman"/>
          <w:sz w:val="24"/>
          <w:szCs w:val="24"/>
          <w:lang w:val="en-GB"/>
        </w:rPr>
        <w:t xml:space="preserve">. Sixty-six participants answered they would not vote or preferred not to answer </w:t>
      </w:r>
      <w:r w:rsidR="003C5BB9" w:rsidRPr="001B3BA5">
        <w:rPr>
          <w:rFonts w:ascii="Times New Roman" w:hAnsi="Times New Roman" w:cs="Times New Roman"/>
          <w:sz w:val="24"/>
          <w:szCs w:val="24"/>
          <w:lang w:val="en-GB"/>
        </w:rPr>
        <w:t>and</w:t>
      </w:r>
      <w:r w:rsidR="00027CD4" w:rsidRPr="001B3BA5">
        <w:rPr>
          <w:rFonts w:ascii="Times New Roman" w:hAnsi="Times New Roman" w:cs="Times New Roman"/>
          <w:sz w:val="24"/>
          <w:szCs w:val="24"/>
          <w:lang w:val="en-GB"/>
        </w:rPr>
        <w:t xml:space="preserve"> were treated as missing</w:t>
      </w:r>
      <w:r w:rsidR="008B7B0D" w:rsidRPr="001B3BA5">
        <w:rPr>
          <w:rFonts w:ascii="Times New Roman" w:hAnsi="Times New Roman" w:cs="Times New Roman"/>
          <w:sz w:val="24"/>
          <w:szCs w:val="24"/>
          <w:lang w:val="en-GB"/>
        </w:rPr>
        <w:t>.</w:t>
      </w:r>
    </w:p>
    <w:p w14:paraId="2246386E" w14:textId="77777777" w:rsidR="00FE5228" w:rsidRPr="001B3BA5" w:rsidRDefault="00FE5228" w:rsidP="00584266">
      <w:pPr>
        <w:spacing w:after="0" w:line="480" w:lineRule="exact"/>
        <w:ind w:firstLine="708"/>
        <w:rPr>
          <w:rFonts w:ascii="Times" w:hAnsi="Times"/>
          <w:sz w:val="24"/>
          <w:szCs w:val="24"/>
          <w:lang w:val="en-GB"/>
        </w:rPr>
      </w:pPr>
      <w:r w:rsidRPr="001B3BA5">
        <w:rPr>
          <w:rFonts w:ascii="Times" w:hAnsi="Times"/>
          <w:b/>
          <w:bCs/>
          <w:sz w:val="24"/>
          <w:szCs w:val="24"/>
          <w:lang w:val="en-GB"/>
        </w:rPr>
        <w:t>Political ideology</w:t>
      </w:r>
      <w:r w:rsidRPr="001B3BA5">
        <w:rPr>
          <w:rFonts w:ascii="Times" w:hAnsi="Times"/>
          <w:sz w:val="24"/>
          <w:szCs w:val="24"/>
          <w:lang w:val="en-GB"/>
        </w:rPr>
        <w:t>.</w:t>
      </w:r>
      <w:r w:rsidRPr="001B3BA5">
        <w:rPr>
          <w:rFonts w:ascii="Times New Roman" w:hAnsi="Times New Roman" w:cs="Times New Roman"/>
          <w:iCs/>
          <w:sz w:val="24"/>
          <w:szCs w:val="24"/>
          <w:lang w:val="en-GB"/>
        </w:rPr>
        <w:t xml:space="preserve"> We measured this construct as </w:t>
      </w:r>
      <w:r w:rsidRPr="001B3BA5">
        <w:rPr>
          <w:rFonts w:ascii="Times New Roman" w:hAnsi="Times New Roman" w:cs="Times New Roman"/>
          <w:sz w:val="24"/>
          <w:szCs w:val="24"/>
          <w:lang w:val="en-GB"/>
        </w:rPr>
        <w:t>in Study 1.</w:t>
      </w:r>
    </w:p>
    <w:p w14:paraId="5EFA02CD" w14:textId="542D2FDE" w:rsidR="00D11BC5" w:rsidRPr="001B3BA5" w:rsidRDefault="00940636" w:rsidP="00584266">
      <w:pPr>
        <w:spacing w:after="0" w:line="480" w:lineRule="exact"/>
        <w:ind w:firstLine="708"/>
        <w:rPr>
          <w:rFonts w:ascii="Times New Roman" w:hAnsi="Times New Roman" w:cs="Times New Roman"/>
          <w:sz w:val="24"/>
          <w:szCs w:val="24"/>
          <w:lang w:val="en-GB"/>
        </w:rPr>
      </w:pPr>
      <w:r w:rsidRPr="001B3BA5">
        <w:rPr>
          <w:rFonts w:ascii="Times New Roman" w:hAnsi="Times New Roman" w:cs="Times New Roman"/>
          <w:b/>
          <w:bCs/>
          <w:iCs/>
          <w:sz w:val="24"/>
          <w:szCs w:val="24"/>
          <w:lang w:val="en-GB"/>
        </w:rPr>
        <w:t>N</w:t>
      </w:r>
      <w:r w:rsidR="00D11BC5" w:rsidRPr="001B3BA5">
        <w:rPr>
          <w:rFonts w:ascii="Times New Roman" w:hAnsi="Times New Roman" w:cs="Times New Roman"/>
          <w:b/>
          <w:bCs/>
          <w:iCs/>
          <w:sz w:val="24"/>
          <w:szCs w:val="24"/>
          <w:lang w:val="en-GB"/>
        </w:rPr>
        <w:t>ational identification</w:t>
      </w:r>
      <w:r w:rsidRPr="001B3BA5">
        <w:rPr>
          <w:rFonts w:ascii="Times New Roman" w:hAnsi="Times New Roman" w:cs="Times New Roman"/>
          <w:iCs/>
          <w:sz w:val="24"/>
          <w:szCs w:val="24"/>
          <w:lang w:val="en-GB"/>
        </w:rPr>
        <w:t xml:space="preserve">. We measured this construct as </w:t>
      </w:r>
      <w:r w:rsidRPr="001B3BA5">
        <w:rPr>
          <w:rFonts w:ascii="Times New Roman" w:hAnsi="Times New Roman" w:cs="Times New Roman"/>
          <w:sz w:val="24"/>
          <w:szCs w:val="24"/>
          <w:lang w:val="en-GB"/>
        </w:rPr>
        <w:t>in Study 1</w:t>
      </w:r>
      <w:r w:rsidR="00447479" w:rsidRPr="001B3BA5">
        <w:rPr>
          <w:rFonts w:ascii="Times New Roman" w:hAnsi="Times New Roman" w:cs="Times New Roman"/>
          <w:sz w:val="24"/>
          <w:szCs w:val="24"/>
          <w:lang w:val="en-GB"/>
        </w:rPr>
        <w:t xml:space="preserve"> </w:t>
      </w:r>
      <w:r w:rsidR="008541D6" w:rsidRPr="001B3BA5">
        <w:rPr>
          <w:rFonts w:asciiTheme="majorBidi" w:hAnsiTheme="majorBidi" w:cstheme="majorBidi"/>
          <w:sz w:val="24"/>
          <w:szCs w:val="24"/>
          <w:lang w:val="en-GB"/>
        </w:rPr>
        <w:t>(</w:t>
      </w:r>
      <w:r w:rsidR="001E6F7B" w:rsidRPr="001B3BA5">
        <w:rPr>
          <w:rFonts w:asciiTheme="majorBidi" w:hAnsiTheme="majorBidi" w:cstheme="majorBidi"/>
          <w:iCs/>
          <w:sz w:val="24"/>
          <w:szCs w:val="24"/>
          <w:lang w:val="en-GB"/>
        </w:rPr>
        <w:t>α</w:t>
      </w:r>
      <w:r w:rsidR="00955643" w:rsidRPr="001B3BA5">
        <w:rPr>
          <w:rFonts w:asciiTheme="majorBidi" w:hAnsiTheme="majorBidi" w:cstheme="majorBidi"/>
          <w:sz w:val="24"/>
          <w:szCs w:val="24"/>
          <w:lang w:val="en-GB"/>
        </w:rPr>
        <w:t>=</w:t>
      </w:r>
      <w:r w:rsidR="008541D6" w:rsidRPr="001B3BA5">
        <w:rPr>
          <w:rFonts w:asciiTheme="majorBidi" w:hAnsiTheme="majorBidi" w:cstheme="majorBidi"/>
          <w:sz w:val="24"/>
          <w:szCs w:val="24"/>
          <w:lang w:val="en-GB"/>
        </w:rPr>
        <w:t>.91).</w:t>
      </w:r>
    </w:p>
    <w:p w14:paraId="384A5A8D" w14:textId="5DB773E2" w:rsidR="00940636" w:rsidRPr="001B3BA5" w:rsidRDefault="00F85F30" w:rsidP="00584266">
      <w:pPr>
        <w:spacing w:after="0" w:line="480" w:lineRule="exact"/>
        <w:ind w:firstLine="708"/>
        <w:rPr>
          <w:rFonts w:ascii="Times New Roman" w:hAnsi="Times New Roman" w:cs="Times New Roman"/>
          <w:sz w:val="24"/>
          <w:szCs w:val="24"/>
          <w:lang w:val="en-GB"/>
        </w:rPr>
      </w:pPr>
      <w:r w:rsidRPr="001B3BA5">
        <w:rPr>
          <w:rFonts w:ascii="Times" w:hAnsi="Times"/>
          <w:b/>
          <w:bCs/>
          <w:iCs/>
          <w:sz w:val="24"/>
          <w:szCs w:val="24"/>
          <w:lang w:val="en-GB"/>
        </w:rPr>
        <w:t>Place attachment</w:t>
      </w:r>
      <w:r w:rsidRPr="001B3BA5">
        <w:rPr>
          <w:rFonts w:ascii="Times" w:hAnsi="Times"/>
          <w:i/>
          <w:sz w:val="24"/>
          <w:szCs w:val="24"/>
          <w:lang w:val="en-GB"/>
        </w:rPr>
        <w:t xml:space="preserve">. </w:t>
      </w:r>
      <w:r w:rsidR="00940636" w:rsidRPr="001B3BA5">
        <w:rPr>
          <w:rFonts w:ascii="Times New Roman" w:hAnsi="Times New Roman" w:cs="Times New Roman"/>
          <w:sz w:val="24"/>
          <w:szCs w:val="24"/>
          <w:lang w:val="en-GB"/>
        </w:rPr>
        <w:t xml:space="preserve">We </w:t>
      </w:r>
      <w:r w:rsidR="00E3536B" w:rsidRPr="001B3BA5">
        <w:rPr>
          <w:rFonts w:ascii="Times New Roman" w:hAnsi="Times New Roman" w:cs="Times New Roman"/>
          <w:sz w:val="24"/>
          <w:szCs w:val="24"/>
          <w:lang w:val="en-GB"/>
        </w:rPr>
        <w:t>used</w:t>
      </w:r>
      <w:r w:rsidRPr="001B3BA5">
        <w:rPr>
          <w:rFonts w:ascii="Times New Roman" w:hAnsi="Times New Roman" w:cs="Times New Roman"/>
          <w:sz w:val="24"/>
          <w:szCs w:val="24"/>
          <w:lang w:val="en-GB"/>
        </w:rPr>
        <w:t xml:space="preserve"> three items that were </w:t>
      </w:r>
      <w:r w:rsidR="00E3536B" w:rsidRPr="001B3BA5">
        <w:rPr>
          <w:rFonts w:ascii="Times New Roman" w:hAnsi="Times New Roman" w:cs="Times New Roman"/>
          <w:sz w:val="24"/>
          <w:szCs w:val="24"/>
          <w:lang w:val="en-GB"/>
        </w:rPr>
        <w:t>similar to</w:t>
      </w:r>
      <w:r w:rsidRPr="001B3BA5">
        <w:rPr>
          <w:rFonts w:ascii="Times New Roman" w:hAnsi="Times New Roman" w:cs="Times New Roman"/>
          <w:sz w:val="24"/>
          <w:szCs w:val="24"/>
          <w:lang w:val="en-GB"/>
        </w:rPr>
        <w:t xml:space="preserve"> the ones in Study 1</w:t>
      </w:r>
      <w:r w:rsidR="00940636" w:rsidRPr="001B3BA5">
        <w:rPr>
          <w:rFonts w:ascii="Times New Roman" w:hAnsi="Times New Roman" w:cs="Times New Roman"/>
          <w:sz w:val="24"/>
          <w:szCs w:val="24"/>
          <w:lang w:val="en-GB"/>
        </w:rPr>
        <w:t xml:space="preserve">: </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I feel attached to Great Britain as a country</w:t>
      </w:r>
      <w:r w:rsidR="00940636" w:rsidRPr="001B3BA5">
        <w:rPr>
          <w:rFonts w:ascii="Times New Roman" w:hAnsi="Times New Roman" w:cs="Times New Roman"/>
          <w:sz w:val="24"/>
          <w:szCs w:val="24"/>
          <w:lang w:val="en-GB"/>
        </w:rPr>
        <w:t>,</w:t>
      </w:r>
      <w:r w:rsidR="00B146E8" w:rsidRPr="001B3BA5">
        <w:rPr>
          <w:rFonts w:ascii="Times New Roman" w:hAnsi="Times New Roman" w:cs="Times New Roman"/>
          <w:sz w:val="24"/>
          <w:szCs w:val="24"/>
          <w:lang w:val="en-GB"/>
        </w:rPr>
        <w:t>’</w:t>
      </w:r>
      <w:r w:rsidR="00940636" w:rsidRPr="001B3BA5">
        <w:rPr>
          <w:rFonts w:ascii="Times New Roman" w:hAnsi="Times New Roman" w:cs="Times New Roman"/>
          <w:sz w:val="24"/>
          <w:szCs w:val="24"/>
          <w:lang w:val="en-GB"/>
        </w:rPr>
        <w:t xml:space="preserve"> </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I would regret having to move to another country</w:t>
      </w:r>
      <w:r w:rsidR="00940636" w:rsidRPr="001B3BA5">
        <w:rPr>
          <w:rFonts w:ascii="Times New Roman" w:hAnsi="Times New Roman" w:cs="Times New Roman"/>
          <w:sz w:val="24"/>
          <w:szCs w:val="24"/>
          <w:lang w:val="en-GB"/>
        </w:rPr>
        <w:t>,</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w:t>
      </w:r>
      <w:r w:rsidR="00B146E8"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Great Britain feels like my home</w:t>
      </w:r>
      <w:r w:rsidR="00B146E8" w:rsidRPr="001B3BA5">
        <w:rPr>
          <w:rFonts w:ascii="Times New Roman" w:hAnsi="Times New Roman" w:cs="Times New Roman"/>
          <w:sz w:val="24"/>
          <w:szCs w:val="24"/>
          <w:lang w:val="en-GB"/>
        </w:rPr>
        <w:t>’</w:t>
      </w:r>
      <w:r w:rsidR="00940636" w:rsidRPr="001B3BA5">
        <w:rPr>
          <w:rFonts w:ascii="Times New Roman" w:hAnsi="Times New Roman" w:cs="Times New Roman"/>
          <w:sz w:val="24"/>
          <w:szCs w:val="24"/>
          <w:lang w:val="en-GB"/>
        </w:rPr>
        <w:t xml:space="preserve"> (1</w:t>
      </w:r>
      <w:r w:rsidR="00955643" w:rsidRPr="001B3BA5">
        <w:rPr>
          <w:rFonts w:ascii="Times New Roman" w:hAnsi="Times New Roman" w:cs="Times New Roman"/>
          <w:sz w:val="24"/>
          <w:szCs w:val="24"/>
          <w:lang w:val="en-GB"/>
        </w:rPr>
        <w:t>=</w:t>
      </w:r>
      <w:r w:rsidR="00C837D0" w:rsidRPr="001B3BA5">
        <w:rPr>
          <w:rFonts w:ascii="Times New Roman" w:hAnsi="Times New Roman" w:cs="Times New Roman"/>
          <w:i/>
          <w:iCs/>
          <w:sz w:val="24"/>
          <w:szCs w:val="24"/>
          <w:lang w:val="en-GB"/>
        </w:rPr>
        <w:t>strongly</w:t>
      </w:r>
      <w:r w:rsidRPr="001B3BA5">
        <w:rPr>
          <w:rFonts w:ascii="Times New Roman" w:hAnsi="Times New Roman" w:cs="Times New Roman"/>
          <w:i/>
          <w:iCs/>
          <w:sz w:val="24"/>
          <w:szCs w:val="24"/>
          <w:lang w:val="en-GB"/>
        </w:rPr>
        <w:t xml:space="preserve"> disagree</w:t>
      </w:r>
      <w:r w:rsidR="00940636" w:rsidRPr="001B3BA5">
        <w:rPr>
          <w:rFonts w:ascii="Times New Roman" w:hAnsi="Times New Roman" w:cs="Times New Roman"/>
          <w:sz w:val="24"/>
          <w:szCs w:val="24"/>
          <w:lang w:val="en-GB"/>
        </w:rPr>
        <w:t>, 7</w:t>
      </w:r>
      <w:r w:rsidR="00955643" w:rsidRPr="001B3BA5">
        <w:rPr>
          <w:rFonts w:ascii="Times New Roman" w:hAnsi="Times New Roman" w:cs="Times New Roman"/>
          <w:sz w:val="24"/>
          <w:szCs w:val="24"/>
          <w:lang w:val="en-GB"/>
        </w:rPr>
        <w:t>=</w:t>
      </w:r>
      <w:r w:rsidR="00C837D0" w:rsidRPr="001B3BA5">
        <w:rPr>
          <w:rFonts w:ascii="Times New Roman" w:hAnsi="Times New Roman" w:cs="Times New Roman"/>
          <w:i/>
          <w:iCs/>
          <w:sz w:val="24"/>
          <w:szCs w:val="24"/>
          <w:lang w:val="en-GB"/>
        </w:rPr>
        <w:t>strongly</w:t>
      </w:r>
      <w:r w:rsidRPr="001B3BA5">
        <w:rPr>
          <w:rFonts w:ascii="Times New Roman" w:hAnsi="Times New Roman" w:cs="Times New Roman"/>
          <w:i/>
          <w:iCs/>
          <w:sz w:val="24"/>
          <w:szCs w:val="24"/>
          <w:lang w:val="en-GB"/>
        </w:rPr>
        <w:t xml:space="preserve"> agree</w:t>
      </w:r>
      <w:r w:rsidR="00447479" w:rsidRPr="001B3BA5">
        <w:rPr>
          <w:rFonts w:ascii="Times New Roman" w:hAnsi="Times New Roman" w:cs="Times New Roman"/>
          <w:sz w:val="24"/>
          <w:szCs w:val="24"/>
          <w:lang w:val="en-GB"/>
        </w:rPr>
        <w:t xml:space="preserve">; </w:t>
      </w:r>
      <w:r w:rsidR="001E6F7B" w:rsidRPr="001B3BA5">
        <w:rPr>
          <w:rFonts w:ascii="Times New Roman" w:hAnsi="Times New Roman" w:cs="Times New Roman"/>
          <w:iCs/>
          <w:sz w:val="24"/>
          <w:szCs w:val="24"/>
          <w:lang w:val="en-GB"/>
        </w:rPr>
        <w:t>α</w:t>
      </w:r>
      <w:r w:rsidR="00955643" w:rsidRPr="001B3BA5">
        <w:rPr>
          <w:rFonts w:ascii="Times New Roman" w:hAnsi="Times New Roman" w:cs="Times New Roman"/>
          <w:i/>
          <w:sz w:val="24"/>
          <w:szCs w:val="24"/>
          <w:lang w:val="en-GB"/>
        </w:rPr>
        <w:t>=</w:t>
      </w:r>
      <w:r w:rsidR="008541D6" w:rsidRPr="001B3BA5">
        <w:rPr>
          <w:rFonts w:ascii="Times New Roman" w:hAnsi="Times New Roman" w:cs="Times New Roman"/>
          <w:sz w:val="24"/>
          <w:szCs w:val="24"/>
          <w:lang w:val="en-GB"/>
        </w:rPr>
        <w:t>.8</w:t>
      </w:r>
      <w:r w:rsidR="00D53CCB" w:rsidRPr="001B3BA5">
        <w:rPr>
          <w:rFonts w:ascii="Times New Roman" w:hAnsi="Times New Roman" w:cs="Times New Roman"/>
          <w:sz w:val="24"/>
          <w:szCs w:val="24"/>
          <w:lang w:val="en-GB"/>
        </w:rPr>
        <w:t>5</w:t>
      </w:r>
      <w:r w:rsidR="008541D6" w:rsidRPr="001B3BA5">
        <w:rPr>
          <w:rFonts w:ascii="Times New Roman" w:hAnsi="Times New Roman" w:cs="Times New Roman"/>
          <w:sz w:val="24"/>
          <w:szCs w:val="24"/>
          <w:lang w:val="en-GB"/>
        </w:rPr>
        <w:t>).</w:t>
      </w:r>
    </w:p>
    <w:p w14:paraId="1780922A" w14:textId="3B988C78" w:rsidR="00F85F30" w:rsidRPr="001B3BA5" w:rsidRDefault="00F85F30">
      <w:pPr>
        <w:spacing w:after="0" w:line="480" w:lineRule="exact"/>
        <w:ind w:firstLine="708"/>
        <w:rPr>
          <w:rFonts w:ascii="Times" w:hAnsi="Times"/>
          <w:sz w:val="24"/>
          <w:szCs w:val="24"/>
          <w:lang w:val="en-GB"/>
        </w:rPr>
      </w:pPr>
      <w:r w:rsidRPr="001B3BA5">
        <w:rPr>
          <w:rFonts w:ascii="Times New Roman" w:hAnsi="Times New Roman" w:cs="Times New Roman"/>
          <w:b/>
          <w:bCs/>
          <w:iCs/>
          <w:sz w:val="24"/>
          <w:szCs w:val="24"/>
          <w:lang w:val="en-GB"/>
        </w:rPr>
        <w:t>Adherence to sovereignty</w:t>
      </w:r>
      <w:r w:rsidRPr="001B3BA5">
        <w:rPr>
          <w:rFonts w:ascii="Times New Roman" w:hAnsi="Times New Roman" w:cs="Times New Roman"/>
          <w:sz w:val="24"/>
          <w:szCs w:val="24"/>
          <w:lang w:val="en-GB"/>
        </w:rPr>
        <w:t xml:space="preserve">. </w:t>
      </w:r>
      <w:r w:rsidR="00940636" w:rsidRPr="001B3BA5">
        <w:rPr>
          <w:rFonts w:ascii="Times New Roman" w:hAnsi="Times New Roman" w:cs="Times New Roman"/>
          <w:sz w:val="24"/>
          <w:szCs w:val="24"/>
          <w:lang w:val="en-GB"/>
        </w:rPr>
        <w:t xml:space="preserve">We </w:t>
      </w:r>
      <w:r w:rsidR="007717DA" w:rsidRPr="001B3BA5">
        <w:rPr>
          <w:rFonts w:ascii="Times New Roman" w:hAnsi="Times New Roman" w:cs="Times New Roman"/>
          <w:sz w:val="24"/>
          <w:szCs w:val="24"/>
          <w:lang w:val="en-GB"/>
        </w:rPr>
        <w:t xml:space="preserve">generated </w:t>
      </w:r>
      <w:r w:rsidRPr="001B3BA5">
        <w:rPr>
          <w:rFonts w:ascii="Times" w:hAnsi="Times"/>
          <w:sz w:val="24"/>
          <w:szCs w:val="24"/>
          <w:lang w:val="en-GB"/>
        </w:rPr>
        <w:t>four items</w:t>
      </w:r>
      <w:r w:rsidR="0021605A" w:rsidRPr="001B3BA5">
        <w:rPr>
          <w:rFonts w:ascii="Times" w:hAnsi="Times"/>
          <w:sz w:val="24"/>
          <w:szCs w:val="24"/>
          <w:lang w:val="en-GB"/>
        </w:rPr>
        <w:t xml:space="preserve"> </w:t>
      </w:r>
      <w:r w:rsidR="00480C88" w:rsidRPr="001B3BA5">
        <w:rPr>
          <w:rFonts w:ascii="Times" w:hAnsi="Times"/>
          <w:sz w:val="24"/>
          <w:szCs w:val="24"/>
          <w:lang w:val="en-GB"/>
        </w:rPr>
        <w:t xml:space="preserve">to assess </w:t>
      </w:r>
      <w:r w:rsidR="00480C88" w:rsidRPr="001B3BA5">
        <w:rPr>
          <w:rFonts w:ascii="Times New Roman" w:hAnsi="Times New Roman" w:cs="Times New Roman"/>
          <w:sz w:val="24"/>
          <w:szCs w:val="24"/>
          <w:lang w:val="en-GB"/>
        </w:rPr>
        <w:t xml:space="preserve">this </w:t>
      </w:r>
      <w:r w:rsidR="00480C88" w:rsidRPr="001B3BA5">
        <w:rPr>
          <w:rFonts w:ascii="Times" w:hAnsi="Times"/>
          <w:sz w:val="24"/>
          <w:szCs w:val="24"/>
          <w:lang w:val="en-GB"/>
        </w:rPr>
        <w:t xml:space="preserve">construct </w:t>
      </w:r>
      <w:r w:rsidR="0021605A" w:rsidRPr="001B3BA5">
        <w:rPr>
          <w:rFonts w:ascii="Times" w:hAnsi="Times"/>
          <w:sz w:val="24"/>
          <w:szCs w:val="24"/>
          <w:lang w:val="en-GB"/>
        </w:rPr>
        <w:t>based on definitions of sovereignty</w:t>
      </w:r>
      <w:r w:rsidR="00940636" w:rsidRPr="001B3BA5">
        <w:rPr>
          <w:rFonts w:ascii="Times" w:hAnsi="Times"/>
          <w:sz w:val="24"/>
          <w:szCs w:val="24"/>
          <w:lang w:val="en-GB"/>
        </w:rPr>
        <w:t xml:space="preserve">: </w:t>
      </w:r>
      <w:r w:rsidR="00B146E8" w:rsidRPr="001B3BA5">
        <w:rPr>
          <w:rFonts w:ascii="Times" w:hAnsi="Times"/>
          <w:sz w:val="24"/>
          <w:szCs w:val="24"/>
          <w:lang w:val="en-GB"/>
        </w:rPr>
        <w:t>‘</w:t>
      </w:r>
      <w:r w:rsidRPr="001B3BA5">
        <w:rPr>
          <w:rFonts w:ascii="Times" w:hAnsi="Times"/>
          <w:sz w:val="24"/>
          <w:szCs w:val="24"/>
          <w:lang w:val="en-GB"/>
        </w:rPr>
        <w:t>International organizations should never interfere in national political decisions</w:t>
      </w:r>
      <w:r w:rsidR="00940636" w:rsidRPr="001B3BA5">
        <w:rPr>
          <w:rFonts w:ascii="Times" w:hAnsi="Times"/>
          <w:sz w:val="24"/>
          <w:szCs w:val="24"/>
          <w:lang w:val="en-GB"/>
        </w:rPr>
        <w:t>,</w:t>
      </w:r>
      <w:r w:rsidR="00B146E8" w:rsidRPr="001B3BA5">
        <w:rPr>
          <w:rFonts w:ascii="Times" w:hAnsi="Times"/>
          <w:sz w:val="24"/>
          <w:szCs w:val="24"/>
          <w:lang w:val="en-GB"/>
        </w:rPr>
        <w:t>’</w:t>
      </w:r>
      <w:r w:rsidR="00940636" w:rsidRPr="001B3BA5">
        <w:rPr>
          <w:rFonts w:ascii="Times" w:hAnsi="Times"/>
          <w:sz w:val="24"/>
          <w:szCs w:val="24"/>
          <w:lang w:val="en-GB"/>
        </w:rPr>
        <w:t xml:space="preserve"> </w:t>
      </w:r>
      <w:r w:rsidR="00B146E8" w:rsidRPr="001B3BA5">
        <w:rPr>
          <w:rFonts w:ascii="Times" w:hAnsi="Times"/>
          <w:sz w:val="24"/>
          <w:szCs w:val="24"/>
          <w:lang w:val="en-GB"/>
        </w:rPr>
        <w:t>‘</w:t>
      </w:r>
      <w:r w:rsidRPr="001B3BA5">
        <w:rPr>
          <w:rFonts w:ascii="Times" w:hAnsi="Times"/>
          <w:sz w:val="24"/>
          <w:szCs w:val="24"/>
          <w:lang w:val="en-GB"/>
        </w:rPr>
        <w:t>National decision making should never be subject to international rules or regulations</w:t>
      </w:r>
      <w:r w:rsidR="00940636" w:rsidRPr="001B3BA5">
        <w:rPr>
          <w:rFonts w:ascii="Times" w:hAnsi="Times"/>
          <w:sz w:val="24"/>
          <w:szCs w:val="24"/>
          <w:lang w:val="en-GB"/>
        </w:rPr>
        <w:t>,</w:t>
      </w:r>
      <w:r w:rsidR="00B146E8" w:rsidRPr="001B3BA5">
        <w:rPr>
          <w:rFonts w:ascii="Times" w:hAnsi="Times"/>
          <w:sz w:val="24"/>
          <w:szCs w:val="24"/>
          <w:lang w:val="en-GB"/>
        </w:rPr>
        <w:t>’</w:t>
      </w:r>
      <w:r w:rsidR="00940636" w:rsidRPr="001B3BA5">
        <w:rPr>
          <w:rFonts w:ascii="Times" w:hAnsi="Times"/>
          <w:sz w:val="24"/>
          <w:szCs w:val="24"/>
          <w:lang w:val="en-GB"/>
        </w:rPr>
        <w:t xml:space="preserve"> </w:t>
      </w:r>
      <w:r w:rsidR="00B146E8" w:rsidRPr="001B3BA5">
        <w:rPr>
          <w:rFonts w:ascii="Times" w:hAnsi="Times"/>
          <w:sz w:val="24"/>
          <w:szCs w:val="24"/>
          <w:lang w:val="en-GB"/>
        </w:rPr>
        <w:t>‘</w:t>
      </w:r>
      <w:r w:rsidRPr="001B3BA5">
        <w:rPr>
          <w:rFonts w:ascii="Times" w:hAnsi="Times"/>
          <w:sz w:val="24"/>
          <w:szCs w:val="24"/>
          <w:lang w:val="en-GB"/>
        </w:rPr>
        <w:t>An independent state should be free from external control</w:t>
      </w:r>
      <w:r w:rsidR="00940636" w:rsidRPr="001B3BA5">
        <w:rPr>
          <w:rFonts w:ascii="Times" w:hAnsi="Times"/>
          <w:sz w:val="24"/>
          <w:szCs w:val="24"/>
          <w:lang w:val="en-GB"/>
        </w:rPr>
        <w:t>,</w:t>
      </w:r>
      <w:r w:rsidR="00B146E8" w:rsidRPr="001B3BA5">
        <w:rPr>
          <w:rFonts w:ascii="Times" w:hAnsi="Times"/>
          <w:sz w:val="24"/>
          <w:szCs w:val="24"/>
          <w:lang w:val="en-GB"/>
        </w:rPr>
        <w:t>’</w:t>
      </w:r>
      <w:r w:rsidRPr="001B3BA5">
        <w:rPr>
          <w:rFonts w:ascii="Times" w:hAnsi="Times"/>
          <w:sz w:val="24"/>
          <w:szCs w:val="24"/>
          <w:lang w:val="en-GB"/>
        </w:rPr>
        <w:t xml:space="preserve"> </w:t>
      </w:r>
      <w:r w:rsidR="00B146E8" w:rsidRPr="001B3BA5">
        <w:rPr>
          <w:rFonts w:ascii="Times" w:hAnsi="Times"/>
          <w:sz w:val="24"/>
          <w:szCs w:val="24"/>
          <w:lang w:val="en-GB"/>
        </w:rPr>
        <w:t>‘</w:t>
      </w:r>
      <w:r w:rsidRPr="001B3BA5">
        <w:rPr>
          <w:rFonts w:ascii="Times" w:hAnsi="Times"/>
          <w:sz w:val="24"/>
          <w:szCs w:val="24"/>
          <w:lang w:val="en-GB"/>
        </w:rPr>
        <w:t>National decisions should be based on what the people want, instead of what international companies want</w:t>
      </w:r>
      <w:r w:rsidR="00B146E8" w:rsidRPr="001B3BA5">
        <w:rPr>
          <w:rFonts w:ascii="Times" w:hAnsi="Times"/>
          <w:sz w:val="24"/>
          <w:szCs w:val="24"/>
          <w:lang w:val="en-GB"/>
        </w:rPr>
        <w:t>’</w:t>
      </w:r>
      <w:r w:rsidR="00940636" w:rsidRPr="001B3BA5">
        <w:rPr>
          <w:rFonts w:ascii="Times" w:hAnsi="Times"/>
          <w:sz w:val="24"/>
          <w:szCs w:val="24"/>
          <w:lang w:val="en-GB"/>
        </w:rPr>
        <w:t xml:space="preserve"> (1</w:t>
      </w:r>
      <w:r w:rsidR="00955643" w:rsidRPr="001B3BA5">
        <w:rPr>
          <w:rFonts w:ascii="Times" w:hAnsi="Times"/>
          <w:sz w:val="24"/>
          <w:szCs w:val="24"/>
          <w:lang w:val="en-GB"/>
        </w:rPr>
        <w:t>=</w:t>
      </w:r>
      <w:r w:rsidR="00C837D0" w:rsidRPr="001B3BA5">
        <w:rPr>
          <w:rFonts w:ascii="Times" w:hAnsi="Times"/>
          <w:i/>
          <w:iCs/>
          <w:sz w:val="24"/>
          <w:szCs w:val="24"/>
          <w:lang w:val="en-GB"/>
        </w:rPr>
        <w:t>strongly disagree</w:t>
      </w:r>
      <w:r w:rsidR="00940636" w:rsidRPr="001B3BA5">
        <w:rPr>
          <w:rFonts w:ascii="Times" w:hAnsi="Times"/>
          <w:sz w:val="24"/>
          <w:szCs w:val="24"/>
          <w:lang w:val="en-GB"/>
        </w:rPr>
        <w:t>, 7</w:t>
      </w:r>
      <w:r w:rsidR="00955643" w:rsidRPr="001B3BA5">
        <w:rPr>
          <w:rFonts w:ascii="Times" w:hAnsi="Times"/>
          <w:sz w:val="24"/>
          <w:szCs w:val="24"/>
          <w:lang w:val="en-GB"/>
        </w:rPr>
        <w:t>=</w:t>
      </w:r>
      <w:r w:rsidR="00C837D0" w:rsidRPr="001B3BA5">
        <w:rPr>
          <w:rFonts w:ascii="Times" w:hAnsi="Times"/>
          <w:i/>
          <w:iCs/>
          <w:sz w:val="24"/>
          <w:szCs w:val="24"/>
          <w:lang w:val="en-GB"/>
        </w:rPr>
        <w:t>strongly agree</w:t>
      </w:r>
      <w:r w:rsidR="00071263" w:rsidRPr="001B3BA5">
        <w:rPr>
          <w:rFonts w:ascii="Times" w:hAnsi="Times"/>
          <w:sz w:val="24"/>
          <w:szCs w:val="24"/>
          <w:lang w:val="en-GB"/>
        </w:rPr>
        <w:t xml:space="preserve">; </w:t>
      </w:r>
      <w:r w:rsidR="001E6F7B" w:rsidRPr="001B3BA5">
        <w:rPr>
          <w:rFonts w:asciiTheme="majorBidi" w:hAnsiTheme="majorBidi" w:cstheme="majorBidi"/>
          <w:iCs/>
          <w:sz w:val="24"/>
          <w:szCs w:val="24"/>
          <w:lang w:val="en-GB"/>
        </w:rPr>
        <w:t>α</w:t>
      </w:r>
      <w:r w:rsidR="00955643" w:rsidRPr="001B3BA5">
        <w:rPr>
          <w:rFonts w:asciiTheme="majorBidi" w:hAnsiTheme="majorBidi" w:cstheme="majorBidi"/>
          <w:sz w:val="24"/>
          <w:szCs w:val="24"/>
          <w:lang w:val="en-GB"/>
        </w:rPr>
        <w:t>=</w:t>
      </w:r>
      <w:r w:rsidR="008541D6" w:rsidRPr="001B3BA5">
        <w:rPr>
          <w:rFonts w:asciiTheme="majorBidi" w:hAnsiTheme="majorBidi" w:cstheme="majorBidi"/>
          <w:sz w:val="24"/>
          <w:szCs w:val="24"/>
          <w:lang w:val="en-GB"/>
        </w:rPr>
        <w:t xml:space="preserve">.86). </w:t>
      </w:r>
    </w:p>
    <w:p w14:paraId="13D2BFB1" w14:textId="60A13CDC" w:rsidR="00F85F30" w:rsidRPr="001B3BA5" w:rsidRDefault="00EF63DC" w:rsidP="00584266">
      <w:pPr>
        <w:spacing w:after="0" w:line="480" w:lineRule="exact"/>
        <w:ind w:firstLine="708"/>
        <w:rPr>
          <w:rFonts w:ascii="Times New Roman" w:hAnsi="Times New Roman" w:cs="Times New Roman"/>
          <w:sz w:val="24"/>
          <w:szCs w:val="24"/>
          <w:lang w:val="en-GB"/>
        </w:rPr>
      </w:pPr>
      <w:r w:rsidRPr="001B3BA5">
        <w:rPr>
          <w:rFonts w:ascii="Times" w:hAnsi="Times"/>
          <w:b/>
          <w:sz w:val="24"/>
          <w:szCs w:val="24"/>
          <w:lang w:val="en-GB"/>
        </w:rPr>
        <w:t>Demographic characteristics</w:t>
      </w:r>
      <w:r w:rsidR="00940636" w:rsidRPr="001B3BA5">
        <w:rPr>
          <w:rFonts w:ascii="Times" w:hAnsi="Times"/>
          <w:sz w:val="24"/>
          <w:szCs w:val="24"/>
          <w:lang w:val="en-GB"/>
        </w:rPr>
        <w:t xml:space="preserve">. </w:t>
      </w:r>
      <w:r w:rsidR="00F85F30" w:rsidRPr="001B3BA5">
        <w:rPr>
          <w:rFonts w:ascii="Times" w:hAnsi="Times"/>
          <w:sz w:val="24"/>
          <w:szCs w:val="24"/>
          <w:lang w:val="en-GB"/>
        </w:rPr>
        <w:t>We again controlled for</w:t>
      </w:r>
      <w:r w:rsidR="00940636" w:rsidRPr="001B3BA5">
        <w:rPr>
          <w:rFonts w:ascii="Times" w:hAnsi="Times"/>
          <w:sz w:val="24"/>
          <w:szCs w:val="24"/>
          <w:lang w:val="en-GB"/>
        </w:rPr>
        <w:t xml:space="preserve"> </w:t>
      </w:r>
      <w:r w:rsidR="001E6F7B" w:rsidRPr="001B3BA5">
        <w:rPr>
          <w:rFonts w:ascii="Times" w:hAnsi="Times"/>
          <w:sz w:val="24"/>
          <w:szCs w:val="24"/>
          <w:lang w:val="en-GB"/>
        </w:rPr>
        <w:t>sex</w:t>
      </w:r>
      <w:r w:rsidRPr="001B3BA5">
        <w:rPr>
          <w:rFonts w:ascii="Times" w:hAnsi="Times"/>
          <w:sz w:val="24"/>
          <w:szCs w:val="24"/>
          <w:lang w:val="en-GB"/>
        </w:rPr>
        <w:t xml:space="preserve"> (0 = </w:t>
      </w:r>
      <w:r w:rsidRPr="001B3BA5">
        <w:rPr>
          <w:rFonts w:ascii="Times" w:hAnsi="Times"/>
          <w:i/>
          <w:iCs/>
          <w:sz w:val="24"/>
          <w:szCs w:val="24"/>
          <w:lang w:val="en-GB"/>
        </w:rPr>
        <w:t>women</w:t>
      </w:r>
      <w:r w:rsidRPr="001B3BA5">
        <w:rPr>
          <w:rFonts w:ascii="Times" w:hAnsi="Times"/>
          <w:sz w:val="24"/>
          <w:szCs w:val="24"/>
          <w:lang w:val="en-GB"/>
        </w:rPr>
        <w:t xml:space="preserve">, 1 = </w:t>
      </w:r>
      <w:r w:rsidRPr="001B3BA5">
        <w:rPr>
          <w:rFonts w:ascii="Times" w:hAnsi="Times"/>
          <w:i/>
          <w:iCs/>
          <w:sz w:val="24"/>
          <w:szCs w:val="24"/>
          <w:lang w:val="en-GB"/>
        </w:rPr>
        <w:t>men</w:t>
      </w:r>
      <w:r w:rsidRPr="001B3BA5">
        <w:rPr>
          <w:rFonts w:ascii="Times" w:hAnsi="Times"/>
          <w:sz w:val="24"/>
          <w:szCs w:val="24"/>
          <w:lang w:val="en-GB"/>
        </w:rPr>
        <w:t xml:space="preserve">), </w:t>
      </w:r>
      <w:r w:rsidR="00F85F30" w:rsidRPr="001B3BA5">
        <w:rPr>
          <w:rFonts w:ascii="Times" w:hAnsi="Times"/>
          <w:sz w:val="24"/>
          <w:szCs w:val="24"/>
          <w:lang w:val="en-GB"/>
        </w:rPr>
        <w:t>age</w:t>
      </w:r>
      <w:r w:rsidR="004F0319" w:rsidRPr="001B3BA5">
        <w:rPr>
          <w:rFonts w:ascii="Times" w:hAnsi="Times"/>
          <w:sz w:val="24"/>
          <w:szCs w:val="24"/>
          <w:lang w:val="en-GB"/>
        </w:rPr>
        <w:t xml:space="preserve"> and e</w:t>
      </w:r>
      <w:r w:rsidR="00D450A9" w:rsidRPr="001B3BA5">
        <w:rPr>
          <w:rFonts w:ascii="Times" w:hAnsi="Times"/>
          <w:sz w:val="24"/>
          <w:szCs w:val="24"/>
          <w:lang w:val="en-GB"/>
        </w:rPr>
        <w:t>ducation</w:t>
      </w:r>
      <w:r w:rsidR="001E6F7B" w:rsidRPr="001B3BA5">
        <w:rPr>
          <w:rFonts w:ascii="Times" w:hAnsi="Times"/>
          <w:sz w:val="24"/>
          <w:szCs w:val="24"/>
          <w:lang w:val="en-GB"/>
        </w:rPr>
        <w:t xml:space="preserve"> </w:t>
      </w:r>
      <w:r w:rsidR="00027CD4" w:rsidRPr="001B3BA5">
        <w:rPr>
          <w:rFonts w:asciiTheme="majorBidi" w:hAnsiTheme="majorBidi" w:cstheme="majorBidi"/>
          <w:sz w:val="24"/>
          <w:szCs w:val="24"/>
          <w:lang w:val="en-GB"/>
        </w:rPr>
        <w:t>(1</w:t>
      </w:r>
      <w:r w:rsidR="00955643" w:rsidRPr="001B3BA5">
        <w:rPr>
          <w:rFonts w:asciiTheme="majorBidi" w:hAnsiTheme="majorBidi" w:cstheme="majorBidi"/>
          <w:sz w:val="24"/>
          <w:szCs w:val="24"/>
          <w:lang w:val="en-GB"/>
        </w:rPr>
        <w:t>=</w:t>
      </w:r>
      <w:r w:rsidR="00027CD4" w:rsidRPr="001B3BA5">
        <w:rPr>
          <w:rFonts w:asciiTheme="majorBidi" w:hAnsiTheme="majorBidi" w:cstheme="majorBidi"/>
          <w:i/>
          <w:iCs/>
          <w:sz w:val="24"/>
          <w:szCs w:val="24"/>
          <w:lang w:val="en-GB"/>
        </w:rPr>
        <w:t>primary education not completed</w:t>
      </w:r>
      <w:r w:rsidR="00027CD4" w:rsidRPr="001B3BA5">
        <w:rPr>
          <w:rFonts w:asciiTheme="majorBidi" w:hAnsiTheme="majorBidi" w:cstheme="majorBidi"/>
          <w:sz w:val="24"/>
          <w:szCs w:val="24"/>
          <w:lang w:val="en-GB"/>
        </w:rPr>
        <w:t>, 14</w:t>
      </w:r>
      <w:r w:rsidR="00955643" w:rsidRPr="001B3BA5">
        <w:rPr>
          <w:rFonts w:asciiTheme="majorBidi" w:hAnsiTheme="majorBidi" w:cstheme="majorBidi"/>
          <w:sz w:val="24"/>
          <w:szCs w:val="24"/>
          <w:lang w:val="en-GB"/>
        </w:rPr>
        <w:t>=</w:t>
      </w:r>
      <w:r w:rsidR="00027CD4" w:rsidRPr="001B3BA5">
        <w:rPr>
          <w:rFonts w:asciiTheme="majorBidi" w:hAnsiTheme="majorBidi" w:cstheme="majorBidi"/>
          <w:i/>
          <w:iCs/>
          <w:sz w:val="24"/>
          <w:szCs w:val="24"/>
          <w:lang w:val="en-GB"/>
        </w:rPr>
        <w:t>PhD doctorate</w:t>
      </w:r>
      <w:r w:rsidR="00027CD4" w:rsidRPr="001B3BA5">
        <w:rPr>
          <w:rFonts w:asciiTheme="majorBidi" w:hAnsiTheme="majorBidi" w:cstheme="majorBidi"/>
          <w:sz w:val="24"/>
          <w:szCs w:val="24"/>
          <w:lang w:val="en-GB"/>
        </w:rPr>
        <w:t>)</w:t>
      </w:r>
      <w:r w:rsidR="00D622AF" w:rsidRPr="001B3BA5">
        <w:rPr>
          <w:rFonts w:asciiTheme="majorBidi" w:hAnsiTheme="majorBidi" w:cstheme="majorBidi"/>
          <w:sz w:val="24"/>
          <w:szCs w:val="24"/>
          <w:lang w:val="en-GB"/>
        </w:rPr>
        <w:t>.</w:t>
      </w:r>
      <w:r w:rsidR="00F85F30" w:rsidRPr="001B3BA5">
        <w:rPr>
          <w:rFonts w:ascii="Times" w:hAnsi="Times"/>
          <w:sz w:val="24"/>
          <w:szCs w:val="24"/>
          <w:lang w:val="en-GB"/>
        </w:rPr>
        <w:t xml:space="preserve"> We also controlled for country of residence (England, Scotland, Wales)</w:t>
      </w:r>
      <w:r w:rsidR="00940636" w:rsidRPr="001B3BA5">
        <w:rPr>
          <w:rFonts w:ascii="Times" w:hAnsi="Times"/>
          <w:sz w:val="24"/>
          <w:szCs w:val="24"/>
          <w:lang w:val="en-GB"/>
        </w:rPr>
        <w:t>,</w:t>
      </w:r>
      <w:r w:rsidR="00F85F30" w:rsidRPr="001B3BA5">
        <w:rPr>
          <w:rFonts w:ascii="Times" w:hAnsi="Times"/>
          <w:sz w:val="24"/>
          <w:szCs w:val="24"/>
          <w:lang w:val="en-GB"/>
        </w:rPr>
        <w:t xml:space="preserve"> with England as the reference category.</w:t>
      </w:r>
    </w:p>
    <w:p w14:paraId="1710A41F" w14:textId="77777777" w:rsidR="00F85F30" w:rsidRPr="001B3BA5" w:rsidRDefault="00670DAB" w:rsidP="00584266">
      <w:pPr>
        <w:spacing w:after="0" w:line="480" w:lineRule="exact"/>
        <w:rPr>
          <w:rFonts w:ascii="Times" w:hAnsi="Times"/>
          <w:b/>
          <w:sz w:val="24"/>
          <w:szCs w:val="24"/>
          <w:lang w:val="en-GB"/>
        </w:rPr>
      </w:pPr>
      <w:r w:rsidRPr="001B3BA5">
        <w:rPr>
          <w:rFonts w:ascii="Times" w:hAnsi="Times"/>
          <w:b/>
          <w:sz w:val="24"/>
          <w:szCs w:val="24"/>
          <w:lang w:val="en-GB"/>
        </w:rPr>
        <w:t>Data A</w:t>
      </w:r>
      <w:r w:rsidR="00F85F30" w:rsidRPr="001B3BA5">
        <w:rPr>
          <w:rFonts w:ascii="Times" w:hAnsi="Times"/>
          <w:b/>
          <w:sz w:val="24"/>
          <w:szCs w:val="24"/>
          <w:lang w:val="en-GB"/>
        </w:rPr>
        <w:t>naly</w:t>
      </w:r>
      <w:r w:rsidRPr="001B3BA5">
        <w:rPr>
          <w:rFonts w:ascii="Times" w:hAnsi="Times"/>
          <w:b/>
          <w:sz w:val="24"/>
          <w:szCs w:val="24"/>
          <w:lang w:val="en-GB"/>
        </w:rPr>
        <w:t>tic Strategy</w:t>
      </w:r>
    </w:p>
    <w:p w14:paraId="7475034A" w14:textId="2355A07A" w:rsidR="00F85F30" w:rsidRPr="001B3BA5" w:rsidRDefault="007717DA">
      <w:pPr>
        <w:spacing w:after="0" w:line="480" w:lineRule="exact"/>
        <w:ind w:firstLine="708"/>
        <w:rPr>
          <w:rFonts w:asciiTheme="majorBidi" w:hAnsiTheme="majorBidi" w:cstheme="majorBidi"/>
          <w:sz w:val="24"/>
          <w:szCs w:val="24"/>
          <w:lang w:val="en-GB"/>
        </w:rPr>
      </w:pPr>
      <w:r w:rsidRPr="001B3BA5">
        <w:rPr>
          <w:rFonts w:ascii="Times" w:hAnsi="Times"/>
          <w:sz w:val="24"/>
          <w:szCs w:val="24"/>
          <w:lang w:val="en-GB"/>
        </w:rPr>
        <w:t>We tested via</w:t>
      </w:r>
      <w:r w:rsidR="006B63C7" w:rsidRPr="001B3BA5">
        <w:rPr>
          <w:rFonts w:ascii="Times" w:hAnsi="Times"/>
          <w:sz w:val="24"/>
          <w:szCs w:val="24"/>
          <w:lang w:val="en-GB"/>
        </w:rPr>
        <w:t xml:space="preserve"> c</w:t>
      </w:r>
      <w:r w:rsidR="00F85F30" w:rsidRPr="001B3BA5">
        <w:rPr>
          <w:rFonts w:ascii="Times" w:hAnsi="Times"/>
          <w:sz w:val="24"/>
          <w:szCs w:val="24"/>
          <w:lang w:val="en-GB"/>
        </w:rPr>
        <w:t xml:space="preserve">onfirmatory factor analysis whether the items measuring </w:t>
      </w:r>
      <w:r w:rsidR="00594FBA" w:rsidRPr="001B3BA5">
        <w:rPr>
          <w:rFonts w:ascii="Times" w:hAnsi="Times"/>
          <w:sz w:val="24"/>
          <w:szCs w:val="24"/>
          <w:lang w:val="en-GB"/>
        </w:rPr>
        <w:t>CPO</w:t>
      </w:r>
      <w:r w:rsidR="00F85F30" w:rsidRPr="001B3BA5">
        <w:rPr>
          <w:rFonts w:ascii="Times" w:hAnsi="Times"/>
          <w:sz w:val="24"/>
          <w:szCs w:val="24"/>
          <w:lang w:val="en-GB"/>
        </w:rPr>
        <w:t xml:space="preserve">, </w:t>
      </w:r>
      <w:r w:rsidR="00DC01FF" w:rsidRPr="001B3BA5">
        <w:rPr>
          <w:rFonts w:ascii="Times" w:hAnsi="Times"/>
          <w:sz w:val="24"/>
          <w:szCs w:val="24"/>
          <w:lang w:val="en-GB"/>
        </w:rPr>
        <w:t>exclusive determination right</w:t>
      </w:r>
      <w:r w:rsidR="00F85F30" w:rsidRPr="001B3BA5">
        <w:rPr>
          <w:rFonts w:ascii="Times" w:hAnsi="Times"/>
          <w:sz w:val="24"/>
          <w:szCs w:val="24"/>
          <w:lang w:val="en-GB"/>
        </w:rPr>
        <w:t xml:space="preserve">, </w:t>
      </w:r>
      <w:r w:rsidR="00767ECF" w:rsidRPr="001B3BA5">
        <w:rPr>
          <w:rFonts w:ascii="Times" w:hAnsi="Times"/>
          <w:sz w:val="24"/>
          <w:szCs w:val="24"/>
          <w:lang w:val="en-GB"/>
        </w:rPr>
        <w:t xml:space="preserve">immigrant minority attitudes, </w:t>
      </w:r>
      <w:r w:rsidR="00F85F30" w:rsidRPr="001B3BA5">
        <w:rPr>
          <w:rFonts w:ascii="Times" w:hAnsi="Times"/>
          <w:sz w:val="24"/>
          <w:szCs w:val="24"/>
          <w:lang w:val="en-GB"/>
        </w:rPr>
        <w:t xml:space="preserve">national identification, place attachment, and adherence to sovereignty </w:t>
      </w:r>
      <w:r w:rsidR="00480C88" w:rsidRPr="001B3BA5">
        <w:rPr>
          <w:rFonts w:ascii="Times" w:hAnsi="Times"/>
          <w:sz w:val="24"/>
          <w:szCs w:val="24"/>
          <w:lang w:val="en-GB"/>
        </w:rPr>
        <w:t xml:space="preserve">captured </w:t>
      </w:r>
      <w:r w:rsidR="00F85F30" w:rsidRPr="001B3BA5">
        <w:rPr>
          <w:rFonts w:ascii="Times" w:hAnsi="Times"/>
          <w:sz w:val="24"/>
          <w:szCs w:val="24"/>
          <w:lang w:val="en-GB"/>
        </w:rPr>
        <w:t xml:space="preserve">separate latent constructs. </w:t>
      </w:r>
      <w:r w:rsidR="00320626" w:rsidRPr="001B3BA5">
        <w:rPr>
          <w:rFonts w:ascii="Times" w:hAnsi="Times"/>
          <w:sz w:val="24"/>
          <w:szCs w:val="24"/>
          <w:lang w:val="en-GB"/>
        </w:rPr>
        <w:t xml:space="preserve">Subsequently, we specified a structural equation model of sequential mediation in which we regressed Brexit voting on CPO, mediated by </w:t>
      </w:r>
      <w:r w:rsidR="00052A2A" w:rsidRPr="001B3BA5">
        <w:rPr>
          <w:rFonts w:ascii="Times" w:hAnsi="Times"/>
          <w:sz w:val="24"/>
          <w:szCs w:val="24"/>
          <w:lang w:val="en-GB"/>
        </w:rPr>
        <w:t xml:space="preserve">(1) </w:t>
      </w:r>
      <w:r w:rsidR="00320626" w:rsidRPr="001B3BA5">
        <w:rPr>
          <w:rFonts w:ascii="Times" w:hAnsi="Times"/>
          <w:sz w:val="24"/>
          <w:szCs w:val="24"/>
          <w:lang w:val="en-GB"/>
        </w:rPr>
        <w:t xml:space="preserve">exclusive determination right and </w:t>
      </w:r>
      <w:r w:rsidR="00052A2A" w:rsidRPr="001B3BA5">
        <w:rPr>
          <w:rFonts w:ascii="Times" w:hAnsi="Times"/>
          <w:sz w:val="24"/>
          <w:szCs w:val="24"/>
          <w:lang w:val="en-GB"/>
        </w:rPr>
        <w:t xml:space="preserve">(2) </w:t>
      </w:r>
      <w:r w:rsidR="00320626" w:rsidRPr="001B3BA5">
        <w:rPr>
          <w:rFonts w:ascii="Times" w:hAnsi="Times"/>
          <w:sz w:val="24"/>
          <w:szCs w:val="24"/>
          <w:lang w:val="en-GB"/>
        </w:rPr>
        <w:t xml:space="preserve">immigrant minority attitudes and European integration attitudes. </w:t>
      </w:r>
      <w:r w:rsidR="00071263" w:rsidRPr="001B3BA5">
        <w:rPr>
          <w:rFonts w:ascii="Times" w:hAnsi="Times"/>
          <w:sz w:val="24"/>
          <w:szCs w:val="24"/>
          <w:lang w:val="en-GB"/>
        </w:rPr>
        <w:t>We included c</w:t>
      </w:r>
      <w:r w:rsidR="00320626" w:rsidRPr="001B3BA5">
        <w:rPr>
          <w:rFonts w:ascii="Times" w:hAnsi="Times"/>
          <w:sz w:val="24"/>
          <w:szCs w:val="24"/>
          <w:lang w:val="en-GB"/>
        </w:rPr>
        <w:t xml:space="preserve">ontrol variables </w:t>
      </w:r>
      <w:r w:rsidR="008A0313" w:rsidRPr="001B3BA5">
        <w:rPr>
          <w:rFonts w:ascii="Times" w:hAnsi="Times"/>
          <w:sz w:val="24"/>
          <w:szCs w:val="24"/>
          <w:lang w:val="en-GB"/>
        </w:rPr>
        <w:t>as predictors of</w:t>
      </w:r>
      <w:r w:rsidR="00320626" w:rsidRPr="001B3BA5">
        <w:rPr>
          <w:rFonts w:ascii="Times" w:hAnsi="Times"/>
          <w:sz w:val="24"/>
          <w:szCs w:val="24"/>
          <w:lang w:val="en-GB"/>
        </w:rPr>
        <w:t xml:space="preserve"> all endogenous variables.</w:t>
      </w:r>
      <w:r w:rsidR="00F97E8A" w:rsidRPr="001B3BA5">
        <w:rPr>
          <w:rFonts w:ascii="Times" w:hAnsi="Times"/>
          <w:sz w:val="24"/>
          <w:szCs w:val="24"/>
          <w:lang w:val="en-GB"/>
        </w:rPr>
        <w:t xml:space="preserve"> Next</w:t>
      </w:r>
      <w:r w:rsidR="00C11CF5" w:rsidRPr="001B3BA5">
        <w:rPr>
          <w:rFonts w:ascii="Times" w:hAnsi="Times"/>
          <w:sz w:val="24"/>
          <w:szCs w:val="24"/>
          <w:lang w:val="en-GB"/>
        </w:rPr>
        <w:t xml:space="preserve">, </w:t>
      </w:r>
      <w:r w:rsidR="00B91EC7" w:rsidRPr="001B3BA5">
        <w:rPr>
          <w:rFonts w:asciiTheme="majorBidi" w:hAnsiTheme="majorBidi" w:cstheme="majorBidi"/>
          <w:sz w:val="24"/>
          <w:szCs w:val="24"/>
          <w:lang w:val="en-GB"/>
        </w:rPr>
        <w:t xml:space="preserve">we </w:t>
      </w:r>
      <w:r w:rsidR="008A0313" w:rsidRPr="001B3BA5">
        <w:rPr>
          <w:rFonts w:asciiTheme="majorBidi" w:hAnsiTheme="majorBidi" w:cstheme="majorBidi"/>
          <w:sz w:val="24"/>
          <w:szCs w:val="24"/>
          <w:lang w:val="en-GB"/>
        </w:rPr>
        <w:t xml:space="preserve">added </w:t>
      </w:r>
      <w:r w:rsidR="007A6856" w:rsidRPr="001B3BA5">
        <w:rPr>
          <w:rFonts w:asciiTheme="majorBidi" w:hAnsiTheme="majorBidi" w:cstheme="majorBidi"/>
          <w:sz w:val="24"/>
          <w:szCs w:val="24"/>
          <w:lang w:val="en-GB"/>
        </w:rPr>
        <w:t xml:space="preserve">political </w:t>
      </w:r>
      <w:r w:rsidR="003E6CA8" w:rsidRPr="001B3BA5">
        <w:rPr>
          <w:rFonts w:asciiTheme="majorBidi" w:hAnsiTheme="majorBidi" w:cstheme="majorBidi"/>
          <w:sz w:val="24"/>
          <w:szCs w:val="24"/>
          <w:lang w:val="en-GB"/>
        </w:rPr>
        <w:t xml:space="preserve">ideology </w:t>
      </w:r>
      <w:r w:rsidR="008A0313" w:rsidRPr="001B3BA5">
        <w:rPr>
          <w:rFonts w:asciiTheme="majorBidi" w:hAnsiTheme="majorBidi" w:cstheme="majorBidi"/>
          <w:sz w:val="24"/>
          <w:szCs w:val="24"/>
          <w:lang w:val="en-GB"/>
        </w:rPr>
        <w:t xml:space="preserve">as a predictor of immigrant minority attitudes and European integration attitudes, and as a moderator of the relationship between exclusive determination right and immigrant minority attitudes and European integration attitudes. </w:t>
      </w:r>
      <w:r w:rsidR="00235409" w:rsidRPr="001B3BA5">
        <w:rPr>
          <w:rFonts w:asciiTheme="majorBidi" w:hAnsiTheme="majorBidi" w:cstheme="majorBidi"/>
          <w:sz w:val="24"/>
          <w:szCs w:val="24"/>
          <w:lang w:val="en-GB"/>
        </w:rPr>
        <w:t>We used l</w:t>
      </w:r>
      <w:r w:rsidR="00F85F30" w:rsidRPr="001B3BA5">
        <w:rPr>
          <w:rFonts w:ascii="Times" w:hAnsi="Times"/>
          <w:sz w:val="24"/>
          <w:szCs w:val="24"/>
          <w:lang w:val="en-GB"/>
        </w:rPr>
        <w:t xml:space="preserve">ogistic regression </w:t>
      </w:r>
      <w:r w:rsidR="003B1779" w:rsidRPr="001B3BA5">
        <w:rPr>
          <w:rFonts w:ascii="Times" w:hAnsi="Times"/>
          <w:sz w:val="24"/>
          <w:szCs w:val="24"/>
          <w:lang w:val="en-GB"/>
        </w:rPr>
        <w:t xml:space="preserve">because of </w:t>
      </w:r>
      <w:r w:rsidR="00F85F30" w:rsidRPr="001B3BA5">
        <w:rPr>
          <w:rFonts w:ascii="Times" w:hAnsi="Times"/>
          <w:sz w:val="24"/>
          <w:szCs w:val="24"/>
          <w:lang w:val="en-GB"/>
        </w:rPr>
        <w:t>the dichotomous dependent variable Brexit vot</w:t>
      </w:r>
      <w:r w:rsidR="003B1779" w:rsidRPr="001B3BA5">
        <w:rPr>
          <w:rFonts w:ascii="Times" w:hAnsi="Times"/>
          <w:sz w:val="24"/>
          <w:szCs w:val="24"/>
          <w:lang w:val="en-GB"/>
        </w:rPr>
        <w:t>ing</w:t>
      </w:r>
      <w:r w:rsidR="00955CA5" w:rsidRPr="001B3BA5">
        <w:rPr>
          <w:rFonts w:ascii="Times" w:hAnsi="Times"/>
          <w:sz w:val="24"/>
          <w:szCs w:val="24"/>
          <w:lang w:val="en-GB"/>
        </w:rPr>
        <w:t xml:space="preserve">, and employed </w:t>
      </w:r>
      <w:r w:rsidR="00F85F30" w:rsidRPr="001B3BA5">
        <w:rPr>
          <w:rFonts w:ascii="Times" w:hAnsi="Times"/>
          <w:sz w:val="24"/>
          <w:szCs w:val="24"/>
          <w:lang w:val="en-GB"/>
        </w:rPr>
        <w:t>maximum likelihood estimation</w:t>
      </w:r>
      <w:r w:rsidR="002F7BB8" w:rsidRPr="001B3BA5">
        <w:rPr>
          <w:rFonts w:ascii="Times" w:hAnsi="Times"/>
          <w:sz w:val="24"/>
          <w:szCs w:val="24"/>
          <w:lang w:val="en-GB"/>
        </w:rPr>
        <w:t xml:space="preserve"> with a robust estimator (MLR) to </w:t>
      </w:r>
      <w:r w:rsidR="005A279E" w:rsidRPr="001B3BA5">
        <w:rPr>
          <w:rFonts w:ascii="Times" w:hAnsi="Times"/>
          <w:sz w:val="24"/>
          <w:szCs w:val="24"/>
          <w:lang w:val="en-GB"/>
        </w:rPr>
        <w:t>account for</w:t>
      </w:r>
      <w:r w:rsidR="002F7BB8" w:rsidRPr="001B3BA5">
        <w:rPr>
          <w:rFonts w:ascii="Times" w:hAnsi="Times"/>
          <w:sz w:val="24"/>
          <w:szCs w:val="24"/>
          <w:lang w:val="en-GB"/>
        </w:rPr>
        <w:t xml:space="preserve"> non-normally distributed endogenous variables.</w:t>
      </w:r>
      <w:r w:rsidR="00F85F30" w:rsidRPr="001B3BA5">
        <w:rPr>
          <w:rFonts w:ascii="Times" w:hAnsi="Times"/>
          <w:sz w:val="24"/>
          <w:szCs w:val="24"/>
          <w:lang w:val="en-GB"/>
        </w:rPr>
        <w:t xml:space="preserve"> </w:t>
      </w:r>
      <w:r w:rsidR="00B66D7D" w:rsidRPr="001B3BA5">
        <w:rPr>
          <w:rFonts w:asciiTheme="majorBidi" w:hAnsiTheme="majorBidi" w:cstheme="majorBidi"/>
          <w:sz w:val="24"/>
          <w:szCs w:val="24"/>
          <w:lang w:val="en-GB"/>
        </w:rPr>
        <w:t xml:space="preserve">We </w:t>
      </w:r>
      <w:r w:rsidR="00CF5E4B" w:rsidRPr="001B3BA5">
        <w:rPr>
          <w:rFonts w:asciiTheme="majorBidi" w:hAnsiTheme="majorBidi" w:cstheme="majorBidi"/>
          <w:sz w:val="24"/>
          <w:szCs w:val="24"/>
          <w:lang w:val="en-GB"/>
        </w:rPr>
        <w:t xml:space="preserve">opted for </w:t>
      </w:r>
      <w:r w:rsidR="00B66D7D" w:rsidRPr="001B3BA5">
        <w:rPr>
          <w:rFonts w:asciiTheme="majorBidi" w:hAnsiTheme="majorBidi" w:cstheme="majorBidi"/>
          <w:sz w:val="24"/>
          <w:szCs w:val="24"/>
          <w:lang w:val="en-GB"/>
        </w:rPr>
        <w:t>full information maximum likelihood (FIML), which allows missing values in endogenous variables, assuming missingness at random.</w:t>
      </w:r>
      <w:r w:rsidR="004125E2" w:rsidRPr="001B3BA5">
        <w:rPr>
          <w:rFonts w:asciiTheme="majorBidi" w:hAnsiTheme="majorBidi" w:cstheme="majorBidi"/>
          <w:sz w:val="24"/>
          <w:szCs w:val="24"/>
          <w:lang w:val="en-GB"/>
        </w:rPr>
        <w:t xml:space="preserve"> </w:t>
      </w:r>
      <w:r w:rsidR="00F137B0" w:rsidRPr="001B3BA5">
        <w:rPr>
          <w:rFonts w:asciiTheme="majorBidi" w:hAnsiTheme="majorBidi" w:cstheme="majorBidi"/>
          <w:sz w:val="24"/>
          <w:szCs w:val="24"/>
          <w:lang w:val="en-GB"/>
        </w:rPr>
        <w:t>So,</w:t>
      </w:r>
      <w:r w:rsidR="004125E2" w:rsidRPr="001B3BA5">
        <w:rPr>
          <w:rFonts w:asciiTheme="majorBidi" w:hAnsiTheme="majorBidi" w:cstheme="majorBidi"/>
          <w:sz w:val="24"/>
          <w:szCs w:val="24"/>
          <w:lang w:val="en-GB"/>
        </w:rPr>
        <w:t xml:space="preserve"> </w:t>
      </w:r>
      <w:r w:rsidR="00CF5E4B" w:rsidRPr="001B3BA5">
        <w:rPr>
          <w:rFonts w:asciiTheme="majorBidi" w:hAnsiTheme="majorBidi" w:cstheme="majorBidi"/>
          <w:sz w:val="24"/>
          <w:szCs w:val="24"/>
          <w:lang w:val="en-GB"/>
        </w:rPr>
        <w:t xml:space="preserve">we included </w:t>
      </w:r>
      <w:r w:rsidR="004125E2" w:rsidRPr="001B3BA5">
        <w:rPr>
          <w:rFonts w:asciiTheme="majorBidi" w:hAnsiTheme="majorBidi" w:cstheme="majorBidi"/>
          <w:sz w:val="24"/>
          <w:szCs w:val="24"/>
          <w:lang w:val="en-GB"/>
        </w:rPr>
        <w:t>cases with missing values on Brexit voting in the full model</w:t>
      </w:r>
      <w:r w:rsidR="00CF5E4B" w:rsidRPr="001B3BA5">
        <w:rPr>
          <w:rFonts w:asciiTheme="majorBidi" w:hAnsiTheme="majorBidi" w:cstheme="majorBidi"/>
          <w:sz w:val="24"/>
          <w:szCs w:val="24"/>
          <w:lang w:val="en-GB"/>
        </w:rPr>
        <w:t>,</w:t>
      </w:r>
      <w:r w:rsidR="004125E2" w:rsidRPr="001B3BA5">
        <w:rPr>
          <w:rFonts w:asciiTheme="majorBidi" w:hAnsiTheme="majorBidi" w:cstheme="majorBidi"/>
          <w:sz w:val="24"/>
          <w:szCs w:val="24"/>
          <w:lang w:val="en-GB"/>
        </w:rPr>
        <w:t xml:space="preserve"> but the missing value points were implied by the observed values of all other variables </w:t>
      </w:r>
      <w:r w:rsidR="007E4712" w:rsidRPr="001B3BA5">
        <w:rPr>
          <w:rFonts w:asciiTheme="majorBidi" w:hAnsiTheme="majorBidi" w:cstheme="majorBidi"/>
          <w:sz w:val="24"/>
          <w:szCs w:val="24"/>
          <w:lang w:val="en-GB"/>
        </w:rPr>
        <w:fldChar w:fldCharType="begin"/>
      </w:r>
      <w:r w:rsidR="007E4712" w:rsidRPr="001B3BA5">
        <w:rPr>
          <w:rFonts w:asciiTheme="majorBidi" w:hAnsiTheme="majorBidi" w:cstheme="majorBidi"/>
          <w:sz w:val="24"/>
          <w:szCs w:val="24"/>
          <w:lang w:val="en-GB"/>
        </w:rPr>
        <w:instrText xml:space="preserve"> ADDIN EN.CITE &lt;EndNote&gt;&lt;Cite&gt;&lt;Author&gt;Enders&lt;/Author&gt;&lt;Year&gt;2001&lt;/Year&gt;&lt;RecNum&gt;1499&lt;/RecNum&gt;&lt;DisplayText&gt;(Enders &amp;amp; Bandalos, 2001)&lt;/DisplayText&gt;&lt;record&gt;&lt;rec-number&gt;1499&lt;/rec-number&gt;&lt;foreign-keys&gt;&lt;key app="EN" db-id="es92r5v5dve2z0erx59pv50vtp29v0t9ef5f" timestamp="1571390785"&gt;1499&lt;/key&gt;&lt;key app="ENWeb" db-id=""&gt;0&lt;/key&gt;&lt;/foreign-keys&gt;&lt;ref-type name="Journal Article"&gt;17&lt;/ref-type&gt;&lt;contributors&gt;&lt;authors&gt;&lt;author&gt;Enders, Craig&lt;/author&gt;&lt;author&gt;Bandalos, Deborah&lt;/author&gt;&lt;/authors&gt;&lt;/contributors&gt;&lt;titles&gt;&lt;title&gt;The relative performance of full information maximum likelihood estimation for missing data in structural equation models&lt;/title&gt;&lt;secondary-title&gt;Structural Equation Modeling: A Multidisciplinary Journal&lt;/secondary-title&gt;&lt;/titles&gt;&lt;periodical&gt;&lt;full-title&gt;Structural Equation Modeling: A Multidisciplinary Journal&lt;/full-title&gt;&lt;/periodical&gt;&lt;pages&gt;430-457&lt;/pages&gt;&lt;volume&gt;8&lt;/volume&gt;&lt;number&gt;3&lt;/number&gt;&lt;dates&gt;&lt;year&gt;2001&lt;/year&gt;&lt;/dates&gt;&lt;isbn&gt;1070-5511&lt;/isbn&gt;&lt;urls&gt;&lt;/urls&gt;&lt;electronic-resource-num&gt;10.1207/s15328007sem0803_5&lt;/electronic-resource-num&gt;&lt;/record&gt;&lt;/Cite&gt;&lt;/EndNote&gt;</w:instrText>
      </w:r>
      <w:r w:rsidR="007E4712" w:rsidRPr="001B3BA5">
        <w:rPr>
          <w:rFonts w:asciiTheme="majorBidi" w:hAnsiTheme="majorBidi" w:cstheme="majorBidi"/>
          <w:sz w:val="24"/>
          <w:szCs w:val="24"/>
          <w:lang w:val="en-GB"/>
        </w:rPr>
        <w:fldChar w:fldCharType="separate"/>
      </w:r>
      <w:r w:rsidR="007E4712" w:rsidRPr="001B3BA5">
        <w:rPr>
          <w:rFonts w:asciiTheme="majorBidi" w:hAnsiTheme="majorBidi" w:cstheme="majorBidi"/>
          <w:noProof/>
          <w:sz w:val="24"/>
          <w:szCs w:val="24"/>
          <w:lang w:val="en-GB"/>
        </w:rPr>
        <w:t>(Enders &amp; Bandalos, 2001)</w:t>
      </w:r>
      <w:r w:rsidR="007E4712" w:rsidRPr="001B3BA5">
        <w:rPr>
          <w:rFonts w:asciiTheme="majorBidi" w:hAnsiTheme="majorBidi" w:cstheme="majorBidi"/>
          <w:sz w:val="24"/>
          <w:szCs w:val="24"/>
          <w:lang w:val="en-GB"/>
        </w:rPr>
        <w:fldChar w:fldCharType="end"/>
      </w:r>
      <w:r w:rsidR="004125E2" w:rsidRPr="001B3BA5">
        <w:rPr>
          <w:rFonts w:asciiTheme="majorBidi" w:hAnsiTheme="majorBidi" w:cstheme="majorBidi"/>
          <w:sz w:val="24"/>
          <w:szCs w:val="24"/>
          <w:lang w:val="en-GB"/>
        </w:rPr>
        <w:t>.</w:t>
      </w:r>
      <w:r w:rsidR="001B67E8" w:rsidRPr="001B3BA5">
        <w:rPr>
          <w:rStyle w:val="FootnoteReference"/>
          <w:rFonts w:asciiTheme="majorBidi" w:hAnsiTheme="majorBidi" w:cstheme="majorBidi"/>
          <w:sz w:val="24"/>
          <w:szCs w:val="24"/>
          <w:lang w:val="en-GB"/>
        </w:rPr>
        <w:footnoteReference w:id="8"/>
      </w:r>
      <w:r w:rsidR="00B66D7D" w:rsidRPr="001B3BA5">
        <w:rPr>
          <w:rFonts w:asciiTheme="majorBidi" w:hAnsiTheme="majorBidi" w:cstheme="majorBidi"/>
          <w:sz w:val="24"/>
          <w:szCs w:val="24"/>
          <w:lang w:val="en-GB"/>
        </w:rPr>
        <w:t xml:space="preserve"> </w:t>
      </w:r>
      <w:r w:rsidR="009D2140" w:rsidRPr="001B3BA5">
        <w:rPr>
          <w:rFonts w:ascii="Times" w:hAnsi="Times"/>
          <w:sz w:val="24"/>
          <w:szCs w:val="24"/>
          <w:lang w:val="en-GB"/>
        </w:rPr>
        <w:t xml:space="preserve">Except for Brexit vote, no other variables had missing values. </w:t>
      </w:r>
    </w:p>
    <w:p w14:paraId="480C1968" w14:textId="61DCA728" w:rsidR="00F85F30" w:rsidRPr="001B3BA5" w:rsidRDefault="00F85F30" w:rsidP="00584266">
      <w:pPr>
        <w:spacing w:after="0" w:line="480" w:lineRule="exact"/>
        <w:rPr>
          <w:rFonts w:ascii="Times" w:hAnsi="Times"/>
          <w:b/>
          <w:sz w:val="24"/>
          <w:szCs w:val="24"/>
          <w:lang w:val="en-GB"/>
        </w:rPr>
      </w:pPr>
      <w:r w:rsidRPr="001B3BA5">
        <w:rPr>
          <w:rFonts w:ascii="Times" w:hAnsi="Times"/>
          <w:b/>
          <w:sz w:val="24"/>
          <w:szCs w:val="24"/>
          <w:lang w:val="en-GB"/>
        </w:rPr>
        <w:t>Results</w:t>
      </w:r>
      <w:r w:rsidR="00DD1D01" w:rsidRPr="001B3BA5">
        <w:rPr>
          <w:rFonts w:ascii="Times" w:hAnsi="Times"/>
          <w:b/>
          <w:sz w:val="24"/>
          <w:szCs w:val="24"/>
          <w:lang w:val="en-GB"/>
        </w:rPr>
        <w:t xml:space="preserve"> and Discussion</w:t>
      </w:r>
    </w:p>
    <w:p w14:paraId="13377770" w14:textId="26FA265D" w:rsidR="001161E6" w:rsidRPr="001B3BA5" w:rsidRDefault="001161E6" w:rsidP="00584266">
      <w:pPr>
        <w:spacing w:after="0" w:line="480" w:lineRule="exact"/>
        <w:ind w:firstLine="709"/>
        <w:rPr>
          <w:rFonts w:ascii="Times New Roman" w:hAnsi="Times New Roman" w:cs="Times New Roman"/>
          <w:sz w:val="24"/>
          <w:szCs w:val="24"/>
          <w:lang w:val="en-GB"/>
        </w:rPr>
      </w:pPr>
      <w:r w:rsidRPr="001B3BA5">
        <w:rPr>
          <w:rFonts w:ascii="Times" w:hAnsi="Times"/>
          <w:b/>
          <w:bCs/>
          <w:iCs/>
          <w:sz w:val="24"/>
          <w:szCs w:val="24"/>
          <w:lang w:val="en-GB"/>
        </w:rPr>
        <w:t>Measurement model</w:t>
      </w:r>
      <w:r w:rsidRPr="001B3BA5">
        <w:rPr>
          <w:rFonts w:ascii="Times" w:hAnsi="Times"/>
          <w:i/>
          <w:sz w:val="24"/>
          <w:szCs w:val="24"/>
          <w:lang w:val="en-GB"/>
        </w:rPr>
        <w:t xml:space="preserve">. </w:t>
      </w:r>
      <w:r w:rsidRPr="001B3BA5">
        <w:rPr>
          <w:rFonts w:ascii="Times" w:hAnsi="Times"/>
          <w:sz w:val="24"/>
          <w:szCs w:val="24"/>
          <w:lang w:val="en-GB"/>
        </w:rPr>
        <w:t xml:space="preserve">The expected </w:t>
      </w:r>
      <w:r w:rsidR="00F93377" w:rsidRPr="001B3BA5">
        <w:rPr>
          <w:rFonts w:ascii="Times" w:hAnsi="Times"/>
          <w:sz w:val="24"/>
          <w:szCs w:val="24"/>
          <w:lang w:val="en-GB"/>
        </w:rPr>
        <w:t>6</w:t>
      </w:r>
      <w:r w:rsidRPr="001B3BA5">
        <w:rPr>
          <w:rFonts w:ascii="Times" w:hAnsi="Times"/>
          <w:sz w:val="24"/>
          <w:szCs w:val="24"/>
          <w:lang w:val="en-GB"/>
        </w:rPr>
        <w:t xml:space="preserve">-factor model </w:t>
      </w:r>
      <w:r w:rsidRPr="001B3BA5">
        <w:rPr>
          <w:rFonts w:ascii="Times New Roman" w:hAnsi="Times New Roman" w:cs="Times New Roman"/>
          <w:sz w:val="24"/>
          <w:szCs w:val="24"/>
          <w:lang w:val="en-GB"/>
        </w:rPr>
        <w:t>fitted the data well (</w:t>
      </w:r>
      <w:r w:rsidRPr="001B3BA5">
        <w:rPr>
          <w:rFonts w:ascii="Times New Roman" w:hAnsi="Times New Roman" w:cs="Times New Roman"/>
          <w:i/>
          <w:iCs/>
          <w:sz w:val="24"/>
          <w:szCs w:val="24"/>
          <w:lang w:val="en-GB"/>
        </w:rPr>
        <w:t>CFI</w:t>
      </w:r>
      <w:r w:rsidR="00955643" w:rsidRPr="001B3BA5">
        <w:rPr>
          <w:rFonts w:ascii="Times New Roman" w:hAnsi="Times New Roman" w:cs="Times New Roman"/>
          <w:i/>
          <w:iCs/>
          <w:sz w:val="24"/>
          <w:szCs w:val="24"/>
          <w:lang w:val="en-GB"/>
        </w:rPr>
        <w:t>=</w:t>
      </w:r>
      <w:r w:rsidRPr="001B3BA5">
        <w:rPr>
          <w:rFonts w:ascii="Times New Roman" w:hAnsi="Times New Roman" w:cs="Times New Roman"/>
          <w:sz w:val="24"/>
          <w:szCs w:val="24"/>
          <w:lang w:val="en-GB"/>
        </w:rPr>
        <w:t>.9</w:t>
      </w:r>
      <w:r w:rsidR="00D81225" w:rsidRPr="001B3BA5">
        <w:rPr>
          <w:rFonts w:ascii="Times New Roman" w:hAnsi="Times New Roman" w:cs="Times New Roman"/>
          <w:sz w:val="24"/>
          <w:szCs w:val="24"/>
          <w:lang w:val="en-GB"/>
        </w:rPr>
        <w:t>40</w:t>
      </w:r>
      <w:r w:rsidRPr="001B3BA5">
        <w:rPr>
          <w:rFonts w:ascii="Times New Roman" w:hAnsi="Times New Roman" w:cs="Times New Roman"/>
          <w:sz w:val="24"/>
          <w:szCs w:val="24"/>
          <w:lang w:val="en-GB"/>
        </w:rPr>
        <w:t xml:space="preserve">, </w:t>
      </w:r>
      <w:r w:rsidRPr="001B3BA5">
        <w:rPr>
          <w:rFonts w:ascii="Times New Roman" w:hAnsi="Times New Roman" w:cs="Times New Roman"/>
          <w:i/>
          <w:iCs/>
          <w:sz w:val="24"/>
          <w:szCs w:val="24"/>
          <w:lang w:val="en-GB"/>
        </w:rPr>
        <w:t>RMSEA</w:t>
      </w:r>
      <w:r w:rsidR="00955643" w:rsidRPr="001B3BA5">
        <w:rPr>
          <w:rFonts w:ascii="Times New Roman" w:hAnsi="Times New Roman" w:cs="Times New Roman"/>
          <w:i/>
          <w:iCs/>
          <w:sz w:val="24"/>
          <w:szCs w:val="24"/>
          <w:lang w:val="en-GB"/>
        </w:rPr>
        <w:t>=</w:t>
      </w:r>
      <w:r w:rsidRPr="001B3BA5">
        <w:rPr>
          <w:rFonts w:ascii="Times New Roman" w:hAnsi="Times New Roman" w:cs="Times New Roman"/>
          <w:sz w:val="24"/>
          <w:szCs w:val="24"/>
          <w:lang w:val="en-GB"/>
        </w:rPr>
        <w:t xml:space="preserve">.058, </w:t>
      </w:r>
      <w:r w:rsidRPr="001B3BA5">
        <w:rPr>
          <w:rFonts w:ascii="Times New Roman" w:hAnsi="Times New Roman" w:cs="Times New Roman"/>
          <w:i/>
          <w:iCs/>
          <w:sz w:val="24"/>
          <w:szCs w:val="24"/>
          <w:lang w:val="en-GB"/>
        </w:rPr>
        <w:t>SRMR</w:t>
      </w:r>
      <w:r w:rsidR="00955643" w:rsidRPr="001B3BA5">
        <w:rPr>
          <w:rFonts w:ascii="Times New Roman" w:hAnsi="Times New Roman" w:cs="Times New Roman"/>
          <w:i/>
          <w:iCs/>
          <w:sz w:val="24"/>
          <w:szCs w:val="24"/>
          <w:lang w:val="en-GB"/>
        </w:rPr>
        <w:t>=</w:t>
      </w:r>
      <w:r w:rsidRPr="001B3BA5">
        <w:rPr>
          <w:rFonts w:ascii="Times New Roman" w:hAnsi="Times New Roman" w:cs="Times New Roman"/>
          <w:sz w:val="24"/>
          <w:szCs w:val="24"/>
          <w:lang w:val="en-GB"/>
        </w:rPr>
        <w:t>.0</w:t>
      </w:r>
      <w:r w:rsidR="00D81225" w:rsidRPr="001B3BA5">
        <w:rPr>
          <w:rFonts w:ascii="Times New Roman" w:hAnsi="Times New Roman" w:cs="Times New Roman"/>
          <w:sz w:val="24"/>
          <w:szCs w:val="24"/>
          <w:lang w:val="en-GB"/>
        </w:rPr>
        <w:t>41</w:t>
      </w:r>
      <w:r w:rsidRPr="001B3BA5">
        <w:rPr>
          <w:rFonts w:ascii="Times New Roman" w:hAnsi="Times New Roman" w:cs="Times New Roman"/>
          <w:sz w:val="24"/>
          <w:szCs w:val="24"/>
          <w:lang w:val="en-GB"/>
        </w:rPr>
        <w:t>)</w:t>
      </w:r>
      <w:r w:rsidR="00EF63DC" w:rsidRPr="001B3BA5">
        <w:rPr>
          <w:rFonts w:ascii="Times New Roman" w:hAnsi="Times New Roman" w:cs="Times New Roman"/>
          <w:sz w:val="24"/>
          <w:szCs w:val="24"/>
          <w:lang w:val="en-GB"/>
        </w:rPr>
        <w:t xml:space="preserve"> and </w:t>
      </w:r>
      <w:r w:rsidRPr="001B3BA5">
        <w:rPr>
          <w:rFonts w:ascii="Times" w:hAnsi="Times"/>
          <w:sz w:val="24"/>
          <w:szCs w:val="24"/>
          <w:lang w:val="en-GB"/>
        </w:rPr>
        <w:t xml:space="preserve">significantly better than several alternative </w:t>
      </w:r>
      <w:r w:rsidR="00D81225" w:rsidRPr="001B3BA5">
        <w:rPr>
          <w:rFonts w:ascii="Times" w:hAnsi="Times"/>
          <w:sz w:val="24"/>
          <w:szCs w:val="24"/>
          <w:lang w:val="en-GB"/>
        </w:rPr>
        <w:t>5</w:t>
      </w:r>
      <w:r w:rsidRPr="001B3BA5">
        <w:rPr>
          <w:rFonts w:ascii="Times" w:hAnsi="Times"/>
          <w:sz w:val="24"/>
          <w:szCs w:val="24"/>
          <w:lang w:val="en-GB"/>
        </w:rPr>
        <w:t xml:space="preserve">-factor solutions </w:t>
      </w:r>
      <w:r w:rsidRPr="001B3BA5">
        <w:rPr>
          <w:rFonts w:ascii="Times New Roman" w:hAnsi="Times New Roman" w:cs="Times New Roman"/>
          <w:sz w:val="24"/>
          <w:szCs w:val="24"/>
          <w:lang w:val="en-GB"/>
        </w:rPr>
        <w:t xml:space="preserve">(see Appendix </w:t>
      </w:r>
      <w:r w:rsidR="000B55B0" w:rsidRPr="001B3BA5">
        <w:rPr>
          <w:rFonts w:ascii="Times New Roman" w:hAnsi="Times New Roman" w:cs="Times New Roman"/>
          <w:sz w:val="24"/>
          <w:szCs w:val="24"/>
          <w:lang w:val="en-GB"/>
        </w:rPr>
        <w:t>D</w:t>
      </w:r>
      <w:r w:rsidRPr="001B3BA5">
        <w:rPr>
          <w:rFonts w:ascii="Times New Roman" w:hAnsi="Times New Roman" w:cs="Times New Roman"/>
          <w:sz w:val="24"/>
          <w:szCs w:val="24"/>
          <w:lang w:val="en-GB"/>
        </w:rPr>
        <w:t xml:space="preserve">). All items loaded significantly on their respective factor </w:t>
      </w:r>
      <w:r w:rsidR="009348F6" w:rsidRPr="001B3BA5">
        <w:rPr>
          <w:rFonts w:ascii="Times New Roman" w:hAnsi="Times New Roman" w:cs="Times New Roman"/>
          <w:sz w:val="24"/>
          <w:szCs w:val="24"/>
          <w:lang w:val="en-GB"/>
        </w:rPr>
        <w:t>with</w:t>
      </w:r>
      <w:r w:rsidRPr="001B3BA5">
        <w:rPr>
          <w:rFonts w:ascii="Times New Roman" w:hAnsi="Times New Roman" w:cs="Times New Roman"/>
          <w:sz w:val="24"/>
          <w:szCs w:val="24"/>
          <w:lang w:val="en-GB"/>
        </w:rPr>
        <w:t xml:space="preserve"> standard</w:t>
      </w:r>
      <w:r w:rsidR="008643F0" w:rsidRPr="001B3BA5">
        <w:rPr>
          <w:rFonts w:ascii="Times New Roman" w:hAnsi="Times New Roman" w:cs="Times New Roman"/>
          <w:sz w:val="24"/>
          <w:szCs w:val="24"/>
          <w:lang w:val="en-GB"/>
        </w:rPr>
        <w:t>ise</w:t>
      </w:r>
      <w:r w:rsidRPr="001B3BA5">
        <w:rPr>
          <w:rFonts w:ascii="Times New Roman" w:hAnsi="Times New Roman" w:cs="Times New Roman"/>
          <w:sz w:val="24"/>
          <w:szCs w:val="24"/>
          <w:lang w:val="en-GB"/>
        </w:rPr>
        <w:t xml:space="preserve">d loadings </w:t>
      </w:r>
      <w:r w:rsidR="009348F6" w:rsidRPr="001B3BA5">
        <w:rPr>
          <w:rFonts w:ascii="Times New Roman" w:hAnsi="Times New Roman" w:cs="Times New Roman"/>
          <w:sz w:val="24"/>
          <w:szCs w:val="24"/>
          <w:lang w:val="en-GB"/>
        </w:rPr>
        <w:t>above</w:t>
      </w:r>
      <w:r w:rsidRPr="001B3BA5">
        <w:rPr>
          <w:rFonts w:ascii="Times New Roman" w:hAnsi="Times New Roman" w:cs="Times New Roman"/>
          <w:sz w:val="24"/>
          <w:szCs w:val="24"/>
          <w:lang w:val="en-GB"/>
        </w:rPr>
        <w:t xml:space="preserve"> .64.</w:t>
      </w:r>
      <w:r w:rsidR="002A6B2D" w:rsidRPr="001B3BA5">
        <w:rPr>
          <w:rFonts w:ascii="Times New Roman" w:hAnsi="Times New Roman" w:cs="Times New Roman"/>
          <w:sz w:val="24"/>
          <w:szCs w:val="24"/>
          <w:lang w:val="en-GB"/>
        </w:rPr>
        <w:t xml:space="preserve"> To reduce complexity of the final model,</w:t>
      </w:r>
      <w:r w:rsidR="00F961B4" w:rsidRPr="001B3BA5">
        <w:rPr>
          <w:rStyle w:val="FootnoteReference"/>
          <w:rFonts w:ascii="Times New Roman" w:hAnsi="Times New Roman" w:cs="Times New Roman"/>
          <w:sz w:val="24"/>
          <w:szCs w:val="24"/>
          <w:lang w:val="en-GB"/>
        </w:rPr>
        <w:footnoteReference w:id="9"/>
      </w:r>
      <w:r w:rsidR="002A6B2D" w:rsidRPr="001B3BA5">
        <w:rPr>
          <w:rFonts w:ascii="Times New Roman" w:hAnsi="Times New Roman" w:cs="Times New Roman"/>
          <w:sz w:val="24"/>
          <w:szCs w:val="24"/>
          <w:lang w:val="en-GB"/>
        </w:rPr>
        <w:t xml:space="preserve"> </w:t>
      </w:r>
      <w:r w:rsidR="00CF5E4B" w:rsidRPr="001B3BA5">
        <w:rPr>
          <w:rFonts w:ascii="Times New Roman" w:hAnsi="Times New Roman" w:cs="Times New Roman"/>
          <w:sz w:val="24"/>
          <w:szCs w:val="24"/>
          <w:lang w:val="en-GB"/>
        </w:rPr>
        <w:t xml:space="preserve">we treated </w:t>
      </w:r>
      <w:r w:rsidR="009C5CD9" w:rsidRPr="001B3BA5">
        <w:rPr>
          <w:rFonts w:ascii="Times New Roman" w:hAnsi="Times New Roman" w:cs="Times New Roman"/>
          <w:sz w:val="24"/>
          <w:szCs w:val="24"/>
          <w:lang w:val="en-GB"/>
        </w:rPr>
        <w:t xml:space="preserve">multiple-item </w:t>
      </w:r>
      <w:r w:rsidR="002A6B2D" w:rsidRPr="001B3BA5">
        <w:rPr>
          <w:rFonts w:ascii="Times New Roman" w:hAnsi="Times New Roman" w:cs="Times New Roman"/>
          <w:sz w:val="24"/>
          <w:szCs w:val="24"/>
          <w:lang w:val="en-GB"/>
        </w:rPr>
        <w:t xml:space="preserve">control variables as manifest mean scores. A model with only CPO, </w:t>
      </w:r>
      <w:r w:rsidR="00DC01FF" w:rsidRPr="001B3BA5">
        <w:rPr>
          <w:rFonts w:ascii="Times New Roman" w:hAnsi="Times New Roman" w:cs="Times New Roman"/>
          <w:sz w:val="24"/>
          <w:szCs w:val="24"/>
          <w:lang w:val="en-GB"/>
        </w:rPr>
        <w:t>exclusive determination right</w:t>
      </w:r>
      <w:r w:rsidR="00357B68" w:rsidRPr="001B3BA5">
        <w:rPr>
          <w:rFonts w:ascii="Times New Roman" w:hAnsi="Times New Roman" w:cs="Times New Roman"/>
          <w:sz w:val="24"/>
          <w:szCs w:val="24"/>
          <w:lang w:val="en-GB"/>
        </w:rPr>
        <w:t>,</w:t>
      </w:r>
      <w:r w:rsidR="002A6B2D" w:rsidRPr="001B3BA5">
        <w:rPr>
          <w:rFonts w:ascii="Times New Roman" w:hAnsi="Times New Roman" w:cs="Times New Roman"/>
          <w:sz w:val="24"/>
          <w:szCs w:val="24"/>
          <w:lang w:val="en-GB"/>
        </w:rPr>
        <w:t xml:space="preserve"> and immigrant </w:t>
      </w:r>
      <w:r w:rsidR="00362973" w:rsidRPr="001B3BA5">
        <w:rPr>
          <w:rFonts w:ascii="Times New Roman" w:hAnsi="Times New Roman" w:cs="Times New Roman"/>
          <w:sz w:val="24"/>
          <w:szCs w:val="24"/>
          <w:lang w:val="en-GB"/>
        </w:rPr>
        <w:t xml:space="preserve">minority </w:t>
      </w:r>
      <w:r w:rsidR="002A6B2D" w:rsidRPr="001B3BA5">
        <w:rPr>
          <w:rFonts w:ascii="Times New Roman" w:hAnsi="Times New Roman" w:cs="Times New Roman"/>
          <w:sz w:val="24"/>
          <w:szCs w:val="24"/>
          <w:lang w:val="en-GB"/>
        </w:rPr>
        <w:t>attitudes as latent factors fitted the data well (</w:t>
      </w:r>
      <w:r w:rsidR="002A6B2D" w:rsidRPr="001B3BA5">
        <w:rPr>
          <w:rFonts w:ascii="Times New Roman" w:hAnsi="Times New Roman" w:cs="Times New Roman"/>
          <w:i/>
          <w:iCs/>
          <w:sz w:val="24"/>
          <w:szCs w:val="24"/>
          <w:lang w:val="en-GB"/>
        </w:rPr>
        <w:t>CFI</w:t>
      </w:r>
      <w:r w:rsidR="00955643" w:rsidRPr="001B3BA5">
        <w:rPr>
          <w:rFonts w:ascii="Times New Roman" w:hAnsi="Times New Roman" w:cs="Times New Roman"/>
          <w:i/>
          <w:iCs/>
          <w:sz w:val="24"/>
          <w:szCs w:val="24"/>
          <w:lang w:val="en-GB"/>
        </w:rPr>
        <w:t>=</w:t>
      </w:r>
      <w:r w:rsidR="002A6B2D" w:rsidRPr="001B3BA5">
        <w:rPr>
          <w:rFonts w:ascii="Times New Roman" w:hAnsi="Times New Roman" w:cs="Times New Roman"/>
          <w:sz w:val="24"/>
          <w:szCs w:val="24"/>
          <w:lang w:val="en-GB"/>
        </w:rPr>
        <w:t>.9</w:t>
      </w:r>
      <w:r w:rsidR="007B1A3F" w:rsidRPr="001B3BA5">
        <w:rPr>
          <w:rFonts w:ascii="Times New Roman" w:hAnsi="Times New Roman" w:cs="Times New Roman"/>
          <w:sz w:val="24"/>
          <w:szCs w:val="24"/>
          <w:lang w:val="en-GB"/>
        </w:rPr>
        <w:t>41</w:t>
      </w:r>
      <w:r w:rsidR="002A6B2D" w:rsidRPr="001B3BA5">
        <w:rPr>
          <w:rFonts w:ascii="Times New Roman" w:hAnsi="Times New Roman" w:cs="Times New Roman"/>
          <w:sz w:val="24"/>
          <w:szCs w:val="24"/>
          <w:lang w:val="en-GB"/>
        </w:rPr>
        <w:t xml:space="preserve">, </w:t>
      </w:r>
      <w:r w:rsidR="002A6B2D" w:rsidRPr="001B3BA5">
        <w:rPr>
          <w:rFonts w:ascii="Times New Roman" w:hAnsi="Times New Roman" w:cs="Times New Roman"/>
          <w:i/>
          <w:iCs/>
          <w:sz w:val="24"/>
          <w:szCs w:val="24"/>
          <w:lang w:val="en-GB"/>
        </w:rPr>
        <w:t>RMSEA</w:t>
      </w:r>
      <w:r w:rsidR="00955643" w:rsidRPr="001B3BA5">
        <w:rPr>
          <w:rFonts w:ascii="Times New Roman" w:hAnsi="Times New Roman" w:cs="Times New Roman"/>
          <w:i/>
          <w:iCs/>
          <w:sz w:val="24"/>
          <w:szCs w:val="24"/>
          <w:lang w:val="en-GB"/>
        </w:rPr>
        <w:t>=</w:t>
      </w:r>
      <w:r w:rsidR="002A6B2D" w:rsidRPr="001B3BA5">
        <w:rPr>
          <w:rFonts w:ascii="Times New Roman" w:hAnsi="Times New Roman" w:cs="Times New Roman"/>
          <w:sz w:val="24"/>
          <w:szCs w:val="24"/>
          <w:lang w:val="en-GB"/>
        </w:rPr>
        <w:t>.0</w:t>
      </w:r>
      <w:r w:rsidR="007B1A3F" w:rsidRPr="001B3BA5">
        <w:rPr>
          <w:rFonts w:ascii="Times New Roman" w:hAnsi="Times New Roman" w:cs="Times New Roman"/>
          <w:sz w:val="24"/>
          <w:szCs w:val="24"/>
          <w:lang w:val="en-GB"/>
        </w:rPr>
        <w:t>73</w:t>
      </w:r>
      <w:r w:rsidR="002A6B2D" w:rsidRPr="001B3BA5">
        <w:rPr>
          <w:rFonts w:ascii="Times New Roman" w:hAnsi="Times New Roman" w:cs="Times New Roman"/>
          <w:sz w:val="24"/>
          <w:szCs w:val="24"/>
          <w:lang w:val="en-GB"/>
        </w:rPr>
        <w:t xml:space="preserve">, </w:t>
      </w:r>
      <w:r w:rsidR="002A6B2D" w:rsidRPr="001B3BA5">
        <w:rPr>
          <w:rFonts w:ascii="Times New Roman" w:hAnsi="Times New Roman" w:cs="Times New Roman"/>
          <w:i/>
          <w:iCs/>
          <w:sz w:val="24"/>
          <w:szCs w:val="24"/>
          <w:lang w:val="en-GB"/>
        </w:rPr>
        <w:t>SRMR</w:t>
      </w:r>
      <w:r w:rsidR="00955643" w:rsidRPr="001B3BA5">
        <w:rPr>
          <w:rFonts w:ascii="Times New Roman" w:hAnsi="Times New Roman" w:cs="Times New Roman"/>
          <w:i/>
          <w:iCs/>
          <w:sz w:val="24"/>
          <w:szCs w:val="24"/>
          <w:lang w:val="en-GB"/>
        </w:rPr>
        <w:t>=</w:t>
      </w:r>
      <w:r w:rsidR="002A6B2D" w:rsidRPr="001B3BA5">
        <w:rPr>
          <w:rFonts w:ascii="Times New Roman" w:hAnsi="Times New Roman" w:cs="Times New Roman"/>
          <w:sz w:val="24"/>
          <w:szCs w:val="24"/>
          <w:lang w:val="en-GB"/>
        </w:rPr>
        <w:t>.0</w:t>
      </w:r>
      <w:r w:rsidR="007B1A3F" w:rsidRPr="001B3BA5">
        <w:rPr>
          <w:rFonts w:ascii="Times New Roman" w:hAnsi="Times New Roman" w:cs="Times New Roman"/>
          <w:sz w:val="24"/>
          <w:szCs w:val="24"/>
          <w:lang w:val="en-GB"/>
        </w:rPr>
        <w:t>3</w:t>
      </w:r>
      <w:r w:rsidR="002A6B2D" w:rsidRPr="001B3BA5">
        <w:rPr>
          <w:rFonts w:ascii="Times New Roman" w:hAnsi="Times New Roman" w:cs="Times New Roman"/>
          <w:sz w:val="24"/>
          <w:szCs w:val="24"/>
          <w:lang w:val="en-GB"/>
        </w:rPr>
        <w:t>7).</w:t>
      </w:r>
    </w:p>
    <w:p w14:paraId="268D43F5" w14:textId="39CAB346" w:rsidR="0051771C" w:rsidRPr="001B3BA5" w:rsidRDefault="001161E6">
      <w:pPr>
        <w:spacing w:after="0" w:line="480" w:lineRule="exact"/>
        <w:ind w:firstLine="708"/>
        <w:rPr>
          <w:rFonts w:ascii="Times" w:hAnsi="Times"/>
          <w:sz w:val="24"/>
          <w:szCs w:val="24"/>
          <w:lang w:val="en-GB"/>
        </w:rPr>
      </w:pPr>
      <w:r w:rsidRPr="001B3BA5">
        <w:rPr>
          <w:rFonts w:ascii="Times" w:hAnsi="Times"/>
          <w:b/>
          <w:bCs/>
          <w:iCs/>
          <w:sz w:val="24"/>
          <w:szCs w:val="24"/>
          <w:lang w:val="en-GB"/>
        </w:rPr>
        <w:t>Descriptive statistics</w:t>
      </w:r>
      <w:r w:rsidRPr="001B3BA5">
        <w:rPr>
          <w:rFonts w:ascii="Times" w:hAnsi="Times"/>
          <w:i/>
          <w:sz w:val="24"/>
          <w:szCs w:val="24"/>
          <w:lang w:val="en-GB"/>
        </w:rPr>
        <w:t xml:space="preserve">. </w:t>
      </w:r>
      <w:bookmarkStart w:id="38" w:name="_Hlk19620466"/>
      <w:r w:rsidR="002E2AE2" w:rsidRPr="001B3BA5">
        <w:rPr>
          <w:rFonts w:asciiTheme="majorBidi" w:hAnsiTheme="majorBidi" w:cstheme="majorBidi"/>
          <w:sz w:val="24"/>
          <w:szCs w:val="24"/>
          <w:lang w:val="en-GB"/>
        </w:rPr>
        <w:t xml:space="preserve">Table </w:t>
      </w:r>
      <w:r w:rsidR="00240BD2" w:rsidRPr="001B3BA5">
        <w:rPr>
          <w:rFonts w:asciiTheme="majorBidi" w:hAnsiTheme="majorBidi" w:cstheme="majorBidi"/>
          <w:sz w:val="24"/>
          <w:szCs w:val="24"/>
          <w:lang w:val="en-GB"/>
        </w:rPr>
        <w:t>2</w:t>
      </w:r>
      <w:r w:rsidR="009348F6" w:rsidRPr="001B3BA5">
        <w:rPr>
          <w:rFonts w:asciiTheme="majorBidi" w:hAnsiTheme="majorBidi" w:cstheme="majorBidi"/>
          <w:sz w:val="24"/>
          <w:szCs w:val="24"/>
          <w:lang w:val="en-GB"/>
        </w:rPr>
        <w:t xml:space="preserve"> shows that</w:t>
      </w:r>
      <w:r w:rsidR="009348F6" w:rsidRPr="001B3BA5">
        <w:rPr>
          <w:rFonts w:ascii="Times" w:hAnsi="Times"/>
          <w:sz w:val="24"/>
          <w:szCs w:val="24"/>
          <w:lang w:val="en-GB"/>
        </w:rPr>
        <w:t xml:space="preserve"> p</w:t>
      </w:r>
      <w:r w:rsidR="00014220" w:rsidRPr="001B3BA5">
        <w:rPr>
          <w:rFonts w:ascii="Times" w:hAnsi="Times"/>
          <w:sz w:val="24"/>
          <w:szCs w:val="24"/>
          <w:lang w:val="en-GB"/>
        </w:rPr>
        <w:t xml:space="preserve">articipants held slightly negative immigrant minority attitudes and thought that European integration had gone a bit too far. Further, participants slightly agreed with both the CPO items and the exclusive determination right items. </w:t>
      </w:r>
      <w:r w:rsidR="0032206B" w:rsidRPr="001B3BA5">
        <w:rPr>
          <w:rFonts w:ascii="Times" w:hAnsi="Times"/>
          <w:sz w:val="24"/>
          <w:szCs w:val="24"/>
          <w:lang w:val="en-GB"/>
        </w:rPr>
        <w:t xml:space="preserve">CPO and </w:t>
      </w:r>
      <w:r w:rsidR="00DC01FF" w:rsidRPr="001B3BA5">
        <w:rPr>
          <w:rFonts w:ascii="Times" w:hAnsi="Times"/>
          <w:sz w:val="24"/>
          <w:szCs w:val="24"/>
          <w:lang w:val="en-GB"/>
        </w:rPr>
        <w:t>exclusive determination right</w:t>
      </w:r>
      <w:r w:rsidR="0032206B" w:rsidRPr="001B3BA5">
        <w:rPr>
          <w:rFonts w:ascii="Times" w:hAnsi="Times"/>
          <w:sz w:val="24"/>
          <w:szCs w:val="24"/>
          <w:lang w:val="en-GB"/>
        </w:rPr>
        <w:t xml:space="preserve"> were strongly positively related (</w:t>
      </w:r>
      <w:r w:rsidR="0032206B" w:rsidRPr="001B3BA5">
        <w:rPr>
          <w:rFonts w:ascii="Times" w:hAnsi="Times"/>
          <w:i/>
          <w:sz w:val="24"/>
          <w:szCs w:val="24"/>
          <w:lang w:val="en-GB"/>
        </w:rPr>
        <w:t>r</w:t>
      </w:r>
      <w:r w:rsidR="00955643" w:rsidRPr="001B3BA5">
        <w:rPr>
          <w:rFonts w:ascii="Times" w:hAnsi="Times"/>
          <w:sz w:val="24"/>
          <w:szCs w:val="24"/>
          <w:lang w:val="en-GB"/>
        </w:rPr>
        <w:t>=</w:t>
      </w:r>
      <w:r w:rsidR="0032206B" w:rsidRPr="001B3BA5">
        <w:rPr>
          <w:rFonts w:ascii="Times" w:hAnsi="Times"/>
          <w:sz w:val="24"/>
          <w:szCs w:val="24"/>
          <w:lang w:val="en-GB"/>
        </w:rPr>
        <w:t>.81).</w:t>
      </w:r>
      <w:bookmarkEnd w:id="38"/>
    </w:p>
    <w:p w14:paraId="1C1570C3" w14:textId="0BD3B159" w:rsidR="006012BF" w:rsidRPr="001B3BA5" w:rsidRDefault="009348F6">
      <w:pPr>
        <w:spacing w:after="0" w:line="480" w:lineRule="exact"/>
        <w:ind w:firstLine="708"/>
        <w:rPr>
          <w:rFonts w:ascii="Times" w:hAnsi="Times"/>
          <w:b/>
          <w:sz w:val="24"/>
          <w:szCs w:val="24"/>
          <w:lang w:val="en-GB"/>
        </w:rPr>
      </w:pPr>
      <w:bookmarkStart w:id="39" w:name="_Hlk18313658"/>
      <w:r w:rsidRPr="001B3BA5">
        <w:rPr>
          <w:rFonts w:ascii="Times" w:hAnsi="Times"/>
          <w:b/>
          <w:sz w:val="24"/>
          <w:szCs w:val="24"/>
          <w:lang w:val="en-GB"/>
        </w:rPr>
        <w:t>Structural model</w:t>
      </w:r>
      <w:r w:rsidR="00006E46" w:rsidRPr="001B3BA5">
        <w:rPr>
          <w:rFonts w:ascii="Times" w:hAnsi="Times"/>
          <w:b/>
          <w:sz w:val="24"/>
          <w:szCs w:val="24"/>
          <w:lang w:val="en-GB"/>
        </w:rPr>
        <w:t>.</w:t>
      </w:r>
      <w:r w:rsidR="006036E7" w:rsidRPr="001B3BA5">
        <w:rPr>
          <w:rFonts w:ascii="Times" w:hAnsi="Times"/>
          <w:b/>
          <w:sz w:val="24"/>
          <w:szCs w:val="24"/>
          <w:lang w:val="en-GB"/>
        </w:rPr>
        <w:t xml:space="preserve"> </w:t>
      </w:r>
      <w:r w:rsidR="00A971D3" w:rsidRPr="001B3BA5">
        <w:rPr>
          <w:rFonts w:ascii="Times" w:hAnsi="Times"/>
          <w:sz w:val="24"/>
          <w:szCs w:val="24"/>
          <w:lang w:val="en-GB"/>
        </w:rPr>
        <w:t>A</w:t>
      </w:r>
      <w:r w:rsidR="00DC0F36" w:rsidRPr="001B3BA5">
        <w:rPr>
          <w:rFonts w:ascii="Times" w:hAnsi="Times"/>
          <w:sz w:val="24"/>
          <w:szCs w:val="24"/>
          <w:lang w:val="en-GB"/>
        </w:rPr>
        <w:t xml:space="preserve"> </w:t>
      </w:r>
      <w:r w:rsidR="00C53191" w:rsidRPr="001B3BA5">
        <w:rPr>
          <w:rFonts w:ascii="Times" w:hAnsi="Times"/>
          <w:sz w:val="24"/>
          <w:szCs w:val="24"/>
          <w:lang w:val="en-GB"/>
        </w:rPr>
        <w:t xml:space="preserve">sequential </w:t>
      </w:r>
      <w:r w:rsidR="00DC0F36" w:rsidRPr="001B3BA5">
        <w:rPr>
          <w:rFonts w:ascii="Times" w:hAnsi="Times"/>
          <w:sz w:val="24"/>
          <w:szCs w:val="24"/>
          <w:lang w:val="en-GB"/>
        </w:rPr>
        <w:t>mediation</w:t>
      </w:r>
      <w:r w:rsidRPr="001B3BA5">
        <w:rPr>
          <w:rFonts w:ascii="Times" w:hAnsi="Times"/>
          <w:sz w:val="24"/>
          <w:szCs w:val="24"/>
          <w:lang w:val="en-GB"/>
        </w:rPr>
        <w:t xml:space="preserve"> model</w:t>
      </w:r>
      <w:r w:rsidR="00DC0F36" w:rsidRPr="001B3BA5">
        <w:rPr>
          <w:rFonts w:ascii="Times" w:hAnsi="Times"/>
          <w:sz w:val="24"/>
          <w:szCs w:val="24"/>
          <w:lang w:val="en-GB"/>
        </w:rPr>
        <w:t xml:space="preserve"> </w:t>
      </w:r>
      <w:bookmarkStart w:id="40" w:name="_Hlk35851452"/>
      <w:r w:rsidR="00DC0F36" w:rsidRPr="001B3BA5">
        <w:rPr>
          <w:rFonts w:ascii="Times" w:hAnsi="Times"/>
          <w:sz w:val="24"/>
          <w:szCs w:val="24"/>
          <w:lang w:val="en-GB"/>
        </w:rPr>
        <w:t xml:space="preserve">in which we regressed </w:t>
      </w:r>
      <w:r w:rsidR="00C53191" w:rsidRPr="001B3BA5">
        <w:rPr>
          <w:rFonts w:ascii="Times" w:hAnsi="Times"/>
          <w:sz w:val="24"/>
          <w:szCs w:val="24"/>
          <w:lang w:val="en-GB"/>
        </w:rPr>
        <w:t xml:space="preserve">Brexit voting on CPO, mediated by exclusive determination right and </w:t>
      </w:r>
      <w:r w:rsidR="00071263" w:rsidRPr="001B3BA5">
        <w:rPr>
          <w:rFonts w:ascii="Times" w:hAnsi="Times"/>
          <w:sz w:val="24"/>
          <w:szCs w:val="24"/>
          <w:lang w:val="en-GB"/>
        </w:rPr>
        <w:t>subsequently</w:t>
      </w:r>
      <w:r w:rsidR="00C53191" w:rsidRPr="001B3BA5">
        <w:rPr>
          <w:rFonts w:ascii="Times" w:hAnsi="Times"/>
          <w:sz w:val="24"/>
          <w:szCs w:val="24"/>
          <w:lang w:val="en-GB"/>
        </w:rPr>
        <w:t xml:space="preserve"> </w:t>
      </w:r>
      <w:r w:rsidR="007A6856" w:rsidRPr="001B3BA5">
        <w:rPr>
          <w:rFonts w:ascii="Times" w:hAnsi="Times"/>
          <w:sz w:val="24"/>
          <w:szCs w:val="24"/>
          <w:lang w:val="en-GB"/>
        </w:rPr>
        <w:t xml:space="preserve">by </w:t>
      </w:r>
      <w:r w:rsidR="00DC0F36" w:rsidRPr="001B3BA5">
        <w:rPr>
          <w:rFonts w:ascii="Times" w:hAnsi="Times"/>
          <w:sz w:val="24"/>
          <w:szCs w:val="24"/>
          <w:lang w:val="en-GB"/>
        </w:rPr>
        <w:t>immigrant minority attitudes</w:t>
      </w:r>
      <w:r w:rsidR="006036E7" w:rsidRPr="001B3BA5">
        <w:rPr>
          <w:rFonts w:ascii="Times" w:hAnsi="Times"/>
          <w:sz w:val="24"/>
          <w:szCs w:val="24"/>
          <w:lang w:val="en-GB"/>
        </w:rPr>
        <w:t xml:space="preserve"> and</w:t>
      </w:r>
      <w:r w:rsidR="00DC0F36" w:rsidRPr="001B3BA5">
        <w:rPr>
          <w:rFonts w:ascii="Times" w:hAnsi="Times"/>
          <w:sz w:val="24"/>
          <w:szCs w:val="24"/>
          <w:lang w:val="en-GB"/>
        </w:rPr>
        <w:t xml:space="preserve"> European integration attitudes</w:t>
      </w:r>
      <w:bookmarkEnd w:id="40"/>
      <w:r w:rsidR="00A971D3" w:rsidRPr="001B3BA5">
        <w:rPr>
          <w:rFonts w:ascii="Times" w:hAnsi="Times"/>
          <w:sz w:val="24"/>
          <w:szCs w:val="24"/>
          <w:lang w:val="en-GB"/>
        </w:rPr>
        <w:t xml:space="preserve">, </w:t>
      </w:r>
      <w:r w:rsidR="00644F95" w:rsidRPr="001B3BA5">
        <w:rPr>
          <w:rFonts w:asciiTheme="majorBidi" w:hAnsiTheme="majorBidi" w:cstheme="majorBidi"/>
          <w:sz w:val="24"/>
          <w:szCs w:val="24"/>
          <w:lang w:val="en-GB"/>
        </w:rPr>
        <w:t>suggest</w:t>
      </w:r>
      <w:r w:rsidR="00071263" w:rsidRPr="001B3BA5">
        <w:rPr>
          <w:rFonts w:asciiTheme="majorBidi" w:hAnsiTheme="majorBidi" w:cstheme="majorBidi"/>
          <w:sz w:val="24"/>
          <w:szCs w:val="24"/>
          <w:lang w:val="en-GB"/>
        </w:rPr>
        <w:t>ed</w:t>
      </w:r>
      <w:r w:rsidR="00644F95" w:rsidRPr="001B3BA5">
        <w:rPr>
          <w:rFonts w:asciiTheme="majorBidi" w:hAnsiTheme="majorBidi" w:cstheme="majorBidi"/>
          <w:sz w:val="24"/>
          <w:szCs w:val="24"/>
          <w:lang w:val="en-GB"/>
        </w:rPr>
        <w:t xml:space="preserve"> that the </w:t>
      </w:r>
      <w:r w:rsidR="007A6856" w:rsidRPr="001B3BA5">
        <w:rPr>
          <w:rFonts w:asciiTheme="majorBidi" w:hAnsiTheme="majorBidi" w:cstheme="majorBidi"/>
          <w:sz w:val="24"/>
          <w:szCs w:val="24"/>
          <w:lang w:val="en-GB"/>
        </w:rPr>
        <w:t xml:space="preserve">particularly </w:t>
      </w:r>
      <w:r w:rsidR="00644F95" w:rsidRPr="001B3BA5">
        <w:rPr>
          <w:rFonts w:asciiTheme="majorBidi" w:hAnsiTheme="majorBidi" w:cstheme="majorBidi"/>
          <w:sz w:val="24"/>
          <w:szCs w:val="24"/>
          <w:lang w:val="en-GB"/>
        </w:rPr>
        <w:t xml:space="preserve">high correlation between CPO and </w:t>
      </w:r>
      <w:r w:rsidR="00DC01FF" w:rsidRPr="001B3BA5">
        <w:rPr>
          <w:rFonts w:asciiTheme="majorBidi" w:hAnsiTheme="majorBidi" w:cstheme="majorBidi"/>
          <w:sz w:val="24"/>
          <w:szCs w:val="24"/>
          <w:lang w:val="en-GB"/>
        </w:rPr>
        <w:t>exclusive determination right</w:t>
      </w:r>
      <w:r w:rsidR="00644F95" w:rsidRPr="001B3BA5">
        <w:rPr>
          <w:rFonts w:asciiTheme="majorBidi" w:hAnsiTheme="majorBidi" w:cstheme="majorBidi"/>
          <w:sz w:val="24"/>
          <w:szCs w:val="24"/>
          <w:lang w:val="en-GB"/>
        </w:rPr>
        <w:t xml:space="preserve"> led to multicollinearity issues. </w:t>
      </w:r>
      <w:r w:rsidR="00644F95" w:rsidRPr="001B3BA5">
        <w:rPr>
          <w:rFonts w:ascii="Times" w:hAnsi="Times"/>
          <w:sz w:val="24"/>
          <w:szCs w:val="24"/>
          <w:lang w:val="en-GB"/>
        </w:rPr>
        <w:t xml:space="preserve">For example, whereas </w:t>
      </w:r>
      <w:r w:rsidR="00301ADE" w:rsidRPr="001B3BA5">
        <w:rPr>
          <w:rFonts w:ascii="Times" w:hAnsi="Times"/>
          <w:sz w:val="24"/>
          <w:szCs w:val="24"/>
          <w:lang w:val="en-GB"/>
        </w:rPr>
        <w:t xml:space="preserve">bivariate correlations of </w:t>
      </w:r>
      <w:r w:rsidR="00644F95" w:rsidRPr="001B3BA5">
        <w:rPr>
          <w:rFonts w:ascii="Times" w:hAnsi="Times"/>
          <w:sz w:val="24"/>
          <w:szCs w:val="24"/>
          <w:lang w:val="en-GB"/>
        </w:rPr>
        <w:t xml:space="preserve">both CPO and </w:t>
      </w:r>
      <w:r w:rsidR="00DC01FF" w:rsidRPr="001B3BA5">
        <w:rPr>
          <w:rFonts w:ascii="Times" w:hAnsi="Times"/>
          <w:sz w:val="24"/>
          <w:szCs w:val="24"/>
          <w:lang w:val="en-GB"/>
        </w:rPr>
        <w:t>exclusive determination right</w:t>
      </w:r>
      <w:r w:rsidR="00644F95" w:rsidRPr="001B3BA5">
        <w:rPr>
          <w:rFonts w:ascii="Times" w:hAnsi="Times"/>
          <w:sz w:val="24"/>
          <w:szCs w:val="24"/>
          <w:lang w:val="en-GB"/>
        </w:rPr>
        <w:t xml:space="preserve"> with </w:t>
      </w:r>
      <w:r w:rsidR="00644F95" w:rsidRPr="001B3BA5">
        <w:rPr>
          <w:rFonts w:asciiTheme="majorBidi" w:hAnsiTheme="majorBidi" w:cstheme="majorBidi"/>
          <w:sz w:val="24"/>
          <w:szCs w:val="24"/>
          <w:lang w:val="en-GB"/>
        </w:rPr>
        <w:t xml:space="preserve">European integration </w:t>
      </w:r>
      <w:r w:rsidR="00644F95" w:rsidRPr="001B3BA5">
        <w:rPr>
          <w:rFonts w:ascii="Times" w:hAnsi="Times"/>
          <w:sz w:val="24"/>
          <w:szCs w:val="24"/>
          <w:lang w:val="en-GB"/>
        </w:rPr>
        <w:t xml:space="preserve">attitudes </w:t>
      </w:r>
      <w:r w:rsidR="00301ADE" w:rsidRPr="001B3BA5">
        <w:rPr>
          <w:rFonts w:ascii="Times" w:hAnsi="Times"/>
          <w:sz w:val="24"/>
          <w:szCs w:val="24"/>
          <w:lang w:val="en-GB"/>
        </w:rPr>
        <w:t xml:space="preserve">were significant </w:t>
      </w:r>
      <w:r w:rsidR="00644F95" w:rsidRPr="001B3BA5">
        <w:rPr>
          <w:rFonts w:ascii="Times" w:hAnsi="Times"/>
          <w:sz w:val="24"/>
          <w:szCs w:val="24"/>
          <w:lang w:val="en-GB"/>
        </w:rPr>
        <w:t>(</w:t>
      </w:r>
      <w:r w:rsidR="00644F95" w:rsidRPr="001B3BA5">
        <w:rPr>
          <w:rFonts w:ascii="Times" w:hAnsi="Times"/>
          <w:i/>
          <w:sz w:val="24"/>
          <w:szCs w:val="24"/>
          <w:lang w:val="en-GB"/>
        </w:rPr>
        <w:t>r</w:t>
      </w:r>
      <w:r w:rsidR="00955643" w:rsidRPr="001B3BA5">
        <w:rPr>
          <w:rFonts w:ascii="Times" w:hAnsi="Times"/>
          <w:i/>
          <w:sz w:val="24"/>
          <w:szCs w:val="24"/>
          <w:lang w:val="en-GB"/>
        </w:rPr>
        <w:t>=</w:t>
      </w:r>
      <w:r w:rsidR="00644F95" w:rsidRPr="001B3BA5">
        <w:rPr>
          <w:rFonts w:ascii="Times" w:hAnsi="Times"/>
          <w:sz w:val="24"/>
          <w:szCs w:val="24"/>
          <w:lang w:val="en-GB"/>
        </w:rPr>
        <w:t xml:space="preserve">-.33 and </w:t>
      </w:r>
      <w:r w:rsidR="00644F95" w:rsidRPr="001B3BA5">
        <w:rPr>
          <w:rFonts w:ascii="Times" w:hAnsi="Times"/>
          <w:i/>
          <w:sz w:val="24"/>
          <w:szCs w:val="24"/>
          <w:lang w:val="en-GB"/>
        </w:rPr>
        <w:t>r</w:t>
      </w:r>
      <w:r w:rsidR="00955643" w:rsidRPr="001B3BA5">
        <w:rPr>
          <w:rFonts w:ascii="Times" w:hAnsi="Times"/>
          <w:i/>
          <w:sz w:val="24"/>
          <w:szCs w:val="24"/>
          <w:lang w:val="en-GB"/>
        </w:rPr>
        <w:t>=</w:t>
      </w:r>
      <w:r w:rsidR="00644F95" w:rsidRPr="001B3BA5">
        <w:rPr>
          <w:rFonts w:ascii="Times" w:hAnsi="Times"/>
          <w:sz w:val="24"/>
          <w:szCs w:val="24"/>
          <w:lang w:val="en-GB"/>
        </w:rPr>
        <w:t>-.32</w:t>
      </w:r>
      <w:r w:rsidR="00E05515" w:rsidRPr="001B3BA5">
        <w:rPr>
          <w:rFonts w:ascii="Times" w:hAnsi="Times"/>
          <w:sz w:val="24"/>
          <w:szCs w:val="24"/>
          <w:lang w:val="en-GB"/>
        </w:rPr>
        <w:t>,</w:t>
      </w:r>
      <w:r w:rsidR="00644F95" w:rsidRPr="001B3BA5">
        <w:rPr>
          <w:rFonts w:ascii="Times" w:hAnsi="Times"/>
          <w:sz w:val="24"/>
          <w:szCs w:val="24"/>
          <w:lang w:val="en-GB"/>
        </w:rPr>
        <w:t xml:space="preserve"> respectively), </w:t>
      </w:r>
      <w:r w:rsidR="00EC4C9D" w:rsidRPr="001B3BA5">
        <w:rPr>
          <w:rFonts w:ascii="Times" w:hAnsi="Times"/>
          <w:sz w:val="24"/>
          <w:szCs w:val="24"/>
          <w:lang w:val="en-GB"/>
        </w:rPr>
        <w:t xml:space="preserve">they became non-significant </w:t>
      </w:r>
      <w:r w:rsidR="00EC4C9D" w:rsidRPr="001B3BA5">
        <w:rPr>
          <w:rFonts w:asciiTheme="majorBidi" w:hAnsiTheme="majorBidi" w:cstheme="majorBidi"/>
          <w:sz w:val="24"/>
          <w:szCs w:val="24"/>
          <w:lang w:val="en-GB"/>
        </w:rPr>
        <w:t>(</w:t>
      </w:r>
      <w:r w:rsidR="00EC4C9D" w:rsidRPr="001B3BA5">
        <w:rPr>
          <w:rFonts w:asciiTheme="majorBidi" w:eastAsia="Times New Roman" w:hAnsiTheme="majorBidi" w:cstheme="majorBidi"/>
          <w:i/>
          <w:iCs/>
          <w:color w:val="000000"/>
          <w:sz w:val="24"/>
          <w:szCs w:val="24"/>
          <w:lang w:val="en-GB" w:eastAsia="nl-NL"/>
        </w:rPr>
        <w:t>β</w:t>
      </w:r>
      <w:r w:rsidR="00EC4C9D" w:rsidRPr="001B3BA5">
        <w:rPr>
          <w:rFonts w:asciiTheme="majorBidi" w:hAnsiTheme="majorBidi" w:cstheme="majorBidi"/>
          <w:sz w:val="24"/>
          <w:szCs w:val="24"/>
          <w:lang w:val="en-GB"/>
        </w:rPr>
        <w:t xml:space="preserve">=-.221, </w:t>
      </w:r>
      <w:r w:rsidR="00EC4C9D" w:rsidRPr="001B3BA5">
        <w:rPr>
          <w:rFonts w:asciiTheme="majorBidi" w:hAnsiTheme="majorBidi" w:cstheme="majorBidi"/>
          <w:i/>
          <w:sz w:val="24"/>
          <w:szCs w:val="24"/>
          <w:lang w:val="en-GB"/>
        </w:rPr>
        <w:t>SE</w:t>
      </w:r>
      <w:r w:rsidR="00EC4C9D" w:rsidRPr="001B3BA5">
        <w:rPr>
          <w:rFonts w:asciiTheme="majorBidi" w:hAnsiTheme="majorBidi" w:cstheme="majorBidi"/>
          <w:sz w:val="24"/>
          <w:szCs w:val="24"/>
          <w:lang w:val="en-GB"/>
        </w:rPr>
        <w:t xml:space="preserve">=.108, </w:t>
      </w:r>
      <w:r w:rsidR="00EC4C9D" w:rsidRPr="001B3BA5">
        <w:rPr>
          <w:rFonts w:asciiTheme="majorBidi" w:hAnsiTheme="majorBidi" w:cstheme="majorBidi"/>
          <w:i/>
          <w:sz w:val="24"/>
          <w:szCs w:val="24"/>
          <w:lang w:val="en-GB"/>
        </w:rPr>
        <w:t>p</w:t>
      </w:r>
      <w:r w:rsidR="00EC4C9D" w:rsidRPr="001B3BA5">
        <w:rPr>
          <w:rFonts w:asciiTheme="majorBidi" w:hAnsiTheme="majorBidi" w:cstheme="majorBidi"/>
          <w:sz w:val="24"/>
          <w:szCs w:val="24"/>
          <w:lang w:val="en-GB"/>
        </w:rPr>
        <w:t xml:space="preserve">=.051 and </w:t>
      </w:r>
      <w:r w:rsidR="00EC4C9D" w:rsidRPr="001B3BA5">
        <w:rPr>
          <w:rFonts w:asciiTheme="majorBidi" w:eastAsia="Times New Roman" w:hAnsiTheme="majorBidi" w:cstheme="majorBidi"/>
          <w:i/>
          <w:iCs/>
          <w:color w:val="000000"/>
          <w:sz w:val="24"/>
          <w:szCs w:val="24"/>
          <w:lang w:val="en-GB" w:eastAsia="nl-NL"/>
        </w:rPr>
        <w:t>β</w:t>
      </w:r>
      <w:r w:rsidR="00EC4C9D" w:rsidRPr="001B3BA5">
        <w:rPr>
          <w:rFonts w:asciiTheme="majorBidi" w:hAnsiTheme="majorBidi" w:cstheme="majorBidi"/>
          <w:sz w:val="24"/>
          <w:szCs w:val="24"/>
          <w:lang w:val="en-GB"/>
        </w:rPr>
        <w:t xml:space="preserve">=-.146, </w:t>
      </w:r>
      <w:r w:rsidR="00EC4C9D" w:rsidRPr="001B3BA5">
        <w:rPr>
          <w:rFonts w:asciiTheme="majorBidi" w:hAnsiTheme="majorBidi" w:cstheme="majorBidi"/>
          <w:i/>
          <w:sz w:val="24"/>
          <w:szCs w:val="24"/>
          <w:lang w:val="en-GB"/>
        </w:rPr>
        <w:t>SE</w:t>
      </w:r>
      <w:r w:rsidR="00EC4C9D" w:rsidRPr="001B3BA5">
        <w:rPr>
          <w:rFonts w:asciiTheme="majorBidi" w:hAnsiTheme="majorBidi" w:cstheme="majorBidi"/>
          <w:sz w:val="24"/>
          <w:szCs w:val="24"/>
          <w:lang w:val="en-GB"/>
        </w:rPr>
        <w:t xml:space="preserve">=.102, </w:t>
      </w:r>
      <w:r w:rsidR="00EC4C9D" w:rsidRPr="001B3BA5">
        <w:rPr>
          <w:rFonts w:asciiTheme="majorBidi" w:hAnsiTheme="majorBidi" w:cstheme="majorBidi"/>
          <w:i/>
          <w:sz w:val="24"/>
          <w:szCs w:val="24"/>
          <w:lang w:val="en-GB"/>
        </w:rPr>
        <w:t>p</w:t>
      </w:r>
      <w:r w:rsidR="00EC4C9D" w:rsidRPr="001B3BA5">
        <w:rPr>
          <w:rFonts w:asciiTheme="majorBidi" w:hAnsiTheme="majorBidi" w:cstheme="majorBidi"/>
          <w:sz w:val="24"/>
          <w:szCs w:val="24"/>
          <w:lang w:val="en-GB"/>
        </w:rPr>
        <w:t>=.150 respectively)</w:t>
      </w:r>
      <w:r w:rsidR="00EC4C9D" w:rsidRPr="001B3BA5">
        <w:rPr>
          <w:rFonts w:ascii="Times" w:hAnsi="Times"/>
          <w:sz w:val="24"/>
          <w:szCs w:val="24"/>
          <w:lang w:val="en-GB"/>
        </w:rPr>
        <w:t xml:space="preserve"> </w:t>
      </w:r>
      <w:r w:rsidR="00644F95" w:rsidRPr="001B3BA5">
        <w:rPr>
          <w:rFonts w:ascii="Times" w:hAnsi="Times"/>
          <w:sz w:val="24"/>
          <w:szCs w:val="24"/>
          <w:lang w:val="en-GB"/>
        </w:rPr>
        <w:t xml:space="preserve">when simultaneously added as predictors of </w:t>
      </w:r>
      <w:r w:rsidR="00644F95" w:rsidRPr="001B3BA5">
        <w:rPr>
          <w:rFonts w:asciiTheme="majorBidi" w:hAnsiTheme="majorBidi" w:cstheme="majorBidi"/>
          <w:sz w:val="24"/>
          <w:szCs w:val="24"/>
          <w:lang w:val="en-GB"/>
        </w:rPr>
        <w:t xml:space="preserve">European integration </w:t>
      </w:r>
      <w:r w:rsidR="00644F95" w:rsidRPr="001B3BA5">
        <w:rPr>
          <w:rFonts w:ascii="Times" w:hAnsi="Times"/>
          <w:sz w:val="24"/>
          <w:szCs w:val="24"/>
          <w:lang w:val="en-GB"/>
        </w:rPr>
        <w:t xml:space="preserve">attitudes, </w:t>
      </w:r>
      <w:r w:rsidR="007A6856" w:rsidRPr="001B3BA5">
        <w:rPr>
          <w:rFonts w:ascii="Times" w:hAnsi="Times"/>
          <w:sz w:val="24"/>
          <w:szCs w:val="24"/>
          <w:lang w:val="en-GB"/>
        </w:rPr>
        <w:t xml:space="preserve">most likely </w:t>
      </w:r>
      <w:r w:rsidR="00E05515" w:rsidRPr="001B3BA5">
        <w:rPr>
          <w:rFonts w:ascii="Times" w:hAnsi="Times"/>
          <w:sz w:val="24"/>
          <w:szCs w:val="24"/>
          <w:lang w:val="en-GB"/>
        </w:rPr>
        <w:t xml:space="preserve">as </w:t>
      </w:r>
      <w:r w:rsidR="00644F95" w:rsidRPr="001B3BA5">
        <w:rPr>
          <w:rFonts w:ascii="Times" w:hAnsi="Times"/>
          <w:sz w:val="24"/>
          <w:szCs w:val="24"/>
          <w:lang w:val="en-GB"/>
        </w:rPr>
        <w:t>they cancel</w:t>
      </w:r>
      <w:r w:rsidR="00796D45">
        <w:rPr>
          <w:rFonts w:ascii="Times" w:hAnsi="Times"/>
          <w:sz w:val="24"/>
          <w:szCs w:val="24"/>
          <w:lang w:val="en-GB"/>
        </w:rPr>
        <w:t>l</w:t>
      </w:r>
      <w:r w:rsidR="00644F95" w:rsidRPr="001B3BA5">
        <w:rPr>
          <w:rFonts w:ascii="Times" w:hAnsi="Times"/>
          <w:sz w:val="24"/>
          <w:szCs w:val="24"/>
          <w:lang w:val="en-GB"/>
        </w:rPr>
        <w:t>ed each other out due to shared variance</w:t>
      </w:r>
      <w:r w:rsidR="00A971D3" w:rsidRPr="001B3BA5">
        <w:rPr>
          <w:rFonts w:ascii="Times" w:hAnsi="Times"/>
          <w:sz w:val="24"/>
          <w:szCs w:val="24"/>
          <w:lang w:val="en-GB"/>
        </w:rPr>
        <w:t xml:space="preserve"> (see Appendix </w:t>
      </w:r>
      <w:r w:rsidR="000B55B0" w:rsidRPr="001B3BA5">
        <w:rPr>
          <w:rFonts w:ascii="Times" w:hAnsi="Times"/>
          <w:sz w:val="24"/>
          <w:szCs w:val="24"/>
          <w:lang w:val="en-GB"/>
        </w:rPr>
        <w:t>E</w:t>
      </w:r>
      <w:r w:rsidR="00A971D3" w:rsidRPr="001B3BA5">
        <w:rPr>
          <w:rFonts w:ascii="Times" w:hAnsi="Times"/>
          <w:sz w:val="24"/>
          <w:szCs w:val="24"/>
          <w:lang w:val="en-GB"/>
        </w:rPr>
        <w:t xml:space="preserve"> for the full results)</w:t>
      </w:r>
      <w:r w:rsidR="00644F95" w:rsidRPr="001B3BA5">
        <w:rPr>
          <w:rFonts w:ascii="Times" w:hAnsi="Times"/>
          <w:sz w:val="24"/>
          <w:szCs w:val="24"/>
          <w:lang w:val="en-GB"/>
        </w:rPr>
        <w:t xml:space="preserve">. </w:t>
      </w:r>
      <w:r w:rsidR="00EC4C9D" w:rsidRPr="001B3BA5">
        <w:rPr>
          <w:rFonts w:ascii="Times" w:hAnsi="Times"/>
          <w:sz w:val="24"/>
          <w:szCs w:val="24"/>
          <w:lang w:val="en-GB"/>
        </w:rPr>
        <w:t>T</w:t>
      </w:r>
      <w:r w:rsidR="0020633A" w:rsidRPr="001B3BA5">
        <w:rPr>
          <w:rFonts w:ascii="Times" w:hAnsi="Times"/>
          <w:sz w:val="24"/>
          <w:szCs w:val="24"/>
          <w:lang w:val="en-GB"/>
        </w:rPr>
        <w:t xml:space="preserve">he large standard errors suggest multicollinearity </w:t>
      </w:r>
      <w:r w:rsidR="0020633A" w:rsidRPr="001B3BA5">
        <w:rPr>
          <w:rFonts w:ascii="Times" w:hAnsi="Times"/>
          <w:sz w:val="24"/>
          <w:szCs w:val="24"/>
          <w:lang w:val="en-GB"/>
        </w:rPr>
        <w:fldChar w:fldCharType="begin"/>
      </w:r>
      <w:r w:rsidR="0020633A" w:rsidRPr="001B3BA5">
        <w:rPr>
          <w:rFonts w:ascii="Times" w:hAnsi="Times"/>
          <w:sz w:val="24"/>
          <w:szCs w:val="24"/>
          <w:lang w:val="en-GB"/>
        </w:rPr>
        <w:instrText xml:space="preserve"> ADDIN EN.CITE &lt;EndNote&gt;&lt;Cite&gt;&lt;Author&gt;Grewal&lt;/Author&gt;&lt;Year&gt;2004&lt;/Year&gt;&lt;RecNum&gt;1220&lt;/RecNum&gt;&lt;DisplayText&gt;(Grewal, Cote, &amp;amp; Baumgartner, 2004)&lt;/DisplayText&gt;&lt;record&gt;&lt;rec-number&gt;1220&lt;/rec-number&gt;&lt;foreign-keys&gt;&lt;key app="EN" db-id="es92r5v5dve2z0erx59pv50vtp29v0t9ef5f" timestamp="1522935581"&gt;1220&lt;/key&gt;&lt;key app="ENWeb" db-id=""&gt;0&lt;/key&gt;&lt;/foreign-keys&gt;&lt;ref-type name="Journal Article"&gt;17&lt;/ref-type&gt;&lt;contributors&gt;&lt;authors&gt;&lt;author&gt;Grewal, Rajdeep&lt;/author&gt;&lt;author&gt;Cote, Joseph A.&lt;/author&gt;&lt;author&gt;Baumgartner, Hans&lt;/author&gt;&lt;/authors&gt;&lt;/contributors&gt;&lt;titles&gt;&lt;title&gt;Multicollinearity and measurement error in structural equation models: Implications for theory testing&lt;/title&gt;&lt;secondary-title&gt;Marketing Science&lt;/secondary-title&gt;&lt;/titles&gt;&lt;periodical&gt;&lt;full-title&gt;Marketing Science&lt;/full-title&gt;&lt;/periodical&gt;&lt;pages&gt;519-529&lt;/pages&gt;&lt;volume&gt;23&lt;/volume&gt;&lt;number&gt;4&lt;/number&gt;&lt;dates&gt;&lt;year&gt;2004&lt;/year&gt;&lt;/dates&gt;&lt;isbn&gt;0732-2399&amp;#xD;1526-548X&lt;/isbn&gt;&lt;urls&gt;&lt;/urls&gt;&lt;electronic-resource-num&gt;10.1287/mksc.1040.0070&lt;/electronic-resource-num&gt;&lt;/record&gt;&lt;/Cite&gt;&lt;/EndNote&gt;</w:instrText>
      </w:r>
      <w:r w:rsidR="0020633A" w:rsidRPr="001B3BA5">
        <w:rPr>
          <w:rFonts w:ascii="Times" w:hAnsi="Times"/>
          <w:sz w:val="24"/>
          <w:szCs w:val="24"/>
          <w:lang w:val="en-GB"/>
        </w:rPr>
        <w:fldChar w:fldCharType="separate"/>
      </w:r>
      <w:r w:rsidR="0020633A" w:rsidRPr="001B3BA5">
        <w:rPr>
          <w:rFonts w:ascii="Times" w:hAnsi="Times"/>
          <w:noProof/>
          <w:sz w:val="24"/>
          <w:szCs w:val="24"/>
          <w:lang w:val="en-GB"/>
        </w:rPr>
        <w:t>(Grewal, Cote, &amp; Baumgartner, 2004)</w:t>
      </w:r>
      <w:r w:rsidR="0020633A" w:rsidRPr="001B3BA5">
        <w:rPr>
          <w:rFonts w:ascii="Times" w:hAnsi="Times"/>
          <w:sz w:val="24"/>
          <w:szCs w:val="24"/>
          <w:lang w:val="en-GB"/>
        </w:rPr>
        <w:fldChar w:fldCharType="end"/>
      </w:r>
      <w:r w:rsidR="00EC4C9D" w:rsidRPr="001B3BA5">
        <w:rPr>
          <w:rFonts w:ascii="Times" w:hAnsi="Times"/>
          <w:sz w:val="24"/>
          <w:szCs w:val="24"/>
          <w:lang w:val="en-GB"/>
        </w:rPr>
        <w:t xml:space="preserve">, </w:t>
      </w:r>
      <w:r w:rsidR="0040442F" w:rsidRPr="001B3BA5">
        <w:rPr>
          <w:rFonts w:ascii="Times" w:hAnsi="Times"/>
          <w:sz w:val="24"/>
          <w:szCs w:val="24"/>
          <w:lang w:val="en-GB"/>
        </w:rPr>
        <w:t>mak</w:t>
      </w:r>
      <w:r w:rsidR="00EC4C9D" w:rsidRPr="001B3BA5">
        <w:rPr>
          <w:rFonts w:ascii="Times" w:hAnsi="Times"/>
          <w:sz w:val="24"/>
          <w:szCs w:val="24"/>
          <w:lang w:val="en-GB"/>
        </w:rPr>
        <w:t>ing</w:t>
      </w:r>
      <w:r w:rsidR="006036E7" w:rsidRPr="001B3BA5">
        <w:rPr>
          <w:rFonts w:ascii="Times" w:hAnsi="Times"/>
          <w:sz w:val="24"/>
          <w:szCs w:val="24"/>
          <w:lang w:val="en-GB"/>
        </w:rPr>
        <w:t xml:space="preserve"> the results unreliable</w:t>
      </w:r>
      <w:r w:rsidR="00EC4C9D" w:rsidRPr="001B3BA5">
        <w:rPr>
          <w:rFonts w:ascii="Times" w:hAnsi="Times"/>
          <w:sz w:val="24"/>
          <w:szCs w:val="24"/>
          <w:lang w:val="en-GB"/>
        </w:rPr>
        <w:t xml:space="preserve">. We focused </w:t>
      </w:r>
      <w:r w:rsidR="006036E7" w:rsidRPr="001B3BA5">
        <w:rPr>
          <w:rFonts w:ascii="Times" w:hAnsi="Times"/>
          <w:sz w:val="24"/>
          <w:szCs w:val="24"/>
          <w:lang w:val="en-GB"/>
        </w:rPr>
        <w:t>t</w:t>
      </w:r>
      <w:r w:rsidR="00644F95" w:rsidRPr="001B3BA5">
        <w:rPr>
          <w:rFonts w:ascii="Times" w:hAnsi="Times"/>
          <w:sz w:val="24"/>
          <w:szCs w:val="24"/>
          <w:lang w:val="en-GB"/>
        </w:rPr>
        <w:t>herefore</w:t>
      </w:r>
      <w:r w:rsidR="00E86847" w:rsidRPr="001B3BA5">
        <w:rPr>
          <w:rFonts w:ascii="Times" w:hAnsi="Times"/>
          <w:sz w:val="24"/>
          <w:szCs w:val="24"/>
          <w:lang w:val="en-GB"/>
        </w:rPr>
        <w:t xml:space="preserve"> only on C</w:t>
      </w:r>
      <w:r w:rsidR="0040442F" w:rsidRPr="001B3BA5">
        <w:rPr>
          <w:rFonts w:ascii="Times" w:hAnsi="Times"/>
          <w:sz w:val="24"/>
          <w:szCs w:val="24"/>
          <w:lang w:val="en-GB"/>
        </w:rPr>
        <w:t>P</w:t>
      </w:r>
      <w:r w:rsidR="00E86847" w:rsidRPr="001B3BA5">
        <w:rPr>
          <w:rFonts w:ascii="Times" w:hAnsi="Times"/>
          <w:sz w:val="24"/>
          <w:szCs w:val="24"/>
          <w:lang w:val="en-GB"/>
        </w:rPr>
        <w:t>O</w:t>
      </w:r>
      <w:r w:rsidR="00633F15" w:rsidRPr="001B3BA5">
        <w:rPr>
          <w:rFonts w:ascii="Times" w:hAnsi="Times"/>
          <w:sz w:val="24"/>
          <w:szCs w:val="24"/>
          <w:lang w:val="en-GB"/>
        </w:rPr>
        <w:t xml:space="preserve"> in </w:t>
      </w:r>
      <w:r w:rsidR="006036E7" w:rsidRPr="001B3BA5">
        <w:rPr>
          <w:rFonts w:ascii="Times" w:hAnsi="Times"/>
          <w:sz w:val="24"/>
          <w:szCs w:val="24"/>
          <w:lang w:val="en-GB"/>
        </w:rPr>
        <w:t xml:space="preserve">our </w:t>
      </w:r>
      <w:r w:rsidR="00CE1240" w:rsidRPr="001B3BA5">
        <w:rPr>
          <w:rFonts w:ascii="Times" w:hAnsi="Times"/>
          <w:sz w:val="24"/>
          <w:szCs w:val="24"/>
          <w:lang w:val="en-GB"/>
        </w:rPr>
        <w:t>subsequent</w:t>
      </w:r>
      <w:r w:rsidR="006036E7" w:rsidRPr="001B3BA5">
        <w:rPr>
          <w:rFonts w:ascii="Times" w:hAnsi="Times"/>
          <w:sz w:val="24"/>
          <w:szCs w:val="24"/>
          <w:lang w:val="en-GB"/>
        </w:rPr>
        <w:t xml:space="preserve"> model</w:t>
      </w:r>
      <w:r w:rsidR="00CE1240" w:rsidRPr="001B3BA5">
        <w:rPr>
          <w:rFonts w:ascii="Times" w:hAnsi="Times"/>
          <w:sz w:val="24"/>
          <w:szCs w:val="24"/>
          <w:lang w:val="en-GB"/>
        </w:rPr>
        <w:t>s</w:t>
      </w:r>
      <w:r w:rsidR="007A6856" w:rsidRPr="001B3BA5">
        <w:rPr>
          <w:rFonts w:ascii="Times" w:hAnsi="Times"/>
          <w:sz w:val="24"/>
          <w:szCs w:val="24"/>
          <w:lang w:val="en-GB"/>
        </w:rPr>
        <w:t xml:space="preserve"> (but see footnote 1</w:t>
      </w:r>
      <w:r w:rsidR="00B02DFA" w:rsidRPr="001B3BA5">
        <w:rPr>
          <w:rFonts w:ascii="Times" w:hAnsi="Times"/>
          <w:sz w:val="24"/>
          <w:szCs w:val="24"/>
          <w:lang w:val="en-GB"/>
        </w:rPr>
        <w:t>0</w:t>
      </w:r>
      <w:r w:rsidR="007A6856" w:rsidRPr="001B3BA5">
        <w:rPr>
          <w:rFonts w:ascii="Times" w:hAnsi="Times"/>
          <w:sz w:val="24"/>
          <w:szCs w:val="24"/>
          <w:lang w:val="en-GB"/>
        </w:rPr>
        <w:t xml:space="preserve"> for an alternative model with exclusive determination right as the sole predictor)</w:t>
      </w:r>
      <w:r w:rsidR="006012BF" w:rsidRPr="001B3BA5">
        <w:rPr>
          <w:rFonts w:ascii="Times" w:hAnsi="Times"/>
          <w:sz w:val="24"/>
          <w:szCs w:val="24"/>
          <w:lang w:val="en-GB"/>
        </w:rPr>
        <w:t xml:space="preserve">. </w:t>
      </w:r>
      <w:r w:rsidR="00EC4C9D" w:rsidRPr="001B3BA5">
        <w:rPr>
          <w:rFonts w:ascii="Times" w:hAnsi="Times"/>
          <w:sz w:val="24"/>
          <w:szCs w:val="24"/>
          <w:lang w:val="en-GB"/>
        </w:rPr>
        <w:t>Consequently</w:t>
      </w:r>
      <w:r w:rsidR="006012BF" w:rsidRPr="001B3BA5">
        <w:rPr>
          <w:rFonts w:ascii="Times" w:hAnsi="Times"/>
          <w:sz w:val="24"/>
          <w:szCs w:val="24"/>
          <w:lang w:val="en-GB"/>
        </w:rPr>
        <w:t xml:space="preserve">, we </w:t>
      </w:r>
      <w:r w:rsidR="00AD5EAD" w:rsidRPr="001B3BA5">
        <w:rPr>
          <w:rFonts w:ascii="Times" w:hAnsi="Times"/>
          <w:sz w:val="24"/>
          <w:szCs w:val="24"/>
          <w:lang w:val="en-GB"/>
        </w:rPr>
        <w:t>did not test</w:t>
      </w:r>
      <w:r w:rsidR="001D5045" w:rsidRPr="001B3BA5">
        <w:rPr>
          <w:rFonts w:ascii="Times" w:hAnsi="Times"/>
          <w:sz w:val="24"/>
          <w:szCs w:val="24"/>
          <w:lang w:val="en-GB"/>
        </w:rPr>
        <w:t xml:space="preserve"> </w:t>
      </w:r>
      <w:r w:rsidR="003003A6" w:rsidRPr="001B3BA5">
        <w:rPr>
          <w:rFonts w:ascii="Times" w:hAnsi="Times"/>
          <w:sz w:val="24"/>
          <w:szCs w:val="24"/>
          <w:lang w:val="en-GB"/>
        </w:rPr>
        <w:t xml:space="preserve">the mediation </w:t>
      </w:r>
      <w:r w:rsidR="003523CE" w:rsidRPr="001B3BA5">
        <w:rPr>
          <w:rFonts w:ascii="Times" w:hAnsi="Times"/>
          <w:sz w:val="24"/>
          <w:szCs w:val="24"/>
          <w:lang w:val="en-GB"/>
        </w:rPr>
        <w:t>via</w:t>
      </w:r>
      <w:r w:rsidR="003003A6" w:rsidRPr="001B3BA5">
        <w:rPr>
          <w:rFonts w:ascii="Times" w:hAnsi="Times"/>
          <w:sz w:val="24"/>
          <w:szCs w:val="24"/>
          <w:lang w:val="en-GB"/>
        </w:rPr>
        <w:t xml:space="preserve"> exclusive determination right</w:t>
      </w:r>
      <w:r w:rsidR="006012BF" w:rsidRPr="001B3BA5">
        <w:rPr>
          <w:rFonts w:ascii="Times" w:hAnsi="Times"/>
          <w:sz w:val="24"/>
          <w:szCs w:val="24"/>
          <w:lang w:val="en-GB"/>
        </w:rPr>
        <w:t xml:space="preserve"> </w:t>
      </w:r>
      <w:r w:rsidR="00DA45CB" w:rsidRPr="001B3BA5">
        <w:rPr>
          <w:rFonts w:ascii="Times" w:hAnsi="Times"/>
          <w:sz w:val="24"/>
          <w:szCs w:val="24"/>
          <w:lang w:val="en-GB"/>
        </w:rPr>
        <w:t>(H3a)</w:t>
      </w:r>
      <w:r w:rsidR="00EC4C9D" w:rsidRPr="001B3BA5">
        <w:rPr>
          <w:rFonts w:ascii="Times" w:hAnsi="Times"/>
          <w:sz w:val="24"/>
          <w:szCs w:val="24"/>
          <w:lang w:val="en-GB"/>
        </w:rPr>
        <w:t xml:space="preserve">, but </w:t>
      </w:r>
      <w:r w:rsidR="00C87F1C" w:rsidRPr="001B3BA5">
        <w:rPr>
          <w:rFonts w:ascii="Times" w:hAnsi="Times"/>
          <w:sz w:val="24"/>
          <w:szCs w:val="24"/>
          <w:lang w:val="en-GB"/>
        </w:rPr>
        <w:t xml:space="preserve">we </w:t>
      </w:r>
      <w:r w:rsidR="00EC4C9D" w:rsidRPr="001B3BA5">
        <w:rPr>
          <w:rFonts w:ascii="Times" w:hAnsi="Times"/>
          <w:sz w:val="24"/>
          <w:szCs w:val="24"/>
          <w:lang w:val="en-GB"/>
        </w:rPr>
        <w:t xml:space="preserve">did </w:t>
      </w:r>
      <w:r w:rsidR="006012BF" w:rsidRPr="001B3BA5">
        <w:rPr>
          <w:rFonts w:ascii="Times" w:hAnsi="Times"/>
          <w:sz w:val="24"/>
          <w:szCs w:val="24"/>
          <w:lang w:val="en-GB"/>
        </w:rPr>
        <w:t xml:space="preserve">test moderation </w:t>
      </w:r>
      <w:r w:rsidR="00C87F1C" w:rsidRPr="001B3BA5">
        <w:rPr>
          <w:rFonts w:ascii="Times" w:hAnsi="Times"/>
          <w:sz w:val="24"/>
          <w:szCs w:val="24"/>
          <w:lang w:val="en-GB"/>
        </w:rPr>
        <w:t xml:space="preserve">of </w:t>
      </w:r>
      <w:r w:rsidR="006012BF" w:rsidRPr="001B3BA5">
        <w:rPr>
          <w:rFonts w:ascii="Times" w:hAnsi="Times"/>
          <w:sz w:val="24"/>
          <w:szCs w:val="24"/>
          <w:lang w:val="en-GB"/>
        </w:rPr>
        <w:t xml:space="preserve">the relationships </w:t>
      </w:r>
      <w:bookmarkStart w:id="41" w:name="_Hlk36106269"/>
      <w:r w:rsidR="00EC4C9D" w:rsidRPr="001B3BA5">
        <w:rPr>
          <w:rFonts w:ascii="Times" w:hAnsi="Times"/>
          <w:sz w:val="24"/>
          <w:szCs w:val="24"/>
          <w:lang w:val="en-GB"/>
        </w:rPr>
        <w:t>among</w:t>
      </w:r>
      <w:r w:rsidR="006509E4">
        <w:rPr>
          <w:rFonts w:ascii="Times" w:hAnsi="Times"/>
          <w:sz w:val="24"/>
          <w:szCs w:val="24"/>
          <w:lang w:val="en-GB"/>
        </w:rPr>
        <w:t xml:space="preserve"> (1)</w:t>
      </w:r>
      <w:r w:rsidR="00EC4C9D" w:rsidRPr="001B3BA5">
        <w:rPr>
          <w:rFonts w:ascii="Times" w:hAnsi="Times"/>
          <w:sz w:val="24"/>
          <w:szCs w:val="24"/>
          <w:lang w:val="en-GB"/>
        </w:rPr>
        <w:t xml:space="preserve"> </w:t>
      </w:r>
      <w:r w:rsidR="006012BF" w:rsidRPr="001B3BA5">
        <w:rPr>
          <w:rFonts w:ascii="Times" w:hAnsi="Times"/>
          <w:sz w:val="24"/>
          <w:szCs w:val="24"/>
          <w:lang w:val="en-GB"/>
        </w:rPr>
        <w:t xml:space="preserve">CPO and </w:t>
      </w:r>
      <w:r w:rsidR="006012BF" w:rsidRPr="001B3BA5">
        <w:rPr>
          <w:rFonts w:asciiTheme="majorBidi" w:hAnsiTheme="majorBidi" w:cstheme="majorBidi"/>
          <w:sz w:val="24"/>
          <w:szCs w:val="24"/>
          <w:lang w:val="en-GB"/>
        </w:rPr>
        <w:t>immigrant minority attitudes</w:t>
      </w:r>
      <w:r w:rsidR="00EC4C9D" w:rsidRPr="001B3BA5">
        <w:rPr>
          <w:rFonts w:asciiTheme="majorBidi" w:hAnsiTheme="majorBidi" w:cstheme="majorBidi"/>
          <w:sz w:val="24"/>
          <w:szCs w:val="24"/>
          <w:lang w:val="en-GB"/>
        </w:rPr>
        <w:t>, and</w:t>
      </w:r>
      <w:r w:rsidR="00B80016">
        <w:rPr>
          <w:rFonts w:asciiTheme="majorBidi" w:hAnsiTheme="majorBidi" w:cstheme="majorBidi"/>
          <w:sz w:val="24"/>
          <w:szCs w:val="24"/>
          <w:lang w:val="en-GB"/>
        </w:rPr>
        <w:t xml:space="preserve"> </w:t>
      </w:r>
      <w:r w:rsidR="006509E4">
        <w:rPr>
          <w:rFonts w:asciiTheme="majorBidi" w:hAnsiTheme="majorBidi" w:cstheme="majorBidi"/>
          <w:sz w:val="24"/>
          <w:szCs w:val="24"/>
          <w:lang w:val="en-GB"/>
        </w:rPr>
        <w:t>(2) CPO and</w:t>
      </w:r>
      <w:r w:rsidR="00EC4C9D" w:rsidRPr="001B3BA5">
        <w:rPr>
          <w:rFonts w:asciiTheme="majorBidi" w:hAnsiTheme="majorBidi" w:cstheme="majorBidi"/>
          <w:sz w:val="24"/>
          <w:szCs w:val="24"/>
          <w:lang w:val="en-GB"/>
        </w:rPr>
        <w:t xml:space="preserve"> </w:t>
      </w:r>
      <w:r w:rsidR="006012BF" w:rsidRPr="001B3BA5">
        <w:rPr>
          <w:rFonts w:asciiTheme="majorBidi" w:hAnsiTheme="majorBidi" w:cstheme="majorBidi"/>
          <w:sz w:val="24"/>
          <w:szCs w:val="24"/>
          <w:lang w:val="en-GB"/>
        </w:rPr>
        <w:t>European integration attitudes</w:t>
      </w:r>
      <w:r w:rsidR="006509E4">
        <w:rPr>
          <w:rFonts w:asciiTheme="majorBidi" w:hAnsiTheme="majorBidi" w:cstheme="majorBidi"/>
          <w:sz w:val="24"/>
          <w:szCs w:val="24"/>
          <w:lang w:val="en-GB"/>
        </w:rPr>
        <w:t>,</w:t>
      </w:r>
      <w:r w:rsidR="00C87F1C" w:rsidRPr="001B3BA5">
        <w:rPr>
          <w:rFonts w:asciiTheme="majorBidi" w:hAnsiTheme="majorBidi" w:cstheme="majorBidi"/>
          <w:sz w:val="24"/>
          <w:szCs w:val="24"/>
          <w:lang w:val="en-GB"/>
        </w:rPr>
        <w:t xml:space="preserve"> by </w:t>
      </w:r>
      <w:r w:rsidR="00C87F1C" w:rsidRPr="001B3BA5">
        <w:rPr>
          <w:rFonts w:ascii="Times" w:hAnsi="Times"/>
          <w:sz w:val="24"/>
          <w:szCs w:val="24"/>
          <w:lang w:val="en-GB"/>
        </w:rPr>
        <w:t>political ideology.</w:t>
      </w:r>
    </w:p>
    <w:bookmarkEnd w:id="41"/>
    <w:p w14:paraId="0B5A7888" w14:textId="23D0EFD0" w:rsidR="003B6DF1" w:rsidRPr="001B3BA5" w:rsidRDefault="008E339B" w:rsidP="00584266">
      <w:pPr>
        <w:spacing w:after="0" w:line="480" w:lineRule="exact"/>
        <w:ind w:firstLine="709"/>
        <w:rPr>
          <w:rFonts w:asciiTheme="majorBidi" w:hAnsiTheme="majorBidi" w:cstheme="majorBidi"/>
          <w:sz w:val="24"/>
          <w:szCs w:val="24"/>
          <w:lang w:val="en-GB"/>
        </w:rPr>
      </w:pPr>
      <w:r w:rsidRPr="001B3BA5">
        <w:rPr>
          <w:rFonts w:ascii="Times" w:hAnsi="Times"/>
          <w:sz w:val="24"/>
          <w:szCs w:val="24"/>
          <w:lang w:val="en-GB"/>
        </w:rPr>
        <w:t xml:space="preserve"> </w:t>
      </w:r>
      <w:r w:rsidR="005C4633" w:rsidRPr="001B3BA5">
        <w:rPr>
          <w:rFonts w:ascii="Times" w:hAnsi="Times"/>
          <w:sz w:val="24"/>
          <w:szCs w:val="24"/>
          <w:lang w:val="en-GB"/>
        </w:rPr>
        <w:t>W</w:t>
      </w:r>
      <w:r w:rsidR="006036E7" w:rsidRPr="001B3BA5">
        <w:rPr>
          <w:rFonts w:ascii="Times" w:hAnsi="Times"/>
          <w:sz w:val="24"/>
          <w:szCs w:val="24"/>
          <w:lang w:val="en-GB"/>
        </w:rPr>
        <w:t>e regressed Brexit voting on CPO, mediated by immigrant minority attitudes and European integration attitudes</w:t>
      </w:r>
      <w:r w:rsidR="00626E64" w:rsidRPr="001B3BA5">
        <w:rPr>
          <w:rFonts w:ascii="Times" w:hAnsi="Times"/>
          <w:sz w:val="24"/>
          <w:szCs w:val="24"/>
          <w:lang w:val="en-GB"/>
        </w:rPr>
        <w:t xml:space="preserve"> and including all control variables.</w:t>
      </w:r>
      <w:r w:rsidR="0094197B" w:rsidRPr="001B3BA5">
        <w:rPr>
          <w:rStyle w:val="FootnoteReference"/>
          <w:rFonts w:asciiTheme="majorBidi" w:hAnsiTheme="majorBidi" w:cstheme="majorBidi"/>
          <w:sz w:val="24"/>
          <w:szCs w:val="24"/>
          <w:lang w:val="en-GB"/>
        </w:rPr>
        <w:footnoteReference w:id="10"/>
      </w:r>
      <w:r w:rsidR="0094197B" w:rsidRPr="001B3BA5">
        <w:rPr>
          <w:rFonts w:asciiTheme="majorBidi" w:hAnsiTheme="majorBidi" w:cstheme="majorBidi"/>
          <w:sz w:val="24"/>
          <w:szCs w:val="24"/>
          <w:lang w:val="en-GB"/>
        </w:rPr>
        <w:t xml:space="preserve"> </w:t>
      </w:r>
      <w:r w:rsidR="00626E64" w:rsidRPr="001B3BA5">
        <w:rPr>
          <w:rFonts w:ascii="Times" w:hAnsi="Times"/>
          <w:sz w:val="24"/>
          <w:szCs w:val="24"/>
          <w:lang w:val="en-GB"/>
        </w:rPr>
        <w:t>The</w:t>
      </w:r>
      <w:r w:rsidR="00986C25" w:rsidRPr="001B3BA5">
        <w:rPr>
          <w:rFonts w:ascii="Times" w:hAnsi="Times"/>
          <w:sz w:val="24"/>
          <w:szCs w:val="24"/>
          <w:lang w:val="en-GB"/>
        </w:rPr>
        <w:t xml:space="preserve"> standard</w:t>
      </w:r>
      <w:r w:rsidR="008643F0" w:rsidRPr="001B3BA5">
        <w:rPr>
          <w:rFonts w:ascii="Times" w:hAnsi="Times"/>
          <w:sz w:val="24"/>
          <w:szCs w:val="24"/>
          <w:lang w:val="en-GB"/>
        </w:rPr>
        <w:t>ise</w:t>
      </w:r>
      <w:r w:rsidR="00986C25" w:rsidRPr="001B3BA5">
        <w:rPr>
          <w:rFonts w:ascii="Times" w:hAnsi="Times"/>
          <w:sz w:val="24"/>
          <w:szCs w:val="24"/>
          <w:lang w:val="en-GB"/>
        </w:rPr>
        <w:t>d</w:t>
      </w:r>
      <w:r w:rsidR="00626E64" w:rsidRPr="001B3BA5">
        <w:rPr>
          <w:rFonts w:ascii="Times" w:hAnsi="Times"/>
          <w:sz w:val="24"/>
          <w:szCs w:val="24"/>
          <w:lang w:val="en-GB"/>
        </w:rPr>
        <w:t xml:space="preserve"> results </w:t>
      </w:r>
      <w:r w:rsidR="00626E64" w:rsidRPr="001B3BA5">
        <w:rPr>
          <w:rFonts w:asciiTheme="majorBidi" w:hAnsiTheme="majorBidi" w:cstheme="majorBidi"/>
          <w:sz w:val="24"/>
          <w:szCs w:val="24"/>
          <w:lang w:val="en-GB"/>
        </w:rPr>
        <w:t xml:space="preserve">show that </w:t>
      </w:r>
      <w:r w:rsidR="00B77F08" w:rsidRPr="001B3BA5">
        <w:rPr>
          <w:rFonts w:asciiTheme="majorBidi" w:hAnsiTheme="majorBidi" w:cstheme="majorBidi"/>
          <w:sz w:val="24"/>
          <w:szCs w:val="24"/>
          <w:lang w:val="en-GB"/>
        </w:rPr>
        <w:t>CPO</w:t>
      </w:r>
      <w:r w:rsidR="00006E46" w:rsidRPr="001B3BA5">
        <w:rPr>
          <w:rFonts w:asciiTheme="majorBidi" w:hAnsiTheme="majorBidi" w:cstheme="majorBidi"/>
          <w:sz w:val="24"/>
          <w:szCs w:val="24"/>
          <w:lang w:val="en-GB"/>
        </w:rPr>
        <w:t xml:space="preserve"> was related to </w:t>
      </w:r>
      <w:r w:rsidR="007D58D1" w:rsidRPr="001B3BA5">
        <w:rPr>
          <w:rFonts w:asciiTheme="majorBidi" w:hAnsiTheme="majorBidi" w:cstheme="majorBidi"/>
          <w:sz w:val="24"/>
          <w:szCs w:val="24"/>
          <w:lang w:val="en-GB"/>
        </w:rPr>
        <w:t>more negative attitudes towards immigrant minorities (</w:t>
      </w:r>
      <w:r w:rsidR="007D58D1"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-.3</w:t>
      </w:r>
      <w:r w:rsidR="00626E64" w:rsidRPr="001B3BA5">
        <w:rPr>
          <w:rFonts w:asciiTheme="majorBidi" w:hAnsiTheme="majorBidi" w:cstheme="majorBidi"/>
          <w:sz w:val="24"/>
          <w:szCs w:val="24"/>
          <w:lang w:val="en-GB"/>
        </w:rPr>
        <w:t>44</w:t>
      </w:r>
      <w:r w:rsidR="007D58D1" w:rsidRPr="001B3BA5">
        <w:rPr>
          <w:rFonts w:asciiTheme="majorBidi" w:hAnsiTheme="majorBidi" w:cstheme="majorBidi"/>
          <w:sz w:val="24"/>
          <w:szCs w:val="24"/>
          <w:lang w:val="en-GB"/>
        </w:rPr>
        <w:t xml:space="preserve">, </w:t>
      </w:r>
      <w:r w:rsidR="007D58D1"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.0</w:t>
      </w:r>
      <w:r w:rsidR="00626E64" w:rsidRPr="001B3BA5">
        <w:rPr>
          <w:rFonts w:asciiTheme="majorBidi" w:hAnsiTheme="majorBidi" w:cstheme="majorBidi"/>
          <w:sz w:val="24"/>
          <w:szCs w:val="24"/>
          <w:lang w:val="en-GB"/>
        </w:rPr>
        <w:t>65</w:t>
      </w:r>
      <w:r w:rsidR="007D58D1" w:rsidRPr="001B3BA5">
        <w:rPr>
          <w:rFonts w:asciiTheme="majorBidi" w:hAnsiTheme="majorBidi" w:cstheme="majorBidi"/>
          <w:sz w:val="24"/>
          <w:szCs w:val="24"/>
          <w:lang w:val="en-GB"/>
        </w:rPr>
        <w:t xml:space="preserve">, </w:t>
      </w:r>
      <w:r w:rsidR="007D58D1"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&lt;</w:t>
      </w:r>
      <w:r w:rsidR="007D58D1" w:rsidRPr="001B3BA5">
        <w:rPr>
          <w:rFonts w:asciiTheme="majorBidi" w:hAnsiTheme="majorBidi" w:cstheme="majorBidi"/>
          <w:sz w:val="24"/>
          <w:szCs w:val="24"/>
          <w:lang w:val="en-GB"/>
        </w:rPr>
        <w:t>.001) and the EU (</w:t>
      </w:r>
      <w:r w:rsidR="007D58D1"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w:t>
      </w:r>
      <w:r w:rsidR="00626E64" w:rsidRPr="001B3BA5">
        <w:rPr>
          <w:rFonts w:asciiTheme="majorBidi" w:hAnsiTheme="majorBidi" w:cstheme="majorBidi"/>
          <w:sz w:val="24"/>
          <w:szCs w:val="24"/>
          <w:lang w:val="en-GB"/>
        </w:rPr>
        <w:t>214</w:t>
      </w:r>
      <w:r w:rsidR="007D58D1" w:rsidRPr="001B3BA5">
        <w:rPr>
          <w:rFonts w:asciiTheme="majorBidi" w:hAnsiTheme="majorBidi" w:cstheme="majorBidi"/>
          <w:sz w:val="24"/>
          <w:szCs w:val="24"/>
          <w:lang w:val="en-GB"/>
        </w:rPr>
        <w:t xml:space="preserve">, </w:t>
      </w:r>
      <w:r w:rsidR="007D58D1"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.0</w:t>
      </w:r>
      <w:r w:rsidR="00626E64" w:rsidRPr="001B3BA5">
        <w:rPr>
          <w:rFonts w:asciiTheme="majorBidi" w:hAnsiTheme="majorBidi" w:cstheme="majorBidi"/>
          <w:sz w:val="24"/>
          <w:szCs w:val="24"/>
          <w:lang w:val="en-GB"/>
        </w:rPr>
        <w:t>68</w:t>
      </w:r>
      <w:r w:rsidR="007D58D1" w:rsidRPr="001B3BA5">
        <w:rPr>
          <w:rFonts w:asciiTheme="majorBidi" w:hAnsiTheme="majorBidi" w:cstheme="majorBidi"/>
          <w:sz w:val="24"/>
          <w:szCs w:val="24"/>
          <w:lang w:val="en-GB"/>
        </w:rPr>
        <w:t xml:space="preserve">, </w:t>
      </w:r>
      <w:r w:rsidR="007D58D1" w:rsidRPr="001B3BA5">
        <w:rPr>
          <w:rFonts w:asciiTheme="majorBidi" w:hAnsiTheme="majorBidi" w:cstheme="majorBidi"/>
          <w:i/>
          <w:sz w:val="24"/>
          <w:szCs w:val="24"/>
          <w:lang w:val="en-GB"/>
        </w:rPr>
        <w:t>p</w:t>
      </w:r>
      <w:r w:rsidR="00626E64"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.00</w:t>
      </w:r>
      <w:r w:rsidR="00626E64" w:rsidRPr="001B3BA5">
        <w:rPr>
          <w:rFonts w:asciiTheme="majorBidi" w:hAnsiTheme="majorBidi" w:cstheme="majorBidi"/>
          <w:sz w:val="24"/>
          <w:szCs w:val="24"/>
          <w:lang w:val="en-GB"/>
        </w:rPr>
        <w:t>2</w:t>
      </w:r>
      <w:r w:rsidR="007D58D1" w:rsidRPr="001B3BA5">
        <w:rPr>
          <w:rFonts w:asciiTheme="majorBidi" w:hAnsiTheme="majorBidi" w:cstheme="majorBidi"/>
          <w:sz w:val="24"/>
          <w:szCs w:val="24"/>
          <w:lang w:val="en-GB"/>
        </w:rPr>
        <w:t>), consistent with</w:t>
      </w:r>
      <w:r w:rsidR="0033624E" w:rsidRPr="001B3BA5">
        <w:rPr>
          <w:rFonts w:asciiTheme="majorBidi" w:hAnsiTheme="majorBidi" w:cstheme="majorBidi"/>
          <w:sz w:val="24"/>
          <w:szCs w:val="24"/>
          <w:lang w:val="en-GB"/>
        </w:rPr>
        <w:t xml:space="preserve"> H1a and H1b as in </w:t>
      </w:r>
      <w:r w:rsidR="007D58D1" w:rsidRPr="001B3BA5">
        <w:rPr>
          <w:rFonts w:asciiTheme="majorBidi" w:hAnsiTheme="majorBidi" w:cstheme="majorBidi"/>
          <w:sz w:val="24"/>
          <w:szCs w:val="24"/>
          <w:lang w:val="en-GB"/>
        </w:rPr>
        <w:t>Study 1</w:t>
      </w:r>
      <w:r w:rsidR="00260919" w:rsidRPr="001B3BA5">
        <w:rPr>
          <w:rFonts w:asciiTheme="majorBidi" w:hAnsiTheme="majorBidi" w:cstheme="majorBidi"/>
          <w:sz w:val="24"/>
          <w:szCs w:val="24"/>
          <w:lang w:val="en-GB"/>
        </w:rPr>
        <w:t xml:space="preserve"> (s</w:t>
      </w:r>
      <w:r w:rsidR="004351C2" w:rsidRPr="001B3BA5">
        <w:rPr>
          <w:rFonts w:asciiTheme="majorBidi" w:hAnsiTheme="majorBidi" w:cstheme="majorBidi"/>
          <w:sz w:val="24"/>
          <w:szCs w:val="24"/>
          <w:lang w:val="en-GB"/>
        </w:rPr>
        <w:t>ee all results</w:t>
      </w:r>
      <w:r w:rsidRPr="001B3BA5">
        <w:rPr>
          <w:rFonts w:asciiTheme="majorBidi" w:hAnsiTheme="majorBidi" w:cstheme="majorBidi"/>
          <w:sz w:val="24"/>
          <w:szCs w:val="24"/>
          <w:lang w:val="en-GB"/>
        </w:rPr>
        <w:t>, including control variables,</w:t>
      </w:r>
      <w:r w:rsidR="004351C2" w:rsidRPr="001B3BA5">
        <w:rPr>
          <w:rFonts w:asciiTheme="majorBidi" w:hAnsiTheme="majorBidi" w:cstheme="majorBidi"/>
          <w:sz w:val="24"/>
          <w:szCs w:val="24"/>
          <w:lang w:val="en-GB"/>
        </w:rPr>
        <w:t xml:space="preserve"> in Appendix </w:t>
      </w:r>
      <w:r w:rsidR="000B55B0" w:rsidRPr="001B3BA5">
        <w:rPr>
          <w:rFonts w:asciiTheme="majorBidi" w:hAnsiTheme="majorBidi" w:cstheme="majorBidi"/>
          <w:sz w:val="24"/>
          <w:szCs w:val="24"/>
          <w:lang w:val="en-GB"/>
        </w:rPr>
        <w:t>F</w:t>
      </w:r>
      <w:r w:rsidR="00260919" w:rsidRPr="001B3BA5">
        <w:rPr>
          <w:rFonts w:asciiTheme="majorBidi" w:hAnsiTheme="majorBidi" w:cstheme="majorBidi"/>
          <w:sz w:val="24"/>
          <w:szCs w:val="24"/>
          <w:lang w:val="en-GB"/>
        </w:rPr>
        <w:t>)</w:t>
      </w:r>
      <w:r w:rsidR="004351C2"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 xml:space="preserve"> The </w:t>
      </w:r>
      <w:r w:rsidR="00F13C63" w:rsidRPr="001B3BA5">
        <w:rPr>
          <w:rFonts w:asciiTheme="majorBidi" w:hAnsiTheme="majorBidi" w:cstheme="majorBidi"/>
          <w:sz w:val="24"/>
          <w:szCs w:val="24"/>
          <w:lang w:val="en-GB"/>
        </w:rPr>
        <w:t>standard</w:t>
      </w:r>
      <w:r w:rsidR="008643F0" w:rsidRPr="001B3BA5">
        <w:rPr>
          <w:rFonts w:asciiTheme="majorBidi" w:hAnsiTheme="majorBidi" w:cstheme="majorBidi"/>
          <w:sz w:val="24"/>
          <w:szCs w:val="24"/>
          <w:lang w:val="en-GB"/>
        </w:rPr>
        <w:t>ise</w:t>
      </w:r>
      <w:r w:rsidR="00F13C63" w:rsidRPr="001B3BA5">
        <w:rPr>
          <w:rFonts w:asciiTheme="majorBidi" w:hAnsiTheme="majorBidi" w:cstheme="majorBidi"/>
          <w:sz w:val="24"/>
          <w:szCs w:val="24"/>
          <w:lang w:val="en-GB"/>
        </w:rPr>
        <w:t xml:space="preserve">d </w:t>
      </w:r>
      <w:r w:rsidRPr="001B3BA5">
        <w:rPr>
          <w:rFonts w:asciiTheme="majorBidi" w:hAnsiTheme="majorBidi" w:cstheme="majorBidi"/>
          <w:sz w:val="24"/>
          <w:szCs w:val="24"/>
          <w:lang w:val="en-GB"/>
        </w:rPr>
        <w:t xml:space="preserve">total effects </w:t>
      </w:r>
      <w:r w:rsidR="007D58D1" w:rsidRPr="001B3BA5">
        <w:rPr>
          <w:rFonts w:asciiTheme="majorBidi" w:hAnsiTheme="majorBidi" w:cstheme="majorBidi"/>
          <w:sz w:val="24"/>
          <w:szCs w:val="24"/>
          <w:lang w:val="en-GB"/>
        </w:rPr>
        <w:t xml:space="preserve">also </w:t>
      </w:r>
      <w:r w:rsidR="00E05515" w:rsidRPr="001B3BA5">
        <w:rPr>
          <w:rFonts w:asciiTheme="majorBidi" w:hAnsiTheme="majorBidi" w:cstheme="majorBidi"/>
          <w:sz w:val="24"/>
          <w:szCs w:val="24"/>
          <w:lang w:val="en-GB"/>
        </w:rPr>
        <w:t xml:space="preserve">indicate </w:t>
      </w:r>
      <w:r w:rsidR="007D58D1" w:rsidRPr="001B3BA5">
        <w:rPr>
          <w:rFonts w:asciiTheme="majorBidi" w:hAnsiTheme="majorBidi" w:cstheme="majorBidi"/>
          <w:sz w:val="24"/>
          <w:szCs w:val="24"/>
          <w:lang w:val="en-GB"/>
        </w:rPr>
        <w:t xml:space="preserve">that CPO was related to a higher likelihood of having voted </w:t>
      </w:r>
      <w:r w:rsidR="00B146E8"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leave</w:t>
      </w:r>
      <w:r w:rsidR="00B146E8"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 xml:space="preserve"> in the Brexit referendum</w:t>
      </w:r>
      <w:r w:rsidR="00545039" w:rsidRPr="001B3BA5">
        <w:rPr>
          <w:rFonts w:asciiTheme="majorBidi" w:hAnsiTheme="majorBidi" w:cstheme="majorBidi"/>
          <w:sz w:val="24"/>
          <w:szCs w:val="24"/>
          <w:lang w:val="en-GB"/>
        </w:rPr>
        <w:t xml:space="preserve"> (</w:t>
      </w:r>
      <w:r w:rsidR="00545039"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545039" w:rsidRPr="001B3BA5">
        <w:rPr>
          <w:rFonts w:asciiTheme="majorBidi" w:hAnsiTheme="majorBidi" w:cstheme="majorBidi"/>
          <w:sz w:val="24"/>
          <w:szCs w:val="24"/>
          <w:lang w:val="en-GB"/>
        </w:rPr>
        <w:t>.</w:t>
      </w:r>
      <w:r w:rsidR="00626E64" w:rsidRPr="001B3BA5">
        <w:rPr>
          <w:rFonts w:asciiTheme="majorBidi" w:hAnsiTheme="majorBidi" w:cstheme="majorBidi"/>
          <w:sz w:val="24"/>
          <w:szCs w:val="24"/>
          <w:lang w:val="en-GB"/>
        </w:rPr>
        <w:t>194</w:t>
      </w:r>
      <w:r w:rsidR="00545039" w:rsidRPr="001B3BA5">
        <w:rPr>
          <w:rFonts w:asciiTheme="majorBidi" w:hAnsiTheme="majorBidi" w:cstheme="majorBidi"/>
          <w:sz w:val="24"/>
          <w:szCs w:val="24"/>
          <w:lang w:val="en-GB"/>
        </w:rPr>
        <w:t xml:space="preserve">, </w:t>
      </w:r>
      <w:r w:rsidR="00545039"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545039" w:rsidRPr="001B3BA5">
        <w:rPr>
          <w:rFonts w:asciiTheme="majorBidi" w:hAnsiTheme="majorBidi" w:cstheme="majorBidi"/>
          <w:sz w:val="24"/>
          <w:szCs w:val="24"/>
          <w:lang w:val="en-GB"/>
        </w:rPr>
        <w:t>.</w:t>
      </w:r>
      <w:r w:rsidR="00626E64" w:rsidRPr="001B3BA5">
        <w:rPr>
          <w:rFonts w:asciiTheme="majorBidi" w:hAnsiTheme="majorBidi" w:cstheme="majorBidi"/>
          <w:sz w:val="24"/>
          <w:szCs w:val="24"/>
          <w:lang w:val="en-GB"/>
        </w:rPr>
        <w:t>075</w:t>
      </w:r>
      <w:r w:rsidR="00545039" w:rsidRPr="001B3BA5">
        <w:rPr>
          <w:rFonts w:asciiTheme="majorBidi" w:hAnsiTheme="majorBidi" w:cstheme="majorBidi"/>
          <w:sz w:val="24"/>
          <w:szCs w:val="24"/>
          <w:lang w:val="en-GB"/>
        </w:rPr>
        <w:t xml:space="preserve">, </w:t>
      </w:r>
      <w:r w:rsidR="00545039" w:rsidRPr="001B3BA5">
        <w:rPr>
          <w:rFonts w:asciiTheme="majorBidi" w:hAnsiTheme="majorBidi" w:cstheme="majorBidi"/>
          <w:i/>
          <w:sz w:val="24"/>
          <w:szCs w:val="24"/>
          <w:lang w:val="en-GB"/>
        </w:rPr>
        <w:t>p</w:t>
      </w:r>
      <w:r w:rsidR="00626E64" w:rsidRPr="001B3BA5">
        <w:rPr>
          <w:rFonts w:asciiTheme="majorBidi" w:hAnsiTheme="majorBidi" w:cstheme="majorBidi"/>
          <w:sz w:val="24"/>
          <w:szCs w:val="24"/>
          <w:lang w:val="en-GB"/>
        </w:rPr>
        <w:t>=</w:t>
      </w:r>
      <w:r w:rsidR="00545039" w:rsidRPr="001B3BA5">
        <w:rPr>
          <w:rFonts w:asciiTheme="majorBidi" w:hAnsiTheme="majorBidi" w:cstheme="majorBidi"/>
          <w:sz w:val="24"/>
          <w:szCs w:val="24"/>
          <w:lang w:val="en-GB"/>
        </w:rPr>
        <w:t>.0</w:t>
      </w:r>
      <w:r w:rsidR="00626E64" w:rsidRPr="001B3BA5">
        <w:rPr>
          <w:rFonts w:asciiTheme="majorBidi" w:hAnsiTheme="majorBidi" w:cstheme="majorBidi"/>
          <w:sz w:val="24"/>
          <w:szCs w:val="24"/>
          <w:lang w:val="en-GB"/>
        </w:rPr>
        <w:t>09</w:t>
      </w:r>
      <w:r w:rsidR="00545039" w:rsidRPr="001B3BA5">
        <w:rPr>
          <w:rFonts w:asciiTheme="majorBidi" w:hAnsiTheme="majorBidi" w:cstheme="majorBidi"/>
          <w:sz w:val="24"/>
          <w:szCs w:val="24"/>
          <w:lang w:val="en-GB"/>
        </w:rPr>
        <w:t>)</w:t>
      </w:r>
      <w:r w:rsidR="006012BF" w:rsidRPr="001B3BA5">
        <w:rPr>
          <w:rFonts w:asciiTheme="majorBidi" w:hAnsiTheme="majorBidi" w:cstheme="majorBidi"/>
          <w:sz w:val="24"/>
          <w:szCs w:val="24"/>
          <w:lang w:val="en-GB"/>
        </w:rPr>
        <w:t>, consistent with H3</w:t>
      </w:r>
      <w:r w:rsidR="00545039"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 xml:space="preserve"> This association was mediated by both attitudes towards immigrant minorities (</w:t>
      </w:r>
      <w:r w:rsidR="007D58D1"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.0</w:t>
      </w:r>
      <w:r w:rsidR="00626E64" w:rsidRPr="001B3BA5">
        <w:rPr>
          <w:rFonts w:asciiTheme="majorBidi" w:hAnsiTheme="majorBidi" w:cstheme="majorBidi"/>
          <w:sz w:val="24"/>
          <w:szCs w:val="24"/>
          <w:lang w:val="en-GB"/>
        </w:rPr>
        <w:t>54</w:t>
      </w:r>
      <w:r w:rsidR="007D58D1" w:rsidRPr="001B3BA5">
        <w:rPr>
          <w:rFonts w:asciiTheme="majorBidi" w:hAnsiTheme="majorBidi" w:cstheme="majorBidi"/>
          <w:sz w:val="24"/>
          <w:szCs w:val="24"/>
          <w:lang w:val="en-GB"/>
        </w:rPr>
        <w:t xml:space="preserve">, </w:t>
      </w:r>
      <w:r w:rsidR="007D58D1"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.0</w:t>
      </w:r>
      <w:r w:rsidR="00626E64" w:rsidRPr="001B3BA5">
        <w:rPr>
          <w:rFonts w:asciiTheme="majorBidi" w:hAnsiTheme="majorBidi" w:cstheme="majorBidi"/>
          <w:sz w:val="24"/>
          <w:szCs w:val="24"/>
          <w:lang w:val="en-GB"/>
        </w:rPr>
        <w:t>21</w:t>
      </w:r>
      <w:r w:rsidR="007D58D1" w:rsidRPr="001B3BA5">
        <w:rPr>
          <w:rFonts w:asciiTheme="majorBidi" w:hAnsiTheme="majorBidi" w:cstheme="majorBidi"/>
          <w:sz w:val="24"/>
          <w:szCs w:val="24"/>
          <w:lang w:val="en-GB"/>
        </w:rPr>
        <w:t xml:space="preserve">, </w:t>
      </w:r>
      <w:r w:rsidR="007D58D1"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.01</w:t>
      </w:r>
      <w:r w:rsidR="00626E64" w:rsidRPr="001B3BA5">
        <w:rPr>
          <w:rFonts w:asciiTheme="majorBidi" w:hAnsiTheme="majorBidi" w:cstheme="majorBidi"/>
          <w:sz w:val="24"/>
          <w:szCs w:val="24"/>
          <w:lang w:val="en-GB"/>
        </w:rPr>
        <w:t>0</w:t>
      </w:r>
      <w:r w:rsidR="00FA206F" w:rsidRPr="001B3BA5">
        <w:rPr>
          <w:rFonts w:asciiTheme="majorBidi" w:hAnsiTheme="majorBidi" w:cstheme="majorBidi"/>
          <w:sz w:val="24"/>
          <w:szCs w:val="24"/>
          <w:lang w:val="en-GB"/>
        </w:rPr>
        <w:t>, 95% CI [.</w:t>
      </w:r>
      <w:r w:rsidR="000E5BB8" w:rsidRPr="001B3BA5">
        <w:rPr>
          <w:rFonts w:asciiTheme="majorBidi" w:hAnsiTheme="majorBidi" w:cstheme="majorBidi"/>
          <w:sz w:val="24"/>
          <w:szCs w:val="24"/>
          <w:lang w:val="en-GB"/>
        </w:rPr>
        <w:t>010</w:t>
      </w:r>
      <w:r w:rsidR="00FA206F" w:rsidRPr="001B3BA5">
        <w:rPr>
          <w:rFonts w:asciiTheme="majorBidi" w:hAnsiTheme="majorBidi" w:cstheme="majorBidi"/>
          <w:sz w:val="24"/>
          <w:szCs w:val="24"/>
          <w:lang w:val="en-GB"/>
        </w:rPr>
        <w:t>, .</w:t>
      </w:r>
      <w:r w:rsidR="000E5BB8" w:rsidRPr="001B3BA5">
        <w:rPr>
          <w:rFonts w:asciiTheme="majorBidi" w:hAnsiTheme="majorBidi" w:cstheme="majorBidi"/>
          <w:sz w:val="24"/>
          <w:szCs w:val="24"/>
          <w:lang w:val="en-GB"/>
        </w:rPr>
        <w:t>098</w:t>
      </w:r>
      <w:r w:rsidR="00FA206F"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 and attitudes towards European integration (</w:t>
      </w:r>
      <w:r w:rsidR="007D58D1"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w:t>
      </w:r>
      <w:r w:rsidR="00626E64" w:rsidRPr="001B3BA5">
        <w:rPr>
          <w:rFonts w:asciiTheme="majorBidi" w:hAnsiTheme="majorBidi" w:cstheme="majorBidi"/>
          <w:sz w:val="24"/>
          <w:szCs w:val="24"/>
          <w:lang w:val="en-GB"/>
        </w:rPr>
        <w:t>092</w:t>
      </w:r>
      <w:r w:rsidR="007D58D1" w:rsidRPr="001B3BA5">
        <w:rPr>
          <w:rFonts w:asciiTheme="majorBidi" w:hAnsiTheme="majorBidi" w:cstheme="majorBidi"/>
          <w:sz w:val="24"/>
          <w:szCs w:val="24"/>
          <w:lang w:val="en-GB"/>
        </w:rPr>
        <w:t xml:space="preserve">, </w:t>
      </w:r>
      <w:r w:rsidR="007D58D1"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.0</w:t>
      </w:r>
      <w:r w:rsidR="00626E64" w:rsidRPr="001B3BA5">
        <w:rPr>
          <w:rFonts w:asciiTheme="majorBidi" w:hAnsiTheme="majorBidi" w:cstheme="majorBidi"/>
          <w:sz w:val="24"/>
          <w:szCs w:val="24"/>
          <w:lang w:val="en-GB"/>
        </w:rPr>
        <w:t>32</w:t>
      </w:r>
      <w:r w:rsidR="007D58D1" w:rsidRPr="001B3BA5">
        <w:rPr>
          <w:rFonts w:asciiTheme="majorBidi" w:hAnsiTheme="majorBidi" w:cstheme="majorBidi"/>
          <w:sz w:val="24"/>
          <w:szCs w:val="24"/>
          <w:lang w:val="en-GB"/>
        </w:rPr>
        <w:t xml:space="preserve">, </w:t>
      </w:r>
      <w:r w:rsidR="007D58D1" w:rsidRPr="001B3BA5">
        <w:rPr>
          <w:rFonts w:asciiTheme="majorBidi" w:hAnsiTheme="majorBidi" w:cstheme="majorBidi"/>
          <w:i/>
          <w:sz w:val="24"/>
          <w:szCs w:val="24"/>
          <w:lang w:val="en-GB"/>
        </w:rPr>
        <w:t>p</w:t>
      </w:r>
      <w:r w:rsidR="00626E64"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.00</w:t>
      </w:r>
      <w:r w:rsidR="00626E64" w:rsidRPr="001B3BA5">
        <w:rPr>
          <w:rFonts w:asciiTheme="majorBidi" w:hAnsiTheme="majorBidi" w:cstheme="majorBidi"/>
          <w:sz w:val="24"/>
          <w:szCs w:val="24"/>
          <w:lang w:val="en-GB"/>
        </w:rPr>
        <w:t>4</w:t>
      </w:r>
      <w:r w:rsidR="00FA206F" w:rsidRPr="001B3BA5">
        <w:rPr>
          <w:rFonts w:asciiTheme="majorBidi" w:hAnsiTheme="majorBidi" w:cstheme="majorBidi"/>
          <w:sz w:val="24"/>
          <w:szCs w:val="24"/>
          <w:lang w:val="en-GB"/>
        </w:rPr>
        <w:t>, 95% CI [.</w:t>
      </w:r>
      <w:r w:rsidR="000E5BB8" w:rsidRPr="001B3BA5">
        <w:rPr>
          <w:rFonts w:asciiTheme="majorBidi" w:hAnsiTheme="majorBidi" w:cstheme="majorBidi"/>
          <w:sz w:val="24"/>
          <w:szCs w:val="24"/>
          <w:lang w:val="en-GB"/>
        </w:rPr>
        <w:t>026</w:t>
      </w:r>
      <w:r w:rsidR="00FA206F" w:rsidRPr="001B3BA5">
        <w:rPr>
          <w:rFonts w:asciiTheme="majorBidi" w:hAnsiTheme="majorBidi" w:cstheme="majorBidi"/>
          <w:sz w:val="24"/>
          <w:szCs w:val="24"/>
          <w:lang w:val="en-GB"/>
        </w:rPr>
        <w:t>, .1</w:t>
      </w:r>
      <w:r w:rsidR="000E5BB8" w:rsidRPr="001B3BA5">
        <w:rPr>
          <w:rFonts w:asciiTheme="majorBidi" w:hAnsiTheme="majorBidi" w:cstheme="majorBidi"/>
          <w:sz w:val="24"/>
          <w:szCs w:val="24"/>
          <w:lang w:val="en-GB"/>
        </w:rPr>
        <w:t>5</w:t>
      </w:r>
      <w:r w:rsidR="00FA206F" w:rsidRPr="001B3BA5">
        <w:rPr>
          <w:rFonts w:asciiTheme="majorBidi" w:hAnsiTheme="majorBidi" w:cstheme="majorBidi"/>
          <w:sz w:val="24"/>
          <w:szCs w:val="24"/>
          <w:lang w:val="en-GB"/>
        </w:rPr>
        <w:t>9]</w:t>
      </w:r>
      <w:r w:rsidR="007D58D1" w:rsidRPr="001B3BA5">
        <w:rPr>
          <w:rFonts w:asciiTheme="majorBidi" w:hAnsiTheme="majorBidi" w:cstheme="majorBidi"/>
          <w:sz w:val="24"/>
          <w:szCs w:val="24"/>
          <w:lang w:val="en-GB"/>
        </w:rPr>
        <w:t>), consistent with H3</w:t>
      </w:r>
      <w:r w:rsidR="006012BF" w:rsidRPr="001B3BA5">
        <w:rPr>
          <w:rFonts w:asciiTheme="majorBidi" w:hAnsiTheme="majorBidi" w:cstheme="majorBidi"/>
          <w:sz w:val="24"/>
          <w:szCs w:val="24"/>
          <w:lang w:val="en-GB"/>
        </w:rPr>
        <w:t>b and H3c</w:t>
      </w:r>
      <w:r w:rsidR="007D58D1" w:rsidRPr="001B3BA5">
        <w:rPr>
          <w:rFonts w:asciiTheme="majorBidi" w:hAnsiTheme="majorBidi" w:cstheme="majorBidi"/>
          <w:sz w:val="24"/>
          <w:szCs w:val="24"/>
          <w:lang w:val="en-GB"/>
        </w:rPr>
        <w:t xml:space="preserve">. </w:t>
      </w:r>
      <w:r w:rsidR="00626E64" w:rsidRPr="001B3BA5">
        <w:rPr>
          <w:rFonts w:asciiTheme="majorBidi" w:hAnsiTheme="majorBidi" w:cstheme="majorBidi"/>
          <w:sz w:val="24"/>
          <w:szCs w:val="24"/>
          <w:lang w:val="en-GB"/>
        </w:rPr>
        <w:t>No direct relationship remained</w:t>
      </w:r>
      <w:r w:rsidR="007D58D1" w:rsidRPr="001B3BA5">
        <w:rPr>
          <w:rFonts w:asciiTheme="majorBidi" w:hAnsiTheme="majorBidi" w:cstheme="majorBidi"/>
          <w:sz w:val="24"/>
          <w:szCs w:val="24"/>
          <w:lang w:val="en-GB"/>
        </w:rPr>
        <w:t xml:space="preserve"> (</w:t>
      </w:r>
      <w:r w:rsidR="007D58D1"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w:t>
      </w:r>
      <w:r w:rsidR="00626E64" w:rsidRPr="001B3BA5">
        <w:rPr>
          <w:rFonts w:asciiTheme="majorBidi" w:hAnsiTheme="majorBidi" w:cstheme="majorBidi"/>
          <w:sz w:val="24"/>
          <w:szCs w:val="24"/>
          <w:lang w:val="en-GB"/>
        </w:rPr>
        <w:t>048</w:t>
      </w:r>
      <w:r w:rsidR="007D58D1" w:rsidRPr="001B3BA5">
        <w:rPr>
          <w:rFonts w:asciiTheme="majorBidi" w:hAnsiTheme="majorBidi" w:cstheme="majorBidi"/>
          <w:sz w:val="24"/>
          <w:szCs w:val="24"/>
          <w:lang w:val="en-GB"/>
        </w:rPr>
        <w:t xml:space="preserve"> </w:t>
      </w:r>
      <w:r w:rsidR="007D58D1"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w:t>
      </w:r>
      <w:r w:rsidR="00626E64" w:rsidRPr="001B3BA5">
        <w:rPr>
          <w:rFonts w:asciiTheme="majorBidi" w:hAnsiTheme="majorBidi" w:cstheme="majorBidi"/>
          <w:sz w:val="24"/>
          <w:szCs w:val="24"/>
          <w:lang w:val="en-GB"/>
        </w:rPr>
        <w:t>069</w:t>
      </w:r>
      <w:r w:rsidR="007D58D1" w:rsidRPr="001B3BA5">
        <w:rPr>
          <w:rFonts w:asciiTheme="majorBidi" w:hAnsiTheme="majorBidi" w:cstheme="majorBidi"/>
          <w:sz w:val="24"/>
          <w:szCs w:val="24"/>
          <w:lang w:val="en-GB"/>
        </w:rPr>
        <w:t xml:space="preserve">, </w:t>
      </w:r>
      <w:r w:rsidR="007D58D1"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w:t>
      </w:r>
      <w:r w:rsidR="007D58D1" w:rsidRPr="001B3BA5">
        <w:rPr>
          <w:rFonts w:asciiTheme="majorBidi" w:hAnsiTheme="majorBidi" w:cstheme="majorBidi"/>
          <w:sz w:val="24"/>
          <w:szCs w:val="24"/>
          <w:lang w:val="en-GB"/>
        </w:rPr>
        <w:t>.</w:t>
      </w:r>
      <w:r w:rsidR="00626E64" w:rsidRPr="001B3BA5">
        <w:rPr>
          <w:rFonts w:asciiTheme="majorBidi" w:hAnsiTheme="majorBidi" w:cstheme="majorBidi"/>
          <w:sz w:val="24"/>
          <w:szCs w:val="24"/>
          <w:lang w:val="en-GB"/>
        </w:rPr>
        <w:t>487</w:t>
      </w:r>
      <w:r w:rsidR="007D58D1" w:rsidRPr="001B3BA5">
        <w:rPr>
          <w:rFonts w:asciiTheme="majorBidi" w:hAnsiTheme="majorBidi" w:cstheme="majorBidi"/>
          <w:sz w:val="24"/>
          <w:szCs w:val="24"/>
          <w:lang w:val="en-GB"/>
        </w:rPr>
        <w:t>)</w:t>
      </w:r>
      <w:r w:rsidR="00626E64" w:rsidRPr="001B3BA5">
        <w:rPr>
          <w:rFonts w:asciiTheme="majorBidi" w:hAnsiTheme="majorBidi" w:cstheme="majorBidi"/>
          <w:sz w:val="24"/>
          <w:szCs w:val="24"/>
          <w:lang w:val="en-GB"/>
        </w:rPr>
        <w:t>.</w:t>
      </w:r>
      <w:r w:rsidR="00DE0FDC" w:rsidRPr="001B3BA5">
        <w:rPr>
          <w:rFonts w:asciiTheme="majorBidi" w:hAnsiTheme="majorBidi" w:cstheme="majorBidi"/>
          <w:sz w:val="24"/>
          <w:szCs w:val="24"/>
          <w:lang w:val="en-GB"/>
        </w:rPr>
        <w:t xml:space="preserve"> </w:t>
      </w:r>
      <w:r w:rsidR="00DA45CB" w:rsidRPr="001B3BA5">
        <w:rPr>
          <w:rFonts w:asciiTheme="majorBidi" w:hAnsiTheme="majorBidi" w:cstheme="majorBidi"/>
          <w:sz w:val="24"/>
          <w:szCs w:val="24"/>
          <w:lang w:val="en-GB"/>
        </w:rPr>
        <w:t>Comparisons between standard</w:t>
      </w:r>
      <w:r w:rsidR="008643F0" w:rsidRPr="001B3BA5">
        <w:rPr>
          <w:rFonts w:asciiTheme="majorBidi" w:hAnsiTheme="majorBidi" w:cstheme="majorBidi"/>
          <w:sz w:val="24"/>
          <w:szCs w:val="24"/>
          <w:lang w:val="en-GB"/>
        </w:rPr>
        <w:t>ise</w:t>
      </w:r>
      <w:r w:rsidR="00DA45CB" w:rsidRPr="001B3BA5">
        <w:rPr>
          <w:rFonts w:asciiTheme="majorBidi" w:hAnsiTheme="majorBidi" w:cstheme="majorBidi"/>
          <w:sz w:val="24"/>
          <w:szCs w:val="24"/>
          <w:lang w:val="en-GB"/>
        </w:rPr>
        <w:t xml:space="preserve">d associations suggest that </w:t>
      </w:r>
      <w:r w:rsidR="00DE0FDC" w:rsidRPr="001B3BA5">
        <w:rPr>
          <w:rFonts w:asciiTheme="majorBidi" w:hAnsiTheme="majorBidi" w:cstheme="majorBidi"/>
          <w:sz w:val="24"/>
          <w:szCs w:val="24"/>
          <w:lang w:val="en-GB"/>
        </w:rPr>
        <w:t>CPO was a stronger predictor of immigrant minority attitudes than national identification</w:t>
      </w:r>
      <w:r w:rsidR="00A102A6" w:rsidRPr="001B3BA5">
        <w:rPr>
          <w:rFonts w:asciiTheme="majorBidi" w:hAnsiTheme="majorBidi" w:cstheme="majorBidi"/>
          <w:sz w:val="24"/>
          <w:szCs w:val="24"/>
          <w:lang w:val="en-GB"/>
        </w:rPr>
        <w:t xml:space="preserve"> (</w:t>
      </w:r>
      <w:r w:rsidR="00A102A6" w:rsidRPr="001B3BA5">
        <w:rPr>
          <w:rFonts w:asciiTheme="majorBidi" w:eastAsia="Times New Roman" w:hAnsiTheme="majorBidi" w:cstheme="majorBidi"/>
          <w:i/>
          <w:iCs/>
          <w:color w:val="000000"/>
          <w:sz w:val="24"/>
          <w:szCs w:val="24"/>
          <w:lang w:val="en-GB" w:eastAsia="nl-NL"/>
        </w:rPr>
        <w:t>β</w:t>
      </w:r>
      <w:r w:rsidR="00A102A6" w:rsidRPr="001B3BA5">
        <w:rPr>
          <w:rFonts w:asciiTheme="majorBidi" w:hAnsiTheme="majorBidi" w:cstheme="majorBidi"/>
          <w:sz w:val="24"/>
          <w:szCs w:val="24"/>
          <w:lang w:val="en-GB"/>
        </w:rPr>
        <w:t xml:space="preserve">=.004, </w:t>
      </w:r>
      <w:r w:rsidR="00A102A6" w:rsidRPr="001B3BA5">
        <w:rPr>
          <w:rFonts w:asciiTheme="majorBidi" w:hAnsiTheme="majorBidi" w:cstheme="majorBidi"/>
          <w:i/>
          <w:sz w:val="24"/>
          <w:szCs w:val="24"/>
          <w:lang w:val="en-GB"/>
        </w:rPr>
        <w:t>SE</w:t>
      </w:r>
      <w:r w:rsidR="00A102A6" w:rsidRPr="001B3BA5">
        <w:rPr>
          <w:rFonts w:asciiTheme="majorBidi" w:hAnsiTheme="majorBidi" w:cstheme="majorBidi"/>
          <w:sz w:val="24"/>
          <w:szCs w:val="24"/>
          <w:lang w:val="en-GB"/>
        </w:rPr>
        <w:t xml:space="preserve">=.072, </w:t>
      </w:r>
      <w:r w:rsidR="00A102A6" w:rsidRPr="001B3BA5">
        <w:rPr>
          <w:rFonts w:asciiTheme="majorBidi" w:hAnsiTheme="majorBidi" w:cstheme="majorBidi"/>
          <w:i/>
          <w:sz w:val="24"/>
          <w:szCs w:val="24"/>
          <w:lang w:val="en-GB"/>
        </w:rPr>
        <w:t>p</w:t>
      </w:r>
      <w:r w:rsidR="00A102A6" w:rsidRPr="001B3BA5">
        <w:rPr>
          <w:rFonts w:asciiTheme="majorBidi" w:hAnsiTheme="majorBidi" w:cstheme="majorBidi"/>
          <w:sz w:val="24"/>
          <w:szCs w:val="24"/>
          <w:lang w:val="en-GB"/>
        </w:rPr>
        <w:t>=.958)</w:t>
      </w:r>
      <w:r w:rsidR="00DE0FDC" w:rsidRPr="001B3BA5">
        <w:rPr>
          <w:rFonts w:asciiTheme="majorBidi" w:hAnsiTheme="majorBidi" w:cstheme="majorBidi"/>
          <w:sz w:val="24"/>
          <w:szCs w:val="24"/>
          <w:lang w:val="en-GB"/>
        </w:rPr>
        <w:t>, place attachment</w:t>
      </w:r>
      <w:r w:rsidR="00A102A6" w:rsidRPr="001B3BA5">
        <w:rPr>
          <w:rFonts w:asciiTheme="majorBidi" w:hAnsiTheme="majorBidi" w:cstheme="majorBidi"/>
          <w:sz w:val="24"/>
          <w:szCs w:val="24"/>
          <w:lang w:val="en-GB"/>
        </w:rPr>
        <w:t xml:space="preserve"> (</w:t>
      </w:r>
      <w:r w:rsidR="00A102A6" w:rsidRPr="001B3BA5">
        <w:rPr>
          <w:rFonts w:asciiTheme="majorBidi" w:eastAsia="Times New Roman" w:hAnsiTheme="majorBidi" w:cstheme="majorBidi"/>
          <w:i/>
          <w:iCs/>
          <w:color w:val="000000"/>
          <w:sz w:val="24"/>
          <w:szCs w:val="24"/>
          <w:lang w:val="en-GB" w:eastAsia="nl-NL"/>
        </w:rPr>
        <w:t>β</w:t>
      </w:r>
      <w:r w:rsidR="00A102A6" w:rsidRPr="001B3BA5">
        <w:rPr>
          <w:rFonts w:asciiTheme="majorBidi" w:hAnsiTheme="majorBidi" w:cstheme="majorBidi"/>
          <w:sz w:val="24"/>
          <w:szCs w:val="24"/>
          <w:lang w:val="en-GB"/>
        </w:rPr>
        <w:t xml:space="preserve">=.195, </w:t>
      </w:r>
      <w:r w:rsidR="00A102A6" w:rsidRPr="001B3BA5">
        <w:rPr>
          <w:rFonts w:asciiTheme="majorBidi" w:hAnsiTheme="majorBidi" w:cstheme="majorBidi"/>
          <w:i/>
          <w:sz w:val="24"/>
          <w:szCs w:val="24"/>
          <w:lang w:val="en-GB"/>
        </w:rPr>
        <w:t>SE</w:t>
      </w:r>
      <w:r w:rsidR="00A102A6" w:rsidRPr="001B3BA5">
        <w:rPr>
          <w:rFonts w:asciiTheme="majorBidi" w:hAnsiTheme="majorBidi" w:cstheme="majorBidi"/>
          <w:sz w:val="24"/>
          <w:szCs w:val="24"/>
          <w:lang w:val="en-GB"/>
        </w:rPr>
        <w:t xml:space="preserve">=.069, </w:t>
      </w:r>
      <w:r w:rsidR="00A102A6" w:rsidRPr="001B3BA5">
        <w:rPr>
          <w:rFonts w:asciiTheme="majorBidi" w:hAnsiTheme="majorBidi" w:cstheme="majorBidi"/>
          <w:i/>
          <w:sz w:val="24"/>
          <w:szCs w:val="24"/>
          <w:lang w:val="en-GB"/>
        </w:rPr>
        <w:t>p</w:t>
      </w:r>
      <w:r w:rsidR="00A102A6" w:rsidRPr="001B3BA5">
        <w:rPr>
          <w:rFonts w:asciiTheme="majorBidi" w:hAnsiTheme="majorBidi" w:cstheme="majorBidi"/>
          <w:sz w:val="24"/>
          <w:szCs w:val="24"/>
          <w:lang w:val="en-GB"/>
        </w:rPr>
        <w:t>=.005)</w:t>
      </w:r>
      <w:r w:rsidR="00DE0FDC" w:rsidRPr="001B3BA5">
        <w:rPr>
          <w:rFonts w:asciiTheme="majorBidi" w:hAnsiTheme="majorBidi" w:cstheme="majorBidi"/>
          <w:sz w:val="24"/>
          <w:szCs w:val="24"/>
          <w:lang w:val="en-GB"/>
        </w:rPr>
        <w:t>, and adherence to sovereignty</w:t>
      </w:r>
      <w:r w:rsidR="00A102A6" w:rsidRPr="001B3BA5">
        <w:rPr>
          <w:rFonts w:asciiTheme="majorBidi" w:hAnsiTheme="majorBidi" w:cstheme="majorBidi"/>
          <w:sz w:val="24"/>
          <w:szCs w:val="24"/>
          <w:lang w:val="en-GB"/>
        </w:rPr>
        <w:t xml:space="preserve"> (</w:t>
      </w:r>
      <w:r w:rsidR="00A102A6" w:rsidRPr="001B3BA5">
        <w:rPr>
          <w:rFonts w:asciiTheme="majorBidi" w:eastAsia="Times New Roman" w:hAnsiTheme="majorBidi" w:cstheme="majorBidi"/>
          <w:i/>
          <w:iCs/>
          <w:color w:val="000000"/>
          <w:sz w:val="24"/>
          <w:szCs w:val="24"/>
          <w:lang w:val="en-GB" w:eastAsia="nl-NL"/>
        </w:rPr>
        <w:t>β</w:t>
      </w:r>
      <w:r w:rsidR="00A102A6" w:rsidRPr="001B3BA5">
        <w:rPr>
          <w:rFonts w:asciiTheme="majorBidi" w:hAnsiTheme="majorBidi" w:cstheme="majorBidi"/>
          <w:sz w:val="24"/>
          <w:szCs w:val="24"/>
          <w:lang w:val="en-GB"/>
        </w:rPr>
        <w:t xml:space="preserve">=-.157, </w:t>
      </w:r>
      <w:r w:rsidR="00A102A6" w:rsidRPr="001B3BA5">
        <w:rPr>
          <w:rFonts w:asciiTheme="majorBidi" w:hAnsiTheme="majorBidi" w:cstheme="majorBidi"/>
          <w:i/>
          <w:sz w:val="24"/>
          <w:szCs w:val="24"/>
          <w:lang w:val="en-GB"/>
        </w:rPr>
        <w:t>SE</w:t>
      </w:r>
      <w:r w:rsidR="00A102A6" w:rsidRPr="001B3BA5">
        <w:rPr>
          <w:rFonts w:asciiTheme="majorBidi" w:hAnsiTheme="majorBidi" w:cstheme="majorBidi"/>
          <w:sz w:val="24"/>
          <w:szCs w:val="24"/>
          <w:lang w:val="en-GB"/>
        </w:rPr>
        <w:t xml:space="preserve">=.057, </w:t>
      </w:r>
      <w:r w:rsidR="00A102A6" w:rsidRPr="001B3BA5">
        <w:rPr>
          <w:rFonts w:asciiTheme="majorBidi" w:hAnsiTheme="majorBidi" w:cstheme="majorBidi"/>
          <w:i/>
          <w:sz w:val="24"/>
          <w:szCs w:val="24"/>
          <w:lang w:val="en-GB"/>
        </w:rPr>
        <w:t>p</w:t>
      </w:r>
      <w:r w:rsidR="00A102A6" w:rsidRPr="001B3BA5">
        <w:rPr>
          <w:rFonts w:asciiTheme="majorBidi" w:hAnsiTheme="majorBidi" w:cstheme="majorBidi"/>
          <w:sz w:val="24"/>
          <w:szCs w:val="24"/>
          <w:lang w:val="en-GB"/>
        </w:rPr>
        <w:t>=.005)</w:t>
      </w:r>
      <w:r w:rsidR="00DE0FDC" w:rsidRPr="001B3BA5">
        <w:rPr>
          <w:rFonts w:asciiTheme="majorBidi" w:hAnsiTheme="majorBidi" w:cstheme="majorBidi"/>
          <w:sz w:val="24"/>
          <w:szCs w:val="24"/>
          <w:lang w:val="en-GB"/>
        </w:rPr>
        <w:t>. It was also a stronger predictor of European integration attitudes and Brexit vote than national identification (</w:t>
      </w:r>
      <w:r w:rsidR="00DE0FDC" w:rsidRPr="001B3BA5">
        <w:rPr>
          <w:rFonts w:asciiTheme="majorBidi" w:eastAsia="Times New Roman" w:hAnsiTheme="majorBidi" w:cstheme="majorBidi"/>
          <w:i/>
          <w:iCs/>
          <w:color w:val="000000"/>
          <w:sz w:val="24"/>
          <w:szCs w:val="24"/>
          <w:lang w:val="en-GB" w:eastAsia="nl-NL"/>
        </w:rPr>
        <w:t>β</w:t>
      </w:r>
      <w:r w:rsidR="009C1CB3" w:rsidRPr="001B3BA5">
        <w:rPr>
          <w:rFonts w:asciiTheme="majorBidi" w:eastAsia="Times New Roman" w:hAnsiTheme="majorBidi" w:cstheme="majorBidi"/>
          <w:i/>
          <w:iCs/>
          <w:color w:val="000000"/>
          <w:sz w:val="24"/>
          <w:szCs w:val="24"/>
          <w:lang w:val="en-GB" w:eastAsia="nl-NL"/>
        </w:rPr>
        <w:t xml:space="preserve"> </w:t>
      </w:r>
      <w:r w:rsidR="009C1CB3" w:rsidRPr="001B3BA5">
        <w:rPr>
          <w:rFonts w:asciiTheme="majorBidi" w:eastAsia="Times New Roman" w:hAnsiTheme="majorBidi" w:cstheme="majorBidi"/>
          <w:color w:val="000000"/>
          <w:sz w:val="24"/>
          <w:szCs w:val="24"/>
          <w:vertAlign w:val="subscript"/>
          <w:lang w:val="en-GB" w:eastAsia="nl-NL"/>
        </w:rPr>
        <w:t>EU</w:t>
      </w:r>
      <w:r w:rsidR="00DE0FDC" w:rsidRPr="001B3BA5">
        <w:rPr>
          <w:rFonts w:asciiTheme="majorBidi" w:hAnsiTheme="majorBidi" w:cstheme="majorBidi"/>
          <w:sz w:val="24"/>
          <w:szCs w:val="24"/>
          <w:lang w:val="en-GB"/>
        </w:rPr>
        <w:t>=-.</w:t>
      </w:r>
      <w:r w:rsidR="00A102A6" w:rsidRPr="001B3BA5">
        <w:rPr>
          <w:rFonts w:asciiTheme="majorBidi" w:hAnsiTheme="majorBidi" w:cstheme="majorBidi"/>
          <w:sz w:val="24"/>
          <w:szCs w:val="24"/>
          <w:lang w:val="en-GB"/>
        </w:rPr>
        <w:t>081</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SE</w:t>
      </w:r>
      <w:r w:rsidR="00DE0FDC" w:rsidRPr="001B3BA5">
        <w:rPr>
          <w:rFonts w:asciiTheme="majorBidi" w:hAnsiTheme="majorBidi" w:cstheme="majorBidi"/>
          <w:sz w:val="24"/>
          <w:szCs w:val="24"/>
          <w:lang w:val="en-GB"/>
        </w:rPr>
        <w:t>=.0</w:t>
      </w:r>
      <w:r w:rsidR="00A102A6" w:rsidRPr="001B3BA5">
        <w:rPr>
          <w:rFonts w:asciiTheme="majorBidi" w:hAnsiTheme="majorBidi" w:cstheme="majorBidi"/>
          <w:sz w:val="24"/>
          <w:szCs w:val="24"/>
          <w:lang w:val="en-GB"/>
        </w:rPr>
        <w:t>79</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p</w:t>
      </w:r>
      <w:r w:rsidR="00DE0FDC" w:rsidRPr="001B3BA5">
        <w:rPr>
          <w:rFonts w:asciiTheme="majorBidi" w:hAnsiTheme="majorBidi" w:cstheme="majorBidi"/>
          <w:sz w:val="24"/>
          <w:szCs w:val="24"/>
          <w:lang w:val="en-GB"/>
        </w:rPr>
        <w:t>=.</w:t>
      </w:r>
      <w:r w:rsidR="00A102A6" w:rsidRPr="001B3BA5">
        <w:rPr>
          <w:rFonts w:asciiTheme="majorBidi" w:hAnsiTheme="majorBidi" w:cstheme="majorBidi"/>
          <w:sz w:val="24"/>
          <w:szCs w:val="24"/>
          <w:lang w:val="en-GB"/>
        </w:rPr>
        <w:t>302</w:t>
      </w:r>
      <w:r w:rsidR="00DE0FDC" w:rsidRPr="001B3BA5">
        <w:rPr>
          <w:rFonts w:asciiTheme="majorBidi" w:hAnsiTheme="majorBidi" w:cstheme="majorBidi"/>
          <w:sz w:val="24"/>
          <w:szCs w:val="24"/>
          <w:lang w:val="en-GB"/>
        </w:rPr>
        <w:t xml:space="preserve"> and </w:t>
      </w:r>
      <w:r w:rsidR="00DE0FDC" w:rsidRPr="001B3BA5">
        <w:rPr>
          <w:rFonts w:asciiTheme="majorBidi" w:eastAsia="Times New Roman" w:hAnsiTheme="majorBidi" w:cstheme="majorBidi"/>
          <w:i/>
          <w:iCs/>
          <w:color w:val="000000"/>
          <w:sz w:val="24"/>
          <w:szCs w:val="24"/>
          <w:lang w:val="en-GB" w:eastAsia="nl-NL"/>
        </w:rPr>
        <w:t xml:space="preserve">β </w:t>
      </w:r>
      <w:r w:rsidR="009C1CB3" w:rsidRPr="001B3BA5">
        <w:rPr>
          <w:rFonts w:asciiTheme="majorBidi" w:eastAsia="Times New Roman" w:hAnsiTheme="majorBidi" w:cstheme="majorBidi"/>
          <w:iCs/>
          <w:color w:val="000000"/>
          <w:sz w:val="24"/>
          <w:szCs w:val="24"/>
          <w:vertAlign w:val="subscript"/>
          <w:lang w:val="en-GB" w:eastAsia="nl-NL"/>
        </w:rPr>
        <w:t>Brexit</w:t>
      </w:r>
      <w:r w:rsidR="00DE0FDC" w:rsidRPr="001B3BA5">
        <w:rPr>
          <w:rFonts w:asciiTheme="majorBidi" w:hAnsiTheme="majorBidi" w:cstheme="majorBidi"/>
          <w:sz w:val="24"/>
          <w:szCs w:val="24"/>
          <w:lang w:val="en-GB"/>
        </w:rPr>
        <w:t>=.</w:t>
      </w:r>
      <w:r w:rsidR="003E5F7B" w:rsidRPr="001B3BA5">
        <w:rPr>
          <w:rFonts w:asciiTheme="majorBidi" w:hAnsiTheme="majorBidi" w:cstheme="majorBidi"/>
          <w:sz w:val="24"/>
          <w:szCs w:val="24"/>
          <w:lang w:val="en-GB"/>
        </w:rPr>
        <w:t>062</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SE</w:t>
      </w:r>
      <w:r w:rsidR="00DE0FDC" w:rsidRPr="001B3BA5">
        <w:rPr>
          <w:rFonts w:asciiTheme="majorBidi" w:hAnsiTheme="majorBidi" w:cstheme="majorBidi"/>
          <w:sz w:val="24"/>
          <w:szCs w:val="24"/>
          <w:lang w:val="en-GB"/>
        </w:rPr>
        <w:t>=.08</w:t>
      </w:r>
      <w:r w:rsidR="003E5F7B" w:rsidRPr="001B3BA5">
        <w:rPr>
          <w:rFonts w:asciiTheme="majorBidi" w:hAnsiTheme="majorBidi" w:cstheme="majorBidi"/>
          <w:sz w:val="24"/>
          <w:szCs w:val="24"/>
          <w:lang w:val="en-GB"/>
        </w:rPr>
        <w:t>4</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p</w:t>
      </w:r>
      <w:r w:rsidR="00DE0FDC" w:rsidRPr="001B3BA5">
        <w:rPr>
          <w:rFonts w:asciiTheme="majorBidi" w:hAnsiTheme="majorBidi" w:cstheme="majorBidi"/>
          <w:sz w:val="24"/>
          <w:szCs w:val="24"/>
          <w:lang w:val="en-GB"/>
        </w:rPr>
        <w:t>=.</w:t>
      </w:r>
      <w:r w:rsidR="003E5F7B" w:rsidRPr="001B3BA5">
        <w:rPr>
          <w:rFonts w:asciiTheme="majorBidi" w:hAnsiTheme="majorBidi" w:cstheme="majorBidi"/>
          <w:sz w:val="24"/>
          <w:szCs w:val="24"/>
          <w:lang w:val="en-GB"/>
        </w:rPr>
        <w:t>455</w:t>
      </w:r>
      <w:r w:rsidR="00DE0FDC" w:rsidRPr="001B3BA5">
        <w:rPr>
          <w:rFonts w:asciiTheme="majorBidi" w:hAnsiTheme="majorBidi" w:cstheme="majorBidi"/>
          <w:sz w:val="24"/>
          <w:szCs w:val="24"/>
          <w:lang w:val="en-GB"/>
        </w:rPr>
        <w:t>) and place attachment (</w:t>
      </w:r>
      <w:r w:rsidR="00DE0FDC" w:rsidRPr="001B3BA5">
        <w:rPr>
          <w:rFonts w:asciiTheme="majorBidi" w:eastAsia="Times New Roman" w:hAnsiTheme="majorBidi" w:cstheme="majorBidi"/>
          <w:i/>
          <w:iCs/>
          <w:color w:val="000000"/>
          <w:sz w:val="24"/>
          <w:szCs w:val="24"/>
          <w:lang w:val="en-GB" w:eastAsia="nl-NL"/>
        </w:rPr>
        <w:t>β</w:t>
      </w:r>
      <w:r w:rsidR="009C1CB3" w:rsidRPr="001B3BA5">
        <w:rPr>
          <w:rFonts w:asciiTheme="majorBidi" w:eastAsia="Times New Roman" w:hAnsiTheme="majorBidi" w:cstheme="majorBidi"/>
          <w:i/>
          <w:iCs/>
          <w:color w:val="000000"/>
          <w:sz w:val="24"/>
          <w:szCs w:val="24"/>
          <w:lang w:val="en-GB" w:eastAsia="nl-NL"/>
        </w:rPr>
        <w:t xml:space="preserve"> </w:t>
      </w:r>
      <w:r w:rsidR="009C1CB3" w:rsidRPr="001B3BA5">
        <w:rPr>
          <w:rFonts w:asciiTheme="majorBidi" w:eastAsia="Times New Roman" w:hAnsiTheme="majorBidi" w:cstheme="majorBidi"/>
          <w:color w:val="000000"/>
          <w:sz w:val="24"/>
          <w:szCs w:val="24"/>
          <w:vertAlign w:val="subscript"/>
          <w:lang w:val="en-GB" w:eastAsia="nl-NL"/>
        </w:rPr>
        <w:t>EU</w:t>
      </w:r>
      <w:r w:rsidR="00DE0FDC" w:rsidRPr="001B3BA5">
        <w:rPr>
          <w:rFonts w:asciiTheme="majorBidi" w:hAnsiTheme="majorBidi" w:cstheme="majorBidi"/>
          <w:sz w:val="24"/>
          <w:szCs w:val="24"/>
          <w:lang w:val="en-GB"/>
        </w:rPr>
        <w:t>=.</w:t>
      </w:r>
      <w:r w:rsidR="00A102A6" w:rsidRPr="001B3BA5">
        <w:rPr>
          <w:rFonts w:asciiTheme="majorBidi" w:hAnsiTheme="majorBidi" w:cstheme="majorBidi"/>
          <w:sz w:val="24"/>
          <w:szCs w:val="24"/>
          <w:lang w:val="en-GB"/>
        </w:rPr>
        <w:t>136</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SE</w:t>
      </w:r>
      <w:r w:rsidR="00DE0FDC" w:rsidRPr="001B3BA5">
        <w:rPr>
          <w:rFonts w:asciiTheme="majorBidi" w:hAnsiTheme="majorBidi" w:cstheme="majorBidi"/>
          <w:sz w:val="24"/>
          <w:szCs w:val="24"/>
          <w:lang w:val="en-GB"/>
        </w:rPr>
        <w:t>=.07</w:t>
      </w:r>
      <w:r w:rsidR="00A102A6" w:rsidRPr="001B3BA5">
        <w:rPr>
          <w:rFonts w:asciiTheme="majorBidi" w:hAnsiTheme="majorBidi" w:cstheme="majorBidi"/>
          <w:sz w:val="24"/>
          <w:szCs w:val="24"/>
          <w:lang w:val="en-GB"/>
        </w:rPr>
        <w:t>9</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p</w:t>
      </w:r>
      <w:r w:rsidR="00DE0FDC" w:rsidRPr="001B3BA5">
        <w:rPr>
          <w:rFonts w:asciiTheme="majorBidi" w:hAnsiTheme="majorBidi" w:cstheme="majorBidi"/>
          <w:sz w:val="24"/>
          <w:szCs w:val="24"/>
          <w:lang w:val="en-GB"/>
        </w:rPr>
        <w:t>=.0</w:t>
      </w:r>
      <w:r w:rsidR="00A102A6" w:rsidRPr="001B3BA5">
        <w:rPr>
          <w:rFonts w:asciiTheme="majorBidi" w:hAnsiTheme="majorBidi" w:cstheme="majorBidi"/>
          <w:sz w:val="24"/>
          <w:szCs w:val="24"/>
          <w:lang w:val="en-GB"/>
        </w:rPr>
        <w:t>83</w:t>
      </w:r>
      <w:r w:rsidR="00DE0FDC" w:rsidRPr="001B3BA5">
        <w:rPr>
          <w:rFonts w:asciiTheme="majorBidi" w:hAnsiTheme="majorBidi" w:cstheme="majorBidi"/>
          <w:sz w:val="24"/>
          <w:szCs w:val="24"/>
          <w:lang w:val="en-GB"/>
        </w:rPr>
        <w:t xml:space="preserve"> and </w:t>
      </w:r>
      <w:r w:rsidR="00DE0FDC" w:rsidRPr="001B3BA5">
        <w:rPr>
          <w:rFonts w:asciiTheme="majorBidi" w:eastAsia="Times New Roman" w:hAnsiTheme="majorBidi" w:cstheme="majorBidi"/>
          <w:i/>
          <w:iCs/>
          <w:color w:val="000000"/>
          <w:sz w:val="24"/>
          <w:szCs w:val="24"/>
          <w:lang w:val="en-GB" w:eastAsia="nl-NL"/>
        </w:rPr>
        <w:t xml:space="preserve">β </w:t>
      </w:r>
      <w:r w:rsidR="009C1CB3" w:rsidRPr="001B3BA5">
        <w:rPr>
          <w:rFonts w:asciiTheme="majorBidi" w:eastAsia="Times New Roman" w:hAnsiTheme="majorBidi" w:cstheme="majorBidi"/>
          <w:iCs/>
          <w:color w:val="000000"/>
          <w:sz w:val="24"/>
          <w:szCs w:val="24"/>
          <w:vertAlign w:val="subscript"/>
          <w:lang w:val="en-GB" w:eastAsia="nl-NL"/>
        </w:rPr>
        <w:t>Brexit</w:t>
      </w:r>
      <w:r w:rsidR="00DE0FDC" w:rsidRPr="001B3BA5">
        <w:rPr>
          <w:rFonts w:asciiTheme="majorBidi" w:hAnsiTheme="majorBidi" w:cstheme="majorBidi"/>
          <w:sz w:val="24"/>
          <w:szCs w:val="24"/>
          <w:lang w:val="en-GB"/>
        </w:rPr>
        <w:t>=</w:t>
      </w:r>
      <w:r w:rsidR="003E5F7B" w:rsidRPr="001B3BA5">
        <w:rPr>
          <w:rFonts w:asciiTheme="majorBidi" w:hAnsiTheme="majorBidi" w:cstheme="majorBidi"/>
          <w:sz w:val="24"/>
          <w:szCs w:val="24"/>
          <w:lang w:val="en-GB"/>
        </w:rPr>
        <w:t>-</w:t>
      </w:r>
      <w:r w:rsidR="00DE0FDC" w:rsidRPr="001B3BA5">
        <w:rPr>
          <w:rFonts w:asciiTheme="majorBidi" w:hAnsiTheme="majorBidi" w:cstheme="majorBidi"/>
          <w:sz w:val="24"/>
          <w:szCs w:val="24"/>
          <w:lang w:val="en-GB"/>
        </w:rPr>
        <w:t>.</w:t>
      </w:r>
      <w:r w:rsidR="003E5F7B" w:rsidRPr="001B3BA5">
        <w:rPr>
          <w:rFonts w:asciiTheme="majorBidi" w:hAnsiTheme="majorBidi" w:cstheme="majorBidi"/>
          <w:sz w:val="24"/>
          <w:szCs w:val="24"/>
          <w:lang w:val="en-GB"/>
        </w:rPr>
        <w:t>133</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SE</w:t>
      </w:r>
      <w:r w:rsidR="00DE0FDC" w:rsidRPr="001B3BA5">
        <w:rPr>
          <w:rFonts w:asciiTheme="majorBidi" w:hAnsiTheme="majorBidi" w:cstheme="majorBidi"/>
          <w:sz w:val="24"/>
          <w:szCs w:val="24"/>
          <w:lang w:val="en-GB"/>
        </w:rPr>
        <w:t>=.0</w:t>
      </w:r>
      <w:r w:rsidR="003E5F7B" w:rsidRPr="001B3BA5">
        <w:rPr>
          <w:rFonts w:asciiTheme="majorBidi" w:hAnsiTheme="majorBidi" w:cstheme="majorBidi"/>
          <w:sz w:val="24"/>
          <w:szCs w:val="24"/>
          <w:lang w:val="en-GB"/>
        </w:rPr>
        <w:t>86</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p</w:t>
      </w:r>
      <w:r w:rsidR="00DE0FDC" w:rsidRPr="001B3BA5">
        <w:rPr>
          <w:rFonts w:asciiTheme="majorBidi" w:hAnsiTheme="majorBidi" w:cstheme="majorBidi"/>
          <w:sz w:val="24"/>
          <w:szCs w:val="24"/>
          <w:lang w:val="en-GB"/>
        </w:rPr>
        <w:t>=.</w:t>
      </w:r>
      <w:r w:rsidR="003E5F7B" w:rsidRPr="001B3BA5">
        <w:rPr>
          <w:rFonts w:asciiTheme="majorBidi" w:hAnsiTheme="majorBidi" w:cstheme="majorBidi"/>
          <w:sz w:val="24"/>
          <w:szCs w:val="24"/>
          <w:lang w:val="en-GB"/>
        </w:rPr>
        <w:t>188</w:t>
      </w:r>
      <w:r w:rsidR="00DE0FDC" w:rsidRPr="001B3BA5">
        <w:rPr>
          <w:rFonts w:asciiTheme="majorBidi" w:hAnsiTheme="majorBidi" w:cstheme="majorBidi"/>
          <w:sz w:val="24"/>
          <w:szCs w:val="24"/>
          <w:lang w:val="en-GB"/>
        </w:rPr>
        <w:t xml:space="preserve">). </w:t>
      </w:r>
      <w:r w:rsidR="00120262" w:rsidRPr="001B3BA5">
        <w:rPr>
          <w:rFonts w:asciiTheme="majorBidi" w:hAnsiTheme="majorBidi" w:cstheme="majorBidi"/>
          <w:sz w:val="24"/>
          <w:szCs w:val="24"/>
          <w:lang w:val="en-GB"/>
        </w:rPr>
        <w:t>However, s</w:t>
      </w:r>
      <w:r w:rsidR="00DE0FDC" w:rsidRPr="001B3BA5">
        <w:rPr>
          <w:rFonts w:asciiTheme="majorBidi" w:hAnsiTheme="majorBidi" w:cstheme="majorBidi"/>
          <w:sz w:val="24"/>
          <w:szCs w:val="24"/>
          <w:lang w:val="en-GB"/>
        </w:rPr>
        <w:t>overeignty was a stronger predictor</w:t>
      </w:r>
      <w:r w:rsidR="00120262" w:rsidRPr="001B3BA5">
        <w:rPr>
          <w:rFonts w:asciiTheme="majorBidi" w:hAnsiTheme="majorBidi" w:cstheme="majorBidi"/>
          <w:sz w:val="24"/>
          <w:szCs w:val="24"/>
          <w:lang w:val="en-GB"/>
        </w:rPr>
        <w:t xml:space="preserve"> than CPO</w:t>
      </w:r>
      <w:r w:rsidR="00DE0FDC" w:rsidRPr="001B3BA5">
        <w:rPr>
          <w:rFonts w:asciiTheme="majorBidi" w:hAnsiTheme="majorBidi" w:cstheme="majorBidi"/>
          <w:sz w:val="24"/>
          <w:szCs w:val="24"/>
          <w:lang w:val="en-GB"/>
        </w:rPr>
        <w:t xml:space="preserve"> of both European integration attitudes (</w:t>
      </w:r>
      <w:r w:rsidR="00DE0FDC" w:rsidRPr="001B3BA5">
        <w:rPr>
          <w:rFonts w:asciiTheme="majorBidi" w:eastAsia="Times New Roman" w:hAnsiTheme="majorBidi" w:cstheme="majorBidi"/>
          <w:i/>
          <w:iCs/>
          <w:color w:val="000000"/>
          <w:sz w:val="24"/>
          <w:szCs w:val="24"/>
          <w:lang w:val="en-GB" w:eastAsia="nl-NL"/>
        </w:rPr>
        <w:t>β</w:t>
      </w:r>
      <w:r w:rsidR="00DE0FDC" w:rsidRPr="001B3BA5">
        <w:rPr>
          <w:rFonts w:asciiTheme="majorBidi" w:hAnsiTheme="majorBidi" w:cstheme="majorBidi"/>
          <w:sz w:val="24"/>
          <w:szCs w:val="24"/>
          <w:lang w:val="en-GB"/>
        </w:rPr>
        <w:t>=</w:t>
      </w:r>
      <w:r w:rsidR="00A102A6" w:rsidRPr="001B3BA5">
        <w:rPr>
          <w:rFonts w:asciiTheme="majorBidi" w:hAnsiTheme="majorBidi" w:cstheme="majorBidi"/>
          <w:sz w:val="24"/>
          <w:szCs w:val="24"/>
          <w:lang w:val="en-GB"/>
        </w:rPr>
        <w:t>-</w:t>
      </w:r>
      <w:r w:rsidR="00DE0FDC" w:rsidRPr="001B3BA5">
        <w:rPr>
          <w:rFonts w:asciiTheme="majorBidi" w:hAnsiTheme="majorBidi" w:cstheme="majorBidi"/>
          <w:sz w:val="24"/>
          <w:szCs w:val="24"/>
          <w:lang w:val="en-GB"/>
        </w:rPr>
        <w:t>.</w:t>
      </w:r>
      <w:r w:rsidR="00A102A6" w:rsidRPr="001B3BA5">
        <w:rPr>
          <w:rFonts w:asciiTheme="majorBidi" w:hAnsiTheme="majorBidi" w:cstheme="majorBidi"/>
          <w:sz w:val="24"/>
          <w:szCs w:val="24"/>
          <w:lang w:val="en-GB"/>
        </w:rPr>
        <w:t>245</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SE</w:t>
      </w:r>
      <w:r w:rsidR="00DE0FDC" w:rsidRPr="001B3BA5">
        <w:rPr>
          <w:rFonts w:asciiTheme="majorBidi" w:hAnsiTheme="majorBidi" w:cstheme="majorBidi"/>
          <w:sz w:val="24"/>
          <w:szCs w:val="24"/>
          <w:lang w:val="en-GB"/>
        </w:rPr>
        <w:t>=.0</w:t>
      </w:r>
      <w:r w:rsidR="00A102A6" w:rsidRPr="001B3BA5">
        <w:rPr>
          <w:rFonts w:asciiTheme="majorBidi" w:hAnsiTheme="majorBidi" w:cstheme="majorBidi"/>
          <w:sz w:val="24"/>
          <w:szCs w:val="24"/>
          <w:lang w:val="en-GB"/>
        </w:rPr>
        <w:t>61</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p</w:t>
      </w:r>
      <w:r w:rsidR="00A102A6" w:rsidRPr="001B3BA5">
        <w:rPr>
          <w:rFonts w:asciiTheme="majorBidi" w:hAnsiTheme="majorBidi" w:cstheme="majorBidi"/>
          <w:sz w:val="24"/>
          <w:szCs w:val="24"/>
          <w:lang w:val="en-GB"/>
        </w:rPr>
        <w:t>&lt;</w:t>
      </w:r>
      <w:r w:rsidR="00DE0FDC" w:rsidRPr="001B3BA5">
        <w:rPr>
          <w:rFonts w:asciiTheme="majorBidi" w:hAnsiTheme="majorBidi" w:cstheme="majorBidi"/>
          <w:sz w:val="24"/>
          <w:szCs w:val="24"/>
          <w:lang w:val="en-GB"/>
        </w:rPr>
        <w:t>.0</w:t>
      </w:r>
      <w:r w:rsidR="00A102A6" w:rsidRPr="001B3BA5">
        <w:rPr>
          <w:rFonts w:asciiTheme="majorBidi" w:hAnsiTheme="majorBidi" w:cstheme="majorBidi"/>
          <w:sz w:val="24"/>
          <w:szCs w:val="24"/>
          <w:lang w:val="en-GB"/>
        </w:rPr>
        <w:t>01</w:t>
      </w:r>
      <w:r w:rsidR="00DE0FDC" w:rsidRPr="001B3BA5">
        <w:rPr>
          <w:rFonts w:asciiTheme="majorBidi" w:hAnsiTheme="majorBidi" w:cstheme="majorBidi"/>
          <w:sz w:val="24"/>
          <w:szCs w:val="24"/>
          <w:lang w:val="en-GB"/>
        </w:rPr>
        <w:t>) and Brexit vote (</w:t>
      </w:r>
      <w:r w:rsidR="00DE0FDC" w:rsidRPr="001B3BA5">
        <w:rPr>
          <w:rFonts w:asciiTheme="majorBidi" w:eastAsia="Times New Roman" w:hAnsiTheme="majorBidi" w:cstheme="majorBidi"/>
          <w:i/>
          <w:iCs/>
          <w:color w:val="000000"/>
          <w:sz w:val="24"/>
          <w:szCs w:val="24"/>
          <w:lang w:val="en-GB" w:eastAsia="nl-NL"/>
        </w:rPr>
        <w:t>β</w:t>
      </w:r>
      <w:r w:rsidR="00DE0FDC" w:rsidRPr="001B3BA5">
        <w:rPr>
          <w:rFonts w:asciiTheme="majorBidi" w:hAnsiTheme="majorBidi" w:cstheme="majorBidi"/>
          <w:sz w:val="24"/>
          <w:szCs w:val="24"/>
          <w:lang w:val="en-GB"/>
        </w:rPr>
        <w:t>=.</w:t>
      </w:r>
      <w:r w:rsidR="003E5F7B" w:rsidRPr="001B3BA5">
        <w:rPr>
          <w:rFonts w:asciiTheme="majorBidi" w:hAnsiTheme="majorBidi" w:cstheme="majorBidi"/>
          <w:sz w:val="24"/>
          <w:szCs w:val="24"/>
          <w:lang w:val="en-GB"/>
        </w:rPr>
        <w:t>361</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SE</w:t>
      </w:r>
      <w:r w:rsidR="00DE0FDC" w:rsidRPr="001B3BA5">
        <w:rPr>
          <w:rFonts w:asciiTheme="majorBidi" w:hAnsiTheme="majorBidi" w:cstheme="majorBidi"/>
          <w:sz w:val="24"/>
          <w:szCs w:val="24"/>
          <w:lang w:val="en-GB"/>
        </w:rPr>
        <w:t>=.0</w:t>
      </w:r>
      <w:r w:rsidR="003E5F7B" w:rsidRPr="001B3BA5">
        <w:rPr>
          <w:rFonts w:asciiTheme="majorBidi" w:hAnsiTheme="majorBidi" w:cstheme="majorBidi"/>
          <w:sz w:val="24"/>
          <w:szCs w:val="24"/>
          <w:lang w:val="en-GB"/>
        </w:rPr>
        <w:t>68</w:t>
      </w:r>
      <w:r w:rsidR="00DE0FDC" w:rsidRPr="001B3BA5">
        <w:rPr>
          <w:rFonts w:asciiTheme="majorBidi" w:hAnsiTheme="majorBidi" w:cstheme="majorBidi"/>
          <w:sz w:val="24"/>
          <w:szCs w:val="24"/>
          <w:lang w:val="en-GB"/>
        </w:rPr>
        <w:t xml:space="preserve">, </w:t>
      </w:r>
      <w:r w:rsidR="00DE0FDC" w:rsidRPr="001B3BA5">
        <w:rPr>
          <w:rFonts w:asciiTheme="majorBidi" w:hAnsiTheme="majorBidi" w:cstheme="majorBidi"/>
          <w:i/>
          <w:sz w:val="24"/>
          <w:szCs w:val="24"/>
          <w:lang w:val="en-GB"/>
        </w:rPr>
        <w:t>p</w:t>
      </w:r>
      <w:r w:rsidR="003E5F7B" w:rsidRPr="001B3BA5">
        <w:rPr>
          <w:rFonts w:asciiTheme="majorBidi" w:hAnsiTheme="majorBidi" w:cstheme="majorBidi"/>
          <w:sz w:val="24"/>
          <w:szCs w:val="24"/>
          <w:lang w:val="en-GB"/>
        </w:rPr>
        <w:t>&lt;</w:t>
      </w:r>
      <w:r w:rsidR="00DE0FDC" w:rsidRPr="001B3BA5">
        <w:rPr>
          <w:rFonts w:asciiTheme="majorBidi" w:hAnsiTheme="majorBidi" w:cstheme="majorBidi"/>
          <w:sz w:val="24"/>
          <w:szCs w:val="24"/>
          <w:lang w:val="en-GB"/>
        </w:rPr>
        <w:t>.</w:t>
      </w:r>
      <w:r w:rsidR="003E5F7B" w:rsidRPr="001B3BA5">
        <w:rPr>
          <w:rFonts w:asciiTheme="majorBidi" w:hAnsiTheme="majorBidi" w:cstheme="majorBidi"/>
          <w:sz w:val="24"/>
          <w:szCs w:val="24"/>
          <w:lang w:val="en-GB"/>
        </w:rPr>
        <w:t>001</w:t>
      </w:r>
      <w:r w:rsidR="00DE0FDC" w:rsidRPr="001B3BA5">
        <w:rPr>
          <w:rFonts w:asciiTheme="majorBidi" w:hAnsiTheme="majorBidi" w:cstheme="majorBidi"/>
          <w:sz w:val="24"/>
          <w:szCs w:val="24"/>
          <w:lang w:val="en-GB"/>
        </w:rPr>
        <w:t>).</w:t>
      </w:r>
    </w:p>
    <w:p w14:paraId="213EED25" w14:textId="0403AF5D" w:rsidR="00B453F3" w:rsidRPr="001B3BA5" w:rsidRDefault="004351C2">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Figure 3 shows the standard</w:t>
      </w:r>
      <w:r w:rsidR="008643F0" w:rsidRPr="001B3BA5">
        <w:rPr>
          <w:rFonts w:asciiTheme="majorBidi" w:hAnsiTheme="majorBidi" w:cstheme="majorBidi"/>
          <w:sz w:val="24"/>
          <w:szCs w:val="24"/>
          <w:lang w:val="en-GB"/>
        </w:rPr>
        <w:t>ise</w:t>
      </w:r>
      <w:r w:rsidRPr="001B3BA5">
        <w:rPr>
          <w:rFonts w:asciiTheme="majorBidi" w:hAnsiTheme="majorBidi" w:cstheme="majorBidi"/>
          <w:sz w:val="24"/>
          <w:szCs w:val="24"/>
          <w:lang w:val="en-GB"/>
        </w:rPr>
        <w:t xml:space="preserve">d coefficients of the full model </w:t>
      </w:r>
      <w:r w:rsidR="00EC4C9D" w:rsidRPr="001B3BA5">
        <w:rPr>
          <w:rFonts w:asciiTheme="majorBidi" w:hAnsiTheme="majorBidi" w:cstheme="majorBidi"/>
          <w:sz w:val="24"/>
          <w:szCs w:val="24"/>
          <w:lang w:val="en-GB"/>
        </w:rPr>
        <w:t xml:space="preserve">along </w:t>
      </w:r>
      <w:r w:rsidR="00C6224E" w:rsidRPr="001B3BA5">
        <w:rPr>
          <w:rFonts w:asciiTheme="majorBidi" w:hAnsiTheme="majorBidi" w:cstheme="majorBidi"/>
          <w:sz w:val="24"/>
          <w:szCs w:val="24"/>
          <w:lang w:val="en-GB"/>
        </w:rPr>
        <w:t>with</w:t>
      </w:r>
      <w:r w:rsidRPr="001B3BA5">
        <w:rPr>
          <w:rFonts w:asciiTheme="majorBidi" w:hAnsiTheme="majorBidi" w:cstheme="majorBidi"/>
          <w:sz w:val="24"/>
          <w:szCs w:val="24"/>
          <w:lang w:val="en-GB"/>
        </w:rPr>
        <w:t xml:space="preserve"> interactions with political ideology. </w:t>
      </w:r>
      <w:r w:rsidR="0094197B" w:rsidRPr="001B3BA5">
        <w:rPr>
          <w:rFonts w:asciiTheme="majorBidi" w:hAnsiTheme="majorBidi" w:cstheme="majorBidi"/>
          <w:sz w:val="24"/>
          <w:szCs w:val="24"/>
          <w:lang w:val="en-GB"/>
        </w:rPr>
        <w:t>W</w:t>
      </w:r>
      <w:r w:rsidR="005E424C" w:rsidRPr="001B3BA5">
        <w:rPr>
          <w:rFonts w:asciiTheme="majorBidi" w:hAnsiTheme="majorBidi" w:cstheme="majorBidi"/>
          <w:sz w:val="24"/>
          <w:szCs w:val="24"/>
          <w:lang w:val="en-GB"/>
        </w:rPr>
        <w:t xml:space="preserve">e found no moderation of the relationship between </w:t>
      </w:r>
      <w:r w:rsidR="004F3D7B" w:rsidRPr="001B3BA5">
        <w:rPr>
          <w:rFonts w:asciiTheme="majorBidi" w:hAnsiTheme="majorBidi" w:cstheme="majorBidi"/>
          <w:sz w:val="24"/>
          <w:szCs w:val="24"/>
          <w:lang w:val="en-GB"/>
        </w:rPr>
        <w:t>CPO</w:t>
      </w:r>
      <w:r w:rsidR="005E424C" w:rsidRPr="001B3BA5">
        <w:rPr>
          <w:rFonts w:asciiTheme="majorBidi" w:hAnsiTheme="majorBidi" w:cstheme="majorBidi"/>
          <w:sz w:val="24"/>
          <w:szCs w:val="24"/>
          <w:lang w:val="en-GB"/>
        </w:rPr>
        <w:t xml:space="preserve"> and immigrant</w:t>
      </w:r>
      <w:r w:rsidR="00362973" w:rsidRPr="001B3BA5">
        <w:rPr>
          <w:rFonts w:asciiTheme="majorBidi" w:hAnsiTheme="majorBidi" w:cstheme="majorBidi"/>
          <w:sz w:val="24"/>
          <w:szCs w:val="24"/>
          <w:lang w:val="en-GB"/>
        </w:rPr>
        <w:t xml:space="preserve"> minority</w:t>
      </w:r>
      <w:r w:rsidR="005E424C" w:rsidRPr="001B3BA5">
        <w:rPr>
          <w:rFonts w:asciiTheme="majorBidi" w:hAnsiTheme="majorBidi" w:cstheme="majorBidi"/>
          <w:sz w:val="24"/>
          <w:szCs w:val="24"/>
          <w:lang w:val="en-GB"/>
        </w:rPr>
        <w:t xml:space="preserve"> attitudes (</w:t>
      </w:r>
      <w:r w:rsidR="00657283"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94197B" w:rsidRPr="001B3BA5">
        <w:rPr>
          <w:rFonts w:asciiTheme="majorBidi" w:hAnsiTheme="majorBidi" w:cstheme="majorBidi"/>
          <w:sz w:val="24"/>
          <w:szCs w:val="24"/>
          <w:lang w:val="en-GB"/>
        </w:rPr>
        <w:t>-</w:t>
      </w:r>
      <w:r w:rsidR="005E424C" w:rsidRPr="001B3BA5">
        <w:rPr>
          <w:rFonts w:asciiTheme="majorBidi" w:hAnsiTheme="majorBidi" w:cstheme="majorBidi"/>
          <w:sz w:val="24"/>
          <w:szCs w:val="24"/>
          <w:lang w:val="en-GB"/>
        </w:rPr>
        <w:t>.</w:t>
      </w:r>
      <w:r w:rsidR="001E5DD8" w:rsidRPr="001B3BA5">
        <w:rPr>
          <w:rFonts w:asciiTheme="majorBidi" w:hAnsiTheme="majorBidi" w:cstheme="majorBidi"/>
          <w:sz w:val="24"/>
          <w:szCs w:val="24"/>
          <w:lang w:val="en-GB"/>
        </w:rPr>
        <w:t>0</w:t>
      </w:r>
      <w:r w:rsidR="004F3D7B" w:rsidRPr="001B3BA5">
        <w:rPr>
          <w:rFonts w:asciiTheme="majorBidi" w:hAnsiTheme="majorBidi" w:cstheme="majorBidi"/>
          <w:sz w:val="24"/>
          <w:szCs w:val="24"/>
          <w:lang w:val="en-GB"/>
        </w:rPr>
        <w:t>0</w:t>
      </w:r>
      <w:r w:rsidR="0094197B" w:rsidRPr="001B3BA5">
        <w:rPr>
          <w:rFonts w:asciiTheme="majorBidi" w:hAnsiTheme="majorBidi" w:cstheme="majorBidi"/>
          <w:sz w:val="24"/>
          <w:szCs w:val="24"/>
          <w:lang w:val="en-GB"/>
        </w:rPr>
        <w:t>9</w:t>
      </w:r>
      <w:r w:rsidR="005E424C" w:rsidRPr="001B3BA5">
        <w:rPr>
          <w:rFonts w:asciiTheme="majorBidi" w:hAnsiTheme="majorBidi" w:cstheme="majorBidi"/>
          <w:sz w:val="24"/>
          <w:szCs w:val="24"/>
          <w:lang w:val="en-GB"/>
        </w:rPr>
        <w:t xml:space="preserve">, </w:t>
      </w:r>
      <w:r w:rsidR="005E424C"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5E424C" w:rsidRPr="001B3BA5">
        <w:rPr>
          <w:rFonts w:asciiTheme="majorBidi" w:hAnsiTheme="majorBidi" w:cstheme="majorBidi"/>
          <w:sz w:val="24"/>
          <w:szCs w:val="24"/>
          <w:lang w:val="en-GB"/>
        </w:rPr>
        <w:t>.0</w:t>
      </w:r>
      <w:r w:rsidR="00657283" w:rsidRPr="001B3BA5">
        <w:rPr>
          <w:rFonts w:asciiTheme="majorBidi" w:hAnsiTheme="majorBidi" w:cstheme="majorBidi"/>
          <w:sz w:val="24"/>
          <w:szCs w:val="24"/>
          <w:lang w:val="en-GB"/>
        </w:rPr>
        <w:t>4</w:t>
      </w:r>
      <w:r w:rsidR="0094197B" w:rsidRPr="001B3BA5">
        <w:rPr>
          <w:rFonts w:asciiTheme="majorBidi" w:hAnsiTheme="majorBidi" w:cstheme="majorBidi"/>
          <w:sz w:val="24"/>
          <w:szCs w:val="24"/>
          <w:lang w:val="en-GB"/>
        </w:rPr>
        <w:t>2</w:t>
      </w:r>
      <w:r w:rsidR="005E424C" w:rsidRPr="001B3BA5">
        <w:rPr>
          <w:rFonts w:asciiTheme="majorBidi" w:hAnsiTheme="majorBidi" w:cstheme="majorBidi"/>
          <w:sz w:val="24"/>
          <w:szCs w:val="24"/>
          <w:lang w:val="en-GB"/>
        </w:rPr>
        <w:t xml:space="preserve">, </w:t>
      </w:r>
      <w:r w:rsidR="005E424C"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w:t>
      </w:r>
      <w:r w:rsidR="005E424C" w:rsidRPr="001B3BA5">
        <w:rPr>
          <w:rFonts w:asciiTheme="majorBidi" w:hAnsiTheme="majorBidi" w:cstheme="majorBidi"/>
          <w:sz w:val="24"/>
          <w:szCs w:val="24"/>
          <w:lang w:val="en-GB"/>
        </w:rPr>
        <w:t>.</w:t>
      </w:r>
      <w:r w:rsidR="004F3D7B" w:rsidRPr="001B3BA5">
        <w:rPr>
          <w:rFonts w:asciiTheme="majorBidi" w:hAnsiTheme="majorBidi" w:cstheme="majorBidi"/>
          <w:sz w:val="24"/>
          <w:szCs w:val="24"/>
          <w:lang w:val="en-GB"/>
        </w:rPr>
        <w:t>8</w:t>
      </w:r>
      <w:r w:rsidR="0094197B" w:rsidRPr="001B3BA5">
        <w:rPr>
          <w:rFonts w:asciiTheme="majorBidi" w:hAnsiTheme="majorBidi" w:cstheme="majorBidi"/>
          <w:sz w:val="24"/>
          <w:szCs w:val="24"/>
          <w:lang w:val="en-GB"/>
        </w:rPr>
        <w:t>31</w:t>
      </w:r>
      <w:r w:rsidR="005E424C" w:rsidRPr="001B3BA5">
        <w:rPr>
          <w:rFonts w:asciiTheme="majorBidi" w:hAnsiTheme="majorBidi" w:cstheme="majorBidi"/>
          <w:sz w:val="24"/>
          <w:szCs w:val="24"/>
          <w:lang w:val="en-GB"/>
        </w:rPr>
        <w:t>)</w:t>
      </w:r>
      <w:r w:rsidR="004F3D7B" w:rsidRPr="001B3BA5">
        <w:rPr>
          <w:rFonts w:asciiTheme="majorBidi" w:hAnsiTheme="majorBidi" w:cstheme="majorBidi"/>
          <w:sz w:val="24"/>
          <w:szCs w:val="24"/>
          <w:lang w:val="en-GB"/>
        </w:rPr>
        <w:t xml:space="preserve">, </w:t>
      </w:r>
      <w:r w:rsidR="00B41B02" w:rsidRPr="001B3BA5">
        <w:rPr>
          <w:rFonts w:asciiTheme="majorBidi" w:hAnsiTheme="majorBidi" w:cstheme="majorBidi"/>
          <w:sz w:val="24"/>
          <w:szCs w:val="24"/>
          <w:lang w:val="en-GB"/>
        </w:rPr>
        <w:t xml:space="preserve">in </w:t>
      </w:r>
      <w:r w:rsidR="004F3D7B" w:rsidRPr="001B3BA5">
        <w:rPr>
          <w:rFonts w:asciiTheme="majorBidi" w:hAnsiTheme="majorBidi" w:cstheme="majorBidi"/>
          <w:sz w:val="24"/>
          <w:szCs w:val="24"/>
          <w:lang w:val="en-GB"/>
        </w:rPr>
        <w:t>contrast</w:t>
      </w:r>
      <w:r w:rsidR="00B41B02" w:rsidRPr="001B3BA5">
        <w:rPr>
          <w:rFonts w:asciiTheme="majorBidi" w:hAnsiTheme="majorBidi" w:cstheme="majorBidi"/>
          <w:sz w:val="24"/>
          <w:szCs w:val="24"/>
          <w:lang w:val="en-GB"/>
        </w:rPr>
        <w:t xml:space="preserve"> to</w:t>
      </w:r>
      <w:r w:rsidR="00272704" w:rsidRPr="001B3BA5">
        <w:rPr>
          <w:rFonts w:asciiTheme="majorBidi" w:hAnsiTheme="majorBidi" w:cstheme="majorBidi"/>
          <w:sz w:val="24"/>
          <w:szCs w:val="24"/>
          <w:lang w:val="en-GB"/>
        </w:rPr>
        <w:t xml:space="preserve"> </w:t>
      </w:r>
      <w:r w:rsidR="00B41B02" w:rsidRPr="001B3BA5">
        <w:rPr>
          <w:rFonts w:asciiTheme="majorBidi" w:hAnsiTheme="majorBidi" w:cstheme="majorBidi"/>
          <w:sz w:val="24"/>
          <w:szCs w:val="24"/>
          <w:lang w:val="en-GB"/>
        </w:rPr>
        <w:t>Study 1</w:t>
      </w:r>
      <w:r w:rsidR="005E424C" w:rsidRPr="001B3BA5">
        <w:rPr>
          <w:rFonts w:asciiTheme="majorBidi" w:hAnsiTheme="majorBidi" w:cstheme="majorBidi"/>
          <w:sz w:val="24"/>
          <w:szCs w:val="24"/>
          <w:lang w:val="en-GB"/>
        </w:rPr>
        <w:t>.</w:t>
      </w:r>
      <w:r w:rsidR="00B453F3" w:rsidRPr="001B3BA5">
        <w:rPr>
          <w:rStyle w:val="FootnoteReference"/>
          <w:rFonts w:ascii="Times" w:hAnsi="Times"/>
          <w:sz w:val="24"/>
          <w:szCs w:val="24"/>
          <w:lang w:val="en-GB"/>
        </w:rPr>
        <w:footnoteReference w:id="11"/>
      </w:r>
      <w:r w:rsidR="003B6DF1" w:rsidRPr="001B3BA5">
        <w:rPr>
          <w:rFonts w:asciiTheme="majorBidi" w:hAnsiTheme="majorBidi" w:cstheme="majorBidi"/>
          <w:sz w:val="24"/>
          <w:szCs w:val="24"/>
          <w:lang w:val="en-GB"/>
        </w:rPr>
        <w:t xml:space="preserve"> </w:t>
      </w:r>
      <w:r w:rsidR="007B5819" w:rsidRPr="001B3BA5">
        <w:rPr>
          <w:rFonts w:asciiTheme="majorBidi" w:hAnsiTheme="majorBidi" w:cstheme="majorBidi"/>
          <w:sz w:val="24"/>
          <w:szCs w:val="24"/>
          <w:lang w:val="en-GB"/>
        </w:rPr>
        <w:t xml:space="preserve">Political ideology was also </w:t>
      </w:r>
      <w:r w:rsidR="00857FD9" w:rsidRPr="001B3BA5">
        <w:rPr>
          <w:rFonts w:asciiTheme="majorBidi" w:hAnsiTheme="majorBidi" w:cstheme="majorBidi"/>
          <w:sz w:val="24"/>
          <w:szCs w:val="24"/>
          <w:lang w:val="en-GB"/>
        </w:rPr>
        <w:t>un</w:t>
      </w:r>
      <w:r w:rsidR="007B5819" w:rsidRPr="001B3BA5">
        <w:rPr>
          <w:rFonts w:asciiTheme="majorBidi" w:hAnsiTheme="majorBidi" w:cstheme="majorBidi"/>
          <w:sz w:val="24"/>
          <w:szCs w:val="24"/>
          <w:lang w:val="en-GB"/>
        </w:rPr>
        <w:t>related to immigrant minority attitudes, when the interaction was excluded (</w:t>
      </w:r>
      <w:r w:rsidR="007B5819" w:rsidRPr="001B3BA5">
        <w:rPr>
          <w:rFonts w:asciiTheme="majorBidi" w:eastAsia="Times New Roman" w:hAnsiTheme="majorBidi" w:cstheme="majorBidi"/>
          <w:i/>
          <w:iCs/>
          <w:color w:val="000000"/>
          <w:sz w:val="24"/>
          <w:szCs w:val="24"/>
          <w:lang w:val="en-GB" w:eastAsia="nl-NL"/>
        </w:rPr>
        <w:t>β</w:t>
      </w:r>
      <w:r w:rsidR="007B5819" w:rsidRPr="001B3BA5">
        <w:rPr>
          <w:rFonts w:asciiTheme="majorBidi" w:hAnsiTheme="majorBidi" w:cstheme="majorBidi"/>
          <w:sz w:val="24"/>
          <w:szCs w:val="24"/>
          <w:lang w:val="en-GB"/>
        </w:rPr>
        <w:t xml:space="preserve">=-.053, </w:t>
      </w:r>
      <w:r w:rsidR="007B5819" w:rsidRPr="001B3BA5">
        <w:rPr>
          <w:rFonts w:asciiTheme="majorBidi" w:hAnsiTheme="majorBidi" w:cstheme="majorBidi"/>
          <w:i/>
          <w:sz w:val="24"/>
          <w:szCs w:val="24"/>
          <w:lang w:val="en-GB"/>
        </w:rPr>
        <w:t>SE</w:t>
      </w:r>
      <w:r w:rsidR="007B5819" w:rsidRPr="001B3BA5">
        <w:rPr>
          <w:rFonts w:asciiTheme="majorBidi" w:hAnsiTheme="majorBidi" w:cstheme="majorBidi"/>
          <w:sz w:val="24"/>
          <w:szCs w:val="24"/>
          <w:lang w:val="en-GB"/>
        </w:rPr>
        <w:t xml:space="preserve">=.048, </w:t>
      </w:r>
      <w:r w:rsidR="007B5819" w:rsidRPr="001B3BA5">
        <w:rPr>
          <w:rFonts w:asciiTheme="majorBidi" w:hAnsiTheme="majorBidi" w:cstheme="majorBidi"/>
          <w:i/>
          <w:sz w:val="24"/>
          <w:szCs w:val="24"/>
          <w:lang w:val="en-GB"/>
        </w:rPr>
        <w:t>p</w:t>
      </w:r>
      <w:r w:rsidR="007B5819" w:rsidRPr="001B3BA5">
        <w:rPr>
          <w:rFonts w:asciiTheme="majorBidi" w:hAnsiTheme="majorBidi" w:cstheme="majorBidi"/>
          <w:sz w:val="24"/>
          <w:szCs w:val="24"/>
          <w:lang w:val="en-GB"/>
        </w:rPr>
        <w:t xml:space="preserve">=.273). </w:t>
      </w:r>
      <w:r w:rsidR="004F3D7B" w:rsidRPr="001B3BA5">
        <w:rPr>
          <w:rFonts w:asciiTheme="majorBidi" w:hAnsiTheme="majorBidi" w:cstheme="majorBidi"/>
          <w:sz w:val="24"/>
          <w:szCs w:val="24"/>
          <w:lang w:val="en-GB"/>
        </w:rPr>
        <w:t>Unexpectedly</w:t>
      </w:r>
      <w:r w:rsidR="005E424C" w:rsidRPr="001B3BA5">
        <w:rPr>
          <w:rFonts w:asciiTheme="majorBidi" w:hAnsiTheme="majorBidi" w:cstheme="majorBidi"/>
          <w:sz w:val="24"/>
          <w:szCs w:val="24"/>
          <w:lang w:val="en-GB"/>
        </w:rPr>
        <w:t xml:space="preserve">, the negative relationship between </w:t>
      </w:r>
      <w:r w:rsidR="004F3D7B" w:rsidRPr="001B3BA5">
        <w:rPr>
          <w:rFonts w:asciiTheme="majorBidi" w:hAnsiTheme="majorBidi" w:cstheme="majorBidi"/>
          <w:sz w:val="24"/>
          <w:szCs w:val="24"/>
          <w:lang w:val="en-GB"/>
        </w:rPr>
        <w:t>CPO</w:t>
      </w:r>
      <w:r w:rsidR="005E424C" w:rsidRPr="001B3BA5">
        <w:rPr>
          <w:rFonts w:asciiTheme="majorBidi" w:hAnsiTheme="majorBidi" w:cstheme="majorBidi"/>
          <w:sz w:val="24"/>
          <w:szCs w:val="24"/>
          <w:lang w:val="en-GB"/>
        </w:rPr>
        <w:t xml:space="preserve"> and </w:t>
      </w:r>
      <w:r w:rsidR="00F17C87" w:rsidRPr="001B3BA5">
        <w:rPr>
          <w:rFonts w:asciiTheme="majorBidi" w:hAnsiTheme="majorBidi" w:cstheme="majorBidi"/>
          <w:sz w:val="24"/>
          <w:szCs w:val="24"/>
          <w:lang w:val="en-GB"/>
        </w:rPr>
        <w:t xml:space="preserve">European integration </w:t>
      </w:r>
      <w:r w:rsidR="005E424C" w:rsidRPr="001B3BA5">
        <w:rPr>
          <w:rFonts w:asciiTheme="majorBidi" w:hAnsiTheme="majorBidi" w:cstheme="majorBidi"/>
          <w:sz w:val="24"/>
          <w:szCs w:val="24"/>
          <w:lang w:val="en-GB"/>
        </w:rPr>
        <w:t xml:space="preserve">attitudes was especially strong </w:t>
      </w:r>
      <w:r w:rsidR="00B41B02" w:rsidRPr="001B3BA5">
        <w:rPr>
          <w:rFonts w:asciiTheme="majorBidi" w:hAnsiTheme="majorBidi" w:cstheme="majorBidi"/>
          <w:sz w:val="24"/>
          <w:szCs w:val="24"/>
          <w:lang w:val="en-GB"/>
        </w:rPr>
        <w:t xml:space="preserve">among </w:t>
      </w:r>
      <w:r w:rsidR="005E424C" w:rsidRPr="001B3BA5">
        <w:rPr>
          <w:rFonts w:asciiTheme="majorBidi" w:hAnsiTheme="majorBidi" w:cstheme="majorBidi"/>
          <w:sz w:val="24"/>
          <w:szCs w:val="24"/>
          <w:lang w:val="en-GB"/>
        </w:rPr>
        <w:t xml:space="preserve">left-wing </w:t>
      </w:r>
      <w:r w:rsidR="00B41B02" w:rsidRPr="001B3BA5">
        <w:rPr>
          <w:rFonts w:asciiTheme="majorBidi" w:hAnsiTheme="majorBidi" w:cstheme="majorBidi"/>
          <w:sz w:val="24"/>
          <w:szCs w:val="24"/>
          <w:lang w:val="en-GB"/>
        </w:rPr>
        <w:t>participants</w:t>
      </w:r>
      <w:r w:rsidR="005E424C" w:rsidRPr="001B3BA5">
        <w:rPr>
          <w:rFonts w:asciiTheme="majorBidi" w:hAnsiTheme="majorBidi" w:cstheme="majorBidi"/>
          <w:sz w:val="24"/>
          <w:szCs w:val="24"/>
          <w:lang w:val="en-GB"/>
        </w:rPr>
        <w:t xml:space="preserve">, as indicated by </w:t>
      </w:r>
      <w:r w:rsidR="00B41B02" w:rsidRPr="001B3BA5">
        <w:rPr>
          <w:rFonts w:asciiTheme="majorBidi" w:hAnsiTheme="majorBidi" w:cstheme="majorBidi"/>
          <w:sz w:val="24"/>
          <w:szCs w:val="24"/>
          <w:lang w:val="en-GB"/>
        </w:rPr>
        <w:t xml:space="preserve">the </w:t>
      </w:r>
      <w:r w:rsidR="005E424C" w:rsidRPr="001B3BA5">
        <w:rPr>
          <w:rFonts w:asciiTheme="majorBidi" w:hAnsiTheme="majorBidi" w:cstheme="majorBidi"/>
          <w:sz w:val="24"/>
          <w:szCs w:val="24"/>
          <w:lang w:val="en-GB"/>
        </w:rPr>
        <w:t xml:space="preserve">positive </w:t>
      </w:r>
      <w:r w:rsidR="00DA36D0" w:rsidRPr="001B3BA5">
        <w:rPr>
          <w:rFonts w:asciiTheme="majorBidi" w:hAnsiTheme="majorBidi" w:cstheme="majorBidi"/>
          <w:sz w:val="24"/>
          <w:szCs w:val="24"/>
          <w:lang w:val="en-GB"/>
        </w:rPr>
        <w:t xml:space="preserve">interaction </w:t>
      </w:r>
      <w:r w:rsidR="005E424C" w:rsidRPr="001B3BA5">
        <w:rPr>
          <w:rFonts w:asciiTheme="majorBidi" w:hAnsiTheme="majorBidi" w:cstheme="majorBidi"/>
          <w:sz w:val="24"/>
          <w:szCs w:val="24"/>
          <w:lang w:val="en-GB"/>
        </w:rPr>
        <w:t>term (</w:t>
      </w:r>
      <w:r w:rsidR="00657283" w:rsidRPr="001B3BA5">
        <w:rPr>
          <w:rFonts w:asciiTheme="majorBidi" w:eastAsia="Times New Roman" w:hAnsiTheme="majorBidi" w:cstheme="majorBidi"/>
          <w:i/>
          <w:iCs/>
          <w:color w:val="000000"/>
          <w:sz w:val="24"/>
          <w:szCs w:val="24"/>
          <w:lang w:val="en-GB" w:eastAsia="nl-NL"/>
        </w:rPr>
        <w:t>β</w:t>
      </w:r>
      <w:r w:rsidR="00955643" w:rsidRPr="001B3BA5">
        <w:rPr>
          <w:rFonts w:asciiTheme="majorBidi" w:hAnsiTheme="majorBidi" w:cstheme="majorBidi"/>
          <w:sz w:val="24"/>
          <w:szCs w:val="24"/>
          <w:lang w:val="en-GB"/>
        </w:rPr>
        <w:t>=</w:t>
      </w:r>
      <w:r w:rsidR="005E424C" w:rsidRPr="001B3BA5">
        <w:rPr>
          <w:rFonts w:asciiTheme="majorBidi" w:hAnsiTheme="majorBidi" w:cstheme="majorBidi"/>
          <w:sz w:val="24"/>
          <w:szCs w:val="24"/>
          <w:lang w:val="en-GB"/>
        </w:rPr>
        <w:t>.</w:t>
      </w:r>
      <w:r w:rsidR="001E5DD8" w:rsidRPr="001B3BA5">
        <w:rPr>
          <w:rFonts w:asciiTheme="majorBidi" w:hAnsiTheme="majorBidi" w:cstheme="majorBidi"/>
          <w:sz w:val="24"/>
          <w:szCs w:val="24"/>
          <w:lang w:val="en-GB"/>
        </w:rPr>
        <w:t>12</w:t>
      </w:r>
      <w:r w:rsidR="0094197B" w:rsidRPr="001B3BA5">
        <w:rPr>
          <w:rFonts w:asciiTheme="majorBidi" w:hAnsiTheme="majorBidi" w:cstheme="majorBidi"/>
          <w:sz w:val="24"/>
          <w:szCs w:val="24"/>
          <w:lang w:val="en-GB"/>
        </w:rPr>
        <w:t>1</w:t>
      </w:r>
      <w:r w:rsidR="005E424C" w:rsidRPr="001B3BA5">
        <w:rPr>
          <w:rFonts w:asciiTheme="majorBidi" w:hAnsiTheme="majorBidi" w:cstheme="majorBidi"/>
          <w:sz w:val="24"/>
          <w:szCs w:val="24"/>
          <w:lang w:val="en-GB"/>
        </w:rPr>
        <w:t xml:space="preserve">, </w:t>
      </w:r>
      <w:r w:rsidR="005E424C"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5E424C" w:rsidRPr="001B3BA5">
        <w:rPr>
          <w:rFonts w:asciiTheme="majorBidi" w:hAnsiTheme="majorBidi" w:cstheme="majorBidi"/>
          <w:sz w:val="24"/>
          <w:szCs w:val="24"/>
          <w:lang w:val="en-GB"/>
        </w:rPr>
        <w:t>.0</w:t>
      </w:r>
      <w:r w:rsidR="0094197B" w:rsidRPr="001B3BA5">
        <w:rPr>
          <w:rFonts w:asciiTheme="majorBidi" w:hAnsiTheme="majorBidi" w:cstheme="majorBidi"/>
          <w:sz w:val="24"/>
          <w:szCs w:val="24"/>
          <w:lang w:val="en-GB"/>
        </w:rPr>
        <w:t>39</w:t>
      </w:r>
      <w:r w:rsidR="005E424C" w:rsidRPr="001B3BA5">
        <w:rPr>
          <w:rFonts w:asciiTheme="majorBidi" w:hAnsiTheme="majorBidi" w:cstheme="majorBidi"/>
          <w:sz w:val="24"/>
          <w:szCs w:val="24"/>
          <w:lang w:val="en-GB"/>
        </w:rPr>
        <w:t xml:space="preserve">, </w:t>
      </w:r>
      <w:r w:rsidR="005E424C"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w:t>
      </w:r>
      <w:r w:rsidR="005E424C" w:rsidRPr="001B3BA5">
        <w:rPr>
          <w:rFonts w:asciiTheme="majorBidi" w:hAnsiTheme="majorBidi" w:cstheme="majorBidi"/>
          <w:sz w:val="24"/>
          <w:szCs w:val="24"/>
          <w:lang w:val="en-GB"/>
        </w:rPr>
        <w:t>.00</w:t>
      </w:r>
      <w:r w:rsidR="0094197B" w:rsidRPr="001B3BA5">
        <w:rPr>
          <w:rFonts w:asciiTheme="majorBidi" w:hAnsiTheme="majorBidi" w:cstheme="majorBidi"/>
          <w:sz w:val="24"/>
          <w:szCs w:val="24"/>
          <w:lang w:val="en-GB"/>
        </w:rPr>
        <w:t>2</w:t>
      </w:r>
      <w:r w:rsidR="005E424C" w:rsidRPr="001B3BA5">
        <w:rPr>
          <w:rFonts w:asciiTheme="majorBidi" w:hAnsiTheme="majorBidi" w:cstheme="majorBidi"/>
          <w:sz w:val="24"/>
          <w:szCs w:val="24"/>
          <w:lang w:val="en-GB"/>
        </w:rPr>
        <w:t xml:space="preserve">). </w:t>
      </w:r>
      <w:r w:rsidR="006C4202" w:rsidRPr="001B3BA5">
        <w:rPr>
          <w:rFonts w:asciiTheme="majorBidi" w:hAnsiTheme="majorBidi" w:cstheme="majorBidi"/>
          <w:sz w:val="24"/>
          <w:szCs w:val="24"/>
          <w:lang w:val="en-GB"/>
        </w:rPr>
        <w:t xml:space="preserve">The </w:t>
      </w:r>
      <w:r w:rsidR="00FC41EA" w:rsidRPr="001B3BA5">
        <w:rPr>
          <w:rFonts w:asciiTheme="majorBidi" w:hAnsiTheme="majorBidi" w:cstheme="majorBidi"/>
          <w:sz w:val="24"/>
          <w:szCs w:val="24"/>
          <w:lang w:val="en-GB"/>
        </w:rPr>
        <w:t>unstandard</w:t>
      </w:r>
      <w:r w:rsidR="008643F0" w:rsidRPr="001B3BA5">
        <w:rPr>
          <w:rFonts w:asciiTheme="majorBidi" w:hAnsiTheme="majorBidi" w:cstheme="majorBidi"/>
          <w:sz w:val="24"/>
          <w:szCs w:val="24"/>
          <w:lang w:val="en-GB"/>
        </w:rPr>
        <w:t>ise</w:t>
      </w:r>
      <w:r w:rsidR="00FC41EA" w:rsidRPr="001B3BA5">
        <w:rPr>
          <w:rFonts w:asciiTheme="majorBidi" w:hAnsiTheme="majorBidi" w:cstheme="majorBidi"/>
          <w:sz w:val="24"/>
          <w:szCs w:val="24"/>
          <w:lang w:val="en-GB"/>
        </w:rPr>
        <w:t xml:space="preserve">d </w:t>
      </w:r>
      <w:r w:rsidR="006C4202" w:rsidRPr="001B3BA5">
        <w:rPr>
          <w:rFonts w:asciiTheme="majorBidi" w:hAnsiTheme="majorBidi" w:cstheme="majorBidi"/>
          <w:sz w:val="24"/>
          <w:szCs w:val="24"/>
          <w:lang w:val="en-GB"/>
        </w:rPr>
        <w:t>si</w:t>
      </w:r>
      <w:r w:rsidR="005E424C" w:rsidRPr="001B3BA5">
        <w:rPr>
          <w:rFonts w:asciiTheme="majorBidi" w:hAnsiTheme="majorBidi" w:cstheme="majorBidi"/>
          <w:sz w:val="24"/>
          <w:szCs w:val="24"/>
          <w:lang w:val="en-GB"/>
        </w:rPr>
        <w:t>mple slope</w:t>
      </w:r>
      <w:r w:rsidR="006C4202" w:rsidRPr="001B3BA5">
        <w:rPr>
          <w:rFonts w:asciiTheme="majorBidi" w:hAnsiTheme="majorBidi" w:cstheme="majorBidi"/>
          <w:sz w:val="24"/>
          <w:szCs w:val="24"/>
          <w:lang w:val="en-GB"/>
        </w:rPr>
        <w:t xml:space="preserve">s in Figure </w:t>
      </w:r>
      <w:r w:rsidR="0094197B" w:rsidRPr="001B3BA5">
        <w:rPr>
          <w:rFonts w:asciiTheme="majorBidi" w:hAnsiTheme="majorBidi" w:cstheme="majorBidi"/>
          <w:sz w:val="24"/>
          <w:szCs w:val="24"/>
          <w:lang w:val="en-GB"/>
        </w:rPr>
        <w:t>4</w:t>
      </w:r>
      <w:r w:rsidR="006C4202" w:rsidRPr="001B3BA5">
        <w:rPr>
          <w:rFonts w:asciiTheme="majorBidi" w:hAnsiTheme="majorBidi" w:cstheme="majorBidi"/>
          <w:sz w:val="24"/>
          <w:szCs w:val="24"/>
          <w:lang w:val="en-GB"/>
        </w:rPr>
        <w:t xml:space="preserve"> show </w:t>
      </w:r>
      <w:r w:rsidR="005E424C" w:rsidRPr="001B3BA5">
        <w:rPr>
          <w:rFonts w:asciiTheme="majorBidi" w:hAnsiTheme="majorBidi" w:cstheme="majorBidi"/>
          <w:sz w:val="24"/>
          <w:szCs w:val="24"/>
          <w:lang w:val="en-GB"/>
        </w:rPr>
        <w:t>that</w:t>
      </w:r>
      <w:r w:rsidR="00B41B02" w:rsidRPr="001B3BA5">
        <w:rPr>
          <w:rFonts w:asciiTheme="majorBidi" w:hAnsiTheme="majorBidi" w:cstheme="majorBidi"/>
          <w:sz w:val="24"/>
          <w:szCs w:val="24"/>
          <w:lang w:val="en-GB"/>
        </w:rPr>
        <w:t>,</w:t>
      </w:r>
      <w:r w:rsidR="005E424C" w:rsidRPr="001B3BA5">
        <w:rPr>
          <w:rFonts w:asciiTheme="majorBidi" w:hAnsiTheme="majorBidi" w:cstheme="majorBidi"/>
          <w:sz w:val="24"/>
          <w:szCs w:val="24"/>
          <w:lang w:val="en-GB"/>
        </w:rPr>
        <w:t xml:space="preserve"> for left-wing </w:t>
      </w:r>
      <w:r w:rsidR="00B41B02" w:rsidRPr="001B3BA5">
        <w:rPr>
          <w:rFonts w:asciiTheme="majorBidi" w:hAnsiTheme="majorBidi" w:cstheme="majorBidi"/>
          <w:sz w:val="24"/>
          <w:szCs w:val="24"/>
          <w:lang w:val="en-GB"/>
        </w:rPr>
        <w:t xml:space="preserve">participants </w:t>
      </w:r>
      <w:r w:rsidR="005E424C" w:rsidRPr="001B3BA5">
        <w:rPr>
          <w:rFonts w:asciiTheme="majorBidi" w:hAnsiTheme="majorBidi" w:cstheme="majorBidi"/>
          <w:sz w:val="24"/>
          <w:szCs w:val="24"/>
          <w:lang w:val="en-GB"/>
        </w:rPr>
        <w:t>(</w:t>
      </w:r>
      <w:r w:rsidR="00E05515" w:rsidRPr="001B3BA5">
        <w:rPr>
          <w:rFonts w:asciiTheme="majorBidi" w:hAnsiTheme="majorBidi" w:cstheme="majorBidi"/>
          <w:sz w:val="24"/>
          <w:szCs w:val="24"/>
          <w:lang w:val="en-GB"/>
        </w:rPr>
        <w:t>1 SD</w:t>
      </w:r>
      <w:r w:rsidR="005E424C" w:rsidRPr="001B3BA5">
        <w:rPr>
          <w:rFonts w:asciiTheme="majorBidi" w:hAnsiTheme="majorBidi" w:cstheme="majorBidi"/>
          <w:sz w:val="24"/>
          <w:szCs w:val="24"/>
          <w:lang w:val="en-GB"/>
        </w:rPr>
        <w:t xml:space="preserve"> below the mean of political ideology), </w:t>
      </w:r>
      <w:r w:rsidR="005C7FE7" w:rsidRPr="001B3BA5">
        <w:rPr>
          <w:rFonts w:asciiTheme="majorBidi" w:hAnsiTheme="majorBidi" w:cstheme="majorBidi"/>
          <w:sz w:val="24"/>
          <w:szCs w:val="24"/>
          <w:lang w:val="en-GB"/>
        </w:rPr>
        <w:t>CPO</w:t>
      </w:r>
      <w:r w:rsidR="005E424C" w:rsidRPr="001B3BA5">
        <w:rPr>
          <w:rFonts w:asciiTheme="majorBidi" w:hAnsiTheme="majorBidi" w:cstheme="majorBidi"/>
          <w:sz w:val="24"/>
          <w:szCs w:val="24"/>
          <w:lang w:val="en-GB"/>
        </w:rPr>
        <w:t xml:space="preserve"> was significantly related to more negative </w:t>
      </w:r>
      <w:r w:rsidR="00F17C87" w:rsidRPr="001B3BA5">
        <w:rPr>
          <w:rFonts w:asciiTheme="majorBidi" w:hAnsiTheme="majorBidi" w:cstheme="majorBidi"/>
          <w:sz w:val="24"/>
          <w:szCs w:val="24"/>
          <w:lang w:val="en-GB"/>
        </w:rPr>
        <w:t xml:space="preserve">European integration </w:t>
      </w:r>
      <w:r w:rsidR="005E424C" w:rsidRPr="001B3BA5">
        <w:rPr>
          <w:rFonts w:asciiTheme="majorBidi" w:hAnsiTheme="majorBidi" w:cstheme="majorBidi"/>
          <w:sz w:val="24"/>
          <w:szCs w:val="24"/>
          <w:lang w:val="en-GB"/>
        </w:rPr>
        <w:t xml:space="preserve">attitudes </w:t>
      </w:r>
      <w:r w:rsidR="001E5DD8" w:rsidRPr="001B3BA5">
        <w:rPr>
          <w:rFonts w:asciiTheme="majorBidi" w:hAnsiTheme="majorBidi" w:cstheme="majorBidi"/>
          <w:sz w:val="24"/>
          <w:szCs w:val="24"/>
          <w:lang w:val="en-GB"/>
        </w:rPr>
        <w:t>(</w:t>
      </w:r>
      <w:r w:rsidR="001E5DD8" w:rsidRPr="001B3BA5">
        <w:rPr>
          <w:rFonts w:asciiTheme="majorBidi" w:eastAsia="Times New Roman" w:hAnsiTheme="majorBidi" w:cstheme="majorBidi"/>
          <w:i/>
          <w:iCs/>
          <w:color w:val="000000"/>
          <w:sz w:val="24"/>
          <w:szCs w:val="24"/>
          <w:lang w:val="en-GB" w:eastAsia="nl-NL"/>
        </w:rPr>
        <w:t>b</w:t>
      </w:r>
      <w:r w:rsidR="00955643" w:rsidRPr="001B3BA5">
        <w:rPr>
          <w:rFonts w:asciiTheme="majorBidi" w:hAnsiTheme="majorBidi" w:cstheme="majorBidi"/>
          <w:sz w:val="24"/>
          <w:szCs w:val="24"/>
          <w:lang w:val="en-GB"/>
        </w:rPr>
        <w:t>=</w:t>
      </w:r>
      <w:r w:rsidR="001E5DD8" w:rsidRPr="001B3BA5">
        <w:rPr>
          <w:rFonts w:asciiTheme="majorBidi" w:hAnsiTheme="majorBidi" w:cstheme="majorBidi"/>
          <w:sz w:val="24"/>
          <w:szCs w:val="24"/>
          <w:lang w:val="en-GB"/>
        </w:rPr>
        <w:t>-.3</w:t>
      </w:r>
      <w:r w:rsidR="00F547F0" w:rsidRPr="001B3BA5">
        <w:rPr>
          <w:rFonts w:asciiTheme="majorBidi" w:hAnsiTheme="majorBidi" w:cstheme="majorBidi"/>
          <w:sz w:val="24"/>
          <w:szCs w:val="24"/>
          <w:lang w:val="en-GB"/>
        </w:rPr>
        <w:t>69</w:t>
      </w:r>
      <w:r w:rsidR="001E5DD8" w:rsidRPr="001B3BA5">
        <w:rPr>
          <w:rFonts w:asciiTheme="majorBidi" w:hAnsiTheme="majorBidi" w:cstheme="majorBidi"/>
          <w:sz w:val="24"/>
          <w:szCs w:val="24"/>
          <w:lang w:val="en-GB"/>
        </w:rPr>
        <w:t xml:space="preserve">, </w:t>
      </w:r>
      <w:r w:rsidR="001E5DD8"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1E5DD8" w:rsidRPr="001B3BA5">
        <w:rPr>
          <w:rFonts w:asciiTheme="majorBidi" w:hAnsiTheme="majorBidi" w:cstheme="majorBidi"/>
          <w:sz w:val="24"/>
          <w:szCs w:val="24"/>
          <w:lang w:val="en-GB"/>
        </w:rPr>
        <w:t>.0</w:t>
      </w:r>
      <w:r w:rsidR="00F547F0" w:rsidRPr="001B3BA5">
        <w:rPr>
          <w:rFonts w:asciiTheme="majorBidi" w:hAnsiTheme="majorBidi" w:cstheme="majorBidi"/>
          <w:sz w:val="24"/>
          <w:szCs w:val="24"/>
          <w:lang w:val="en-GB"/>
        </w:rPr>
        <w:t>69</w:t>
      </w:r>
      <w:r w:rsidR="001E5DD8" w:rsidRPr="001B3BA5">
        <w:rPr>
          <w:rFonts w:asciiTheme="majorBidi" w:hAnsiTheme="majorBidi" w:cstheme="majorBidi"/>
          <w:sz w:val="24"/>
          <w:szCs w:val="24"/>
          <w:lang w:val="en-GB"/>
        </w:rPr>
        <w:t xml:space="preserve">, </w:t>
      </w:r>
      <w:r w:rsidR="001E5DD8"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&lt;</w:t>
      </w:r>
      <w:r w:rsidR="001E5DD8" w:rsidRPr="001B3BA5">
        <w:rPr>
          <w:rFonts w:asciiTheme="majorBidi" w:hAnsiTheme="majorBidi" w:cstheme="majorBidi"/>
          <w:sz w:val="24"/>
          <w:szCs w:val="24"/>
          <w:lang w:val="en-GB"/>
        </w:rPr>
        <w:t>.001)</w:t>
      </w:r>
      <w:r w:rsidR="005E424C" w:rsidRPr="001B3BA5">
        <w:rPr>
          <w:rFonts w:asciiTheme="majorBidi" w:hAnsiTheme="majorBidi" w:cstheme="majorBidi"/>
          <w:sz w:val="24"/>
          <w:szCs w:val="24"/>
          <w:lang w:val="en-GB"/>
        </w:rPr>
        <w:t xml:space="preserve">, but that this association was </w:t>
      </w:r>
      <w:r w:rsidR="00F547F0" w:rsidRPr="001B3BA5">
        <w:rPr>
          <w:rFonts w:asciiTheme="majorBidi" w:hAnsiTheme="majorBidi" w:cstheme="majorBidi"/>
          <w:sz w:val="24"/>
          <w:szCs w:val="24"/>
          <w:lang w:val="en-GB"/>
        </w:rPr>
        <w:t xml:space="preserve">less strong and </w:t>
      </w:r>
      <w:r w:rsidR="00761A9A" w:rsidRPr="001B3BA5">
        <w:rPr>
          <w:rFonts w:asciiTheme="majorBidi" w:hAnsiTheme="majorBidi" w:cstheme="majorBidi"/>
          <w:sz w:val="24"/>
          <w:szCs w:val="24"/>
          <w:lang w:val="en-GB"/>
        </w:rPr>
        <w:t>no</w:t>
      </w:r>
      <w:r w:rsidR="00E05515" w:rsidRPr="001B3BA5">
        <w:rPr>
          <w:rFonts w:asciiTheme="majorBidi" w:hAnsiTheme="majorBidi" w:cstheme="majorBidi"/>
          <w:sz w:val="24"/>
          <w:szCs w:val="24"/>
          <w:lang w:val="en-GB"/>
        </w:rPr>
        <w:t>n-</w:t>
      </w:r>
      <w:r w:rsidR="00F547F0" w:rsidRPr="001B3BA5">
        <w:rPr>
          <w:rFonts w:asciiTheme="majorBidi" w:hAnsiTheme="majorBidi" w:cstheme="majorBidi"/>
          <w:sz w:val="24"/>
          <w:szCs w:val="24"/>
          <w:lang w:val="en-GB"/>
        </w:rPr>
        <w:t>significant</w:t>
      </w:r>
      <w:r w:rsidR="005E424C" w:rsidRPr="001B3BA5">
        <w:rPr>
          <w:rFonts w:asciiTheme="majorBidi" w:hAnsiTheme="majorBidi" w:cstheme="majorBidi"/>
          <w:sz w:val="24"/>
          <w:szCs w:val="24"/>
          <w:lang w:val="en-GB"/>
        </w:rPr>
        <w:t xml:space="preserve"> for right-wing </w:t>
      </w:r>
      <w:r w:rsidR="00B41B02" w:rsidRPr="001B3BA5">
        <w:rPr>
          <w:rFonts w:asciiTheme="majorBidi" w:hAnsiTheme="majorBidi" w:cstheme="majorBidi"/>
          <w:sz w:val="24"/>
          <w:szCs w:val="24"/>
          <w:lang w:val="en-GB"/>
        </w:rPr>
        <w:t xml:space="preserve">participants </w:t>
      </w:r>
      <w:r w:rsidR="005E424C" w:rsidRPr="001B3BA5">
        <w:rPr>
          <w:rFonts w:asciiTheme="majorBidi" w:hAnsiTheme="majorBidi" w:cstheme="majorBidi"/>
          <w:sz w:val="24"/>
          <w:szCs w:val="24"/>
          <w:lang w:val="en-GB"/>
        </w:rPr>
        <w:t>(</w:t>
      </w:r>
      <w:r w:rsidR="00E05515" w:rsidRPr="001B3BA5">
        <w:rPr>
          <w:rFonts w:asciiTheme="majorBidi" w:hAnsiTheme="majorBidi" w:cstheme="majorBidi"/>
          <w:sz w:val="24"/>
          <w:szCs w:val="24"/>
          <w:lang w:val="en-GB"/>
        </w:rPr>
        <w:t xml:space="preserve">1 SD </w:t>
      </w:r>
      <w:r w:rsidR="005E424C" w:rsidRPr="001B3BA5">
        <w:rPr>
          <w:rFonts w:asciiTheme="majorBidi" w:hAnsiTheme="majorBidi" w:cstheme="majorBidi"/>
          <w:sz w:val="24"/>
          <w:szCs w:val="24"/>
          <w:lang w:val="en-GB"/>
        </w:rPr>
        <w:t xml:space="preserve">above the mean of political ideology) </w:t>
      </w:r>
      <w:r w:rsidR="001E5DD8" w:rsidRPr="001B3BA5">
        <w:rPr>
          <w:rFonts w:asciiTheme="majorBidi" w:hAnsiTheme="majorBidi" w:cstheme="majorBidi"/>
          <w:sz w:val="24"/>
          <w:szCs w:val="24"/>
          <w:lang w:val="en-GB"/>
        </w:rPr>
        <w:t>(</w:t>
      </w:r>
      <w:r w:rsidR="001E5DD8" w:rsidRPr="001B3BA5">
        <w:rPr>
          <w:rFonts w:asciiTheme="majorBidi" w:eastAsia="Times New Roman" w:hAnsiTheme="majorBidi" w:cstheme="majorBidi"/>
          <w:i/>
          <w:iCs/>
          <w:color w:val="000000"/>
          <w:sz w:val="24"/>
          <w:szCs w:val="24"/>
          <w:lang w:val="en-GB" w:eastAsia="nl-NL"/>
        </w:rPr>
        <w:t>b</w:t>
      </w:r>
      <w:r w:rsidR="00955643" w:rsidRPr="001B3BA5">
        <w:rPr>
          <w:rFonts w:asciiTheme="majorBidi" w:hAnsiTheme="majorBidi" w:cstheme="majorBidi"/>
          <w:sz w:val="24"/>
          <w:szCs w:val="24"/>
          <w:lang w:val="en-GB"/>
        </w:rPr>
        <w:t>=</w:t>
      </w:r>
      <w:r w:rsidR="001E5DD8" w:rsidRPr="001B3BA5">
        <w:rPr>
          <w:rFonts w:asciiTheme="majorBidi" w:hAnsiTheme="majorBidi" w:cstheme="majorBidi"/>
          <w:sz w:val="24"/>
          <w:szCs w:val="24"/>
          <w:lang w:val="en-GB"/>
        </w:rPr>
        <w:t>-.1</w:t>
      </w:r>
      <w:r w:rsidR="00F547F0" w:rsidRPr="001B3BA5">
        <w:rPr>
          <w:rFonts w:asciiTheme="majorBidi" w:hAnsiTheme="majorBidi" w:cstheme="majorBidi"/>
          <w:sz w:val="24"/>
          <w:szCs w:val="24"/>
          <w:lang w:val="en-GB"/>
        </w:rPr>
        <w:t>17</w:t>
      </w:r>
      <w:r w:rsidR="001E5DD8" w:rsidRPr="001B3BA5">
        <w:rPr>
          <w:rFonts w:asciiTheme="majorBidi" w:hAnsiTheme="majorBidi" w:cstheme="majorBidi"/>
          <w:sz w:val="24"/>
          <w:szCs w:val="24"/>
          <w:lang w:val="en-GB"/>
        </w:rPr>
        <w:t xml:space="preserve">, </w:t>
      </w:r>
      <w:r w:rsidR="001E5DD8" w:rsidRPr="001B3BA5">
        <w:rPr>
          <w:rFonts w:asciiTheme="majorBidi" w:hAnsiTheme="majorBidi" w:cstheme="majorBidi"/>
          <w:i/>
          <w:sz w:val="24"/>
          <w:szCs w:val="24"/>
          <w:lang w:val="en-GB"/>
        </w:rPr>
        <w:t>SE</w:t>
      </w:r>
      <w:r w:rsidR="00955643" w:rsidRPr="001B3BA5">
        <w:rPr>
          <w:rFonts w:asciiTheme="majorBidi" w:hAnsiTheme="majorBidi" w:cstheme="majorBidi"/>
          <w:sz w:val="24"/>
          <w:szCs w:val="24"/>
          <w:lang w:val="en-GB"/>
        </w:rPr>
        <w:t>=</w:t>
      </w:r>
      <w:r w:rsidR="001E5DD8" w:rsidRPr="001B3BA5">
        <w:rPr>
          <w:rFonts w:asciiTheme="majorBidi" w:hAnsiTheme="majorBidi" w:cstheme="majorBidi"/>
          <w:sz w:val="24"/>
          <w:szCs w:val="24"/>
          <w:lang w:val="en-GB"/>
        </w:rPr>
        <w:t>.06</w:t>
      </w:r>
      <w:r w:rsidR="00F547F0" w:rsidRPr="001B3BA5">
        <w:rPr>
          <w:rFonts w:asciiTheme="majorBidi" w:hAnsiTheme="majorBidi" w:cstheme="majorBidi"/>
          <w:sz w:val="24"/>
          <w:szCs w:val="24"/>
          <w:lang w:val="en-GB"/>
        </w:rPr>
        <w:t>5</w:t>
      </w:r>
      <w:r w:rsidR="001E5DD8" w:rsidRPr="001B3BA5">
        <w:rPr>
          <w:rFonts w:asciiTheme="majorBidi" w:hAnsiTheme="majorBidi" w:cstheme="majorBidi"/>
          <w:sz w:val="24"/>
          <w:szCs w:val="24"/>
          <w:lang w:val="en-GB"/>
        </w:rPr>
        <w:t xml:space="preserve">, </w:t>
      </w:r>
      <w:r w:rsidR="001E5DD8" w:rsidRPr="001B3BA5">
        <w:rPr>
          <w:rFonts w:asciiTheme="majorBidi" w:hAnsiTheme="majorBidi" w:cstheme="majorBidi"/>
          <w:i/>
          <w:sz w:val="24"/>
          <w:szCs w:val="24"/>
          <w:lang w:val="en-GB"/>
        </w:rPr>
        <w:t>p</w:t>
      </w:r>
      <w:r w:rsidR="00955643" w:rsidRPr="001B3BA5">
        <w:rPr>
          <w:rFonts w:asciiTheme="majorBidi" w:hAnsiTheme="majorBidi" w:cstheme="majorBidi"/>
          <w:sz w:val="24"/>
          <w:szCs w:val="24"/>
          <w:lang w:val="en-GB"/>
        </w:rPr>
        <w:t>=</w:t>
      </w:r>
      <w:r w:rsidR="001E5DD8" w:rsidRPr="001B3BA5">
        <w:rPr>
          <w:rFonts w:asciiTheme="majorBidi" w:hAnsiTheme="majorBidi" w:cstheme="majorBidi"/>
          <w:sz w:val="24"/>
          <w:szCs w:val="24"/>
          <w:lang w:val="en-GB"/>
        </w:rPr>
        <w:t>.0</w:t>
      </w:r>
      <w:r w:rsidR="00F547F0" w:rsidRPr="001B3BA5">
        <w:rPr>
          <w:rFonts w:asciiTheme="majorBidi" w:hAnsiTheme="majorBidi" w:cstheme="majorBidi"/>
          <w:sz w:val="24"/>
          <w:szCs w:val="24"/>
          <w:lang w:val="en-GB"/>
        </w:rPr>
        <w:t>70</w:t>
      </w:r>
      <w:r w:rsidR="001E5DD8" w:rsidRPr="001B3BA5">
        <w:rPr>
          <w:rFonts w:asciiTheme="majorBidi" w:hAnsiTheme="majorBidi" w:cstheme="majorBidi"/>
          <w:sz w:val="24"/>
          <w:szCs w:val="24"/>
          <w:lang w:val="en-GB"/>
        </w:rPr>
        <w:t>)</w:t>
      </w:r>
      <w:r w:rsidR="005E424C" w:rsidRPr="001B3BA5">
        <w:rPr>
          <w:rFonts w:asciiTheme="majorBidi" w:hAnsiTheme="majorBidi" w:cstheme="majorBidi"/>
          <w:sz w:val="24"/>
          <w:szCs w:val="24"/>
          <w:lang w:val="en-GB"/>
        </w:rPr>
        <w:t>.</w:t>
      </w:r>
      <w:r w:rsidR="00B453F3" w:rsidRPr="001B3BA5" w:rsidDel="0094197B">
        <w:rPr>
          <w:rFonts w:asciiTheme="majorBidi" w:hAnsiTheme="majorBidi" w:cstheme="majorBidi"/>
          <w:sz w:val="24"/>
          <w:szCs w:val="24"/>
          <w:lang w:val="en-GB"/>
        </w:rPr>
        <w:t xml:space="preserve"> </w:t>
      </w:r>
      <w:bookmarkEnd w:id="39"/>
    </w:p>
    <w:p w14:paraId="3B243CFC" w14:textId="55CA41D9" w:rsidR="001F31DA" w:rsidRPr="001B3BA5" w:rsidRDefault="00A63FE9" w:rsidP="00796D45">
      <w:pPr>
        <w:spacing w:after="0" w:line="480" w:lineRule="exact"/>
        <w:rPr>
          <w:rFonts w:ascii="Times" w:hAnsi="Times"/>
          <w:b/>
          <w:sz w:val="24"/>
          <w:szCs w:val="24"/>
          <w:lang w:val="en-GB"/>
        </w:rPr>
      </w:pPr>
      <w:r w:rsidRPr="001B3BA5">
        <w:rPr>
          <w:rFonts w:ascii="Times" w:hAnsi="Times"/>
          <w:b/>
          <w:sz w:val="24"/>
          <w:szCs w:val="24"/>
          <w:lang w:val="en-GB"/>
        </w:rPr>
        <w:t xml:space="preserve">Alternative </w:t>
      </w:r>
      <w:r w:rsidR="00DD1D01" w:rsidRPr="001B3BA5">
        <w:rPr>
          <w:rFonts w:ascii="Times" w:hAnsi="Times"/>
          <w:b/>
          <w:sz w:val="24"/>
          <w:szCs w:val="24"/>
          <w:lang w:val="en-GB"/>
        </w:rPr>
        <w:t>M</w:t>
      </w:r>
      <w:r w:rsidRPr="001B3BA5">
        <w:rPr>
          <w:rFonts w:ascii="Times" w:hAnsi="Times"/>
          <w:b/>
          <w:sz w:val="24"/>
          <w:szCs w:val="24"/>
          <w:lang w:val="en-GB"/>
        </w:rPr>
        <w:t>odel</w:t>
      </w:r>
    </w:p>
    <w:p w14:paraId="5E5AA55C" w14:textId="5C0D4DA4" w:rsidR="00333F04" w:rsidRPr="001B3BA5" w:rsidRDefault="00857FD9">
      <w:pPr>
        <w:spacing w:after="0" w:line="480" w:lineRule="exact"/>
        <w:ind w:firstLine="708"/>
        <w:rPr>
          <w:rFonts w:ascii="Times" w:hAnsi="Times"/>
          <w:sz w:val="24"/>
          <w:szCs w:val="24"/>
          <w:lang w:val="en-GB"/>
        </w:rPr>
      </w:pPr>
      <w:r w:rsidRPr="001B3BA5">
        <w:rPr>
          <w:rFonts w:ascii="Times" w:hAnsi="Times"/>
          <w:sz w:val="24"/>
          <w:szCs w:val="24"/>
          <w:lang w:val="en-GB"/>
        </w:rPr>
        <w:t xml:space="preserve">In </w:t>
      </w:r>
      <w:r w:rsidR="00C409EC" w:rsidRPr="001B3BA5">
        <w:rPr>
          <w:rFonts w:ascii="Times" w:hAnsi="Times"/>
          <w:sz w:val="24"/>
          <w:szCs w:val="24"/>
          <w:lang w:val="en-GB"/>
        </w:rPr>
        <w:t>the original model</w:t>
      </w:r>
      <w:r w:rsidRPr="001B3BA5">
        <w:rPr>
          <w:rFonts w:ascii="Times" w:hAnsi="Times"/>
          <w:sz w:val="24"/>
          <w:szCs w:val="24"/>
          <w:lang w:val="en-GB"/>
        </w:rPr>
        <w:t>,</w:t>
      </w:r>
      <w:r w:rsidR="00C409EC" w:rsidRPr="001B3BA5">
        <w:rPr>
          <w:rFonts w:ascii="Times" w:hAnsi="Times"/>
          <w:sz w:val="24"/>
          <w:szCs w:val="24"/>
          <w:lang w:val="en-GB"/>
        </w:rPr>
        <w:t xml:space="preserve"> we predicted past voting behavio</w:t>
      </w:r>
      <w:r w:rsidR="008643F0" w:rsidRPr="001B3BA5">
        <w:rPr>
          <w:rFonts w:ascii="Times" w:hAnsi="Times"/>
          <w:sz w:val="24"/>
          <w:szCs w:val="24"/>
          <w:lang w:val="en-GB"/>
        </w:rPr>
        <w:t>u</w:t>
      </w:r>
      <w:r w:rsidR="00C409EC" w:rsidRPr="001B3BA5">
        <w:rPr>
          <w:rFonts w:ascii="Times" w:hAnsi="Times"/>
          <w:sz w:val="24"/>
          <w:szCs w:val="24"/>
          <w:lang w:val="en-GB"/>
        </w:rPr>
        <w:t xml:space="preserve">r </w:t>
      </w:r>
      <w:r w:rsidR="00C87F1C" w:rsidRPr="001B3BA5">
        <w:rPr>
          <w:rFonts w:ascii="Times" w:hAnsi="Times"/>
          <w:sz w:val="24"/>
          <w:szCs w:val="24"/>
          <w:lang w:val="en-GB"/>
        </w:rPr>
        <w:t xml:space="preserve">on the basis of </w:t>
      </w:r>
      <w:r w:rsidR="00C409EC" w:rsidRPr="001B3BA5">
        <w:rPr>
          <w:rFonts w:ascii="Times" w:hAnsi="Times"/>
          <w:sz w:val="24"/>
          <w:szCs w:val="24"/>
          <w:lang w:val="en-GB"/>
        </w:rPr>
        <w:t xml:space="preserve">current attitudes. </w:t>
      </w:r>
      <w:r w:rsidRPr="001B3BA5">
        <w:rPr>
          <w:rFonts w:ascii="Times" w:hAnsi="Times"/>
          <w:sz w:val="24"/>
          <w:szCs w:val="24"/>
          <w:lang w:val="en-GB"/>
        </w:rPr>
        <w:t>P</w:t>
      </w:r>
      <w:r w:rsidR="004857CA" w:rsidRPr="001B3BA5">
        <w:rPr>
          <w:rFonts w:ascii="Times" w:hAnsi="Times"/>
          <w:sz w:val="24"/>
          <w:szCs w:val="24"/>
          <w:lang w:val="en-GB"/>
        </w:rPr>
        <w:t>articipant</w:t>
      </w:r>
      <w:r w:rsidR="00D26C4F" w:rsidRPr="001B3BA5">
        <w:rPr>
          <w:rFonts w:ascii="Times" w:hAnsi="Times"/>
          <w:sz w:val="24"/>
          <w:szCs w:val="24"/>
          <w:lang w:val="en-GB"/>
        </w:rPr>
        <w:t>s</w:t>
      </w:r>
      <w:r w:rsidRPr="001B3BA5">
        <w:rPr>
          <w:rFonts w:ascii="Times" w:hAnsi="Times"/>
          <w:sz w:val="24"/>
          <w:szCs w:val="24"/>
          <w:lang w:val="en-GB"/>
        </w:rPr>
        <w:t>, however,</w:t>
      </w:r>
      <w:r w:rsidR="00D26C4F" w:rsidRPr="001B3BA5">
        <w:rPr>
          <w:rFonts w:ascii="Times" w:hAnsi="Times"/>
          <w:sz w:val="24"/>
          <w:szCs w:val="24"/>
          <w:lang w:val="en-GB"/>
        </w:rPr>
        <w:t xml:space="preserve"> might have changed their attitudes or vot</w:t>
      </w:r>
      <w:r w:rsidR="006977E6" w:rsidRPr="001B3BA5">
        <w:rPr>
          <w:rFonts w:ascii="Times" w:hAnsi="Times"/>
          <w:sz w:val="24"/>
          <w:szCs w:val="24"/>
          <w:lang w:val="en-GB"/>
        </w:rPr>
        <w:t>ing</w:t>
      </w:r>
      <w:r w:rsidR="00D26C4F" w:rsidRPr="001B3BA5">
        <w:rPr>
          <w:rFonts w:ascii="Times" w:hAnsi="Times"/>
          <w:sz w:val="24"/>
          <w:szCs w:val="24"/>
          <w:lang w:val="en-GB"/>
        </w:rPr>
        <w:t xml:space="preserve"> preferences</w:t>
      </w:r>
      <w:r w:rsidR="00C409EC" w:rsidRPr="001B3BA5">
        <w:rPr>
          <w:rFonts w:ascii="Times" w:hAnsi="Times"/>
          <w:sz w:val="24"/>
          <w:szCs w:val="24"/>
          <w:lang w:val="en-GB"/>
        </w:rPr>
        <w:t>. T</w:t>
      </w:r>
      <w:r w:rsidR="00D26C4F" w:rsidRPr="001B3BA5">
        <w:rPr>
          <w:rFonts w:ascii="Times" w:hAnsi="Times"/>
          <w:sz w:val="24"/>
          <w:szCs w:val="24"/>
          <w:lang w:val="en-GB"/>
        </w:rPr>
        <w:t>herefore</w:t>
      </w:r>
      <w:r w:rsidR="00EB0C7D" w:rsidRPr="001B3BA5">
        <w:rPr>
          <w:rFonts w:ascii="Times" w:hAnsi="Times"/>
          <w:sz w:val="24"/>
          <w:szCs w:val="24"/>
          <w:lang w:val="en-GB"/>
        </w:rPr>
        <w:t>,</w:t>
      </w:r>
      <w:r w:rsidR="00D26C4F" w:rsidRPr="001B3BA5">
        <w:rPr>
          <w:rFonts w:ascii="Times" w:hAnsi="Times"/>
          <w:sz w:val="24"/>
          <w:szCs w:val="24"/>
          <w:lang w:val="en-GB"/>
        </w:rPr>
        <w:t xml:space="preserve"> we ran the analyses with </w:t>
      </w:r>
      <w:r w:rsidRPr="001B3BA5">
        <w:rPr>
          <w:rFonts w:ascii="Times" w:hAnsi="Times"/>
          <w:sz w:val="24"/>
          <w:szCs w:val="24"/>
          <w:lang w:val="en-GB"/>
        </w:rPr>
        <w:t xml:space="preserve">an </w:t>
      </w:r>
      <w:r w:rsidR="00D26C4F" w:rsidRPr="001B3BA5">
        <w:rPr>
          <w:rFonts w:ascii="Times" w:hAnsi="Times"/>
          <w:sz w:val="24"/>
          <w:szCs w:val="24"/>
          <w:lang w:val="en-GB"/>
        </w:rPr>
        <w:t xml:space="preserve">alternative dependent variable, asking </w:t>
      </w:r>
      <w:r w:rsidR="000D4B2B" w:rsidRPr="001B3BA5">
        <w:rPr>
          <w:rFonts w:ascii="Times" w:hAnsi="Times"/>
          <w:sz w:val="24"/>
          <w:szCs w:val="24"/>
          <w:lang w:val="en-GB"/>
        </w:rPr>
        <w:t xml:space="preserve">what </w:t>
      </w:r>
      <w:r w:rsidRPr="001B3BA5">
        <w:rPr>
          <w:rFonts w:ascii="Times" w:hAnsi="Times"/>
          <w:sz w:val="24"/>
          <w:szCs w:val="24"/>
          <w:lang w:val="en-GB"/>
        </w:rPr>
        <w:t xml:space="preserve">participants </w:t>
      </w:r>
      <w:r w:rsidR="000D4B2B" w:rsidRPr="001B3BA5">
        <w:rPr>
          <w:rFonts w:ascii="Times" w:hAnsi="Times"/>
          <w:sz w:val="24"/>
          <w:szCs w:val="24"/>
          <w:lang w:val="en-GB"/>
        </w:rPr>
        <w:t>would vote today</w:t>
      </w:r>
      <w:r w:rsidR="00D26C4F" w:rsidRPr="001B3BA5">
        <w:rPr>
          <w:rFonts w:ascii="Times" w:hAnsi="Times"/>
          <w:sz w:val="24"/>
          <w:szCs w:val="24"/>
          <w:lang w:val="en-GB"/>
        </w:rPr>
        <w:t xml:space="preserve">. </w:t>
      </w:r>
      <w:r w:rsidR="000067C8" w:rsidRPr="001B3BA5">
        <w:rPr>
          <w:rFonts w:ascii="Times New Roman" w:hAnsi="Times New Roman" w:cs="Times New Roman"/>
          <w:sz w:val="24"/>
          <w:szCs w:val="24"/>
          <w:lang w:val="en-GB"/>
        </w:rPr>
        <w:t xml:space="preserve">The </w:t>
      </w:r>
      <w:r w:rsidR="00D26C4F" w:rsidRPr="001B3BA5">
        <w:rPr>
          <w:rFonts w:ascii="Times New Roman" w:hAnsi="Times New Roman" w:cs="Times New Roman"/>
          <w:sz w:val="24"/>
          <w:szCs w:val="24"/>
          <w:lang w:val="en-GB"/>
        </w:rPr>
        <w:t xml:space="preserve">results did not differ </w:t>
      </w:r>
      <w:r w:rsidR="00E05515" w:rsidRPr="001B3BA5">
        <w:rPr>
          <w:rFonts w:ascii="Times New Roman" w:hAnsi="Times New Roman" w:cs="Times New Roman"/>
          <w:sz w:val="24"/>
          <w:szCs w:val="24"/>
          <w:lang w:val="en-GB"/>
        </w:rPr>
        <w:t xml:space="preserve">substantially </w:t>
      </w:r>
      <w:r w:rsidR="00D26C4F" w:rsidRPr="001B3BA5">
        <w:rPr>
          <w:rFonts w:ascii="Times New Roman" w:hAnsi="Times New Roman" w:cs="Times New Roman"/>
          <w:sz w:val="24"/>
          <w:szCs w:val="24"/>
          <w:lang w:val="en-GB"/>
        </w:rPr>
        <w:t xml:space="preserve">from </w:t>
      </w:r>
      <w:r w:rsidR="000067C8" w:rsidRPr="001B3BA5">
        <w:rPr>
          <w:rFonts w:ascii="Times New Roman" w:hAnsi="Times New Roman" w:cs="Times New Roman"/>
          <w:sz w:val="24"/>
          <w:szCs w:val="24"/>
          <w:lang w:val="en-GB"/>
        </w:rPr>
        <w:t>t</w:t>
      </w:r>
      <w:r w:rsidR="00D26C4F" w:rsidRPr="001B3BA5">
        <w:rPr>
          <w:rFonts w:ascii="Times New Roman" w:hAnsi="Times New Roman" w:cs="Times New Roman"/>
          <w:sz w:val="24"/>
          <w:szCs w:val="24"/>
          <w:lang w:val="en-GB"/>
        </w:rPr>
        <w:t>he final model</w:t>
      </w:r>
      <w:r w:rsidR="00DF080A" w:rsidRPr="001B3BA5">
        <w:rPr>
          <w:rFonts w:ascii="Times New Roman" w:hAnsi="Times New Roman" w:cs="Times New Roman"/>
          <w:sz w:val="24"/>
          <w:szCs w:val="24"/>
          <w:lang w:val="en-GB"/>
        </w:rPr>
        <w:t xml:space="preserve"> discussed</w:t>
      </w:r>
      <w:r w:rsidR="000067C8" w:rsidRPr="001B3BA5">
        <w:rPr>
          <w:rFonts w:ascii="Times New Roman" w:hAnsi="Times New Roman" w:cs="Times New Roman"/>
          <w:sz w:val="24"/>
          <w:szCs w:val="24"/>
          <w:lang w:val="en-GB"/>
        </w:rPr>
        <w:t xml:space="preserve"> (</w:t>
      </w:r>
      <w:r w:rsidR="00A63FE9" w:rsidRPr="001B3BA5">
        <w:rPr>
          <w:rFonts w:ascii="Times New Roman" w:hAnsi="Times New Roman" w:cs="Times New Roman"/>
          <w:sz w:val="24"/>
          <w:szCs w:val="24"/>
          <w:lang w:val="en-GB"/>
        </w:rPr>
        <w:t xml:space="preserve">Appendix </w:t>
      </w:r>
      <w:r w:rsidR="000B55B0" w:rsidRPr="001B3BA5">
        <w:rPr>
          <w:rFonts w:ascii="Times New Roman" w:hAnsi="Times New Roman" w:cs="Times New Roman"/>
          <w:sz w:val="24"/>
          <w:szCs w:val="24"/>
          <w:lang w:val="en-GB"/>
        </w:rPr>
        <w:t>H</w:t>
      </w:r>
      <w:r w:rsidR="000067C8" w:rsidRPr="001B3BA5">
        <w:rPr>
          <w:rFonts w:ascii="Times New Roman" w:hAnsi="Times New Roman" w:cs="Times New Roman"/>
          <w:sz w:val="24"/>
          <w:szCs w:val="24"/>
          <w:lang w:val="en-GB"/>
        </w:rPr>
        <w:t>)</w:t>
      </w:r>
      <w:r w:rsidR="00C87F1C" w:rsidRPr="001B3BA5">
        <w:rPr>
          <w:rFonts w:ascii="Times New Roman" w:hAnsi="Times New Roman" w:cs="Times New Roman"/>
          <w:sz w:val="24"/>
          <w:szCs w:val="24"/>
          <w:lang w:val="en-GB"/>
        </w:rPr>
        <w:t>. This is</w:t>
      </w:r>
      <w:r w:rsidR="00EC7B38" w:rsidRPr="001B3BA5">
        <w:rPr>
          <w:rFonts w:ascii="Times" w:hAnsi="Times"/>
          <w:sz w:val="24"/>
          <w:szCs w:val="24"/>
          <w:lang w:val="en-GB"/>
        </w:rPr>
        <w:t xml:space="preserve"> </w:t>
      </w:r>
      <w:r w:rsidRPr="001B3BA5">
        <w:rPr>
          <w:rFonts w:ascii="Times" w:hAnsi="Times"/>
          <w:sz w:val="24"/>
          <w:szCs w:val="24"/>
          <w:lang w:val="en-GB"/>
        </w:rPr>
        <w:t>un</w:t>
      </w:r>
      <w:r w:rsidR="000067C8" w:rsidRPr="001B3BA5">
        <w:rPr>
          <w:rFonts w:ascii="Times" w:hAnsi="Times"/>
          <w:sz w:val="24"/>
          <w:szCs w:val="24"/>
          <w:lang w:val="en-GB"/>
        </w:rPr>
        <w:t>s</w:t>
      </w:r>
      <w:r w:rsidR="00EC7B38" w:rsidRPr="001B3BA5">
        <w:rPr>
          <w:rFonts w:ascii="Times" w:hAnsi="Times"/>
          <w:sz w:val="24"/>
          <w:szCs w:val="24"/>
          <w:lang w:val="en-GB"/>
        </w:rPr>
        <w:t>urprising</w:t>
      </w:r>
      <w:r w:rsidR="00C87F1C" w:rsidRPr="001B3BA5">
        <w:rPr>
          <w:rFonts w:ascii="Times" w:hAnsi="Times"/>
          <w:sz w:val="24"/>
          <w:szCs w:val="24"/>
          <w:lang w:val="en-GB"/>
        </w:rPr>
        <w:t>,</w:t>
      </w:r>
      <w:r w:rsidR="00EC7B38" w:rsidRPr="001B3BA5">
        <w:rPr>
          <w:rFonts w:ascii="Times" w:hAnsi="Times"/>
          <w:sz w:val="24"/>
          <w:szCs w:val="24"/>
          <w:lang w:val="en-GB"/>
        </w:rPr>
        <w:t xml:space="preserve"> given that </w:t>
      </w:r>
      <w:r w:rsidR="00C478E2" w:rsidRPr="001B3BA5">
        <w:rPr>
          <w:rFonts w:ascii="Times" w:hAnsi="Times"/>
          <w:sz w:val="24"/>
          <w:szCs w:val="24"/>
          <w:lang w:val="en-GB"/>
        </w:rPr>
        <w:t>o</w:t>
      </w:r>
      <w:r w:rsidR="00BB121D" w:rsidRPr="001B3BA5">
        <w:rPr>
          <w:rFonts w:ascii="Times" w:hAnsi="Times"/>
          <w:sz w:val="24"/>
          <w:szCs w:val="24"/>
          <w:lang w:val="en-GB"/>
        </w:rPr>
        <w:t xml:space="preserve">nly 7% of the </w:t>
      </w:r>
      <w:r w:rsidR="00B146E8" w:rsidRPr="001B3BA5">
        <w:rPr>
          <w:rFonts w:ascii="Times" w:hAnsi="Times"/>
          <w:sz w:val="24"/>
          <w:szCs w:val="24"/>
          <w:lang w:val="en-GB"/>
        </w:rPr>
        <w:t>‘</w:t>
      </w:r>
      <w:r w:rsidR="00BB121D" w:rsidRPr="001B3BA5">
        <w:rPr>
          <w:rFonts w:ascii="Times" w:hAnsi="Times"/>
          <w:sz w:val="24"/>
          <w:szCs w:val="24"/>
          <w:lang w:val="en-GB"/>
        </w:rPr>
        <w:t>leave</w:t>
      </w:r>
      <w:r w:rsidR="00B146E8" w:rsidRPr="001B3BA5">
        <w:rPr>
          <w:rFonts w:ascii="Times" w:hAnsi="Times"/>
          <w:sz w:val="24"/>
          <w:szCs w:val="24"/>
          <w:lang w:val="en-GB"/>
        </w:rPr>
        <w:t>’</w:t>
      </w:r>
      <w:r w:rsidR="00BB121D" w:rsidRPr="001B3BA5">
        <w:rPr>
          <w:rFonts w:ascii="Times" w:hAnsi="Times"/>
          <w:sz w:val="24"/>
          <w:szCs w:val="24"/>
          <w:lang w:val="en-GB"/>
        </w:rPr>
        <w:t xml:space="preserve"> voters </w:t>
      </w:r>
      <w:r w:rsidR="00C478E2" w:rsidRPr="001B3BA5">
        <w:rPr>
          <w:rFonts w:ascii="Times" w:hAnsi="Times"/>
          <w:sz w:val="24"/>
          <w:szCs w:val="24"/>
          <w:lang w:val="en-GB"/>
        </w:rPr>
        <w:t xml:space="preserve">in the 2016 referendum indicated they </w:t>
      </w:r>
      <w:r w:rsidR="00BB121D" w:rsidRPr="001B3BA5">
        <w:rPr>
          <w:rFonts w:ascii="Times" w:hAnsi="Times"/>
          <w:sz w:val="24"/>
          <w:szCs w:val="24"/>
          <w:lang w:val="en-GB"/>
        </w:rPr>
        <w:t xml:space="preserve">would </w:t>
      </w:r>
      <w:r w:rsidR="000105D8" w:rsidRPr="001B3BA5">
        <w:rPr>
          <w:rFonts w:ascii="Times" w:hAnsi="Times"/>
          <w:sz w:val="24"/>
          <w:szCs w:val="24"/>
          <w:lang w:val="en-GB"/>
        </w:rPr>
        <w:t>change their</w:t>
      </w:r>
      <w:r w:rsidR="00BB121D" w:rsidRPr="001B3BA5">
        <w:rPr>
          <w:rFonts w:ascii="Times" w:hAnsi="Times"/>
          <w:sz w:val="24"/>
          <w:szCs w:val="24"/>
          <w:lang w:val="en-GB"/>
        </w:rPr>
        <w:t xml:space="preserve"> vote </w:t>
      </w:r>
      <w:r w:rsidR="000105D8" w:rsidRPr="001B3BA5">
        <w:rPr>
          <w:rFonts w:ascii="Times" w:hAnsi="Times"/>
          <w:sz w:val="24"/>
          <w:szCs w:val="24"/>
          <w:lang w:val="en-GB"/>
        </w:rPr>
        <w:t xml:space="preserve">to </w:t>
      </w:r>
      <w:r w:rsidR="00B146E8" w:rsidRPr="001B3BA5">
        <w:rPr>
          <w:rFonts w:ascii="Times" w:hAnsi="Times"/>
          <w:sz w:val="24"/>
          <w:szCs w:val="24"/>
          <w:lang w:val="en-GB"/>
        </w:rPr>
        <w:t>‘</w:t>
      </w:r>
      <w:r w:rsidR="00BB121D" w:rsidRPr="001B3BA5">
        <w:rPr>
          <w:rFonts w:ascii="Times" w:hAnsi="Times"/>
          <w:sz w:val="24"/>
          <w:szCs w:val="24"/>
          <w:lang w:val="en-GB"/>
        </w:rPr>
        <w:t>remain</w:t>
      </w:r>
      <w:r w:rsidR="00B146E8" w:rsidRPr="001B3BA5">
        <w:rPr>
          <w:rFonts w:ascii="Times" w:hAnsi="Times"/>
          <w:sz w:val="24"/>
          <w:szCs w:val="24"/>
          <w:lang w:val="en-GB"/>
        </w:rPr>
        <w:t>’</w:t>
      </w:r>
      <w:r w:rsidR="00BB121D" w:rsidRPr="001B3BA5">
        <w:rPr>
          <w:rFonts w:ascii="Times" w:hAnsi="Times"/>
          <w:sz w:val="24"/>
          <w:szCs w:val="24"/>
          <w:lang w:val="en-GB"/>
        </w:rPr>
        <w:t xml:space="preserve"> and </w:t>
      </w:r>
      <w:r w:rsidR="00E41ED9" w:rsidRPr="001B3BA5">
        <w:rPr>
          <w:rFonts w:ascii="Times" w:hAnsi="Times"/>
          <w:sz w:val="24"/>
          <w:szCs w:val="24"/>
          <w:lang w:val="en-GB"/>
        </w:rPr>
        <w:t>6</w:t>
      </w:r>
      <w:r w:rsidR="00BB121D" w:rsidRPr="001B3BA5">
        <w:rPr>
          <w:rFonts w:ascii="Times" w:hAnsi="Times"/>
          <w:sz w:val="24"/>
          <w:szCs w:val="24"/>
          <w:lang w:val="en-GB"/>
        </w:rPr>
        <w:t xml:space="preserve">% of the </w:t>
      </w:r>
      <w:r w:rsidR="00B146E8" w:rsidRPr="001B3BA5">
        <w:rPr>
          <w:rFonts w:ascii="Times" w:hAnsi="Times"/>
          <w:sz w:val="24"/>
          <w:szCs w:val="24"/>
          <w:lang w:val="en-GB"/>
        </w:rPr>
        <w:t>‘</w:t>
      </w:r>
      <w:r w:rsidR="00BB121D" w:rsidRPr="001B3BA5">
        <w:rPr>
          <w:rFonts w:ascii="Times" w:hAnsi="Times"/>
          <w:sz w:val="24"/>
          <w:szCs w:val="24"/>
          <w:lang w:val="en-GB"/>
        </w:rPr>
        <w:t>remain</w:t>
      </w:r>
      <w:r w:rsidR="00B146E8" w:rsidRPr="001B3BA5">
        <w:rPr>
          <w:rFonts w:ascii="Times" w:hAnsi="Times"/>
          <w:sz w:val="24"/>
          <w:szCs w:val="24"/>
          <w:lang w:val="en-GB"/>
        </w:rPr>
        <w:t>’</w:t>
      </w:r>
      <w:r w:rsidR="00BB121D" w:rsidRPr="001B3BA5">
        <w:rPr>
          <w:rFonts w:ascii="Times" w:hAnsi="Times"/>
          <w:sz w:val="24"/>
          <w:szCs w:val="24"/>
          <w:lang w:val="en-GB"/>
        </w:rPr>
        <w:t xml:space="preserve"> voters would </w:t>
      </w:r>
      <w:r w:rsidR="000105D8" w:rsidRPr="001B3BA5">
        <w:rPr>
          <w:rFonts w:ascii="Times" w:hAnsi="Times"/>
          <w:sz w:val="24"/>
          <w:szCs w:val="24"/>
          <w:lang w:val="en-GB"/>
        </w:rPr>
        <w:t>change their</w:t>
      </w:r>
      <w:r w:rsidR="00BB121D" w:rsidRPr="001B3BA5">
        <w:rPr>
          <w:rFonts w:ascii="Times" w:hAnsi="Times"/>
          <w:sz w:val="24"/>
          <w:szCs w:val="24"/>
          <w:lang w:val="en-GB"/>
        </w:rPr>
        <w:t xml:space="preserve"> vote</w:t>
      </w:r>
      <w:r w:rsidR="000105D8" w:rsidRPr="001B3BA5">
        <w:rPr>
          <w:rFonts w:ascii="Times" w:hAnsi="Times"/>
          <w:sz w:val="24"/>
          <w:szCs w:val="24"/>
          <w:lang w:val="en-GB"/>
        </w:rPr>
        <w:t xml:space="preserve"> to</w:t>
      </w:r>
      <w:r w:rsidR="00BB121D" w:rsidRPr="001B3BA5">
        <w:rPr>
          <w:rFonts w:ascii="Times" w:hAnsi="Times"/>
          <w:sz w:val="24"/>
          <w:szCs w:val="24"/>
          <w:lang w:val="en-GB"/>
        </w:rPr>
        <w:t xml:space="preserve"> </w:t>
      </w:r>
      <w:r w:rsidR="00B146E8" w:rsidRPr="001B3BA5">
        <w:rPr>
          <w:rFonts w:ascii="Times" w:hAnsi="Times"/>
          <w:sz w:val="24"/>
          <w:szCs w:val="24"/>
          <w:lang w:val="en-GB"/>
        </w:rPr>
        <w:t>‘</w:t>
      </w:r>
      <w:r w:rsidR="00BB121D" w:rsidRPr="001B3BA5">
        <w:rPr>
          <w:rFonts w:ascii="Times" w:hAnsi="Times"/>
          <w:sz w:val="24"/>
          <w:szCs w:val="24"/>
          <w:lang w:val="en-GB"/>
        </w:rPr>
        <w:t>leave</w:t>
      </w:r>
      <w:r w:rsidR="00B146E8" w:rsidRPr="001B3BA5">
        <w:rPr>
          <w:rFonts w:ascii="Times" w:hAnsi="Times"/>
          <w:sz w:val="24"/>
          <w:szCs w:val="24"/>
          <w:lang w:val="en-GB"/>
        </w:rPr>
        <w:t>’</w:t>
      </w:r>
      <w:r w:rsidR="00BB121D" w:rsidRPr="001B3BA5">
        <w:rPr>
          <w:rFonts w:ascii="Times" w:hAnsi="Times"/>
          <w:sz w:val="24"/>
          <w:szCs w:val="24"/>
          <w:lang w:val="en-GB"/>
        </w:rPr>
        <w:t>.</w:t>
      </w:r>
    </w:p>
    <w:p w14:paraId="5741B391" w14:textId="038E9DD5" w:rsidR="00862234" w:rsidRPr="001B3BA5" w:rsidRDefault="00E72BDE" w:rsidP="00584266">
      <w:pPr>
        <w:spacing w:after="0" w:line="480" w:lineRule="exact"/>
        <w:ind w:firstLine="708"/>
        <w:jc w:val="center"/>
        <w:rPr>
          <w:rFonts w:ascii="Times" w:hAnsi="Times"/>
          <w:b/>
          <w:sz w:val="24"/>
          <w:szCs w:val="24"/>
          <w:lang w:val="en-GB"/>
        </w:rPr>
      </w:pPr>
      <w:bookmarkStart w:id="42" w:name="_Hlk14248014"/>
      <w:r w:rsidRPr="001B3BA5">
        <w:rPr>
          <w:rFonts w:ascii="Times" w:hAnsi="Times"/>
          <w:b/>
          <w:sz w:val="24"/>
          <w:szCs w:val="24"/>
          <w:lang w:val="en-GB"/>
        </w:rPr>
        <w:t>G</w:t>
      </w:r>
      <w:r w:rsidR="00DD1D01" w:rsidRPr="001B3BA5">
        <w:rPr>
          <w:rFonts w:ascii="Times" w:hAnsi="Times"/>
          <w:b/>
          <w:sz w:val="24"/>
          <w:szCs w:val="24"/>
          <w:lang w:val="en-GB"/>
        </w:rPr>
        <w:t xml:space="preserve">eneral </w:t>
      </w:r>
      <w:r w:rsidRPr="001B3BA5">
        <w:rPr>
          <w:rFonts w:ascii="Times" w:hAnsi="Times"/>
          <w:b/>
          <w:sz w:val="24"/>
          <w:szCs w:val="24"/>
          <w:lang w:val="en-GB"/>
        </w:rPr>
        <w:t>D</w:t>
      </w:r>
      <w:r w:rsidR="00DD1D01" w:rsidRPr="001B3BA5">
        <w:rPr>
          <w:rFonts w:ascii="Times" w:hAnsi="Times"/>
          <w:b/>
          <w:sz w:val="24"/>
          <w:szCs w:val="24"/>
          <w:lang w:val="en-GB"/>
        </w:rPr>
        <w:t>iscussion</w:t>
      </w:r>
    </w:p>
    <w:p w14:paraId="04C7EC93" w14:textId="4546972C" w:rsidR="00B858A9" w:rsidRPr="001B3BA5" w:rsidRDefault="00E84B3D">
      <w:pPr>
        <w:pStyle w:val="ListParagraph"/>
        <w:spacing w:after="0" w:line="480" w:lineRule="exact"/>
        <w:ind w:left="0" w:firstLine="709"/>
        <w:rPr>
          <w:rFonts w:asciiTheme="majorBidi" w:hAnsiTheme="majorBidi" w:cstheme="majorBidi"/>
          <w:sz w:val="24"/>
          <w:szCs w:val="24"/>
          <w:lang w:val="en-GB"/>
        </w:rPr>
      </w:pPr>
      <w:r w:rsidRPr="001B3BA5">
        <w:rPr>
          <w:rFonts w:asciiTheme="majorBidi" w:hAnsiTheme="majorBidi" w:cstheme="majorBidi"/>
          <w:sz w:val="24"/>
          <w:szCs w:val="24"/>
          <w:lang w:val="en-GB"/>
        </w:rPr>
        <w:t xml:space="preserve">Our research suggests that </w:t>
      </w:r>
      <w:r w:rsidRPr="001B3BA5">
        <w:rPr>
          <w:rFonts w:ascii="Times New Roman" w:hAnsi="Times New Roman" w:cs="Times New Roman"/>
          <w:sz w:val="24"/>
          <w:szCs w:val="24"/>
          <w:lang w:val="en-GB"/>
        </w:rPr>
        <w:t>t</w:t>
      </w:r>
      <w:r w:rsidR="00E2198E" w:rsidRPr="001B3BA5">
        <w:rPr>
          <w:rFonts w:ascii="Times New Roman" w:hAnsi="Times New Roman" w:cs="Times New Roman"/>
          <w:sz w:val="24"/>
          <w:szCs w:val="24"/>
          <w:lang w:val="en-GB"/>
        </w:rPr>
        <w:t xml:space="preserve">he </w:t>
      </w:r>
      <w:r w:rsidR="005E1A82" w:rsidRPr="001B3BA5">
        <w:rPr>
          <w:rFonts w:ascii="Times New Roman" w:hAnsi="Times New Roman" w:cs="Times New Roman"/>
          <w:sz w:val="24"/>
          <w:szCs w:val="24"/>
          <w:lang w:val="en-GB"/>
        </w:rPr>
        <w:t xml:space="preserve">right-wing </w:t>
      </w:r>
      <w:r w:rsidR="00E2198E" w:rsidRPr="001B3BA5">
        <w:rPr>
          <w:rFonts w:ascii="Times New Roman" w:hAnsi="Times New Roman" w:cs="Times New Roman"/>
          <w:sz w:val="24"/>
          <w:szCs w:val="24"/>
          <w:lang w:val="en-GB"/>
        </w:rPr>
        <w:t xml:space="preserve">populist </w:t>
      </w:r>
      <w:r w:rsidR="00260919" w:rsidRPr="001B3BA5">
        <w:rPr>
          <w:rFonts w:ascii="Times New Roman" w:hAnsi="Times New Roman" w:cs="Times New Roman"/>
          <w:sz w:val="24"/>
          <w:szCs w:val="24"/>
          <w:lang w:val="en-GB"/>
        </w:rPr>
        <w:t xml:space="preserve">horizontal </w:t>
      </w:r>
      <w:r w:rsidR="00907CB8" w:rsidRPr="001B3BA5">
        <w:rPr>
          <w:rFonts w:ascii="Times New Roman" w:hAnsi="Times New Roman" w:cs="Times New Roman"/>
          <w:sz w:val="24"/>
          <w:szCs w:val="24"/>
          <w:lang w:val="en-GB"/>
        </w:rPr>
        <w:t xml:space="preserve">(natives vs. immigrants) </w:t>
      </w:r>
      <w:r w:rsidR="00260919" w:rsidRPr="001B3BA5">
        <w:rPr>
          <w:rFonts w:ascii="Times New Roman" w:hAnsi="Times New Roman" w:cs="Times New Roman"/>
          <w:sz w:val="24"/>
          <w:szCs w:val="24"/>
          <w:lang w:val="en-GB"/>
        </w:rPr>
        <w:t>and vertical</w:t>
      </w:r>
      <w:r w:rsidR="00907CB8" w:rsidRPr="001B3BA5">
        <w:rPr>
          <w:rFonts w:ascii="Times New Roman" w:hAnsi="Times New Roman" w:cs="Times New Roman"/>
          <w:sz w:val="24"/>
          <w:szCs w:val="24"/>
          <w:lang w:val="en-GB"/>
        </w:rPr>
        <w:t xml:space="preserve"> (people vs. elite)</w:t>
      </w:r>
      <w:r w:rsidR="00260919" w:rsidRPr="001B3BA5">
        <w:rPr>
          <w:rFonts w:ascii="Times New Roman" w:hAnsi="Times New Roman" w:cs="Times New Roman"/>
          <w:sz w:val="24"/>
          <w:szCs w:val="24"/>
          <w:lang w:val="en-GB"/>
        </w:rPr>
        <w:t xml:space="preserve"> </w:t>
      </w:r>
      <w:r w:rsidR="00B146E8" w:rsidRPr="001B3BA5">
        <w:rPr>
          <w:rFonts w:ascii="Times New Roman" w:hAnsi="Times New Roman" w:cs="Times New Roman"/>
          <w:sz w:val="24"/>
          <w:szCs w:val="24"/>
          <w:lang w:val="en-GB"/>
        </w:rPr>
        <w:t>‘</w:t>
      </w:r>
      <w:r w:rsidR="00E2198E" w:rsidRPr="001B3BA5">
        <w:rPr>
          <w:rFonts w:ascii="Times New Roman" w:hAnsi="Times New Roman" w:cs="Times New Roman"/>
          <w:sz w:val="24"/>
          <w:szCs w:val="24"/>
          <w:lang w:val="en-GB"/>
        </w:rPr>
        <w:t>us-them</w:t>
      </w:r>
      <w:r w:rsidR="00B146E8" w:rsidRPr="001B3BA5">
        <w:rPr>
          <w:rFonts w:ascii="Times New Roman" w:hAnsi="Times New Roman" w:cs="Times New Roman"/>
          <w:sz w:val="24"/>
          <w:szCs w:val="24"/>
          <w:lang w:val="en-GB"/>
        </w:rPr>
        <w:t>’</w:t>
      </w:r>
      <w:r w:rsidR="00E2198E" w:rsidRPr="001B3BA5">
        <w:rPr>
          <w:rFonts w:ascii="Times New Roman" w:hAnsi="Times New Roman" w:cs="Times New Roman"/>
          <w:sz w:val="24"/>
          <w:szCs w:val="24"/>
          <w:lang w:val="en-GB"/>
        </w:rPr>
        <w:t xml:space="preserve"> distinction</w:t>
      </w:r>
      <w:r w:rsidR="00260919" w:rsidRPr="001B3BA5">
        <w:rPr>
          <w:rFonts w:ascii="Times New Roman" w:hAnsi="Times New Roman" w:cs="Times New Roman"/>
          <w:sz w:val="24"/>
          <w:szCs w:val="24"/>
          <w:lang w:val="en-GB"/>
        </w:rPr>
        <w:t>s</w:t>
      </w:r>
      <w:r w:rsidR="00E2198E" w:rsidRPr="001B3BA5">
        <w:rPr>
          <w:rFonts w:ascii="Times New Roman" w:hAnsi="Times New Roman" w:cs="Times New Roman"/>
          <w:sz w:val="24"/>
          <w:szCs w:val="24"/>
          <w:lang w:val="en-GB"/>
        </w:rPr>
        <w:t xml:space="preserve"> can</w:t>
      </w:r>
      <w:r w:rsidR="00A67A48" w:rsidRPr="001B3BA5">
        <w:rPr>
          <w:rFonts w:ascii="Times New Roman" w:hAnsi="Times New Roman" w:cs="Times New Roman"/>
          <w:sz w:val="24"/>
          <w:szCs w:val="24"/>
          <w:lang w:val="en-GB"/>
        </w:rPr>
        <w:t xml:space="preserve"> be </w:t>
      </w:r>
      <w:r w:rsidRPr="001B3BA5">
        <w:rPr>
          <w:rFonts w:ascii="Times New Roman" w:hAnsi="Times New Roman" w:cs="Times New Roman"/>
          <w:sz w:val="24"/>
          <w:szCs w:val="24"/>
          <w:lang w:val="en-GB"/>
        </w:rPr>
        <w:t xml:space="preserve">based </w:t>
      </w:r>
      <w:r w:rsidR="00E2198E" w:rsidRPr="001B3BA5">
        <w:rPr>
          <w:rFonts w:ascii="Times New Roman" w:hAnsi="Times New Roman" w:cs="Times New Roman"/>
          <w:sz w:val="24"/>
          <w:szCs w:val="24"/>
          <w:lang w:val="en-GB"/>
        </w:rPr>
        <w:t xml:space="preserve">not only </w:t>
      </w:r>
      <w:r w:rsidR="005E1A82" w:rsidRPr="001B3BA5">
        <w:rPr>
          <w:rFonts w:ascii="Times New Roman" w:hAnsi="Times New Roman" w:cs="Times New Roman"/>
          <w:sz w:val="24"/>
          <w:szCs w:val="24"/>
          <w:lang w:val="en-GB"/>
        </w:rPr>
        <w:t xml:space="preserve">on </w:t>
      </w:r>
      <w:r w:rsidR="00E2198E" w:rsidRPr="001B3BA5">
        <w:rPr>
          <w:rFonts w:ascii="Times New Roman" w:hAnsi="Times New Roman" w:cs="Times New Roman"/>
          <w:sz w:val="24"/>
          <w:szCs w:val="24"/>
          <w:lang w:val="en-GB"/>
        </w:rPr>
        <w:t xml:space="preserve">morality </w:t>
      </w:r>
      <w:r w:rsidR="00D860BF" w:rsidRPr="001B3BA5">
        <w:rPr>
          <w:rFonts w:ascii="Times New Roman" w:hAnsi="Times New Roman" w:cs="Times New Roman"/>
          <w:sz w:val="24"/>
          <w:szCs w:val="24"/>
          <w:lang w:val="en-GB"/>
        </w:rPr>
        <w:fldChar w:fldCharType="begin"/>
      </w:r>
      <w:r w:rsidR="0056663E" w:rsidRPr="001B3BA5">
        <w:rPr>
          <w:rFonts w:ascii="Times New Roman" w:hAnsi="Times New Roman" w:cs="Times New Roman"/>
          <w:sz w:val="24"/>
          <w:szCs w:val="24"/>
          <w:lang w:val="en-GB"/>
        </w:rPr>
        <w:instrText xml:space="preserve"> ADDIN EN.CITE &lt;EndNote&gt;&lt;Cite&gt;&lt;Author&gt;Mudde&lt;/Author&gt;&lt;Year&gt;2007&lt;/Year&gt;&lt;RecNum&gt;532&lt;/RecNum&gt;&lt;Prefix&gt;the people are &amp;apos;good&amp;apos;`; &lt;/Prefix&gt;&lt;DisplayText&gt;(the people are &amp;apos;good&amp;apos;; Mudde, 2007)&lt;/DisplayText&gt;&lt;record&gt;&lt;rec-number&gt;532&lt;/rec-number&gt;&lt;foreign-keys&gt;&lt;key app="EN" db-id="es92r5v5dve2z0erx59pv50vtp29v0t9ef5f" timestamp="0"&gt;532&lt;/key&gt;&lt;/foreign-keys&gt;&lt;ref-type name="Book"&gt;6&lt;/ref-type&gt;&lt;contributors&gt;&lt;authors&gt;&lt;author&gt;Mudde, Cas&lt;/author&gt;&lt;/authors&gt;&lt;/contributors&gt;&lt;titles&gt;&lt;title&gt;Populist radical right parties in Europe&lt;/title&gt;&lt;/titles&gt;&lt;volume&gt;22&lt;/volume&gt;&lt;number&gt;8&lt;/number&gt;&lt;dates&gt;&lt;year&gt;2007&lt;/year&gt;&lt;/dates&gt;&lt;pub-location&gt;Cambridge, UK&lt;/pub-location&gt;&lt;publisher&gt;Cambridge University Press&lt;/publisher&gt;&lt;urls&gt;&lt;/urls&gt;&lt;/record&gt;&lt;/Cite&gt;&lt;/EndNote&gt;</w:instrText>
      </w:r>
      <w:r w:rsidR="00D860BF" w:rsidRPr="001B3BA5">
        <w:rPr>
          <w:rFonts w:ascii="Times New Roman" w:hAnsi="Times New Roman" w:cs="Times New Roman"/>
          <w:sz w:val="24"/>
          <w:szCs w:val="24"/>
          <w:lang w:val="en-GB"/>
        </w:rPr>
        <w:fldChar w:fldCharType="separate"/>
      </w:r>
      <w:r w:rsidR="009E6BCA" w:rsidRPr="001B3BA5">
        <w:rPr>
          <w:rFonts w:ascii="Times New Roman" w:hAnsi="Times New Roman" w:cs="Times New Roman"/>
          <w:noProof/>
          <w:sz w:val="24"/>
          <w:szCs w:val="24"/>
          <w:lang w:val="en-GB"/>
        </w:rPr>
        <w:t>(the people are 'good'; Mudde, 2007)</w:t>
      </w:r>
      <w:r w:rsidR="00D860BF" w:rsidRPr="001B3BA5">
        <w:rPr>
          <w:rFonts w:ascii="Times New Roman" w:hAnsi="Times New Roman" w:cs="Times New Roman"/>
          <w:sz w:val="24"/>
          <w:szCs w:val="24"/>
          <w:lang w:val="en-GB"/>
        </w:rPr>
        <w:fldChar w:fldCharType="end"/>
      </w:r>
      <w:r w:rsidR="00E2198E" w:rsidRPr="001B3BA5">
        <w:rPr>
          <w:rFonts w:ascii="Times New Roman" w:hAnsi="Times New Roman" w:cs="Times New Roman"/>
          <w:sz w:val="24"/>
          <w:szCs w:val="24"/>
          <w:lang w:val="en-GB"/>
        </w:rPr>
        <w:t xml:space="preserve">, but also </w:t>
      </w:r>
      <w:r w:rsidRPr="001B3BA5">
        <w:rPr>
          <w:rFonts w:ascii="Times New Roman" w:hAnsi="Times New Roman" w:cs="Times New Roman"/>
          <w:sz w:val="24"/>
          <w:szCs w:val="24"/>
          <w:lang w:val="en-GB"/>
        </w:rPr>
        <w:t>on</w:t>
      </w:r>
      <w:r w:rsidR="00E2198E" w:rsidRPr="001B3BA5">
        <w:rPr>
          <w:rFonts w:ascii="Times New Roman" w:hAnsi="Times New Roman" w:cs="Times New Roman"/>
          <w:sz w:val="24"/>
          <w:szCs w:val="24"/>
          <w:lang w:val="en-GB"/>
        </w:rPr>
        <w:t xml:space="preserve"> entitlement</w:t>
      </w:r>
      <w:r w:rsidRPr="001B3BA5">
        <w:rPr>
          <w:rFonts w:ascii="Times New Roman" w:hAnsi="Times New Roman" w:cs="Times New Roman"/>
          <w:sz w:val="24"/>
          <w:szCs w:val="24"/>
          <w:lang w:val="en-GB"/>
        </w:rPr>
        <w:t xml:space="preserve"> derived from </w:t>
      </w:r>
      <w:r w:rsidR="00E2198E" w:rsidRPr="001B3BA5">
        <w:rPr>
          <w:rFonts w:ascii="Times New Roman" w:hAnsi="Times New Roman" w:cs="Times New Roman"/>
          <w:sz w:val="24"/>
          <w:szCs w:val="24"/>
          <w:lang w:val="en-GB"/>
        </w:rPr>
        <w:t xml:space="preserve">ownership. </w:t>
      </w:r>
      <w:r w:rsidR="00E2198E" w:rsidRPr="001B3BA5">
        <w:rPr>
          <w:rFonts w:asciiTheme="majorBidi" w:hAnsiTheme="majorBidi" w:cstheme="majorBidi"/>
          <w:sz w:val="24"/>
          <w:szCs w:val="24"/>
          <w:lang w:val="en-GB"/>
        </w:rPr>
        <w:t>Most people</w:t>
      </w:r>
      <w:r w:rsidR="00A67A48" w:rsidRPr="001B3BA5">
        <w:rPr>
          <w:rFonts w:asciiTheme="majorBidi" w:hAnsiTheme="majorBidi" w:cstheme="majorBidi"/>
          <w:sz w:val="24"/>
          <w:szCs w:val="24"/>
          <w:lang w:val="en-GB"/>
        </w:rPr>
        <w:t>, for example,</w:t>
      </w:r>
      <w:r w:rsidR="00E2198E" w:rsidRPr="001B3BA5">
        <w:rPr>
          <w:rFonts w:asciiTheme="majorBidi" w:hAnsiTheme="majorBidi" w:cstheme="majorBidi"/>
          <w:sz w:val="24"/>
          <w:szCs w:val="24"/>
          <w:lang w:val="en-GB"/>
        </w:rPr>
        <w:t xml:space="preserve"> would</w:t>
      </w:r>
      <w:r w:rsidR="00A67A48" w:rsidRPr="001B3BA5">
        <w:rPr>
          <w:rFonts w:asciiTheme="majorBidi" w:hAnsiTheme="majorBidi" w:cstheme="majorBidi"/>
          <w:sz w:val="24"/>
          <w:szCs w:val="24"/>
          <w:lang w:val="en-GB"/>
        </w:rPr>
        <w:t xml:space="preserve"> endorse the notion that</w:t>
      </w:r>
      <w:r w:rsidR="00E2198E" w:rsidRPr="001B3BA5">
        <w:rPr>
          <w:rFonts w:asciiTheme="majorBidi" w:hAnsiTheme="majorBidi" w:cstheme="majorBidi"/>
          <w:sz w:val="24"/>
          <w:szCs w:val="24"/>
          <w:lang w:val="en-GB"/>
        </w:rPr>
        <w:t xml:space="preserve"> the owner of a house can decide who is welcome, and our </w:t>
      </w:r>
      <w:r w:rsidRPr="001B3BA5">
        <w:rPr>
          <w:rFonts w:asciiTheme="majorBidi" w:hAnsiTheme="majorBidi" w:cstheme="majorBidi"/>
          <w:sz w:val="24"/>
          <w:szCs w:val="24"/>
          <w:lang w:val="en-GB"/>
        </w:rPr>
        <w:t>findings</w:t>
      </w:r>
      <w:r w:rsidR="00E2198E" w:rsidRPr="001B3BA5">
        <w:rPr>
          <w:rFonts w:asciiTheme="majorBidi" w:hAnsiTheme="majorBidi" w:cstheme="majorBidi"/>
          <w:sz w:val="24"/>
          <w:szCs w:val="24"/>
          <w:lang w:val="en-GB"/>
        </w:rPr>
        <w:t xml:space="preserve"> suggests that people apply this logic to</w:t>
      </w:r>
      <w:r w:rsidR="00A67A48" w:rsidRPr="001B3BA5">
        <w:rPr>
          <w:rFonts w:asciiTheme="majorBidi" w:hAnsiTheme="majorBidi" w:cstheme="majorBidi"/>
          <w:sz w:val="24"/>
          <w:szCs w:val="24"/>
          <w:lang w:val="en-GB"/>
        </w:rPr>
        <w:t xml:space="preserve"> their </w:t>
      </w:r>
      <w:r w:rsidR="00E2198E" w:rsidRPr="001B3BA5">
        <w:rPr>
          <w:rFonts w:asciiTheme="majorBidi" w:hAnsiTheme="majorBidi" w:cstheme="majorBidi"/>
          <w:sz w:val="24"/>
          <w:szCs w:val="24"/>
          <w:lang w:val="en-GB"/>
        </w:rPr>
        <w:t>country</w:t>
      </w:r>
      <w:r w:rsidR="00A67A48" w:rsidRPr="001B3BA5">
        <w:rPr>
          <w:rFonts w:asciiTheme="majorBidi" w:hAnsiTheme="majorBidi" w:cstheme="majorBidi"/>
          <w:sz w:val="24"/>
          <w:szCs w:val="24"/>
          <w:lang w:val="en-GB"/>
        </w:rPr>
        <w:t xml:space="preserve"> </w:t>
      </w:r>
      <w:r w:rsidR="00260919" w:rsidRPr="001B3BA5">
        <w:rPr>
          <w:rFonts w:asciiTheme="majorBidi" w:hAnsiTheme="majorBidi" w:cstheme="majorBidi"/>
          <w:sz w:val="24"/>
          <w:szCs w:val="24"/>
          <w:lang w:val="en-GB"/>
        </w:rPr>
        <w:t>as a basis for</w:t>
      </w:r>
      <w:r w:rsidR="00E2198E" w:rsidRPr="001B3BA5">
        <w:rPr>
          <w:rFonts w:asciiTheme="majorBidi" w:hAnsiTheme="majorBidi" w:cstheme="majorBidi"/>
          <w:sz w:val="24"/>
          <w:szCs w:val="24"/>
          <w:lang w:val="en-GB"/>
        </w:rPr>
        <w:t xml:space="preserve"> their exclusionary attitudes and behavio</w:t>
      </w:r>
      <w:r w:rsidR="008643F0" w:rsidRPr="001B3BA5">
        <w:rPr>
          <w:rFonts w:asciiTheme="majorBidi" w:hAnsiTheme="majorBidi" w:cstheme="majorBidi"/>
          <w:sz w:val="24"/>
          <w:szCs w:val="24"/>
          <w:lang w:val="en-GB"/>
        </w:rPr>
        <w:t>u</w:t>
      </w:r>
      <w:r w:rsidR="00E2198E" w:rsidRPr="001B3BA5">
        <w:rPr>
          <w:rFonts w:asciiTheme="majorBidi" w:hAnsiTheme="majorBidi" w:cstheme="majorBidi"/>
          <w:sz w:val="24"/>
          <w:szCs w:val="24"/>
          <w:lang w:val="en-GB"/>
        </w:rPr>
        <w:t>rs.</w:t>
      </w:r>
      <w:bookmarkStart w:id="43" w:name="_Hlk21339309"/>
    </w:p>
    <w:p w14:paraId="57A1914C" w14:textId="6052D0F1" w:rsidR="00F07020" w:rsidRPr="001B3BA5" w:rsidRDefault="00A67A48" w:rsidP="00796D45">
      <w:pPr>
        <w:pStyle w:val="ListParagraph"/>
        <w:spacing w:after="0" w:line="480" w:lineRule="exact"/>
        <w:ind w:left="0" w:firstLine="709"/>
        <w:rPr>
          <w:rFonts w:ascii="Times New Roman" w:hAnsi="Times New Roman" w:cs="Times New Roman"/>
          <w:sz w:val="24"/>
          <w:szCs w:val="24"/>
          <w:lang w:val="en-GB"/>
        </w:rPr>
      </w:pPr>
      <w:r w:rsidRPr="001B3BA5">
        <w:rPr>
          <w:rFonts w:asciiTheme="majorBidi" w:hAnsiTheme="majorBidi" w:cstheme="majorBidi"/>
          <w:sz w:val="24"/>
          <w:szCs w:val="24"/>
          <w:lang w:val="en-GB"/>
        </w:rPr>
        <w:t>W</w:t>
      </w:r>
      <w:r w:rsidR="00F07020" w:rsidRPr="001B3BA5">
        <w:rPr>
          <w:rFonts w:ascii="Times New Roman" w:hAnsi="Times New Roman" w:cs="Times New Roman"/>
          <w:sz w:val="24"/>
          <w:szCs w:val="24"/>
          <w:lang w:val="en-GB"/>
        </w:rPr>
        <w:t>e</w:t>
      </w:r>
      <w:r w:rsidRPr="001B3BA5">
        <w:rPr>
          <w:rFonts w:ascii="Times New Roman" w:hAnsi="Times New Roman" w:cs="Times New Roman"/>
          <w:sz w:val="24"/>
          <w:szCs w:val="24"/>
          <w:lang w:val="en-GB"/>
        </w:rPr>
        <w:t xml:space="preserve"> demonstrated</w:t>
      </w:r>
      <w:r w:rsidR="00F07020" w:rsidRPr="001B3BA5">
        <w:rPr>
          <w:rFonts w:ascii="Times New Roman" w:hAnsi="Times New Roman" w:cs="Times New Roman"/>
          <w:sz w:val="24"/>
          <w:szCs w:val="24"/>
          <w:lang w:val="en-GB"/>
        </w:rPr>
        <w:t xml:space="preserve"> that </w:t>
      </w:r>
      <w:r w:rsidR="00DC01FF" w:rsidRPr="001B3BA5">
        <w:rPr>
          <w:rFonts w:ascii="Times New Roman" w:hAnsi="Times New Roman" w:cs="Times New Roman"/>
          <w:i/>
          <w:sz w:val="24"/>
          <w:szCs w:val="24"/>
          <w:lang w:val="en-GB"/>
        </w:rPr>
        <w:t>exclusive determination right</w:t>
      </w:r>
      <w:r w:rsidR="000B700A" w:rsidRPr="001B3BA5">
        <w:rPr>
          <w:rFonts w:ascii="Times New Roman" w:hAnsi="Times New Roman" w:cs="Times New Roman"/>
          <w:sz w:val="24"/>
          <w:szCs w:val="24"/>
          <w:lang w:val="en-GB"/>
        </w:rPr>
        <w:t xml:space="preserve"> is in part</w:t>
      </w:r>
      <w:r w:rsidR="00F07020" w:rsidRPr="001B3BA5">
        <w:rPr>
          <w:rFonts w:ascii="Times New Roman" w:hAnsi="Times New Roman" w:cs="Times New Roman"/>
          <w:sz w:val="24"/>
          <w:szCs w:val="24"/>
          <w:lang w:val="en-GB"/>
        </w:rPr>
        <w:t xml:space="preserve"> responsible for the </w:t>
      </w:r>
      <w:r w:rsidR="00E84B3D" w:rsidRPr="001B3BA5">
        <w:rPr>
          <w:rFonts w:ascii="Times New Roman" w:hAnsi="Times New Roman" w:cs="Times New Roman"/>
          <w:sz w:val="24"/>
          <w:szCs w:val="24"/>
          <w:lang w:val="en-GB"/>
        </w:rPr>
        <w:t>anti-immigrant and anti-EU attitudes</w:t>
      </w:r>
      <w:r w:rsidR="002D42C2" w:rsidRPr="001B3BA5">
        <w:rPr>
          <w:rFonts w:ascii="Times New Roman" w:hAnsi="Times New Roman" w:cs="Times New Roman"/>
          <w:sz w:val="24"/>
          <w:szCs w:val="24"/>
          <w:lang w:val="en-GB"/>
        </w:rPr>
        <w:t xml:space="preserve"> and behavio</w:t>
      </w:r>
      <w:r w:rsidR="008643F0" w:rsidRPr="001B3BA5">
        <w:rPr>
          <w:rFonts w:ascii="Times New Roman" w:hAnsi="Times New Roman" w:cs="Times New Roman"/>
          <w:sz w:val="24"/>
          <w:szCs w:val="24"/>
          <w:lang w:val="en-GB"/>
        </w:rPr>
        <w:t>u</w:t>
      </w:r>
      <w:r w:rsidR="002D42C2" w:rsidRPr="001B3BA5">
        <w:rPr>
          <w:rFonts w:ascii="Times New Roman" w:hAnsi="Times New Roman" w:cs="Times New Roman"/>
          <w:sz w:val="24"/>
          <w:szCs w:val="24"/>
          <w:lang w:val="en-GB"/>
        </w:rPr>
        <w:t>rs</w:t>
      </w:r>
      <w:r w:rsidR="00F07020" w:rsidRPr="001B3BA5">
        <w:rPr>
          <w:rFonts w:ascii="Times New Roman" w:hAnsi="Times New Roman" w:cs="Times New Roman"/>
          <w:sz w:val="24"/>
          <w:szCs w:val="24"/>
          <w:lang w:val="en-GB"/>
        </w:rPr>
        <w:t xml:space="preserve">. </w:t>
      </w:r>
      <w:r w:rsidR="000B700A" w:rsidRPr="001B3BA5">
        <w:rPr>
          <w:rFonts w:ascii="Times New Roman" w:hAnsi="Times New Roman" w:cs="Times New Roman"/>
          <w:sz w:val="24"/>
          <w:szCs w:val="24"/>
          <w:lang w:val="en-GB"/>
        </w:rPr>
        <w:t xml:space="preserve">We found </w:t>
      </w:r>
      <w:r w:rsidR="00F07020" w:rsidRPr="001B3BA5">
        <w:rPr>
          <w:rFonts w:ascii="Times New Roman" w:hAnsi="Times New Roman" w:cs="Times New Roman"/>
          <w:sz w:val="24"/>
          <w:szCs w:val="24"/>
          <w:lang w:val="en-GB"/>
        </w:rPr>
        <w:t xml:space="preserve">high correlations between </w:t>
      </w:r>
      <w:r w:rsidR="0040442F" w:rsidRPr="001B3BA5">
        <w:rPr>
          <w:rFonts w:ascii="Times New Roman" w:hAnsi="Times New Roman" w:cs="Times New Roman"/>
          <w:sz w:val="24"/>
          <w:szCs w:val="24"/>
          <w:lang w:val="en-GB"/>
        </w:rPr>
        <w:t xml:space="preserve">CPO and exclusive determination right </w:t>
      </w:r>
      <w:r w:rsidR="00A643D6" w:rsidRPr="001B3BA5">
        <w:rPr>
          <w:rFonts w:ascii="Times New Roman" w:hAnsi="Times New Roman" w:cs="Times New Roman"/>
          <w:sz w:val="24"/>
          <w:szCs w:val="24"/>
          <w:lang w:val="en-GB"/>
        </w:rPr>
        <w:t>in both studies</w:t>
      </w:r>
      <w:r w:rsidR="00C87F1C" w:rsidRPr="001B3BA5">
        <w:rPr>
          <w:rFonts w:ascii="Times New Roman" w:hAnsi="Times New Roman" w:cs="Times New Roman"/>
          <w:sz w:val="24"/>
          <w:szCs w:val="24"/>
          <w:lang w:val="en-GB"/>
        </w:rPr>
        <w:t>,</w:t>
      </w:r>
      <w:r w:rsidR="00A643D6" w:rsidRPr="001B3BA5">
        <w:rPr>
          <w:rFonts w:ascii="Times New Roman" w:hAnsi="Times New Roman" w:cs="Times New Roman"/>
          <w:sz w:val="24"/>
          <w:szCs w:val="24"/>
          <w:lang w:val="en-GB"/>
        </w:rPr>
        <w:t xml:space="preserve"> </w:t>
      </w:r>
      <w:r w:rsidR="00D27A4D" w:rsidRPr="001B3BA5">
        <w:rPr>
          <w:rFonts w:ascii="Times New Roman" w:hAnsi="Times New Roman" w:cs="Times New Roman"/>
          <w:sz w:val="24"/>
          <w:szCs w:val="24"/>
          <w:lang w:val="en-GB"/>
        </w:rPr>
        <w:t xml:space="preserve">and </w:t>
      </w:r>
      <w:r w:rsidR="00F07020" w:rsidRPr="001B3BA5">
        <w:rPr>
          <w:rFonts w:ascii="Times New Roman" w:hAnsi="Times New Roman" w:cs="Times New Roman"/>
          <w:sz w:val="24"/>
          <w:szCs w:val="24"/>
          <w:lang w:val="en-GB"/>
        </w:rPr>
        <w:t xml:space="preserve">indirect effects of </w:t>
      </w:r>
      <w:r w:rsidR="00B140F2" w:rsidRPr="001B3BA5">
        <w:rPr>
          <w:rFonts w:ascii="Times New Roman" w:hAnsi="Times New Roman" w:cs="Times New Roman"/>
          <w:sz w:val="24"/>
          <w:szCs w:val="24"/>
          <w:lang w:val="en-GB"/>
        </w:rPr>
        <w:t>CPO</w:t>
      </w:r>
      <w:r w:rsidR="00F07020" w:rsidRPr="001B3BA5">
        <w:rPr>
          <w:rFonts w:ascii="Times New Roman" w:hAnsi="Times New Roman" w:cs="Times New Roman"/>
          <w:sz w:val="24"/>
          <w:szCs w:val="24"/>
          <w:lang w:val="en-GB"/>
        </w:rPr>
        <w:t xml:space="preserve"> through </w:t>
      </w:r>
      <w:r w:rsidR="00DC01FF" w:rsidRPr="001B3BA5">
        <w:rPr>
          <w:rFonts w:ascii="Times New Roman" w:hAnsi="Times New Roman" w:cs="Times New Roman"/>
          <w:sz w:val="24"/>
          <w:szCs w:val="24"/>
          <w:lang w:val="en-GB"/>
        </w:rPr>
        <w:t>exclusive determination right</w:t>
      </w:r>
      <w:r w:rsidR="00F07020" w:rsidRPr="001B3BA5">
        <w:rPr>
          <w:rFonts w:ascii="Times New Roman" w:hAnsi="Times New Roman" w:cs="Times New Roman"/>
          <w:sz w:val="24"/>
          <w:szCs w:val="24"/>
          <w:lang w:val="en-GB"/>
        </w:rPr>
        <w:t xml:space="preserve"> in Study 1. </w:t>
      </w:r>
      <w:r w:rsidR="00E05515" w:rsidRPr="001B3BA5">
        <w:rPr>
          <w:rFonts w:ascii="Times New Roman" w:hAnsi="Times New Roman" w:cs="Times New Roman"/>
          <w:sz w:val="24"/>
          <w:szCs w:val="24"/>
          <w:lang w:val="en-GB"/>
        </w:rPr>
        <w:t>T</w:t>
      </w:r>
      <w:r w:rsidR="005506C6" w:rsidRPr="001B3BA5">
        <w:rPr>
          <w:rFonts w:ascii="Times New Roman" w:hAnsi="Times New Roman" w:cs="Times New Roman"/>
          <w:sz w:val="24"/>
          <w:szCs w:val="24"/>
          <w:lang w:val="en-GB"/>
        </w:rPr>
        <w:t xml:space="preserve">hese findings </w:t>
      </w:r>
      <w:r w:rsidR="00A76196" w:rsidRPr="001B3BA5">
        <w:rPr>
          <w:rFonts w:ascii="Times New Roman" w:hAnsi="Times New Roman" w:cs="Times New Roman"/>
          <w:sz w:val="24"/>
          <w:szCs w:val="24"/>
          <w:lang w:val="en-GB"/>
        </w:rPr>
        <w:t>are</w:t>
      </w:r>
      <w:r w:rsidR="005506C6" w:rsidRPr="001B3BA5">
        <w:rPr>
          <w:rFonts w:ascii="Times New Roman" w:hAnsi="Times New Roman" w:cs="Times New Roman"/>
          <w:sz w:val="24"/>
          <w:szCs w:val="24"/>
          <w:lang w:val="en-GB"/>
        </w:rPr>
        <w:t xml:space="preserve"> consistent with </w:t>
      </w:r>
      <w:r w:rsidR="00DC01FF" w:rsidRPr="001B3BA5">
        <w:rPr>
          <w:rFonts w:ascii="Times New Roman" w:hAnsi="Times New Roman" w:cs="Times New Roman"/>
          <w:sz w:val="24"/>
          <w:szCs w:val="24"/>
          <w:lang w:val="en-GB"/>
        </w:rPr>
        <w:t>exclusive determination right</w:t>
      </w:r>
      <w:r w:rsidR="005506C6" w:rsidRPr="001B3BA5">
        <w:rPr>
          <w:rFonts w:ascii="Times New Roman" w:hAnsi="Times New Roman" w:cs="Times New Roman"/>
          <w:sz w:val="24"/>
          <w:szCs w:val="24"/>
          <w:lang w:val="en-GB"/>
        </w:rPr>
        <w:t xml:space="preserve"> </w:t>
      </w:r>
      <w:r w:rsidR="00C87F1C" w:rsidRPr="001B3BA5">
        <w:rPr>
          <w:rFonts w:ascii="Times New Roman" w:hAnsi="Times New Roman" w:cs="Times New Roman"/>
          <w:sz w:val="24"/>
          <w:szCs w:val="24"/>
          <w:lang w:val="en-GB"/>
        </w:rPr>
        <w:t xml:space="preserve">being </w:t>
      </w:r>
      <w:r w:rsidR="005506C6" w:rsidRPr="001B3BA5">
        <w:rPr>
          <w:rFonts w:ascii="Times New Roman" w:hAnsi="Times New Roman" w:cs="Times New Roman"/>
          <w:sz w:val="24"/>
          <w:szCs w:val="24"/>
          <w:lang w:val="en-GB"/>
        </w:rPr>
        <w:t xml:space="preserve">a core facet of </w:t>
      </w:r>
      <w:r w:rsidR="00454206" w:rsidRPr="001B3BA5">
        <w:rPr>
          <w:rFonts w:ascii="Times New Roman" w:hAnsi="Times New Roman" w:cs="Times New Roman"/>
          <w:sz w:val="24"/>
          <w:szCs w:val="24"/>
          <w:lang w:val="en-GB"/>
        </w:rPr>
        <w:t>ownership</w:t>
      </w:r>
      <w:r w:rsidR="005506C6" w:rsidRPr="001B3BA5">
        <w:rPr>
          <w:rFonts w:ascii="Times New Roman" w:hAnsi="Times New Roman" w:cs="Times New Roman"/>
          <w:sz w:val="24"/>
          <w:szCs w:val="24"/>
          <w:lang w:val="en-GB"/>
        </w:rPr>
        <w:t>.</w:t>
      </w:r>
      <w:r w:rsidR="00454206" w:rsidRPr="001B3BA5">
        <w:rPr>
          <w:rFonts w:ascii="Times New Roman" w:hAnsi="Times New Roman" w:cs="Times New Roman"/>
          <w:sz w:val="24"/>
          <w:szCs w:val="24"/>
          <w:lang w:val="en-GB"/>
        </w:rPr>
        <w:t xml:space="preserve"> </w:t>
      </w:r>
      <w:r w:rsidR="00E84B3D" w:rsidRPr="001B3BA5">
        <w:rPr>
          <w:rFonts w:ascii="Times New Roman" w:hAnsi="Times New Roman" w:cs="Times New Roman"/>
          <w:sz w:val="24"/>
          <w:szCs w:val="24"/>
          <w:lang w:val="en-GB"/>
        </w:rPr>
        <w:t>T</w:t>
      </w:r>
      <w:r w:rsidR="005506C6" w:rsidRPr="001B3BA5">
        <w:rPr>
          <w:rFonts w:ascii="Times New Roman" w:hAnsi="Times New Roman" w:cs="Times New Roman"/>
          <w:sz w:val="24"/>
          <w:szCs w:val="24"/>
          <w:lang w:val="en-GB"/>
        </w:rPr>
        <w:t>he high correlations, especially in Study 2, raise the prospect of construct (in)distinguishability.</w:t>
      </w:r>
      <w:r w:rsidR="00FC10B1" w:rsidRPr="001B3BA5">
        <w:rPr>
          <w:rFonts w:ascii="Times New Roman" w:hAnsi="Times New Roman" w:cs="Times New Roman"/>
          <w:sz w:val="24"/>
          <w:szCs w:val="24"/>
          <w:lang w:val="en-GB"/>
        </w:rPr>
        <w:t xml:space="preserve"> </w:t>
      </w:r>
      <w:r w:rsidR="002F6CA1" w:rsidRPr="001B3BA5">
        <w:rPr>
          <w:rFonts w:ascii="Times New Roman" w:hAnsi="Times New Roman" w:cs="Times New Roman"/>
          <w:sz w:val="24"/>
          <w:szCs w:val="24"/>
          <w:lang w:val="en-GB"/>
        </w:rPr>
        <w:t xml:space="preserve">However, </w:t>
      </w:r>
      <w:r w:rsidR="00E84B3D" w:rsidRPr="001B3BA5">
        <w:rPr>
          <w:rFonts w:ascii="Times New Roman" w:hAnsi="Times New Roman" w:cs="Times New Roman"/>
          <w:sz w:val="24"/>
          <w:szCs w:val="24"/>
          <w:lang w:val="en-GB"/>
        </w:rPr>
        <w:t xml:space="preserve">although there </w:t>
      </w:r>
      <w:r w:rsidR="00A76196" w:rsidRPr="001B3BA5">
        <w:rPr>
          <w:rFonts w:ascii="Times New Roman" w:hAnsi="Times New Roman" w:cs="Times New Roman"/>
          <w:sz w:val="24"/>
          <w:szCs w:val="24"/>
          <w:lang w:val="en-GB"/>
        </w:rPr>
        <w:t xml:space="preserve">will </w:t>
      </w:r>
      <w:r w:rsidR="00E84B3D" w:rsidRPr="001B3BA5">
        <w:rPr>
          <w:rFonts w:ascii="Times New Roman" w:hAnsi="Times New Roman" w:cs="Times New Roman"/>
          <w:sz w:val="24"/>
          <w:szCs w:val="24"/>
          <w:lang w:val="en-GB"/>
        </w:rPr>
        <w:t xml:space="preserve">often be a close psychological connection between perceived ownership and </w:t>
      </w:r>
      <w:r w:rsidR="003623C0" w:rsidRPr="001B3BA5">
        <w:rPr>
          <w:rFonts w:ascii="Times New Roman" w:hAnsi="Times New Roman" w:cs="Times New Roman"/>
          <w:sz w:val="24"/>
          <w:szCs w:val="24"/>
          <w:lang w:val="en-GB"/>
        </w:rPr>
        <w:t xml:space="preserve">exclusive </w:t>
      </w:r>
      <w:r w:rsidR="00E84B3D" w:rsidRPr="001B3BA5">
        <w:rPr>
          <w:rFonts w:ascii="Times New Roman" w:hAnsi="Times New Roman" w:cs="Times New Roman"/>
          <w:sz w:val="24"/>
          <w:szCs w:val="24"/>
          <w:lang w:val="en-GB"/>
        </w:rPr>
        <w:t>determination right</w:t>
      </w:r>
      <w:r w:rsidR="00907CB8" w:rsidRPr="001B3BA5">
        <w:rPr>
          <w:rFonts w:ascii="Times New Roman" w:hAnsi="Times New Roman" w:cs="Times New Roman"/>
          <w:sz w:val="24"/>
          <w:szCs w:val="24"/>
          <w:lang w:val="en-GB"/>
        </w:rPr>
        <w:t>,</w:t>
      </w:r>
      <w:r w:rsidR="00E84B3D" w:rsidRPr="001B3BA5">
        <w:rPr>
          <w:rFonts w:ascii="Times New Roman" w:hAnsi="Times New Roman" w:cs="Times New Roman"/>
          <w:sz w:val="24"/>
          <w:szCs w:val="24"/>
          <w:lang w:val="en-GB"/>
        </w:rPr>
        <w:t xml:space="preserve"> ownership involves various other rights </w:t>
      </w:r>
      <w:r w:rsidR="003576F1" w:rsidRPr="001B3BA5">
        <w:rPr>
          <w:rFonts w:ascii="Times New Roman" w:hAnsi="Times New Roman" w:cs="Times New Roman"/>
          <w:sz w:val="24"/>
          <w:szCs w:val="24"/>
          <w:lang w:val="en-GB"/>
        </w:rPr>
        <w:fldChar w:fldCharType="begin"/>
      </w:r>
      <w:r w:rsidR="00796D45">
        <w:rPr>
          <w:rFonts w:ascii="Times New Roman" w:hAnsi="Times New Roman" w:cs="Times New Roman"/>
          <w:sz w:val="24"/>
          <w:szCs w:val="24"/>
          <w:lang w:val="en-GB"/>
        </w:rPr>
        <w:instrText xml:space="preserve"> ADDIN EN.CITE &lt;EndNote&gt;&lt;Cite&gt;&lt;Author&gt;Snare&lt;/Author&gt;&lt;Year&gt;1972&lt;/Year&gt;&lt;RecNum&gt;1154&lt;/RecNum&gt;&lt;Prefix&gt;right to use and transfer`; &lt;/Prefix&gt;&lt;DisplayText&gt;(right to use and transfer; Snare, 1972)&lt;/DisplayText&gt;&lt;record&gt;&lt;rec-number&gt;1154&lt;/rec-number&gt;&lt;foreign-keys&gt;&lt;key app="EN" db-id="es92r5v5dve2z0erx59pv50vtp29v0t9ef5f" timestamp="1515427830"&gt;1154&lt;/key&gt;&lt;/foreign-keys&gt;&lt;ref-type name="Journal Article"&gt;17&lt;/ref-type&gt;&lt;contributors&gt;&lt;authors&gt;&lt;author&gt;Snare, Frank&lt;/author&gt;&lt;/authors&gt;&lt;/contributors&gt;&lt;titles&gt;&lt;title&gt;The concept of property&lt;/title&gt;&lt;secondary-title&gt;American Philosophical Quarterly&lt;/secondary-title&gt;&lt;/titles&gt;&lt;periodical&gt;&lt;full-title&gt;American Philosophical Quarterly&lt;/full-title&gt;&lt;/periodical&gt;&lt;pages&gt;200-206&lt;/pages&gt;&lt;volume&gt;9&lt;/volume&gt;&lt;number&gt;2&lt;/number&gt;&lt;dates&gt;&lt;year&gt;1972&lt;/year&gt;&lt;/dates&gt;&lt;isbn&gt;0003-0481&lt;/isbn&gt;&lt;urls&gt;&lt;/urls&gt;&lt;/record&gt;&lt;/Cite&gt;&lt;/EndNote&gt;</w:instrText>
      </w:r>
      <w:r w:rsidR="003576F1" w:rsidRPr="001B3BA5">
        <w:rPr>
          <w:rFonts w:ascii="Times New Roman" w:hAnsi="Times New Roman" w:cs="Times New Roman"/>
          <w:sz w:val="24"/>
          <w:szCs w:val="24"/>
          <w:lang w:val="en-GB"/>
        </w:rPr>
        <w:fldChar w:fldCharType="separate"/>
      </w:r>
      <w:r w:rsidR="00796D45">
        <w:rPr>
          <w:rFonts w:ascii="Times New Roman" w:hAnsi="Times New Roman" w:cs="Times New Roman"/>
          <w:noProof/>
          <w:sz w:val="24"/>
          <w:szCs w:val="24"/>
          <w:lang w:val="en-GB"/>
        </w:rPr>
        <w:t>(right to use and transfer; Snare, 1972)</w:t>
      </w:r>
      <w:r w:rsidR="003576F1" w:rsidRPr="001B3BA5">
        <w:rPr>
          <w:rFonts w:ascii="Times New Roman" w:hAnsi="Times New Roman" w:cs="Times New Roman"/>
          <w:sz w:val="24"/>
          <w:szCs w:val="24"/>
          <w:lang w:val="en-GB"/>
        </w:rPr>
        <w:fldChar w:fldCharType="end"/>
      </w:r>
      <w:r w:rsidR="003623C0" w:rsidRPr="001B3BA5">
        <w:rPr>
          <w:rFonts w:ascii="Times New Roman" w:hAnsi="Times New Roman" w:cs="Times New Roman"/>
          <w:sz w:val="24"/>
          <w:szCs w:val="24"/>
          <w:lang w:val="en-GB"/>
        </w:rPr>
        <w:t>,</w:t>
      </w:r>
      <w:r w:rsidR="00E84B3D" w:rsidRPr="001B3BA5">
        <w:rPr>
          <w:rFonts w:ascii="Times New Roman" w:hAnsi="Times New Roman" w:cs="Times New Roman"/>
          <w:sz w:val="24"/>
          <w:szCs w:val="24"/>
          <w:lang w:val="en-GB"/>
        </w:rPr>
        <w:t xml:space="preserve"> and </w:t>
      </w:r>
      <w:r w:rsidR="002F6CA1" w:rsidRPr="001B3BA5">
        <w:rPr>
          <w:rFonts w:ascii="Times New Roman" w:hAnsi="Times New Roman" w:cs="Times New Roman"/>
          <w:sz w:val="24"/>
          <w:szCs w:val="24"/>
          <w:lang w:val="en-GB"/>
        </w:rPr>
        <w:t xml:space="preserve">people </w:t>
      </w:r>
      <w:r w:rsidR="00A76196" w:rsidRPr="001B3BA5">
        <w:rPr>
          <w:rFonts w:ascii="Times New Roman" w:hAnsi="Times New Roman" w:cs="Times New Roman"/>
          <w:sz w:val="24"/>
          <w:szCs w:val="24"/>
          <w:lang w:val="en-GB"/>
        </w:rPr>
        <w:t>with</w:t>
      </w:r>
      <w:r w:rsidR="002F6CA1" w:rsidRPr="001B3BA5">
        <w:rPr>
          <w:rFonts w:ascii="Times New Roman" w:hAnsi="Times New Roman" w:cs="Times New Roman"/>
          <w:sz w:val="24"/>
          <w:szCs w:val="24"/>
          <w:lang w:val="en-GB"/>
        </w:rPr>
        <w:t xml:space="preserve"> a sense of CPO </w:t>
      </w:r>
      <w:r w:rsidR="00A76196" w:rsidRPr="001B3BA5">
        <w:rPr>
          <w:rFonts w:ascii="Times New Roman" w:hAnsi="Times New Roman" w:cs="Times New Roman"/>
          <w:sz w:val="24"/>
          <w:szCs w:val="24"/>
          <w:lang w:val="en-GB"/>
        </w:rPr>
        <w:t xml:space="preserve">may </w:t>
      </w:r>
      <w:r w:rsidR="003623C0" w:rsidRPr="001B3BA5">
        <w:rPr>
          <w:rFonts w:ascii="Times New Roman" w:hAnsi="Times New Roman" w:cs="Times New Roman"/>
          <w:sz w:val="24"/>
          <w:szCs w:val="24"/>
          <w:lang w:val="en-GB"/>
        </w:rPr>
        <w:t xml:space="preserve">also grant others the right to </w:t>
      </w:r>
      <w:r w:rsidR="00505CCF" w:rsidRPr="001B3BA5">
        <w:rPr>
          <w:rFonts w:ascii="Times New Roman" w:hAnsi="Times New Roman" w:cs="Times New Roman"/>
          <w:sz w:val="24"/>
          <w:szCs w:val="24"/>
          <w:lang w:val="en-GB"/>
        </w:rPr>
        <w:t>(co-)</w:t>
      </w:r>
      <w:r w:rsidR="003623C0" w:rsidRPr="001B3BA5">
        <w:rPr>
          <w:rFonts w:ascii="Times New Roman" w:hAnsi="Times New Roman" w:cs="Times New Roman"/>
          <w:sz w:val="24"/>
          <w:szCs w:val="24"/>
          <w:lang w:val="en-GB"/>
        </w:rPr>
        <w:t>determi</w:t>
      </w:r>
      <w:r w:rsidR="00A76196" w:rsidRPr="001B3BA5">
        <w:rPr>
          <w:rFonts w:ascii="Times New Roman" w:hAnsi="Times New Roman" w:cs="Times New Roman"/>
          <w:sz w:val="24"/>
          <w:szCs w:val="24"/>
          <w:lang w:val="en-GB"/>
        </w:rPr>
        <w:t>nation</w:t>
      </w:r>
      <w:r w:rsidR="003623C0" w:rsidRPr="001B3BA5">
        <w:rPr>
          <w:rFonts w:ascii="Times New Roman" w:hAnsi="Times New Roman" w:cs="Times New Roman"/>
          <w:sz w:val="24"/>
          <w:szCs w:val="24"/>
          <w:lang w:val="en-GB"/>
        </w:rPr>
        <w:t>. Further</w:t>
      </w:r>
      <w:r w:rsidR="007D7E9F" w:rsidRPr="001B3BA5">
        <w:rPr>
          <w:rFonts w:ascii="Times New Roman" w:hAnsi="Times New Roman" w:cs="Times New Roman"/>
          <w:sz w:val="24"/>
          <w:szCs w:val="24"/>
          <w:lang w:val="en-GB"/>
        </w:rPr>
        <w:t>,</w:t>
      </w:r>
      <w:r w:rsidR="003623C0" w:rsidRPr="001B3BA5">
        <w:rPr>
          <w:rFonts w:ascii="Times New Roman" w:hAnsi="Times New Roman" w:cs="Times New Roman"/>
          <w:sz w:val="24"/>
          <w:szCs w:val="24"/>
          <w:lang w:val="en-GB"/>
        </w:rPr>
        <w:t xml:space="preserve"> the association between C</w:t>
      </w:r>
      <w:r w:rsidR="00C960AA" w:rsidRPr="001B3BA5">
        <w:rPr>
          <w:rFonts w:ascii="Times New Roman" w:hAnsi="Times New Roman" w:cs="Times New Roman"/>
          <w:sz w:val="24"/>
          <w:szCs w:val="24"/>
          <w:lang w:val="en-GB"/>
        </w:rPr>
        <w:t>P</w:t>
      </w:r>
      <w:r w:rsidR="003623C0" w:rsidRPr="001B3BA5">
        <w:rPr>
          <w:rFonts w:ascii="Times New Roman" w:hAnsi="Times New Roman" w:cs="Times New Roman"/>
          <w:sz w:val="24"/>
          <w:szCs w:val="24"/>
          <w:lang w:val="en-GB"/>
        </w:rPr>
        <w:t xml:space="preserve">O and determination rights differed between </w:t>
      </w:r>
      <w:r w:rsidR="00A76196" w:rsidRPr="001B3BA5">
        <w:rPr>
          <w:rFonts w:ascii="Times New Roman" w:hAnsi="Times New Roman" w:cs="Times New Roman"/>
          <w:sz w:val="24"/>
          <w:szCs w:val="24"/>
          <w:lang w:val="en-GB"/>
        </w:rPr>
        <w:t xml:space="preserve">our </w:t>
      </w:r>
      <w:r w:rsidR="003623C0" w:rsidRPr="001B3BA5">
        <w:rPr>
          <w:rFonts w:ascii="Times New Roman" w:hAnsi="Times New Roman" w:cs="Times New Roman"/>
          <w:sz w:val="24"/>
          <w:szCs w:val="24"/>
          <w:lang w:val="en-GB"/>
        </w:rPr>
        <w:t>two studies</w:t>
      </w:r>
      <w:r w:rsidR="00A76196" w:rsidRPr="001B3BA5">
        <w:rPr>
          <w:rFonts w:ascii="Times New Roman" w:hAnsi="Times New Roman" w:cs="Times New Roman"/>
          <w:sz w:val="24"/>
          <w:szCs w:val="24"/>
          <w:lang w:val="en-GB"/>
        </w:rPr>
        <w:t>,</w:t>
      </w:r>
      <w:r w:rsidR="003623C0" w:rsidRPr="001B3BA5">
        <w:rPr>
          <w:rFonts w:ascii="Times New Roman" w:hAnsi="Times New Roman" w:cs="Times New Roman"/>
          <w:sz w:val="24"/>
          <w:szCs w:val="24"/>
          <w:lang w:val="en-GB"/>
        </w:rPr>
        <w:t xml:space="preserve"> and the stronger association in </w:t>
      </w:r>
      <w:r w:rsidR="00F07020" w:rsidRPr="001B3BA5">
        <w:rPr>
          <w:rFonts w:ascii="Times New Roman" w:hAnsi="Times New Roman" w:cs="Times New Roman"/>
          <w:sz w:val="24"/>
          <w:szCs w:val="24"/>
          <w:lang w:val="en-GB"/>
        </w:rPr>
        <w:t xml:space="preserve">Study 2 </w:t>
      </w:r>
      <w:r w:rsidR="003623C0" w:rsidRPr="001B3BA5">
        <w:rPr>
          <w:rFonts w:ascii="Times New Roman" w:hAnsi="Times New Roman" w:cs="Times New Roman"/>
          <w:sz w:val="24"/>
          <w:szCs w:val="24"/>
          <w:lang w:val="en-GB"/>
        </w:rPr>
        <w:t xml:space="preserve">is probably due </w:t>
      </w:r>
      <w:r w:rsidR="00F07020" w:rsidRPr="001B3BA5">
        <w:rPr>
          <w:rFonts w:ascii="Times New Roman" w:hAnsi="Times New Roman" w:cs="Times New Roman"/>
          <w:sz w:val="24"/>
          <w:szCs w:val="24"/>
          <w:lang w:val="en-GB"/>
        </w:rPr>
        <w:t xml:space="preserve">to the specific </w:t>
      </w:r>
      <w:r w:rsidR="005506C6" w:rsidRPr="001B3BA5">
        <w:rPr>
          <w:rFonts w:ascii="Times New Roman" w:hAnsi="Times New Roman" w:cs="Times New Roman"/>
          <w:sz w:val="24"/>
          <w:szCs w:val="24"/>
          <w:lang w:val="en-GB"/>
        </w:rPr>
        <w:t xml:space="preserve">national </w:t>
      </w:r>
      <w:r w:rsidR="00F07020" w:rsidRPr="001B3BA5">
        <w:rPr>
          <w:rFonts w:ascii="Times New Roman" w:hAnsi="Times New Roman" w:cs="Times New Roman"/>
          <w:sz w:val="24"/>
          <w:szCs w:val="24"/>
          <w:lang w:val="en-GB"/>
        </w:rPr>
        <w:t xml:space="preserve">context. </w:t>
      </w:r>
      <w:r w:rsidR="005506C6" w:rsidRPr="001B3BA5">
        <w:rPr>
          <w:rFonts w:ascii="Times New Roman" w:hAnsi="Times New Roman" w:cs="Times New Roman"/>
          <w:sz w:val="24"/>
          <w:szCs w:val="24"/>
          <w:lang w:val="en-GB"/>
        </w:rPr>
        <w:t>We collected t</w:t>
      </w:r>
      <w:r w:rsidR="00F07020" w:rsidRPr="001B3BA5">
        <w:rPr>
          <w:rFonts w:ascii="Times New Roman" w:hAnsi="Times New Roman" w:cs="Times New Roman"/>
          <w:sz w:val="24"/>
          <w:szCs w:val="24"/>
          <w:lang w:val="en-GB"/>
        </w:rPr>
        <w:t xml:space="preserve">he </w:t>
      </w:r>
      <w:r w:rsidR="005506C6" w:rsidRPr="001B3BA5">
        <w:rPr>
          <w:rFonts w:ascii="Times New Roman" w:hAnsi="Times New Roman" w:cs="Times New Roman"/>
          <w:sz w:val="24"/>
          <w:szCs w:val="24"/>
          <w:lang w:val="en-GB"/>
        </w:rPr>
        <w:t xml:space="preserve">Study 2 </w:t>
      </w:r>
      <w:r w:rsidR="00F07020" w:rsidRPr="001B3BA5">
        <w:rPr>
          <w:rFonts w:ascii="Times New Roman" w:hAnsi="Times New Roman" w:cs="Times New Roman"/>
          <w:sz w:val="24"/>
          <w:szCs w:val="24"/>
          <w:lang w:val="en-GB"/>
        </w:rPr>
        <w:t xml:space="preserve">data </w:t>
      </w:r>
      <w:r w:rsidR="005506C6" w:rsidRPr="001B3BA5">
        <w:rPr>
          <w:rFonts w:ascii="Times New Roman" w:hAnsi="Times New Roman" w:cs="Times New Roman"/>
          <w:sz w:val="24"/>
          <w:szCs w:val="24"/>
          <w:lang w:val="en-GB"/>
        </w:rPr>
        <w:t>i</w:t>
      </w:r>
      <w:r w:rsidR="00F07020" w:rsidRPr="001B3BA5">
        <w:rPr>
          <w:rFonts w:ascii="Times New Roman" w:hAnsi="Times New Roman" w:cs="Times New Roman"/>
          <w:sz w:val="24"/>
          <w:szCs w:val="24"/>
          <w:lang w:val="en-GB"/>
        </w:rPr>
        <w:t>n the heat of the Brexit debate, in which ownership rhetoric</w:t>
      </w:r>
      <w:r w:rsidR="003623C0" w:rsidRPr="001B3BA5">
        <w:rPr>
          <w:rFonts w:ascii="Times New Roman" w:hAnsi="Times New Roman" w:cs="Times New Roman"/>
          <w:sz w:val="24"/>
          <w:szCs w:val="24"/>
          <w:lang w:val="en-GB"/>
        </w:rPr>
        <w:t xml:space="preserve"> and </w:t>
      </w:r>
      <w:r w:rsidR="007D7E9F" w:rsidRPr="001B3BA5">
        <w:rPr>
          <w:rFonts w:ascii="Times New Roman" w:hAnsi="Times New Roman" w:cs="Times New Roman"/>
          <w:sz w:val="24"/>
          <w:szCs w:val="24"/>
          <w:lang w:val="en-GB"/>
        </w:rPr>
        <w:t>determination</w:t>
      </w:r>
      <w:r w:rsidR="003623C0" w:rsidRPr="001B3BA5">
        <w:rPr>
          <w:rFonts w:ascii="Times New Roman" w:hAnsi="Times New Roman" w:cs="Times New Roman"/>
          <w:sz w:val="24"/>
          <w:szCs w:val="24"/>
          <w:lang w:val="en-GB"/>
        </w:rPr>
        <w:t xml:space="preserve"> rights were</w:t>
      </w:r>
      <w:r w:rsidR="00F07020" w:rsidRPr="001B3BA5">
        <w:rPr>
          <w:rFonts w:ascii="Times New Roman" w:hAnsi="Times New Roman" w:cs="Times New Roman"/>
          <w:sz w:val="24"/>
          <w:szCs w:val="24"/>
          <w:lang w:val="en-GB"/>
        </w:rPr>
        <w:t xml:space="preserve"> </w:t>
      </w:r>
      <w:r w:rsidR="005506C6" w:rsidRPr="001B3BA5">
        <w:rPr>
          <w:rFonts w:ascii="Times New Roman" w:hAnsi="Times New Roman" w:cs="Times New Roman"/>
          <w:sz w:val="24"/>
          <w:szCs w:val="24"/>
          <w:lang w:val="en-GB"/>
        </w:rPr>
        <w:t xml:space="preserve">highly prominent in the </w:t>
      </w:r>
      <w:r w:rsidR="00C42C54" w:rsidRPr="001B3BA5">
        <w:rPr>
          <w:rFonts w:ascii="Times New Roman" w:hAnsi="Times New Roman" w:cs="Times New Roman"/>
          <w:sz w:val="24"/>
          <w:szCs w:val="24"/>
          <w:lang w:val="en-GB"/>
        </w:rPr>
        <w:t>United Kingdom</w:t>
      </w:r>
      <w:r w:rsidR="00A76196" w:rsidRPr="001B3BA5">
        <w:rPr>
          <w:rFonts w:ascii="Times New Roman" w:hAnsi="Times New Roman" w:cs="Times New Roman"/>
          <w:sz w:val="24"/>
          <w:szCs w:val="24"/>
          <w:lang w:val="en-GB"/>
        </w:rPr>
        <w:t xml:space="preserve"> media</w:t>
      </w:r>
      <w:r w:rsidR="00F07020" w:rsidRPr="001B3BA5">
        <w:rPr>
          <w:rFonts w:ascii="Times New Roman" w:hAnsi="Times New Roman" w:cs="Times New Roman"/>
          <w:sz w:val="24"/>
          <w:szCs w:val="24"/>
          <w:lang w:val="en-GB"/>
        </w:rPr>
        <w:t>.</w:t>
      </w:r>
    </w:p>
    <w:p w14:paraId="78AB33CC" w14:textId="35BD262B" w:rsidR="006C5CDE" w:rsidRPr="001B3BA5" w:rsidRDefault="003623C0">
      <w:pPr>
        <w:spacing w:after="0" w:line="480" w:lineRule="exact"/>
        <w:ind w:firstLine="708"/>
        <w:rPr>
          <w:rFonts w:asciiTheme="majorBidi" w:hAnsiTheme="majorBidi" w:cstheme="majorBidi"/>
          <w:sz w:val="24"/>
          <w:szCs w:val="24"/>
          <w:lang w:val="en-GB"/>
        </w:rPr>
      </w:pPr>
      <w:r w:rsidRPr="001B3BA5">
        <w:rPr>
          <w:rFonts w:ascii="Times New Roman" w:hAnsi="Times New Roman" w:cs="Times New Roman"/>
          <w:sz w:val="24"/>
          <w:szCs w:val="24"/>
          <w:lang w:val="en-GB"/>
        </w:rPr>
        <w:t xml:space="preserve">We also examined </w:t>
      </w:r>
      <w:r w:rsidR="007D7E9F" w:rsidRPr="001B3BA5">
        <w:rPr>
          <w:rFonts w:ascii="Times New Roman" w:hAnsi="Times New Roman" w:cs="Times New Roman"/>
          <w:sz w:val="24"/>
          <w:szCs w:val="24"/>
          <w:lang w:val="en-GB"/>
        </w:rPr>
        <w:t>whether</w:t>
      </w:r>
      <w:r w:rsidR="002D42C2" w:rsidRPr="001B3BA5">
        <w:rPr>
          <w:rFonts w:ascii="Times New Roman" w:hAnsi="Times New Roman" w:cs="Times New Roman"/>
          <w:sz w:val="24"/>
          <w:szCs w:val="24"/>
          <w:lang w:val="en-GB"/>
        </w:rPr>
        <w:t xml:space="preserve"> </w:t>
      </w:r>
      <w:r w:rsidR="00895A16" w:rsidRPr="001B3BA5">
        <w:rPr>
          <w:rFonts w:ascii="Times New Roman" w:hAnsi="Times New Roman" w:cs="Times New Roman"/>
          <w:sz w:val="24"/>
          <w:szCs w:val="24"/>
          <w:lang w:val="en-GB"/>
        </w:rPr>
        <w:t>those</w:t>
      </w:r>
      <w:r w:rsidR="00CC2657" w:rsidRPr="001B3BA5">
        <w:rPr>
          <w:rFonts w:ascii="Times New Roman" w:hAnsi="Times New Roman" w:cs="Times New Roman"/>
          <w:sz w:val="24"/>
          <w:szCs w:val="24"/>
          <w:lang w:val="en-GB"/>
        </w:rPr>
        <w:t xml:space="preserve"> </w:t>
      </w:r>
      <w:r w:rsidR="002D42C2" w:rsidRPr="001B3BA5">
        <w:rPr>
          <w:rFonts w:ascii="Times New Roman" w:hAnsi="Times New Roman" w:cs="Times New Roman"/>
          <w:sz w:val="24"/>
          <w:szCs w:val="24"/>
          <w:lang w:val="en-GB"/>
        </w:rPr>
        <w:t xml:space="preserve">oriented to the political right </w:t>
      </w:r>
      <w:r w:rsidR="007D7E9F" w:rsidRPr="001B3BA5">
        <w:rPr>
          <w:rFonts w:ascii="Times New Roman" w:hAnsi="Times New Roman" w:cs="Times New Roman"/>
          <w:sz w:val="24"/>
          <w:szCs w:val="24"/>
          <w:lang w:val="en-GB"/>
        </w:rPr>
        <w:t>were</w:t>
      </w:r>
      <w:r w:rsidR="002D42C2" w:rsidRPr="001B3BA5">
        <w:rPr>
          <w:rFonts w:ascii="Times New Roman" w:hAnsi="Times New Roman" w:cs="Times New Roman"/>
          <w:sz w:val="24"/>
          <w:szCs w:val="24"/>
          <w:lang w:val="en-GB"/>
        </w:rPr>
        <w:t xml:space="preserve"> more likely to translate</w:t>
      </w:r>
      <w:r w:rsidR="00CC2657" w:rsidRPr="001B3BA5">
        <w:rPr>
          <w:rFonts w:ascii="Times New Roman" w:hAnsi="Times New Roman" w:cs="Times New Roman"/>
          <w:sz w:val="24"/>
          <w:szCs w:val="24"/>
          <w:lang w:val="en-GB"/>
        </w:rPr>
        <w:t xml:space="preserve"> CPO</w:t>
      </w:r>
      <w:r w:rsidR="002D42C2" w:rsidRPr="001B3BA5">
        <w:rPr>
          <w:rFonts w:ascii="Times New Roman" w:hAnsi="Times New Roman" w:cs="Times New Roman"/>
          <w:sz w:val="24"/>
          <w:szCs w:val="24"/>
          <w:lang w:val="en-GB"/>
        </w:rPr>
        <w:t xml:space="preserve"> to anti-immigrant and anti-EU attitudes</w:t>
      </w:r>
      <w:r w:rsidR="001F7361" w:rsidRPr="001B3BA5">
        <w:rPr>
          <w:rFonts w:ascii="Times New Roman" w:hAnsi="Times New Roman" w:cs="Times New Roman"/>
          <w:sz w:val="24"/>
          <w:szCs w:val="24"/>
          <w:lang w:val="en-GB"/>
        </w:rPr>
        <w:t xml:space="preserve">, assuming that they </w:t>
      </w:r>
      <w:r w:rsidR="00505CCF" w:rsidRPr="001B3BA5">
        <w:rPr>
          <w:rFonts w:ascii="Times New Roman" w:hAnsi="Times New Roman" w:cs="Times New Roman"/>
          <w:sz w:val="24"/>
          <w:szCs w:val="24"/>
          <w:lang w:val="en-GB"/>
        </w:rPr>
        <w:t xml:space="preserve">have </w:t>
      </w:r>
      <w:r w:rsidR="00A76196" w:rsidRPr="001B3BA5">
        <w:rPr>
          <w:rFonts w:ascii="Times New Roman" w:hAnsi="Times New Roman" w:cs="Times New Roman"/>
          <w:sz w:val="24"/>
          <w:szCs w:val="24"/>
          <w:lang w:val="en-GB"/>
        </w:rPr>
        <w:t xml:space="preserve">fewer </w:t>
      </w:r>
      <w:r w:rsidR="00505CCF" w:rsidRPr="001B3BA5">
        <w:rPr>
          <w:rFonts w:ascii="Times New Roman" w:hAnsi="Times New Roman" w:cs="Times New Roman"/>
          <w:sz w:val="24"/>
          <w:szCs w:val="24"/>
          <w:lang w:val="en-GB"/>
        </w:rPr>
        <w:t xml:space="preserve">problems with inequalities and value the status quo </w:t>
      </w:r>
      <w:r w:rsidR="00A76196" w:rsidRPr="001B3BA5">
        <w:rPr>
          <w:rFonts w:ascii="Times New Roman" w:hAnsi="Times New Roman" w:cs="Times New Roman"/>
          <w:sz w:val="24"/>
          <w:szCs w:val="24"/>
          <w:lang w:val="en-GB"/>
        </w:rPr>
        <w:t xml:space="preserve">more </w:t>
      </w:r>
      <w:r w:rsidR="001F7361" w:rsidRPr="001B3BA5">
        <w:rPr>
          <w:rFonts w:asciiTheme="majorBidi" w:hAnsiTheme="majorBidi" w:cstheme="majorBidi"/>
          <w:sz w:val="24"/>
          <w:szCs w:val="24"/>
          <w:lang w:val="en-GB"/>
        </w:rPr>
        <w:t>than</w:t>
      </w:r>
      <w:r w:rsidR="00895A16" w:rsidRPr="001B3BA5">
        <w:rPr>
          <w:rFonts w:asciiTheme="majorBidi" w:hAnsiTheme="majorBidi" w:cstheme="majorBidi"/>
          <w:sz w:val="24"/>
          <w:szCs w:val="24"/>
          <w:lang w:val="en-GB"/>
        </w:rPr>
        <w:t xml:space="preserve"> those oriented to the political left</w:t>
      </w:r>
      <w:r w:rsidR="002D42C2" w:rsidRPr="001B3BA5">
        <w:rPr>
          <w:rFonts w:ascii="Times New Roman" w:hAnsi="Times New Roman" w:cs="Times New Roman"/>
          <w:sz w:val="24"/>
          <w:szCs w:val="24"/>
          <w:lang w:val="en-GB"/>
        </w:rPr>
        <w:t xml:space="preserve">. </w:t>
      </w:r>
      <w:bookmarkEnd w:id="43"/>
      <w:r w:rsidR="00CC2657" w:rsidRPr="001B3BA5">
        <w:rPr>
          <w:rFonts w:asciiTheme="majorBidi" w:hAnsiTheme="majorBidi" w:cstheme="majorBidi"/>
          <w:sz w:val="24"/>
          <w:szCs w:val="24"/>
          <w:lang w:val="en-GB"/>
        </w:rPr>
        <w:t>In Study 1</w:t>
      </w:r>
      <w:r w:rsidR="00B146E8" w:rsidRPr="001B3BA5">
        <w:rPr>
          <w:rFonts w:asciiTheme="majorBidi" w:hAnsiTheme="majorBidi" w:cstheme="majorBidi"/>
          <w:sz w:val="24"/>
          <w:szCs w:val="24"/>
          <w:lang w:val="en-GB"/>
        </w:rPr>
        <w:t>’</w:t>
      </w:r>
      <w:r w:rsidR="00CC2657" w:rsidRPr="001B3BA5">
        <w:rPr>
          <w:rFonts w:asciiTheme="majorBidi" w:hAnsiTheme="majorBidi" w:cstheme="majorBidi"/>
          <w:sz w:val="24"/>
          <w:szCs w:val="24"/>
          <w:lang w:val="en-GB"/>
        </w:rPr>
        <w:t>s</w:t>
      </w:r>
      <w:r w:rsidR="006C5CDE" w:rsidRPr="001B3BA5">
        <w:rPr>
          <w:rFonts w:asciiTheme="majorBidi" w:hAnsiTheme="majorBidi" w:cstheme="majorBidi"/>
          <w:sz w:val="24"/>
          <w:szCs w:val="24"/>
          <w:lang w:val="en-GB"/>
        </w:rPr>
        <w:t xml:space="preserve"> Dutch sample, </w:t>
      </w:r>
      <w:r w:rsidR="007D7E9F" w:rsidRPr="001B3BA5">
        <w:rPr>
          <w:rFonts w:asciiTheme="majorBidi" w:hAnsiTheme="majorBidi" w:cstheme="majorBidi"/>
          <w:sz w:val="24"/>
          <w:szCs w:val="24"/>
          <w:lang w:val="en-GB"/>
        </w:rPr>
        <w:t xml:space="preserve">gatekeeper right </w:t>
      </w:r>
      <w:r w:rsidR="002D42C2" w:rsidRPr="001B3BA5">
        <w:rPr>
          <w:rFonts w:asciiTheme="majorBidi" w:hAnsiTheme="majorBidi" w:cstheme="majorBidi"/>
          <w:sz w:val="24"/>
          <w:szCs w:val="24"/>
          <w:lang w:val="en-GB"/>
        </w:rPr>
        <w:t>and exclusionary attitudes towards immigrant minorities</w:t>
      </w:r>
      <w:r w:rsidR="002D42C2" w:rsidRPr="001B3BA5" w:rsidDel="002D42C2">
        <w:rPr>
          <w:rFonts w:asciiTheme="majorBidi" w:hAnsiTheme="majorBidi" w:cstheme="majorBidi"/>
          <w:sz w:val="24"/>
          <w:szCs w:val="24"/>
          <w:lang w:val="en-GB"/>
        </w:rPr>
        <w:t xml:space="preserve"> </w:t>
      </w:r>
      <w:r w:rsidR="002D42C2" w:rsidRPr="001B3BA5">
        <w:rPr>
          <w:rFonts w:asciiTheme="majorBidi" w:hAnsiTheme="majorBidi" w:cstheme="majorBidi"/>
          <w:sz w:val="24"/>
          <w:szCs w:val="24"/>
          <w:lang w:val="en-GB"/>
        </w:rPr>
        <w:t xml:space="preserve">were positively related for </w:t>
      </w:r>
      <w:r w:rsidR="00A76196" w:rsidRPr="001B3BA5">
        <w:rPr>
          <w:rFonts w:asciiTheme="majorBidi" w:hAnsiTheme="majorBidi" w:cstheme="majorBidi"/>
          <w:sz w:val="24"/>
          <w:szCs w:val="24"/>
          <w:lang w:val="en-GB"/>
        </w:rPr>
        <w:t xml:space="preserve">participants </w:t>
      </w:r>
      <w:r w:rsidR="002D42C2" w:rsidRPr="001B3BA5">
        <w:rPr>
          <w:rFonts w:asciiTheme="majorBidi" w:hAnsiTheme="majorBidi" w:cstheme="majorBidi"/>
          <w:sz w:val="24"/>
          <w:szCs w:val="24"/>
          <w:lang w:val="en-GB"/>
        </w:rPr>
        <w:t xml:space="preserve">on both ends of the political spectrum, </w:t>
      </w:r>
      <w:r w:rsidR="00425AF9" w:rsidRPr="001B3BA5">
        <w:rPr>
          <w:rFonts w:asciiTheme="majorBidi" w:hAnsiTheme="majorBidi" w:cstheme="majorBidi"/>
          <w:sz w:val="24"/>
          <w:szCs w:val="24"/>
          <w:lang w:val="en-GB"/>
        </w:rPr>
        <w:t>but</w:t>
      </w:r>
      <w:r w:rsidR="00895A16" w:rsidRPr="001B3BA5">
        <w:rPr>
          <w:rFonts w:asciiTheme="majorBidi" w:hAnsiTheme="majorBidi" w:cstheme="majorBidi"/>
          <w:sz w:val="24"/>
          <w:szCs w:val="24"/>
          <w:lang w:val="en-GB"/>
        </w:rPr>
        <w:t>,</w:t>
      </w:r>
      <w:r w:rsidR="001F7361" w:rsidRPr="001B3BA5">
        <w:rPr>
          <w:rFonts w:asciiTheme="majorBidi" w:hAnsiTheme="majorBidi" w:cstheme="majorBidi"/>
          <w:sz w:val="24"/>
          <w:szCs w:val="24"/>
          <w:lang w:val="en-GB"/>
        </w:rPr>
        <w:t xml:space="preserve"> as expected,</w:t>
      </w:r>
      <w:r w:rsidR="002D42C2" w:rsidRPr="001B3BA5">
        <w:rPr>
          <w:rFonts w:asciiTheme="majorBidi" w:hAnsiTheme="majorBidi" w:cstheme="majorBidi"/>
          <w:sz w:val="24"/>
          <w:szCs w:val="24"/>
          <w:lang w:val="en-GB"/>
        </w:rPr>
        <w:t xml:space="preserve"> this relation was stronger among </w:t>
      </w:r>
      <w:r w:rsidR="006C5CDE" w:rsidRPr="001B3BA5">
        <w:rPr>
          <w:rFonts w:asciiTheme="majorBidi" w:hAnsiTheme="majorBidi" w:cstheme="majorBidi"/>
          <w:sz w:val="24"/>
          <w:szCs w:val="24"/>
          <w:lang w:val="en-GB"/>
        </w:rPr>
        <w:t xml:space="preserve">right-wing people. However, </w:t>
      </w:r>
      <w:r w:rsidR="001F7361" w:rsidRPr="001B3BA5">
        <w:rPr>
          <w:rFonts w:asciiTheme="majorBidi" w:hAnsiTheme="majorBidi" w:cstheme="majorBidi"/>
          <w:sz w:val="24"/>
          <w:szCs w:val="24"/>
          <w:lang w:val="en-GB"/>
        </w:rPr>
        <w:t>the association between</w:t>
      </w:r>
      <w:r w:rsidR="006C5CDE" w:rsidRPr="001B3BA5">
        <w:rPr>
          <w:rFonts w:asciiTheme="majorBidi" w:hAnsiTheme="majorBidi" w:cstheme="majorBidi"/>
          <w:sz w:val="24"/>
          <w:szCs w:val="24"/>
          <w:lang w:val="en-GB"/>
        </w:rPr>
        <w:t xml:space="preserve"> </w:t>
      </w:r>
      <w:r w:rsidR="007D7E9F" w:rsidRPr="001B3BA5">
        <w:rPr>
          <w:rFonts w:asciiTheme="majorBidi" w:hAnsiTheme="majorBidi" w:cstheme="majorBidi"/>
          <w:sz w:val="24"/>
          <w:szCs w:val="24"/>
          <w:lang w:val="en-GB"/>
        </w:rPr>
        <w:t xml:space="preserve">gatekeeper right </w:t>
      </w:r>
      <w:r w:rsidR="001F7361" w:rsidRPr="001B3BA5">
        <w:rPr>
          <w:rFonts w:asciiTheme="majorBidi" w:hAnsiTheme="majorBidi" w:cstheme="majorBidi"/>
          <w:sz w:val="24"/>
          <w:szCs w:val="24"/>
          <w:lang w:val="en-GB"/>
        </w:rPr>
        <w:t>and</w:t>
      </w:r>
      <w:r w:rsidR="006C5CDE" w:rsidRPr="001B3BA5">
        <w:rPr>
          <w:rFonts w:asciiTheme="majorBidi" w:hAnsiTheme="majorBidi" w:cstheme="majorBidi"/>
          <w:sz w:val="24"/>
          <w:szCs w:val="24"/>
          <w:lang w:val="en-GB"/>
        </w:rPr>
        <w:t xml:space="preserve"> negative attitudes towards </w:t>
      </w:r>
      <w:r w:rsidR="00F17C87" w:rsidRPr="001B3BA5">
        <w:rPr>
          <w:rFonts w:asciiTheme="majorBidi" w:hAnsiTheme="majorBidi" w:cstheme="majorBidi"/>
          <w:sz w:val="24"/>
          <w:szCs w:val="24"/>
          <w:lang w:val="en-GB"/>
        </w:rPr>
        <w:t>European integration</w:t>
      </w:r>
      <w:r w:rsidR="001F7361" w:rsidRPr="001B3BA5">
        <w:rPr>
          <w:rFonts w:asciiTheme="majorBidi" w:hAnsiTheme="majorBidi" w:cstheme="majorBidi"/>
          <w:sz w:val="24"/>
          <w:szCs w:val="24"/>
          <w:lang w:val="en-GB"/>
        </w:rPr>
        <w:t xml:space="preserve"> was not conditional upon political ideology</w:t>
      </w:r>
      <w:r w:rsidR="006C5CDE" w:rsidRPr="001B3BA5">
        <w:rPr>
          <w:rFonts w:asciiTheme="majorBidi" w:hAnsiTheme="majorBidi" w:cstheme="majorBidi"/>
          <w:sz w:val="24"/>
          <w:szCs w:val="24"/>
          <w:lang w:val="en-GB"/>
        </w:rPr>
        <w:t>.</w:t>
      </w:r>
    </w:p>
    <w:p w14:paraId="7AACFC8D" w14:textId="619389F3" w:rsidR="000337C2" w:rsidRPr="001B3BA5" w:rsidRDefault="00272704">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T</w:t>
      </w:r>
      <w:r w:rsidR="006C5CDE" w:rsidRPr="001B3BA5">
        <w:rPr>
          <w:rFonts w:asciiTheme="majorBidi" w:hAnsiTheme="majorBidi" w:cstheme="majorBidi"/>
          <w:sz w:val="24"/>
          <w:szCs w:val="24"/>
          <w:lang w:val="en-GB"/>
        </w:rPr>
        <w:t>h</w:t>
      </w:r>
      <w:r w:rsidR="006D07C4" w:rsidRPr="001B3BA5">
        <w:rPr>
          <w:rFonts w:asciiTheme="majorBidi" w:hAnsiTheme="majorBidi" w:cstheme="majorBidi"/>
          <w:sz w:val="24"/>
          <w:szCs w:val="24"/>
          <w:lang w:val="en-GB"/>
        </w:rPr>
        <w:t>is</w:t>
      </w:r>
      <w:r w:rsidR="00895A16" w:rsidRPr="001B3BA5">
        <w:rPr>
          <w:rFonts w:asciiTheme="majorBidi" w:hAnsiTheme="majorBidi" w:cstheme="majorBidi"/>
          <w:sz w:val="24"/>
          <w:szCs w:val="24"/>
          <w:lang w:val="en-GB"/>
        </w:rPr>
        <w:t xml:space="preserve"> pattern </w:t>
      </w:r>
      <w:r w:rsidR="006D07C4" w:rsidRPr="001B3BA5">
        <w:rPr>
          <w:rFonts w:asciiTheme="majorBidi" w:hAnsiTheme="majorBidi" w:cstheme="majorBidi"/>
          <w:sz w:val="24"/>
          <w:szCs w:val="24"/>
          <w:lang w:val="en-GB"/>
        </w:rPr>
        <w:t xml:space="preserve">of findings was </w:t>
      </w:r>
      <w:r w:rsidR="00895A16" w:rsidRPr="001B3BA5">
        <w:rPr>
          <w:rFonts w:asciiTheme="majorBidi" w:hAnsiTheme="majorBidi" w:cstheme="majorBidi"/>
          <w:sz w:val="24"/>
          <w:szCs w:val="24"/>
          <w:lang w:val="en-GB"/>
        </w:rPr>
        <w:t xml:space="preserve">reversed </w:t>
      </w:r>
      <w:r w:rsidR="006C5CDE" w:rsidRPr="001B3BA5">
        <w:rPr>
          <w:rFonts w:asciiTheme="majorBidi" w:hAnsiTheme="majorBidi" w:cstheme="majorBidi"/>
          <w:sz w:val="24"/>
          <w:szCs w:val="24"/>
          <w:lang w:val="en-GB"/>
        </w:rPr>
        <w:t>among</w:t>
      </w:r>
      <w:r w:rsidR="00895A16" w:rsidRPr="001B3BA5">
        <w:rPr>
          <w:rFonts w:asciiTheme="majorBidi" w:hAnsiTheme="majorBidi" w:cstheme="majorBidi"/>
          <w:sz w:val="24"/>
          <w:szCs w:val="24"/>
          <w:lang w:val="en-GB"/>
        </w:rPr>
        <w:t xml:space="preserve"> Study 2</w:t>
      </w:r>
      <w:r w:rsidR="00B146E8" w:rsidRPr="001B3BA5">
        <w:rPr>
          <w:rFonts w:asciiTheme="majorBidi" w:hAnsiTheme="majorBidi" w:cstheme="majorBidi"/>
          <w:sz w:val="24"/>
          <w:szCs w:val="24"/>
          <w:lang w:val="en-GB"/>
        </w:rPr>
        <w:t>’</w:t>
      </w:r>
      <w:r w:rsidR="00895A16" w:rsidRPr="001B3BA5">
        <w:rPr>
          <w:rFonts w:asciiTheme="majorBidi" w:hAnsiTheme="majorBidi" w:cstheme="majorBidi"/>
          <w:sz w:val="24"/>
          <w:szCs w:val="24"/>
          <w:lang w:val="en-GB"/>
        </w:rPr>
        <w:t>s</w:t>
      </w:r>
      <w:r w:rsidR="006C5CDE" w:rsidRPr="001B3BA5">
        <w:rPr>
          <w:rFonts w:asciiTheme="majorBidi" w:hAnsiTheme="majorBidi" w:cstheme="majorBidi"/>
          <w:sz w:val="24"/>
          <w:szCs w:val="24"/>
          <w:lang w:val="en-GB"/>
        </w:rPr>
        <w:t xml:space="preserve"> British </w:t>
      </w:r>
      <w:r w:rsidR="00A76196" w:rsidRPr="001B3BA5">
        <w:rPr>
          <w:rFonts w:asciiTheme="majorBidi" w:hAnsiTheme="majorBidi" w:cstheme="majorBidi"/>
          <w:sz w:val="24"/>
          <w:szCs w:val="24"/>
          <w:lang w:val="en-GB"/>
        </w:rPr>
        <w:t>participants</w:t>
      </w:r>
      <w:r w:rsidR="006C5CDE" w:rsidRPr="001B3BA5">
        <w:rPr>
          <w:rFonts w:asciiTheme="majorBidi" w:hAnsiTheme="majorBidi" w:cstheme="majorBidi"/>
          <w:sz w:val="24"/>
          <w:szCs w:val="24"/>
          <w:lang w:val="en-GB"/>
        </w:rPr>
        <w:t>. Right-wing and left-wing Brit</w:t>
      </w:r>
      <w:r w:rsidR="009366F7" w:rsidRPr="001B3BA5">
        <w:rPr>
          <w:rFonts w:asciiTheme="majorBidi" w:hAnsiTheme="majorBidi" w:cstheme="majorBidi"/>
          <w:sz w:val="24"/>
          <w:szCs w:val="24"/>
          <w:lang w:val="en-GB"/>
        </w:rPr>
        <w:t>i</w:t>
      </w:r>
      <w:r w:rsidR="006C5CDE" w:rsidRPr="001B3BA5">
        <w:rPr>
          <w:rFonts w:asciiTheme="majorBidi" w:hAnsiTheme="majorBidi" w:cstheme="majorBidi"/>
          <w:sz w:val="24"/>
          <w:szCs w:val="24"/>
          <w:lang w:val="en-GB"/>
        </w:rPr>
        <w:t>s</w:t>
      </w:r>
      <w:r w:rsidR="009366F7" w:rsidRPr="001B3BA5">
        <w:rPr>
          <w:rFonts w:asciiTheme="majorBidi" w:hAnsiTheme="majorBidi" w:cstheme="majorBidi"/>
          <w:sz w:val="24"/>
          <w:szCs w:val="24"/>
          <w:lang w:val="en-GB"/>
        </w:rPr>
        <w:t>h</w:t>
      </w:r>
      <w:r w:rsidR="006C5CDE" w:rsidRPr="001B3BA5">
        <w:rPr>
          <w:rFonts w:asciiTheme="majorBidi" w:hAnsiTheme="majorBidi" w:cstheme="majorBidi"/>
          <w:sz w:val="24"/>
          <w:szCs w:val="24"/>
          <w:lang w:val="en-GB"/>
        </w:rPr>
        <w:t xml:space="preserve"> were similarly likely to translate </w:t>
      </w:r>
      <w:r w:rsidR="00895A16" w:rsidRPr="001B3BA5">
        <w:rPr>
          <w:rFonts w:asciiTheme="majorBidi" w:hAnsiTheme="majorBidi" w:cstheme="majorBidi"/>
          <w:sz w:val="24"/>
          <w:szCs w:val="24"/>
          <w:lang w:val="en-GB"/>
        </w:rPr>
        <w:t xml:space="preserve">CPO </w:t>
      </w:r>
      <w:r w:rsidR="006C5CDE" w:rsidRPr="001B3BA5">
        <w:rPr>
          <w:rFonts w:asciiTheme="majorBidi" w:hAnsiTheme="majorBidi" w:cstheme="majorBidi"/>
          <w:sz w:val="24"/>
          <w:szCs w:val="24"/>
          <w:lang w:val="en-GB"/>
        </w:rPr>
        <w:t xml:space="preserve">into more negative attitudes towards immigrant minorities. </w:t>
      </w:r>
      <w:r w:rsidR="00505D31" w:rsidRPr="001B3BA5">
        <w:rPr>
          <w:rFonts w:asciiTheme="majorBidi" w:hAnsiTheme="majorBidi" w:cstheme="majorBidi"/>
          <w:sz w:val="24"/>
          <w:szCs w:val="24"/>
          <w:lang w:val="en-GB"/>
        </w:rPr>
        <w:t xml:space="preserve">This could be explained by the finding that political orientation was </w:t>
      </w:r>
      <w:r w:rsidR="007B5DD8" w:rsidRPr="001B3BA5">
        <w:rPr>
          <w:rFonts w:asciiTheme="majorBidi" w:hAnsiTheme="majorBidi" w:cstheme="majorBidi"/>
          <w:sz w:val="24"/>
          <w:szCs w:val="24"/>
          <w:lang w:val="en-GB"/>
        </w:rPr>
        <w:t>un</w:t>
      </w:r>
      <w:r w:rsidR="00505D31" w:rsidRPr="001B3BA5">
        <w:rPr>
          <w:rFonts w:asciiTheme="majorBidi" w:hAnsiTheme="majorBidi" w:cstheme="majorBidi"/>
          <w:sz w:val="24"/>
          <w:szCs w:val="24"/>
          <w:lang w:val="en-GB"/>
        </w:rPr>
        <w:t>related to immigrant minority attitudes, which is consistent with the result from focus groups that left- and right-wing Brit</w:t>
      </w:r>
      <w:r w:rsidR="009366F7" w:rsidRPr="001B3BA5">
        <w:rPr>
          <w:rFonts w:asciiTheme="majorBidi" w:hAnsiTheme="majorBidi" w:cstheme="majorBidi"/>
          <w:sz w:val="24"/>
          <w:szCs w:val="24"/>
          <w:lang w:val="en-GB"/>
        </w:rPr>
        <w:t>i</w:t>
      </w:r>
      <w:r w:rsidR="00505D31" w:rsidRPr="001B3BA5">
        <w:rPr>
          <w:rFonts w:asciiTheme="majorBidi" w:hAnsiTheme="majorBidi" w:cstheme="majorBidi"/>
          <w:sz w:val="24"/>
          <w:szCs w:val="24"/>
          <w:lang w:val="en-GB"/>
        </w:rPr>
        <w:t>s</w:t>
      </w:r>
      <w:r w:rsidR="009366F7" w:rsidRPr="001B3BA5">
        <w:rPr>
          <w:rFonts w:asciiTheme="majorBidi" w:hAnsiTheme="majorBidi" w:cstheme="majorBidi"/>
          <w:sz w:val="24"/>
          <w:szCs w:val="24"/>
          <w:lang w:val="en-GB"/>
        </w:rPr>
        <w:t>h</w:t>
      </w:r>
      <w:r w:rsidR="00505D31" w:rsidRPr="001B3BA5">
        <w:rPr>
          <w:rFonts w:asciiTheme="majorBidi" w:hAnsiTheme="majorBidi" w:cstheme="majorBidi"/>
          <w:sz w:val="24"/>
          <w:szCs w:val="24"/>
          <w:lang w:val="en-GB"/>
        </w:rPr>
        <w:t xml:space="preserve"> </w:t>
      </w:r>
      <w:r w:rsidR="00C87F1C" w:rsidRPr="001B3BA5">
        <w:rPr>
          <w:rFonts w:asciiTheme="majorBidi" w:hAnsiTheme="majorBidi" w:cstheme="majorBidi"/>
          <w:sz w:val="24"/>
          <w:szCs w:val="24"/>
          <w:lang w:val="en-GB"/>
        </w:rPr>
        <w:t xml:space="preserve">do </w:t>
      </w:r>
      <w:r w:rsidR="00505D31" w:rsidRPr="001B3BA5">
        <w:rPr>
          <w:rFonts w:asciiTheme="majorBidi" w:hAnsiTheme="majorBidi" w:cstheme="majorBidi"/>
          <w:sz w:val="24"/>
          <w:szCs w:val="24"/>
          <w:lang w:val="en-GB"/>
        </w:rPr>
        <w:t xml:space="preserve">not have </w:t>
      </w:r>
      <w:r w:rsidR="00C87F1C" w:rsidRPr="001B3BA5">
        <w:rPr>
          <w:rFonts w:asciiTheme="majorBidi" w:hAnsiTheme="majorBidi" w:cstheme="majorBidi"/>
          <w:sz w:val="24"/>
          <w:szCs w:val="24"/>
          <w:lang w:val="en-GB"/>
        </w:rPr>
        <w:t xml:space="preserve">markedly </w:t>
      </w:r>
      <w:r w:rsidR="00505D31" w:rsidRPr="001B3BA5">
        <w:rPr>
          <w:rFonts w:asciiTheme="majorBidi" w:hAnsiTheme="majorBidi" w:cstheme="majorBidi"/>
          <w:sz w:val="24"/>
          <w:szCs w:val="24"/>
          <w:lang w:val="en-GB"/>
        </w:rPr>
        <w:t xml:space="preserve">different immigration stances </w:t>
      </w:r>
      <w:r w:rsidR="00505D31" w:rsidRPr="001B3BA5">
        <w:rPr>
          <w:rFonts w:asciiTheme="majorBidi" w:hAnsiTheme="majorBidi" w:cstheme="majorBidi"/>
          <w:sz w:val="24"/>
          <w:szCs w:val="24"/>
          <w:lang w:val="en-GB"/>
        </w:rPr>
        <w:fldChar w:fldCharType="begin"/>
      </w:r>
      <w:r w:rsidR="00505D31" w:rsidRPr="001B3BA5">
        <w:rPr>
          <w:rFonts w:asciiTheme="majorBidi" w:hAnsiTheme="majorBidi" w:cstheme="majorBidi"/>
          <w:sz w:val="24"/>
          <w:szCs w:val="24"/>
          <w:lang w:val="en-GB"/>
        </w:rPr>
        <w:instrText xml:space="preserve"> ADDIN EN.CITE &lt;EndNote&gt;&lt;Cite&gt;&lt;Author&gt;Leruth&lt;/Author&gt;&lt;Year&gt;2019&lt;/Year&gt;&lt;RecNum&gt;1512&lt;/RecNum&gt;&lt;DisplayText&gt;(Leruth &amp;amp; Taylor-Gooby, 2019)&lt;/DisplayText&gt;&lt;record&gt;&lt;rec-number&gt;1512&lt;/rec-number&gt;&lt;foreign-keys&gt;&lt;key app="EN" db-id="es92r5v5dve2z0erx59pv50vtp29v0t9ef5f" timestamp="1573656010"&gt;1512&lt;/key&gt;&lt;key app="ENWeb" db-id=""&gt;0&lt;/key&gt;&lt;/foreign-keys&gt;&lt;ref-type name="Journal Article"&gt;17&lt;/ref-type&gt;&lt;contributors&gt;&lt;authors&gt;&lt;author&gt;Leruth, Benjamin&lt;/author&gt;&lt;author&gt;Taylor-Gooby, Peter&lt;/author&gt;&lt;/authors&gt;&lt;/contributors&gt;&lt;titles&gt;&lt;title&gt;Does political discourse matter? Comparing party positions and public attitudes on immigration in England&lt;/title&gt;&lt;secondary-title&gt;Politics&lt;/secondary-title&gt;&lt;/titles&gt;&lt;periodical&gt;&lt;full-title&gt;Politics&lt;/full-title&gt;&lt;/periodical&gt;&lt;pages&gt;154-169&lt;/pages&gt;&lt;volume&gt;39&lt;/volume&gt;&lt;number&gt;2&lt;/number&gt;&lt;dates&gt;&lt;year&gt;2019&lt;/year&gt;&lt;/dates&gt;&lt;isbn&gt;0263-3957&amp;#xD;1467-9256&lt;/isbn&gt;&lt;urls&gt;&lt;/urls&gt;&lt;electronic-resource-num&gt;10.1177/0263395718755566&lt;/electronic-resource-num&gt;&lt;/record&gt;&lt;/Cite&gt;&lt;/EndNote&gt;</w:instrText>
      </w:r>
      <w:r w:rsidR="00505D31" w:rsidRPr="001B3BA5">
        <w:rPr>
          <w:rFonts w:asciiTheme="majorBidi" w:hAnsiTheme="majorBidi" w:cstheme="majorBidi"/>
          <w:sz w:val="24"/>
          <w:szCs w:val="24"/>
          <w:lang w:val="en-GB"/>
        </w:rPr>
        <w:fldChar w:fldCharType="separate"/>
      </w:r>
      <w:r w:rsidR="00505D31" w:rsidRPr="001B3BA5">
        <w:rPr>
          <w:rFonts w:asciiTheme="majorBidi" w:hAnsiTheme="majorBidi" w:cstheme="majorBidi"/>
          <w:noProof/>
          <w:sz w:val="24"/>
          <w:szCs w:val="24"/>
          <w:lang w:val="en-GB"/>
        </w:rPr>
        <w:t>(Leruth &amp; Taylor-Gooby, 2019)</w:t>
      </w:r>
      <w:r w:rsidR="00505D31" w:rsidRPr="001B3BA5">
        <w:rPr>
          <w:rFonts w:asciiTheme="majorBidi" w:hAnsiTheme="majorBidi" w:cstheme="majorBidi"/>
          <w:sz w:val="24"/>
          <w:szCs w:val="24"/>
          <w:lang w:val="en-GB"/>
        </w:rPr>
        <w:fldChar w:fldCharType="end"/>
      </w:r>
      <w:r w:rsidR="00505D31" w:rsidRPr="001B3BA5">
        <w:rPr>
          <w:rFonts w:asciiTheme="majorBidi" w:hAnsiTheme="majorBidi" w:cstheme="majorBidi"/>
          <w:sz w:val="24"/>
          <w:szCs w:val="24"/>
          <w:lang w:val="en-GB"/>
        </w:rPr>
        <w:t xml:space="preserve">. </w:t>
      </w:r>
      <w:r w:rsidR="001F7361" w:rsidRPr="001B3BA5">
        <w:rPr>
          <w:rFonts w:asciiTheme="majorBidi" w:hAnsiTheme="majorBidi" w:cstheme="majorBidi"/>
          <w:sz w:val="24"/>
          <w:szCs w:val="24"/>
          <w:lang w:val="en-GB"/>
        </w:rPr>
        <w:t>In contrast</w:t>
      </w:r>
      <w:r w:rsidR="006D07C4" w:rsidRPr="001B3BA5">
        <w:rPr>
          <w:rFonts w:asciiTheme="majorBidi" w:hAnsiTheme="majorBidi" w:cstheme="majorBidi"/>
          <w:sz w:val="24"/>
          <w:szCs w:val="24"/>
          <w:lang w:val="en-GB"/>
        </w:rPr>
        <w:t xml:space="preserve"> to this and to what we expected</w:t>
      </w:r>
      <w:r w:rsidR="006C5CDE" w:rsidRPr="001B3BA5">
        <w:rPr>
          <w:rFonts w:asciiTheme="majorBidi" w:hAnsiTheme="majorBidi" w:cstheme="majorBidi"/>
          <w:sz w:val="24"/>
          <w:szCs w:val="24"/>
          <w:lang w:val="en-GB"/>
        </w:rPr>
        <w:t xml:space="preserve">, specifically </w:t>
      </w:r>
      <w:r w:rsidR="001F7361" w:rsidRPr="001B3BA5">
        <w:rPr>
          <w:rFonts w:asciiTheme="majorBidi" w:hAnsiTheme="majorBidi" w:cstheme="majorBidi"/>
          <w:sz w:val="24"/>
          <w:szCs w:val="24"/>
          <w:lang w:val="en-GB"/>
        </w:rPr>
        <w:t xml:space="preserve">for </w:t>
      </w:r>
      <w:r w:rsidR="006C5CDE" w:rsidRPr="001B3BA5">
        <w:rPr>
          <w:rFonts w:asciiTheme="majorBidi" w:hAnsiTheme="majorBidi" w:cstheme="majorBidi"/>
          <w:sz w:val="24"/>
          <w:szCs w:val="24"/>
          <w:lang w:val="en-GB"/>
        </w:rPr>
        <w:t xml:space="preserve">left-wing </w:t>
      </w:r>
      <w:r w:rsidR="007E47E9" w:rsidRPr="001B3BA5">
        <w:rPr>
          <w:rFonts w:asciiTheme="majorBidi" w:hAnsiTheme="majorBidi" w:cstheme="majorBidi"/>
          <w:sz w:val="24"/>
          <w:szCs w:val="24"/>
          <w:lang w:val="en-GB"/>
        </w:rPr>
        <w:t>people</w:t>
      </w:r>
      <w:r w:rsidR="00895A16" w:rsidRPr="001B3BA5">
        <w:rPr>
          <w:rFonts w:asciiTheme="majorBidi" w:hAnsiTheme="majorBidi" w:cstheme="majorBidi"/>
          <w:sz w:val="24"/>
          <w:szCs w:val="24"/>
          <w:lang w:val="en-GB"/>
        </w:rPr>
        <w:t>,</w:t>
      </w:r>
      <w:r w:rsidR="006C5CDE" w:rsidRPr="001B3BA5">
        <w:rPr>
          <w:rFonts w:asciiTheme="majorBidi" w:hAnsiTheme="majorBidi" w:cstheme="majorBidi"/>
          <w:sz w:val="24"/>
          <w:szCs w:val="24"/>
          <w:lang w:val="en-GB"/>
        </w:rPr>
        <w:t xml:space="preserve"> </w:t>
      </w:r>
      <w:r w:rsidR="00895A16" w:rsidRPr="001B3BA5">
        <w:rPr>
          <w:rFonts w:asciiTheme="majorBidi" w:hAnsiTheme="majorBidi" w:cstheme="majorBidi"/>
          <w:sz w:val="24"/>
          <w:szCs w:val="24"/>
          <w:lang w:val="en-GB"/>
        </w:rPr>
        <w:t xml:space="preserve">CPO </w:t>
      </w:r>
      <w:r w:rsidR="001F7361" w:rsidRPr="001B3BA5">
        <w:rPr>
          <w:rFonts w:asciiTheme="majorBidi" w:hAnsiTheme="majorBidi" w:cstheme="majorBidi"/>
          <w:sz w:val="24"/>
          <w:szCs w:val="24"/>
          <w:lang w:val="en-GB"/>
        </w:rPr>
        <w:t xml:space="preserve">was related to </w:t>
      </w:r>
      <w:r w:rsidR="006C5CDE" w:rsidRPr="001B3BA5">
        <w:rPr>
          <w:rFonts w:asciiTheme="majorBidi" w:hAnsiTheme="majorBidi" w:cstheme="majorBidi"/>
          <w:sz w:val="24"/>
          <w:szCs w:val="24"/>
          <w:lang w:val="en-GB"/>
        </w:rPr>
        <w:t xml:space="preserve">opposition to </w:t>
      </w:r>
      <w:r w:rsidR="00F17C87" w:rsidRPr="001B3BA5">
        <w:rPr>
          <w:rFonts w:asciiTheme="majorBidi" w:hAnsiTheme="majorBidi" w:cstheme="majorBidi"/>
          <w:sz w:val="24"/>
          <w:szCs w:val="24"/>
          <w:lang w:val="en-GB"/>
        </w:rPr>
        <w:t xml:space="preserve">European integration </w:t>
      </w:r>
      <w:r w:rsidR="006C5CDE" w:rsidRPr="001B3BA5">
        <w:rPr>
          <w:rFonts w:asciiTheme="majorBidi" w:hAnsiTheme="majorBidi" w:cstheme="majorBidi"/>
          <w:sz w:val="24"/>
          <w:szCs w:val="24"/>
          <w:lang w:val="en-GB"/>
        </w:rPr>
        <w:t>and</w:t>
      </w:r>
      <w:r w:rsidR="001F7361" w:rsidRPr="001B3BA5">
        <w:rPr>
          <w:rFonts w:asciiTheme="majorBidi" w:hAnsiTheme="majorBidi" w:cstheme="majorBidi"/>
          <w:sz w:val="24"/>
          <w:szCs w:val="24"/>
          <w:lang w:val="en-GB"/>
        </w:rPr>
        <w:t>,</w:t>
      </w:r>
      <w:r w:rsidR="006C5CDE" w:rsidRPr="001B3BA5">
        <w:rPr>
          <w:rFonts w:asciiTheme="majorBidi" w:hAnsiTheme="majorBidi" w:cstheme="majorBidi"/>
          <w:sz w:val="24"/>
          <w:szCs w:val="24"/>
          <w:lang w:val="en-GB"/>
        </w:rPr>
        <w:t xml:space="preserve"> in turn, to voting </w:t>
      </w:r>
      <w:r w:rsidR="00B146E8" w:rsidRPr="001B3BA5">
        <w:rPr>
          <w:rFonts w:asciiTheme="majorBidi" w:hAnsiTheme="majorBidi" w:cstheme="majorBidi"/>
          <w:sz w:val="24"/>
          <w:szCs w:val="24"/>
          <w:lang w:val="en-GB"/>
        </w:rPr>
        <w:t>‘</w:t>
      </w:r>
      <w:r w:rsidR="006C5CDE" w:rsidRPr="001B3BA5">
        <w:rPr>
          <w:rFonts w:asciiTheme="majorBidi" w:hAnsiTheme="majorBidi" w:cstheme="majorBidi"/>
          <w:sz w:val="24"/>
          <w:szCs w:val="24"/>
          <w:lang w:val="en-GB"/>
        </w:rPr>
        <w:t>leave</w:t>
      </w:r>
      <w:r w:rsidR="00B146E8" w:rsidRPr="001B3BA5">
        <w:rPr>
          <w:rFonts w:asciiTheme="majorBidi" w:hAnsiTheme="majorBidi" w:cstheme="majorBidi"/>
          <w:sz w:val="24"/>
          <w:szCs w:val="24"/>
          <w:lang w:val="en-GB"/>
        </w:rPr>
        <w:t>’</w:t>
      </w:r>
      <w:r w:rsidR="006C5CDE" w:rsidRPr="001B3BA5">
        <w:rPr>
          <w:rFonts w:asciiTheme="majorBidi" w:hAnsiTheme="majorBidi" w:cstheme="majorBidi"/>
          <w:sz w:val="24"/>
          <w:szCs w:val="24"/>
          <w:lang w:val="en-GB"/>
        </w:rPr>
        <w:t xml:space="preserve"> in the referendum. </w:t>
      </w:r>
      <w:r w:rsidR="007B5DD8" w:rsidRPr="001B3BA5">
        <w:rPr>
          <w:rFonts w:asciiTheme="majorBidi" w:hAnsiTheme="majorBidi" w:cstheme="majorBidi"/>
          <w:sz w:val="24"/>
          <w:szCs w:val="24"/>
          <w:lang w:val="en-GB"/>
        </w:rPr>
        <w:t>R</w:t>
      </w:r>
      <w:r w:rsidR="006C5CDE" w:rsidRPr="001B3BA5">
        <w:rPr>
          <w:rFonts w:asciiTheme="majorBidi" w:hAnsiTheme="majorBidi" w:cstheme="majorBidi"/>
          <w:sz w:val="24"/>
          <w:szCs w:val="24"/>
          <w:lang w:val="en-GB"/>
        </w:rPr>
        <w:t xml:space="preserve">ight-wing people </w:t>
      </w:r>
      <w:r w:rsidR="007B5DD8" w:rsidRPr="001B3BA5">
        <w:rPr>
          <w:rFonts w:asciiTheme="majorBidi" w:hAnsiTheme="majorBidi" w:cstheme="majorBidi"/>
          <w:sz w:val="24"/>
          <w:szCs w:val="24"/>
          <w:lang w:val="en-GB"/>
        </w:rPr>
        <w:t>might</w:t>
      </w:r>
      <w:r w:rsidR="001F7361" w:rsidRPr="001B3BA5">
        <w:rPr>
          <w:rFonts w:asciiTheme="majorBidi" w:hAnsiTheme="majorBidi" w:cstheme="majorBidi"/>
          <w:sz w:val="24"/>
          <w:szCs w:val="24"/>
          <w:lang w:val="en-GB"/>
        </w:rPr>
        <w:t xml:space="preserve"> </w:t>
      </w:r>
      <w:r w:rsidR="006D07C4" w:rsidRPr="001B3BA5">
        <w:rPr>
          <w:rFonts w:asciiTheme="majorBidi" w:hAnsiTheme="majorBidi" w:cstheme="majorBidi"/>
          <w:sz w:val="24"/>
          <w:szCs w:val="24"/>
          <w:lang w:val="en-GB"/>
        </w:rPr>
        <w:t xml:space="preserve">already </w:t>
      </w:r>
      <w:r w:rsidR="00A90DE1" w:rsidRPr="001B3BA5">
        <w:rPr>
          <w:rFonts w:asciiTheme="majorBidi" w:hAnsiTheme="majorBidi" w:cstheme="majorBidi"/>
          <w:sz w:val="24"/>
          <w:szCs w:val="24"/>
          <w:lang w:val="en-GB"/>
        </w:rPr>
        <w:t xml:space="preserve">have </w:t>
      </w:r>
      <w:r w:rsidR="006D07C4" w:rsidRPr="001B3BA5">
        <w:rPr>
          <w:rFonts w:asciiTheme="majorBidi" w:hAnsiTheme="majorBidi" w:cstheme="majorBidi"/>
          <w:sz w:val="24"/>
          <w:szCs w:val="24"/>
          <w:lang w:val="en-GB"/>
        </w:rPr>
        <w:t>been strongly</w:t>
      </w:r>
      <w:r w:rsidR="006C5CDE" w:rsidRPr="001B3BA5">
        <w:rPr>
          <w:rFonts w:asciiTheme="majorBidi" w:hAnsiTheme="majorBidi" w:cstheme="majorBidi"/>
          <w:sz w:val="24"/>
          <w:szCs w:val="24"/>
          <w:lang w:val="en-GB"/>
        </w:rPr>
        <w:t xml:space="preserve"> oppose</w:t>
      </w:r>
      <w:r w:rsidR="007B5DD8" w:rsidRPr="001B3BA5">
        <w:rPr>
          <w:rFonts w:asciiTheme="majorBidi" w:hAnsiTheme="majorBidi" w:cstheme="majorBidi"/>
          <w:sz w:val="24"/>
          <w:szCs w:val="24"/>
          <w:lang w:val="en-GB"/>
        </w:rPr>
        <w:t>d</w:t>
      </w:r>
      <w:r w:rsidR="006C5CDE" w:rsidRPr="001B3BA5">
        <w:rPr>
          <w:rFonts w:asciiTheme="majorBidi" w:hAnsiTheme="majorBidi" w:cstheme="majorBidi"/>
          <w:sz w:val="24"/>
          <w:szCs w:val="24"/>
          <w:lang w:val="en-GB"/>
        </w:rPr>
        <w:t xml:space="preserve"> </w:t>
      </w:r>
      <w:r w:rsidR="006D07C4" w:rsidRPr="001B3BA5">
        <w:rPr>
          <w:rFonts w:asciiTheme="majorBidi" w:hAnsiTheme="majorBidi" w:cstheme="majorBidi"/>
          <w:sz w:val="24"/>
          <w:szCs w:val="24"/>
          <w:lang w:val="en-GB"/>
        </w:rPr>
        <w:t xml:space="preserve">to </w:t>
      </w:r>
      <w:r w:rsidR="006C5CDE" w:rsidRPr="001B3BA5">
        <w:rPr>
          <w:rFonts w:asciiTheme="majorBidi" w:hAnsiTheme="majorBidi" w:cstheme="majorBidi"/>
          <w:sz w:val="24"/>
          <w:szCs w:val="24"/>
          <w:lang w:val="en-GB"/>
        </w:rPr>
        <w:t>European integration</w:t>
      </w:r>
      <w:r w:rsidR="001F7361" w:rsidRPr="001B3BA5">
        <w:rPr>
          <w:rFonts w:asciiTheme="majorBidi" w:hAnsiTheme="majorBidi" w:cstheme="majorBidi"/>
          <w:sz w:val="24"/>
          <w:szCs w:val="24"/>
          <w:lang w:val="en-GB"/>
        </w:rPr>
        <w:t xml:space="preserve"> to the extent </w:t>
      </w:r>
      <w:r w:rsidR="006C5CDE" w:rsidRPr="001B3BA5">
        <w:rPr>
          <w:rFonts w:asciiTheme="majorBidi" w:hAnsiTheme="majorBidi" w:cstheme="majorBidi"/>
          <w:sz w:val="24"/>
          <w:szCs w:val="24"/>
          <w:lang w:val="en-GB"/>
        </w:rPr>
        <w:t xml:space="preserve">that their attitudes </w:t>
      </w:r>
      <w:r w:rsidR="006D07C4" w:rsidRPr="001B3BA5">
        <w:rPr>
          <w:rFonts w:asciiTheme="majorBidi" w:hAnsiTheme="majorBidi" w:cstheme="majorBidi"/>
          <w:sz w:val="24"/>
          <w:szCs w:val="24"/>
          <w:lang w:val="en-GB"/>
        </w:rPr>
        <w:t xml:space="preserve">were not affected by individual differences in </w:t>
      </w:r>
      <w:r w:rsidR="006C5CDE" w:rsidRPr="001B3BA5">
        <w:rPr>
          <w:rFonts w:asciiTheme="majorBidi" w:hAnsiTheme="majorBidi" w:cstheme="majorBidi"/>
          <w:sz w:val="24"/>
          <w:szCs w:val="24"/>
          <w:lang w:val="en-GB"/>
        </w:rPr>
        <w:t xml:space="preserve">ownership beliefs. </w:t>
      </w:r>
      <w:r w:rsidR="007E47E9" w:rsidRPr="001B3BA5">
        <w:rPr>
          <w:rFonts w:asciiTheme="majorBidi" w:hAnsiTheme="majorBidi" w:cstheme="majorBidi"/>
          <w:sz w:val="24"/>
          <w:szCs w:val="24"/>
          <w:lang w:val="en-GB"/>
        </w:rPr>
        <w:t>In contrast, l</w:t>
      </w:r>
      <w:r w:rsidR="006C5CDE" w:rsidRPr="001B3BA5">
        <w:rPr>
          <w:rFonts w:asciiTheme="majorBidi" w:hAnsiTheme="majorBidi" w:cstheme="majorBidi"/>
          <w:sz w:val="24"/>
          <w:szCs w:val="24"/>
          <w:lang w:val="en-GB"/>
        </w:rPr>
        <w:t xml:space="preserve">eft-wing people might </w:t>
      </w:r>
      <w:r w:rsidR="001F7361" w:rsidRPr="001B3BA5">
        <w:rPr>
          <w:rFonts w:asciiTheme="majorBidi" w:hAnsiTheme="majorBidi" w:cstheme="majorBidi"/>
          <w:sz w:val="24"/>
          <w:szCs w:val="24"/>
          <w:lang w:val="en-GB"/>
        </w:rPr>
        <w:t>be more pro-EU</w:t>
      </w:r>
      <w:r w:rsidR="006C5CDE" w:rsidRPr="001B3BA5">
        <w:rPr>
          <w:rFonts w:asciiTheme="majorBidi" w:hAnsiTheme="majorBidi" w:cstheme="majorBidi"/>
          <w:sz w:val="24"/>
          <w:szCs w:val="24"/>
          <w:lang w:val="en-GB"/>
        </w:rPr>
        <w:t>, but</w:t>
      </w:r>
      <w:r w:rsidR="00974906" w:rsidRPr="001B3BA5">
        <w:rPr>
          <w:rFonts w:asciiTheme="majorBidi" w:hAnsiTheme="majorBidi" w:cstheme="majorBidi"/>
          <w:sz w:val="24"/>
          <w:szCs w:val="24"/>
          <w:lang w:val="en-GB"/>
        </w:rPr>
        <w:t>,</w:t>
      </w:r>
      <w:r w:rsidR="006C5CDE" w:rsidRPr="001B3BA5">
        <w:rPr>
          <w:rFonts w:asciiTheme="majorBidi" w:hAnsiTheme="majorBidi" w:cstheme="majorBidi"/>
          <w:sz w:val="24"/>
          <w:szCs w:val="24"/>
          <w:lang w:val="en-GB"/>
        </w:rPr>
        <w:t xml:space="preserve"> if they happen</w:t>
      </w:r>
      <w:r w:rsidR="007B5DD8" w:rsidRPr="001B3BA5">
        <w:rPr>
          <w:rFonts w:asciiTheme="majorBidi" w:hAnsiTheme="majorBidi" w:cstheme="majorBidi"/>
          <w:sz w:val="24"/>
          <w:szCs w:val="24"/>
          <w:lang w:val="en-GB"/>
        </w:rPr>
        <w:t>ed</w:t>
      </w:r>
      <w:r w:rsidR="006C5CDE" w:rsidRPr="001B3BA5">
        <w:rPr>
          <w:rFonts w:asciiTheme="majorBidi" w:hAnsiTheme="majorBidi" w:cstheme="majorBidi"/>
          <w:sz w:val="24"/>
          <w:szCs w:val="24"/>
          <w:lang w:val="en-GB"/>
        </w:rPr>
        <w:t xml:space="preserve"> to </w:t>
      </w:r>
      <w:r w:rsidR="001F7361" w:rsidRPr="001B3BA5">
        <w:rPr>
          <w:rFonts w:asciiTheme="majorBidi" w:hAnsiTheme="majorBidi" w:cstheme="majorBidi"/>
          <w:sz w:val="24"/>
          <w:szCs w:val="24"/>
          <w:lang w:val="en-GB"/>
        </w:rPr>
        <w:t xml:space="preserve">endorse </w:t>
      </w:r>
      <w:r w:rsidR="00B140F2" w:rsidRPr="001B3BA5">
        <w:rPr>
          <w:rFonts w:asciiTheme="majorBidi" w:hAnsiTheme="majorBidi" w:cstheme="majorBidi"/>
          <w:sz w:val="24"/>
          <w:szCs w:val="24"/>
          <w:lang w:val="en-GB"/>
        </w:rPr>
        <w:t>CPO</w:t>
      </w:r>
      <w:r w:rsidR="001F7361" w:rsidRPr="001B3BA5">
        <w:rPr>
          <w:rFonts w:asciiTheme="majorBidi" w:hAnsiTheme="majorBidi" w:cstheme="majorBidi"/>
          <w:sz w:val="24"/>
          <w:szCs w:val="24"/>
          <w:lang w:val="en-GB"/>
        </w:rPr>
        <w:t xml:space="preserve">, </w:t>
      </w:r>
      <w:r w:rsidR="007B5DD8" w:rsidRPr="001B3BA5">
        <w:rPr>
          <w:rFonts w:asciiTheme="majorBidi" w:hAnsiTheme="majorBidi" w:cstheme="majorBidi"/>
          <w:sz w:val="24"/>
          <w:szCs w:val="24"/>
          <w:lang w:val="en-GB"/>
        </w:rPr>
        <w:t>they could turn</w:t>
      </w:r>
      <w:r w:rsidR="001F7361" w:rsidRPr="001B3BA5">
        <w:rPr>
          <w:rFonts w:asciiTheme="majorBidi" w:hAnsiTheme="majorBidi" w:cstheme="majorBidi"/>
          <w:sz w:val="24"/>
          <w:szCs w:val="24"/>
          <w:lang w:val="en-GB"/>
        </w:rPr>
        <w:t xml:space="preserve"> against the EU</w:t>
      </w:r>
      <w:r w:rsidR="006C5CDE" w:rsidRPr="001B3BA5">
        <w:rPr>
          <w:rFonts w:asciiTheme="majorBidi" w:hAnsiTheme="majorBidi" w:cstheme="majorBidi"/>
          <w:sz w:val="24"/>
          <w:szCs w:val="24"/>
          <w:lang w:val="en-GB"/>
        </w:rPr>
        <w:t xml:space="preserve">. </w:t>
      </w:r>
      <w:r w:rsidR="004F3906" w:rsidRPr="001B3BA5">
        <w:rPr>
          <w:rFonts w:asciiTheme="majorBidi" w:hAnsiTheme="majorBidi" w:cstheme="majorBidi"/>
          <w:sz w:val="24"/>
          <w:szCs w:val="24"/>
          <w:lang w:val="en-GB"/>
        </w:rPr>
        <w:t xml:space="preserve">The relatively Eurosceptic attitudes among </w:t>
      </w:r>
      <w:r w:rsidR="006D07C4" w:rsidRPr="001B3BA5">
        <w:rPr>
          <w:rFonts w:asciiTheme="majorBidi" w:hAnsiTheme="majorBidi" w:cstheme="majorBidi"/>
          <w:sz w:val="24"/>
          <w:szCs w:val="24"/>
          <w:lang w:val="en-GB"/>
        </w:rPr>
        <w:t xml:space="preserve">the </w:t>
      </w:r>
      <w:r w:rsidR="00F32D13" w:rsidRPr="001B3BA5">
        <w:rPr>
          <w:rFonts w:asciiTheme="majorBidi" w:hAnsiTheme="majorBidi" w:cstheme="majorBidi"/>
          <w:sz w:val="24"/>
          <w:szCs w:val="24"/>
          <w:lang w:val="en-GB"/>
        </w:rPr>
        <w:t xml:space="preserve">British </w:t>
      </w:r>
      <w:r w:rsidR="00C87F1C" w:rsidRPr="001B3BA5">
        <w:rPr>
          <w:rFonts w:asciiTheme="majorBidi" w:hAnsiTheme="majorBidi" w:cstheme="majorBidi"/>
          <w:sz w:val="24"/>
          <w:szCs w:val="24"/>
          <w:lang w:val="en-GB"/>
        </w:rPr>
        <w:t xml:space="preserve">participants </w:t>
      </w:r>
      <w:r w:rsidR="004F3906" w:rsidRPr="001B3BA5">
        <w:rPr>
          <w:rFonts w:asciiTheme="majorBidi" w:hAnsiTheme="majorBidi" w:cstheme="majorBidi"/>
          <w:sz w:val="24"/>
          <w:szCs w:val="24"/>
          <w:lang w:val="en-GB"/>
        </w:rPr>
        <w:t xml:space="preserve">suggests such a ceiling effect. </w:t>
      </w:r>
      <w:r w:rsidR="00974906" w:rsidRPr="001B3BA5">
        <w:rPr>
          <w:rFonts w:asciiTheme="majorBidi" w:hAnsiTheme="majorBidi" w:cstheme="majorBidi"/>
          <w:sz w:val="24"/>
          <w:szCs w:val="24"/>
          <w:lang w:val="en-GB"/>
        </w:rPr>
        <w:t>F</w:t>
      </w:r>
      <w:r w:rsidR="006C5CDE" w:rsidRPr="001B3BA5">
        <w:rPr>
          <w:rFonts w:asciiTheme="majorBidi" w:hAnsiTheme="majorBidi" w:cstheme="majorBidi"/>
          <w:sz w:val="24"/>
          <w:szCs w:val="24"/>
          <w:lang w:val="en-GB"/>
        </w:rPr>
        <w:t xml:space="preserve">rom </w:t>
      </w:r>
      <w:r w:rsidR="00D12B5F" w:rsidRPr="001B3BA5">
        <w:rPr>
          <w:rFonts w:asciiTheme="majorBidi" w:hAnsiTheme="majorBidi" w:cstheme="majorBidi"/>
          <w:sz w:val="24"/>
          <w:szCs w:val="24"/>
          <w:lang w:val="en-GB"/>
        </w:rPr>
        <w:t xml:space="preserve">the perspective of a </w:t>
      </w:r>
      <w:r w:rsidR="006C5CDE" w:rsidRPr="001B3BA5">
        <w:rPr>
          <w:rFonts w:asciiTheme="majorBidi" w:hAnsiTheme="majorBidi" w:cstheme="majorBidi"/>
          <w:sz w:val="24"/>
          <w:szCs w:val="24"/>
          <w:lang w:val="en-GB"/>
        </w:rPr>
        <w:t>populist right</w:t>
      </w:r>
      <w:r w:rsidR="000D2C11" w:rsidRPr="001B3BA5">
        <w:rPr>
          <w:rFonts w:asciiTheme="majorBidi" w:hAnsiTheme="majorBidi" w:cstheme="majorBidi"/>
          <w:sz w:val="24"/>
          <w:szCs w:val="24"/>
          <w:lang w:val="en-GB"/>
        </w:rPr>
        <w:t>-wing</w:t>
      </w:r>
      <w:r w:rsidR="006C5CDE" w:rsidRPr="001B3BA5">
        <w:rPr>
          <w:rFonts w:asciiTheme="majorBidi" w:hAnsiTheme="majorBidi" w:cstheme="majorBidi"/>
          <w:sz w:val="24"/>
          <w:szCs w:val="24"/>
          <w:lang w:val="en-GB"/>
        </w:rPr>
        <w:t xml:space="preserve"> politician,</w:t>
      </w:r>
      <w:r w:rsidR="00974906" w:rsidRPr="001B3BA5">
        <w:rPr>
          <w:rFonts w:asciiTheme="majorBidi" w:hAnsiTheme="majorBidi" w:cstheme="majorBidi"/>
          <w:sz w:val="24"/>
          <w:szCs w:val="24"/>
          <w:lang w:val="en-GB"/>
        </w:rPr>
        <w:t xml:space="preserve"> then,</w:t>
      </w:r>
      <w:r w:rsidR="006C5CDE" w:rsidRPr="001B3BA5">
        <w:rPr>
          <w:rFonts w:asciiTheme="majorBidi" w:hAnsiTheme="majorBidi" w:cstheme="majorBidi"/>
          <w:sz w:val="24"/>
          <w:szCs w:val="24"/>
          <w:lang w:val="en-GB"/>
        </w:rPr>
        <w:t xml:space="preserve"> right-wing </w:t>
      </w:r>
      <w:r w:rsidR="00C87F1C" w:rsidRPr="001B3BA5">
        <w:rPr>
          <w:rFonts w:asciiTheme="majorBidi" w:hAnsiTheme="majorBidi" w:cstheme="majorBidi"/>
          <w:sz w:val="24"/>
          <w:szCs w:val="24"/>
          <w:lang w:val="en-GB"/>
        </w:rPr>
        <w:t xml:space="preserve">individuals </w:t>
      </w:r>
      <w:r w:rsidR="00974906" w:rsidRPr="001B3BA5">
        <w:rPr>
          <w:rFonts w:asciiTheme="majorBidi" w:hAnsiTheme="majorBidi" w:cstheme="majorBidi"/>
          <w:sz w:val="24"/>
          <w:szCs w:val="24"/>
          <w:lang w:val="en-GB"/>
        </w:rPr>
        <w:t xml:space="preserve">may </w:t>
      </w:r>
      <w:r w:rsidR="006C5CDE" w:rsidRPr="001B3BA5">
        <w:rPr>
          <w:rFonts w:asciiTheme="majorBidi" w:hAnsiTheme="majorBidi" w:cstheme="majorBidi"/>
          <w:sz w:val="24"/>
          <w:szCs w:val="24"/>
          <w:lang w:val="en-GB"/>
        </w:rPr>
        <w:t xml:space="preserve">already </w:t>
      </w:r>
      <w:r w:rsidR="00974906" w:rsidRPr="001B3BA5">
        <w:rPr>
          <w:rFonts w:asciiTheme="majorBidi" w:hAnsiTheme="majorBidi" w:cstheme="majorBidi"/>
          <w:sz w:val="24"/>
          <w:szCs w:val="24"/>
          <w:lang w:val="en-GB"/>
        </w:rPr>
        <w:t xml:space="preserve">be </w:t>
      </w:r>
      <w:r w:rsidR="006C5CDE" w:rsidRPr="001B3BA5">
        <w:rPr>
          <w:rFonts w:asciiTheme="majorBidi" w:hAnsiTheme="majorBidi" w:cstheme="majorBidi"/>
          <w:sz w:val="24"/>
          <w:szCs w:val="24"/>
          <w:lang w:val="en-GB"/>
        </w:rPr>
        <w:t xml:space="preserve">on board, whereas left-wing </w:t>
      </w:r>
      <w:r w:rsidR="00C87F1C" w:rsidRPr="001B3BA5">
        <w:rPr>
          <w:rFonts w:asciiTheme="majorBidi" w:hAnsiTheme="majorBidi" w:cstheme="majorBidi"/>
          <w:sz w:val="24"/>
          <w:szCs w:val="24"/>
          <w:lang w:val="en-GB"/>
        </w:rPr>
        <w:t xml:space="preserve">individuals </w:t>
      </w:r>
      <w:r w:rsidR="006C5CDE" w:rsidRPr="001B3BA5">
        <w:rPr>
          <w:rFonts w:asciiTheme="majorBidi" w:hAnsiTheme="majorBidi" w:cstheme="majorBidi"/>
          <w:sz w:val="24"/>
          <w:szCs w:val="24"/>
          <w:lang w:val="en-GB"/>
        </w:rPr>
        <w:t>can be mobil</w:t>
      </w:r>
      <w:r w:rsidR="008643F0" w:rsidRPr="001B3BA5">
        <w:rPr>
          <w:rFonts w:asciiTheme="majorBidi" w:hAnsiTheme="majorBidi" w:cstheme="majorBidi"/>
          <w:sz w:val="24"/>
          <w:szCs w:val="24"/>
          <w:lang w:val="en-GB"/>
        </w:rPr>
        <w:t>ise</w:t>
      </w:r>
      <w:r w:rsidR="006C5CDE" w:rsidRPr="001B3BA5">
        <w:rPr>
          <w:rFonts w:asciiTheme="majorBidi" w:hAnsiTheme="majorBidi" w:cstheme="majorBidi"/>
          <w:sz w:val="24"/>
          <w:szCs w:val="24"/>
          <w:lang w:val="en-GB"/>
        </w:rPr>
        <w:t xml:space="preserve">d to agree with </w:t>
      </w:r>
      <w:r w:rsidR="00974906" w:rsidRPr="001B3BA5">
        <w:rPr>
          <w:rFonts w:asciiTheme="majorBidi" w:hAnsiTheme="majorBidi" w:cstheme="majorBidi"/>
          <w:sz w:val="24"/>
          <w:szCs w:val="24"/>
          <w:lang w:val="en-GB"/>
        </w:rPr>
        <w:t xml:space="preserve">his or her </w:t>
      </w:r>
      <w:r w:rsidR="006C5CDE" w:rsidRPr="001B3BA5">
        <w:rPr>
          <w:rFonts w:asciiTheme="majorBidi" w:hAnsiTheme="majorBidi" w:cstheme="majorBidi"/>
          <w:sz w:val="24"/>
          <w:szCs w:val="24"/>
          <w:lang w:val="en-GB"/>
        </w:rPr>
        <w:t xml:space="preserve">anti-EU agenda. The </w:t>
      </w:r>
      <w:r w:rsidR="00B146E8" w:rsidRPr="001B3BA5">
        <w:rPr>
          <w:rFonts w:asciiTheme="majorBidi" w:hAnsiTheme="majorBidi" w:cstheme="majorBidi"/>
          <w:sz w:val="24"/>
          <w:szCs w:val="24"/>
          <w:lang w:val="en-GB"/>
        </w:rPr>
        <w:t>‘</w:t>
      </w:r>
      <w:r w:rsidR="006C5CDE" w:rsidRPr="001B3BA5">
        <w:rPr>
          <w:rFonts w:asciiTheme="majorBidi" w:hAnsiTheme="majorBidi" w:cstheme="majorBidi"/>
          <w:sz w:val="24"/>
          <w:szCs w:val="24"/>
          <w:lang w:val="en-GB"/>
        </w:rPr>
        <w:t>leave</w:t>
      </w:r>
      <w:r w:rsidR="00B146E8" w:rsidRPr="001B3BA5">
        <w:rPr>
          <w:rFonts w:asciiTheme="majorBidi" w:hAnsiTheme="majorBidi" w:cstheme="majorBidi"/>
          <w:sz w:val="24"/>
          <w:szCs w:val="24"/>
          <w:lang w:val="en-GB"/>
        </w:rPr>
        <w:t>’</w:t>
      </w:r>
      <w:r w:rsidR="006C5CDE" w:rsidRPr="001B3BA5">
        <w:rPr>
          <w:rFonts w:asciiTheme="majorBidi" w:hAnsiTheme="majorBidi" w:cstheme="majorBidi"/>
          <w:sz w:val="24"/>
          <w:szCs w:val="24"/>
          <w:lang w:val="en-GB"/>
        </w:rPr>
        <w:t xml:space="preserve"> camp in the Brexit debate</w:t>
      </w:r>
      <w:r w:rsidR="007B5DD8" w:rsidRPr="001B3BA5">
        <w:rPr>
          <w:rFonts w:asciiTheme="majorBidi" w:hAnsiTheme="majorBidi" w:cstheme="majorBidi"/>
          <w:sz w:val="24"/>
          <w:szCs w:val="24"/>
          <w:lang w:val="en-GB"/>
        </w:rPr>
        <w:t>—</w:t>
      </w:r>
      <w:r w:rsidR="006C5CDE" w:rsidRPr="001B3BA5">
        <w:rPr>
          <w:rFonts w:asciiTheme="majorBidi" w:hAnsiTheme="majorBidi" w:cstheme="majorBidi"/>
          <w:sz w:val="24"/>
          <w:szCs w:val="24"/>
          <w:lang w:val="en-GB"/>
        </w:rPr>
        <w:t xml:space="preserve">mostly driven by the </w:t>
      </w:r>
      <w:r w:rsidR="001B57BA" w:rsidRPr="001B3BA5">
        <w:rPr>
          <w:rFonts w:asciiTheme="majorBidi" w:hAnsiTheme="majorBidi" w:cstheme="majorBidi"/>
          <w:sz w:val="24"/>
          <w:szCs w:val="24"/>
          <w:lang w:val="en-GB"/>
        </w:rPr>
        <w:t>United Kingdom Independen</w:t>
      </w:r>
      <w:r w:rsidR="007B5DD8" w:rsidRPr="001B3BA5">
        <w:rPr>
          <w:rFonts w:asciiTheme="majorBidi" w:hAnsiTheme="majorBidi" w:cstheme="majorBidi"/>
          <w:sz w:val="24"/>
          <w:szCs w:val="24"/>
          <w:lang w:val="en-GB"/>
        </w:rPr>
        <w:t>ce</w:t>
      </w:r>
      <w:r w:rsidR="001B57BA" w:rsidRPr="001B3BA5">
        <w:rPr>
          <w:rFonts w:asciiTheme="majorBidi" w:hAnsiTheme="majorBidi" w:cstheme="majorBidi"/>
          <w:sz w:val="24"/>
          <w:szCs w:val="24"/>
          <w:lang w:val="en-GB"/>
        </w:rPr>
        <w:t xml:space="preserve"> Party</w:t>
      </w:r>
      <w:r w:rsidR="007B5DD8" w:rsidRPr="001B3BA5">
        <w:rPr>
          <w:rFonts w:asciiTheme="majorBidi" w:hAnsiTheme="majorBidi" w:cstheme="majorBidi"/>
          <w:sz w:val="24"/>
          <w:szCs w:val="24"/>
          <w:lang w:val="en-GB"/>
        </w:rPr>
        <w:t>—</w:t>
      </w:r>
      <w:r w:rsidR="006C5CDE" w:rsidRPr="001B3BA5">
        <w:rPr>
          <w:rFonts w:asciiTheme="majorBidi" w:hAnsiTheme="majorBidi" w:cstheme="majorBidi"/>
          <w:sz w:val="24"/>
          <w:szCs w:val="24"/>
          <w:lang w:val="en-GB"/>
        </w:rPr>
        <w:t xml:space="preserve"> </w:t>
      </w:r>
      <w:r w:rsidR="002F6CA1" w:rsidRPr="001B3BA5">
        <w:rPr>
          <w:rFonts w:asciiTheme="majorBidi" w:hAnsiTheme="majorBidi" w:cstheme="majorBidi"/>
          <w:sz w:val="24"/>
          <w:szCs w:val="24"/>
          <w:lang w:val="en-GB"/>
        </w:rPr>
        <w:t xml:space="preserve">might have </w:t>
      </w:r>
      <w:r w:rsidR="00974906" w:rsidRPr="001B3BA5">
        <w:rPr>
          <w:rFonts w:asciiTheme="majorBidi" w:hAnsiTheme="majorBidi" w:cstheme="majorBidi"/>
          <w:sz w:val="24"/>
          <w:szCs w:val="24"/>
          <w:lang w:val="en-GB"/>
        </w:rPr>
        <w:t>adopted</w:t>
      </w:r>
      <w:r w:rsidR="006C5CDE" w:rsidRPr="001B3BA5">
        <w:rPr>
          <w:rFonts w:asciiTheme="majorBidi" w:hAnsiTheme="majorBidi" w:cstheme="majorBidi"/>
          <w:sz w:val="24"/>
          <w:szCs w:val="24"/>
          <w:lang w:val="en-GB"/>
        </w:rPr>
        <w:t xml:space="preserve"> an effective strategy </w:t>
      </w:r>
      <w:r w:rsidR="00974906" w:rsidRPr="001B3BA5">
        <w:rPr>
          <w:rFonts w:asciiTheme="majorBidi" w:hAnsiTheme="majorBidi" w:cstheme="majorBidi"/>
          <w:sz w:val="24"/>
          <w:szCs w:val="24"/>
          <w:lang w:val="en-GB"/>
        </w:rPr>
        <w:t xml:space="preserve">in </w:t>
      </w:r>
      <w:r w:rsidR="006C5CDE" w:rsidRPr="001B3BA5">
        <w:rPr>
          <w:rFonts w:asciiTheme="majorBidi" w:hAnsiTheme="majorBidi" w:cstheme="majorBidi"/>
          <w:sz w:val="24"/>
          <w:szCs w:val="24"/>
          <w:lang w:val="en-GB"/>
        </w:rPr>
        <w:t>us</w:t>
      </w:r>
      <w:r w:rsidR="00974906" w:rsidRPr="001B3BA5">
        <w:rPr>
          <w:rFonts w:asciiTheme="majorBidi" w:hAnsiTheme="majorBidi" w:cstheme="majorBidi"/>
          <w:sz w:val="24"/>
          <w:szCs w:val="24"/>
          <w:lang w:val="en-GB"/>
        </w:rPr>
        <w:t>ing</w:t>
      </w:r>
      <w:r w:rsidR="006C5CDE" w:rsidRPr="001B3BA5">
        <w:rPr>
          <w:rFonts w:asciiTheme="majorBidi" w:hAnsiTheme="majorBidi" w:cstheme="majorBidi"/>
          <w:sz w:val="24"/>
          <w:szCs w:val="24"/>
          <w:lang w:val="en-GB"/>
        </w:rPr>
        <w:t xml:space="preserve"> ownership rhetoric to win over </w:t>
      </w:r>
      <w:r w:rsidR="00D12B5F" w:rsidRPr="001B3BA5">
        <w:rPr>
          <w:rFonts w:asciiTheme="majorBidi" w:hAnsiTheme="majorBidi" w:cstheme="majorBidi"/>
          <w:sz w:val="24"/>
          <w:szCs w:val="24"/>
          <w:lang w:val="en-GB"/>
        </w:rPr>
        <w:t xml:space="preserve">the </w:t>
      </w:r>
      <w:r w:rsidR="006C5CDE" w:rsidRPr="001B3BA5">
        <w:rPr>
          <w:rFonts w:asciiTheme="majorBidi" w:hAnsiTheme="majorBidi" w:cstheme="majorBidi"/>
          <w:sz w:val="24"/>
          <w:szCs w:val="24"/>
          <w:lang w:val="en-GB"/>
        </w:rPr>
        <w:t xml:space="preserve">doubting left-wing voters, crucial in a majority rule referendum. </w:t>
      </w:r>
      <w:r w:rsidR="00974906" w:rsidRPr="001B3BA5">
        <w:rPr>
          <w:rFonts w:asciiTheme="majorBidi" w:hAnsiTheme="majorBidi" w:cstheme="majorBidi"/>
          <w:sz w:val="24"/>
          <w:szCs w:val="24"/>
          <w:lang w:val="en-GB"/>
        </w:rPr>
        <w:t>Along these lines</w:t>
      </w:r>
      <w:r w:rsidR="006C5CDE" w:rsidRPr="001B3BA5">
        <w:rPr>
          <w:rFonts w:asciiTheme="majorBidi" w:hAnsiTheme="majorBidi" w:cstheme="majorBidi"/>
          <w:sz w:val="24"/>
          <w:szCs w:val="24"/>
          <w:lang w:val="en-GB"/>
        </w:rPr>
        <w:t xml:space="preserve">, </w:t>
      </w:r>
      <w:r w:rsidR="002D0D91" w:rsidRPr="001B3BA5">
        <w:rPr>
          <w:rFonts w:asciiTheme="majorBidi" w:hAnsiTheme="majorBidi" w:cstheme="majorBidi"/>
          <w:sz w:val="24"/>
          <w:szCs w:val="24"/>
          <w:lang w:val="en-GB"/>
        </w:rPr>
        <w:t xml:space="preserve">research has shown that </w:t>
      </w:r>
      <w:r w:rsidR="006C5CDE" w:rsidRPr="001B3BA5">
        <w:rPr>
          <w:rFonts w:asciiTheme="majorBidi" w:hAnsiTheme="majorBidi" w:cstheme="majorBidi"/>
          <w:sz w:val="24"/>
          <w:szCs w:val="24"/>
          <w:lang w:val="en-GB"/>
        </w:rPr>
        <w:t>left-wing New-Zealanders oppos</w:t>
      </w:r>
      <w:r w:rsidR="007B5DD8" w:rsidRPr="001B3BA5">
        <w:rPr>
          <w:rFonts w:asciiTheme="majorBidi" w:hAnsiTheme="majorBidi" w:cstheme="majorBidi"/>
          <w:sz w:val="24"/>
          <w:szCs w:val="24"/>
          <w:lang w:val="en-GB"/>
        </w:rPr>
        <w:t xml:space="preserve">ed more strongly </w:t>
      </w:r>
      <w:r w:rsidR="006C5CDE" w:rsidRPr="001B3BA5">
        <w:rPr>
          <w:rFonts w:asciiTheme="majorBidi" w:hAnsiTheme="majorBidi" w:cstheme="majorBidi"/>
          <w:sz w:val="24"/>
          <w:szCs w:val="24"/>
          <w:lang w:val="en-GB"/>
        </w:rPr>
        <w:t>pro-bicultural policy when reading a political speech in which historical injustices were negated (vs. recogni</w:t>
      </w:r>
      <w:r w:rsidR="00B562F6" w:rsidRPr="001B3BA5">
        <w:rPr>
          <w:rFonts w:asciiTheme="majorBidi" w:hAnsiTheme="majorBidi" w:cstheme="majorBidi"/>
          <w:sz w:val="24"/>
          <w:szCs w:val="24"/>
          <w:lang w:val="en-GB"/>
        </w:rPr>
        <w:t>s</w:t>
      </w:r>
      <w:r w:rsidR="006C5CDE" w:rsidRPr="001B3BA5">
        <w:rPr>
          <w:rFonts w:asciiTheme="majorBidi" w:hAnsiTheme="majorBidi" w:cstheme="majorBidi"/>
          <w:sz w:val="24"/>
          <w:szCs w:val="24"/>
          <w:lang w:val="en-GB"/>
        </w:rPr>
        <w:t>ed)</w:t>
      </w:r>
      <w:r w:rsidR="006D07C4" w:rsidRPr="001B3BA5">
        <w:rPr>
          <w:rFonts w:asciiTheme="majorBidi" w:hAnsiTheme="majorBidi" w:cstheme="majorBidi"/>
          <w:sz w:val="24"/>
          <w:szCs w:val="24"/>
          <w:lang w:val="en-GB"/>
        </w:rPr>
        <w:t>, whereas r</w:t>
      </w:r>
      <w:r w:rsidR="006C5CDE" w:rsidRPr="001B3BA5">
        <w:rPr>
          <w:rFonts w:asciiTheme="majorBidi" w:hAnsiTheme="majorBidi" w:cstheme="majorBidi"/>
          <w:sz w:val="24"/>
          <w:szCs w:val="24"/>
          <w:lang w:val="en-GB"/>
        </w:rPr>
        <w:t>ight-wing New-Zealanders were not moved by such a speech</w:t>
      </w:r>
      <w:r w:rsidR="009E6BCA" w:rsidRPr="001B3BA5">
        <w:rPr>
          <w:rFonts w:asciiTheme="majorBidi" w:hAnsiTheme="majorBidi" w:cstheme="majorBidi"/>
          <w:sz w:val="24"/>
          <w:szCs w:val="24"/>
          <w:lang w:val="en-GB"/>
        </w:rPr>
        <w:t xml:space="preserve"> </w:t>
      </w:r>
      <w:r w:rsidR="009E6BCA" w:rsidRPr="001B3BA5">
        <w:rPr>
          <w:rFonts w:asciiTheme="majorBidi" w:hAnsiTheme="majorBidi" w:cstheme="majorBidi"/>
          <w:sz w:val="24"/>
          <w:szCs w:val="24"/>
          <w:lang w:val="en-GB"/>
        </w:rPr>
        <w:fldChar w:fldCharType="begin"/>
      </w:r>
      <w:r w:rsidR="009E6BCA" w:rsidRPr="001B3BA5">
        <w:rPr>
          <w:rFonts w:asciiTheme="majorBidi" w:hAnsiTheme="majorBidi" w:cstheme="majorBidi"/>
          <w:sz w:val="24"/>
          <w:szCs w:val="24"/>
          <w:lang w:val="en-GB"/>
        </w:rPr>
        <w:instrText xml:space="preserve"> ADDIN EN.CITE &lt;EndNote&gt;&lt;Cite&gt;&lt;Author&gt;Sibley&lt;/Author&gt;&lt;Year&gt;2008&lt;/Year&gt;&lt;RecNum&gt;1483&lt;/RecNum&gt;&lt;DisplayText&gt;(Sibley, Liu, Duckitt, &amp;amp; Khan, 2008)&lt;/DisplayText&gt;&lt;record&gt;&lt;rec-number&gt;1483&lt;/rec-number&gt;&lt;foreign-keys&gt;&lt;key app="EN" db-id="es92r5v5dve2z0erx59pv50vtp29v0t9ef5f" timestamp="1570182246"&gt;1483&lt;/key&gt;&lt;key app="ENWeb" db-id=""&gt;0&lt;/key&gt;&lt;/foreign-keys&gt;&lt;ref-type name="Journal Article"&gt;17&lt;/ref-type&gt;&lt;contributors&gt;&lt;authors&gt;&lt;author&gt;Sibley, Chris G.&lt;/author&gt;&lt;author&gt;Liu, James H.&lt;/author&gt;&lt;author&gt;Duckitt, John&lt;/author&gt;&lt;author&gt;Khan, Sammyh S.&lt;/author&gt;&lt;/authors&gt;&lt;/contributors&gt;&lt;titles&gt;&lt;title&gt;Social representations of history and the legitimation of social inequality: the form and function of historical negation&lt;/title&gt;&lt;secondary-title&gt;European Journal of Social Psychology&lt;/secondary-title&gt;&lt;/titles&gt;&lt;periodical&gt;&lt;full-title&gt;European Journal of Social Psychology&lt;/full-title&gt;&lt;/periodical&gt;&lt;pages&gt;542-565&lt;/pages&gt;&lt;volume&gt;38&lt;/volume&gt;&lt;number&gt;3&lt;/number&gt;&lt;dates&gt;&lt;year&gt;2008&lt;/year&gt;&lt;/dates&gt;&lt;isbn&gt;00462772&amp;#xD;10990992&lt;/isbn&gt;&lt;urls&gt;&lt;/urls&gt;&lt;electronic-resource-num&gt;10.1002/ejsp.449&lt;/electronic-resource-num&gt;&lt;/record&gt;&lt;/Cite&gt;&lt;/EndNote&gt;</w:instrText>
      </w:r>
      <w:r w:rsidR="009E6BCA" w:rsidRPr="001B3BA5">
        <w:rPr>
          <w:rFonts w:asciiTheme="majorBidi" w:hAnsiTheme="majorBidi" w:cstheme="majorBidi"/>
          <w:sz w:val="24"/>
          <w:szCs w:val="24"/>
          <w:lang w:val="en-GB"/>
        </w:rPr>
        <w:fldChar w:fldCharType="separate"/>
      </w:r>
      <w:r w:rsidR="009E6BCA" w:rsidRPr="001B3BA5">
        <w:rPr>
          <w:rFonts w:asciiTheme="majorBidi" w:hAnsiTheme="majorBidi" w:cstheme="majorBidi"/>
          <w:noProof/>
          <w:sz w:val="24"/>
          <w:szCs w:val="24"/>
          <w:lang w:val="en-GB"/>
        </w:rPr>
        <w:t>(Sibley, Liu, Duckitt, &amp; Khan, 2008)</w:t>
      </w:r>
      <w:r w:rsidR="009E6BCA" w:rsidRPr="001B3BA5">
        <w:rPr>
          <w:rFonts w:asciiTheme="majorBidi" w:hAnsiTheme="majorBidi" w:cstheme="majorBidi"/>
          <w:sz w:val="24"/>
          <w:szCs w:val="24"/>
          <w:lang w:val="en-GB"/>
        </w:rPr>
        <w:fldChar w:fldCharType="end"/>
      </w:r>
      <w:r w:rsidR="00071742" w:rsidRPr="001B3BA5">
        <w:rPr>
          <w:rFonts w:asciiTheme="majorBidi" w:hAnsiTheme="majorBidi" w:cstheme="majorBidi"/>
          <w:sz w:val="24"/>
          <w:szCs w:val="24"/>
          <w:lang w:val="en-GB"/>
        </w:rPr>
        <w:t xml:space="preserve">. </w:t>
      </w:r>
      <w:r w:rsidR="00AA462A" w:rsidRPr="001B3BA5">
        <w:rPr>
          <w:rFonts w:asciiTheme="majorBidi" w:hAnsiTheme="majorBidi" w:cstheme="majorBidi"/>
          <w:sz w:val="24"/>
          <w:szCs w:val="24"/>
          <w:lang w:val="en-GB"/>
        </w:rPr>
        <w:t>There might be other reasons</w:t>
      </w:r>
      <w:r w:rsidR="006C5CDE" w:rsidRPr="001B3BA5">
        <w:rPr>
          <w:rFonts w:asciiTheme="majorBidi" w:hAnsiTheme="majorBidi" w:cstheme="majorBidi"/>
          <w:sz w:val="24"/>
          <w:szCs w:val="24"/>
          <w:lang w:val="en-GB"/>
        </w:rPr>
        <w:t xml:space="preserve"> why the role of political orientation </w:t>
      </w:r>
      <w:r w:rsidR="000337C2" w:rsidRPr="001B3BA5">
        <w:rPr>
          <w:rFonts w:asciiTheme="majorBidi" w:hAnsiTheme="majorBidi" w:cstheme="majorBidi"/>
          <w:sz w:val="24"/>
          <w:szCs w:val="24"/>
          <w:lang w:val="en-GB"/>
        </w:rPr>
        <w:t>wa</w:t>
      </w:r>
      <w:r w:rsidR="006C5CDE" w:rsidRPr="001B3BA5">
        <w:rPr>
          <w:rFonts w:asciiTheme="majorBidi" w:hAnsiTheme="majorBidi" w:cstheme="majorBidi"/>
          <w:sz w:val="24"/>
          <w:szCs w:val="24"/>
          <w:lang w:val="en-GB"/>
        </w:rPr>
        <w:t xml:space="preserve">s inconsistent across </w:t>
      </w:r>
      <w:r w:rsidR="007B5DD8" w:rsidRPr="001B3BA5">
        <w:rPr>
          <w:rFonts w:asciiTheme="majorBidi" w:hAnsiTheme="majorBidi" w:cstheme="majorBidi"/>
          <w:sz w:val="24"/>
          <w:szCs w:val="24"/>
          <w:lang w:val="en-GB"/>
        </w:rPr>
        <w:t xml:space="preserve">our </w:t>
      </w:r>
      <w:r w:rsidR="006C5CDE" w:rsidRPr="001B3BA5">
        <w:rPr>
          <w:rFonts w:asciiTheme="majorBidi" w:hAnsiTheme="majorBidi" w:cstheme="majorBidi"/>
          <w:sz w:val="24"/>
          <w:szCs w:val="24"/>
          <w:lang w:val="en-GB"/>
        </w:rPr>
        <w:t>studies. The meaning of the left-right dimension can vary across countries</w:t>
      </w:r>
      <w:r w:rsidR="00EF2925" w:rsidRPr="001B3BA5">
        <w:rPr>
          <w:rFonts w:asciiTheme="majorBidi" w:hAnsiTheme="majorBidi" w:cstheme="majorBidi"/>
          <w:sz w:val="24"/>
          <w:szCs w:val="24"/>
          <w:lang w:val="en-GB"/>
        </w:rPr>
        <w:t xml:space="preserve"> </w:t>
      </w:r>
      <w:r w:rsidR="00EF2925" w:rsidRPr="001B3BA5">
        <w:rPr>
          <w:rFonts w:asciiTheme="majorBidi" w:hAnsiTheme="majorBidi" w:cstheme="majorBidi"/>
          <w:sz w:val="24"/>
          <w:szCs w:val="24"/>
          <w:lang w:val="en-GB"/>
        </w:rPr>
        <w:fldChar w:fldCharType="begin"/>
      </w:r>
      <w:r w:rsidR="00EF2925" w:rsidRPr="001B3BA5">
        <w:rPr>
          <w:rFonts w:asciiTheme="majorBidi" w:hAnsiTheme="majorBidi" w:cstheme="majorBidi"/>
          <w:sz w:val="24"/>
          <w:szCs w:val="24"/>
          <w:lang w:val="en-GB"/>
        </w:rPr>
        <w:instrText xml:space="preserve"> ADDIN EN.CITE &lt;EndNote&gt;&lt;Cite&gt;&lt;Author&gt;Huber&lt;/Author&gt;&lt;Year&gt;1995&lt;/Year&gt;&lt;RecNum&gt;1478&lt;/RecNum&gt;&lt;DisplayText&gt;(Huber &amp;amp; Inglehart, 1995)&lt;/DisplayText&gt;&lt;record&gt;&lt;rec-number&gt;1478&lt;/rec-number&gt;&lt;foreign-keys&gt;&lt;key app="EN" db-id="es92r5v5dve2z0erx59pv50vtp29v0t9ef5f" timestamp="1570011907"&gt;1478&lt;/key&gt;&lt;/foreign-keys&gt;&lt;ref-type name="Journal Article"&gt;17&lt;/ref-type&gt;&lt;contributors&gt;&lt;authors&gt;&lt;author&gt;Huber, John&lt;/author&gt;&lt;author&gt;Inglehart, Ronald&lt;/author&gt;&lt;/authors&gt;&lt;/contributors&gt;&lt;titles&gt;&lt;title&gt;Expert interpretations of party space and party locations in 42 societies&lt;/title&gt;&lt;secondary-title&gt;Party politics&lt;/secondary-title&gt;&lt;/titles&gt;&lt;periodical&gt;&lt;full-title&gt;Party Politics&lt;/full-title&gt;&lt;/periodical&gt;&lt;pages&gt;73-111&lt;/pages&gt;&lt;volume&gt;1&lt;/volume&gt;&lt;number&gt;1&lt;/number&gt;&lt;dates&gt;&lt;year&gt;1995&lt;/year&gt;&lt;/dates&gt;&lt;isbn&gt;1354-0688&lt;/isbn&gt;&lt;urls&gt;&lt;/urls&gt;&lt;/record&gt;&lt;/Cite&gt;&lt;/EndNote&gt;</w:instrText>
      </w:r>
      <w:r w:rsidR="00EF2925" w:rsidRPr="001B3BA5">
        <w:rPr>
          <w:rFonts w:asciiTheme="majorBidi" w:hAnsiTheme="majorBidi" w:cstheme="majorBidi"/>
          <w:sz w:val="24"/>
          <w:szCs w:val="24"/>
          <w:lang w:val="en-GB"/>
        </w:rPr>
        <w:fldChar w:fldCharType="separate"/>
      </w:r>
      <w:r w:rsidR="00EF2925" w:rsidRPr="001B3BA5">
        <w:rPr>
          <w:rFonts w:asciiTheme="majorBidi" w:hAnsiTheme="majorBidi" w:cstheme="majorBidi"/>
          <w:noProof/>
          <w:sz w:val="24"/>
          <w:szCs w:val="24"/>
          <w:lang w:val="en-GB"/>
        </w:rPr>
        <w:t>(Huber &amp; Inglehart, 1995)</w:t>
      </w:r>
      <w:r w:rsidR="00EF2925" w:rsidRPr="001B3BA5">
        <w:rPr>
          <w:rFonts w:asciiTheme="majorBidi" w:hAnsiTheme="majorBidi" w:cstheme="majorBidi"/>
          <w:sz w:val="24"/>
          <w:szCs w:val="24"/>
          <w:lang w:val="en-GB"/>
        </w:rPr>
        <w:fldChar w:fldCharType="end"/>
      </w:r>
      <w:r w:rsidRPr="001B3BA5">
        <w:rPr>
          <w:rFonts w:asciiTheme="majorBidi" w:hAnsiTheme="majorBidi" w:cstheme="majorBidi"/>
          <w:sz w:val="24"/>
          <w:szCs w:val="24"/>
          <w:lang w:val="en-GB"/>
        </w:rPr>
        <w:t>—</w:t>
      </w:r>
      <w:r w:rsidR="006143B4" w:rsidRPr="001B3BA5">
        <w:rPr>
          <w:rFonts w:asciiTheme="majorBidi" w:hAnsiTheme="majorBidi" w:cstheme="majorBidi"/>
          <w:sz w:val="24"/>
          <w:szCs w:val="24"/>
          <w:lang w:val="en-GB"/>
        </w:rPr>
        <w:t>a</w:t>
      </w:r>
      <w:r w:rsidR="00EC136C" w:rsidRPr="001B3BA5">
        <w:rPr>
          <w:rFonts w:asciiTheme="majorBidi" w:hAnsiTheme="majorBidi" w:cstheme="majorBidi"/>
          <w:sz w:val="24"/>
          <w:szCs w:val="24"/>
          <w:lang w:val="en-GB"/>
        </w:rPr>
        <w:t xml:space="preserve">lthough not as much </w:t>
      </w:r>
      <w:r w:rsidR="006C5CDE" w:rsidRPr="001B3BA5">
        <w:rPr>
          <w:rFonts w:asciiTheme="majorBidi" w:hAnsiTheme="majorBidi" w:cstheme="majorBidi"/>
          <w:sz w:val="24"/>
          <w:szCs w:val="24"/>
          <w:lang w:val="en-GB"/>
        </w:rPr>
        <w:t xml:space="preserve">in established liberal democracies such as </w:t>
      </w:r>
      <w:r w:rsidR="00EC136C" w:rsidRPr="001B3BA5">
        <w:rPr>
          <w:rFonts w:asciiTheme="majorBidi" w:hAnsiTheme="majorBidi" w:cstheme="majorBidi"/>
          <w:sz w:val="24"/>
          <w:szCs w:val="24"/>
          <w:lang w:val="en-GB"/>
        </w:rPr>
        <w:t>T</w:t>
      </w:r>
      <w:r w:rsidR="006C5CDE" w:rsidRPr="001B3BA5">
        <w:rPr>
          <w:rFonts w:asciiTheme="majorBidi" w:hAnsiTheme="majorBidi" w:cstheme="majorBidi"/>
          <w:sz w:val="24"/>
          <w:szCs w:val="24"/>
          <w:lang w:val="en-GB"/>
        </w:rPr>
        <w:t>he Netherlands</w:t>
      </w:r>
      <w:r w:rsidR="00EC136C" w:rsidRPr="001B3BA5">
        <w:rPr>
          <w:rFonts w:asciiTheme="majorBidi" w:hAnsiTheme="majorBidi" w:cstheme="majorBidi"/>
          <w:sz w:val="24"/>
          <w:szCs w:val="24"/>
          <w:lang w:val="en-GB"/>
        </w:rPr>
        <w:t xml:space="preserve"> and </w:t>
      </w:r>
      <w:r w:rsidR="00B562F6" w:rsidRPr="001B3BA5">
        <w:rPr>
          <w:rFonts w:asciiTheme="majorBidi" w:hAnsiTheme="majorBidi" w:cstheme="majorBidi"/>
          <w:sz w:val="24"/>
          <w:szCs w:val="24"/>
          <w:lang w:val="en-GB"/>
        </w:rPr>
        <w:t>the United Kingdom</w:t>
      </w:r>
      <w:r w:rsidR="006C5CDE" w:rsidRPr="001B3BA5">
        <w:rPr>
          <w:rFonts w:asciiTheme="majorBidi" w:hAnsiTheme="majorBidi" w:cstheme="majorBidi"/>
          <w:sz w:val="24"/>
          <w:szCs w:val="24"/>
          <w:lang w:val="en-GB"/>
        </w:rPr>
        <w:t xml:space="preserve"> </w:t>
      </w:r>
      <w:r w:rsidR="008A032B" w:rsidRPr="001B3BA5">
        <w:rPr>
          <w:rFonts w:asciiTheme="majorBidi" w:hAnsiTheme="majorBidi" w:cstheme="majorBidi"/>
          <w:sz w:val="24"/>
          <w:szCs w:val="24"/>
          <w:lang w:val="en-GB"/>
        </w:rPr>
        <w:fldChar w:fldCharType="begin"/>
      </w:r>
      <w:r w:rsidR="008A032B" w:rsidRPr="001B3BA5">
        <w:rPr>
          <w:rFonts w:asciiTheme="majorBidi" w:hAnsiTheme="majorBidi" w:cstheme="majorBidi"/>
          <w:sz w:val="24"/>
          <w:szCs w:val="24"/>
          <w:lang w:val="en-GB"/>
        </w:rPr>
        <w:instrText xml:space="preserve"> ADDIN EN.CITE &lt;EndNote&gt;&lt;Cite&gt;&lt;Author&gt;Caprara&lt;/Author&gt;&lt;Year&gt;2017&lt;/Year&gt;&lt;RecNum&gt;1480&lt;/RecNum&gt;&lt;DisplayText&gt;(Caprara et al., 2017; Piurko, Schwartz, &amp;amp; Davidov, 2011)&lt;/DisplayText&gt;&lt;record&gt;&lt;rec-number&gt;1480&lt;/rec-number&gt;&lt;foreign-keys&gt;&lt;key app="EN" db-id="es92r5v5dve2z0erx59pv50vtp29v0t9ef5f" timestamp="1570012033"&gt;1480&lt;/key&gt;&lt;/foreign-keys&gt;&lt;ref-type name="Journal Article"&gt;17&lt;/ref-type&gt;&lt;contributors&gt;&lt;authors&gt;&lt;author&gt;Caprara, Gian Vittorio&lt;/author&gt;&lt;author&gt;Vecchione, Michele&lt;/author&gt;&lt;author&gt;Schwartz, Shalom H&lt;/author&gt;&lt;author&gt;Schoen, Harald&lt;/author&gt;&lt;author&gt;Bain, Paul G&lt;/author&gt;&lt;author&gt;Silvester, Jo&lt;/author&gt;&lt;author&gt;Cieciuch, Jan&lt;/author&gt;&lt;author&gt;Pavlopoulos, Vassilis&lt;/author&gt;&lt;author&gt;Bianchi, Gabriel&lt;/author&gt;&lt;author&gt;Kirmanoglu, Hasan&lt;/author&gt;&lt;/authors&gt;&lt;/contributors&gt;&lt;titles&gt;&lt;title&gt;Basic values, ideological self-placement, and voting: A cross-cultural study&lt;/title&gt;&lt;secondary-title&gt;Cross-Cultural Research&lt;/secondary-title&gt;&lt;/titles&gt;&lt;periodical&gt;&lt;full-title&gt;Cross-Cultural Research&lt;/full-title&gt;&lt;/periodical&gt;&lt;pages&gt;388-411&lt;/pages&gt;&lt;volume&gt;51&lt;/volume&gt;&lt;number&gt;4&lt;/number&gt;&lt;dates&gt;&lt;year&gt;2017&lt;/year&gt;&lt;/dates&gt;&lt;isbn&gt;1069-3971&lt;/isbn&gt;&lt;urls&gt;&lt;/urls&gt;&lt;/record&gt;&lt;/Cite&gt;&lt;Cite&gt;&lt;Author&gt;Piurko&lt;/Author&gt;&lt;Year&gt;2011&lt;/Year&gt;&lt;RecNum&gt;1479&lt;/RecNum&gt;&lt;record&gt;&lt;rec-number&gt;1479&lt;/rec-number&gt;&lt;foreign-keys&gt;&lt;key app="EN" db-id="es92r5v5dve2z0erx59pv50vtp29v0t9ef5f" timestamp="1570011998"&gt;1479&lt;/key&gt;&lt;/foreign-keys&gt;&lt;ref-type name="Journal Article"&gt;17&lt;/ref-type&gt;&lt;contributors&gt;&lt;authors&gt;&lt;author&gt;Piurko, Yuval&lt;/author&gt;&lt;author&gt;Schwartz, Shalom H&lt;/author&gt;&lt;author&gt;Davidov, Eldad&lt;/author&gt;&lt;/authors&gt;&lt;/contributors&gt;&lt;titles&gt;&lt;title&gt;Basic personal values and the meaning of left‐right political orientations in 20 countries&lt;/title&gt;&lt;secondary-title&gt;Political Psychology&lt;/secondary-title&gt;&lt;/titles&gt;&lt;periodical&gt;&lt;full-title&gt;Political Psychology&lt;/full-title&gt;&lt;/periodical&gt;&lt;pages&gt;537-561&lt;/pages&gt;&lt;volume&gt;32&lt;/volume&gt;&lt;number&gt;4&lt;/number&gt;&lt;dates&gt;&lt;year&gt;2011&lt;/year&gt;&lt;/dates&gt;&lt;isbn&gt;0162-895X&lt;/isbn&gt;&lt;urls&gt;&lt;/urls&gt;&lt;/record&gt;&lt;/Cite&gt;&lt;/EndNote&gt;</w:instrText>
      </w:r>
      <w:r w:rsidR="008A032B" w:rsidRPr="001B3BA5">
        <w:rPr>
          <w:rFonts w:asciiTheme="majorBidi" w:hAnsiTheme="majorBidi" w:cstheme="majorBidi"/>
          <w:sz w:val="24"/>
          <w:szCs w:val="24"/>
          <w:lang w:val="en-GB"/>
        </w:rPr>
        <w:fldChar w:fldCharType="separate"/>
      </w:r>
      <w:r w:rsidR="008A032B" w:rsidRPr="001B3BA5">
        <w:rPr>
          <w:rFonts w:asciiTheme="majorBidi" w:hAnsiTheme="majorBidi" w:cstheme="majorBidi"/>
          <w:noProof/>
          <w:sz w:val="24"/>
          <w:szCs w:val="24"/>
          <w:lang w:val="en-GB"/>
        </w:rPr>
        <w:t>(Caprara et al., 2017; Piurko, Schwartz, &amp; Davidov, 2011)</w:t>
      </w:r>
      <w:r w:rsidR="008A032B" w:rsidRPr="001B3BA5">
        <w:rPr>
          <w:rFonts w:asciiTheme="majorBidi" w:hAnsiTheme="majorBidi" w:cstheme="majorBidi"/>
          <w:sz w:val="24"/>
          <w:szCs w:val="24"/>
          <w:lang w:val="en-GB"/>
        </w:rPr>
        <w:fldChar w:fldCharType="end"/>
      </w:r>
      <w:r w:rsidR="006D07C4" w:rsidRPr="001B3BA5">
        <w:rPr>
          <w:rFonts w:asciiTheme="majorBidi" w:hAnsiTheme="majorBidi" w:cstheme="majorBidi"/>
          <w:sz w:val="24"/>
          <w:szCs w:val="24"/>
          <w:lang w:val="en-GB"/>
        </w:rPr>
        <w:t xml:space="preserve">. Further, </w:t>
      </w:r>
      <w:r w:rsidR="0097772C" w:rsidRPr="001B3BA5">
        <w:rPr>
          <w:rFonts w:asciiTheme="majorBidi" w:hAnsiTheme="majorBidi" w:cstheme="majorBidi"/>
          <w:sz w:val="24"/>
          <w:szCs w:val="24"/>
          <w:lang w:val="en-GB"/>
        </w:rPr>
        <w:t>attitudes toward specific issue that are based in</w:t>
      </w:r>
      <w:r w:rsidR="006C5CDE" w:rsidRPr="001B3BA5">
        <w:rPr>
          <w:rFonts w:asciiTheme="majorBidi" w:hAnsiTheme="majorBidi" w:cstheme="majorBidi"/>
          <w:sz w:val="24"/>
          <w:szCs w:val="24"/>
          <w:lang w:val="en-GB"/>
        </w:rPr>
        <w:t xml:space="preserve"> underlying political orientation</w:t>
      </w:r>
      <w:r w:rsidR="0097772C" w:rsidRPr="001B3BA5">
        <w:rPr>
          <w:rFonts w:asciiTheme="majorBidi" w:hAnsiTheme="majorBidi" w:cstheme="majorBidi"/>
          <w:sz w:val="24"/>
          <w:szCs w:val="24"/>
          <w:lang w:val="en-GB"/>
        </w:rPr>
        <w:t>s</w:t>
      </w:r>
      <w:r w:rsidR="006C5CDE" w:rsidRPr="001B3BA5">
        <w:rPr>
          <w:rFonts w:asciiTheme="majorBidi" w:hAnsiTheme="majorBidi" w:cstheme="majorBidi"/>
          <w:sz w:val="24"/>
          <w:szCs w:val="24"/>
          <w:lang w:val="en-GB"/>
        </w:rPr>
        <w:t xml:space="preserve"> </w:t>
      </w:r>
      <w:r w:rsidR="0097772C" w:rsidRPr="001B3BA5">
        <w:rPr>
          <w:rFonts w:asciiTheme="majorBidi" w:hAnsiTheme="majorBidi" w:cstheme="majorBidi"/>
          <w:sz w:val="24"/>
          <w:szCs w:val="24"/>
          <w:lang w:val="en-GB"/>
        </w:rPr>
        <w:t>vary in their ideological relevance across space and time</w:t>
      </w:r>
      <w:r w:rsidR="006C5CDE" w:rsidRPr="001B3BA5">
        <w:rPr>
          <w:rFonts w:asciiTheme="majorBidi" w:hAnsiTheme="majorBidi" w:cstheme="majorBidi"/>
          <w:sz w:val="24"/>
          <w:szCs w:val="24"/>
          <w:lang w:val="en-GB"/>
        </w:rPr>
        <w:t xml:space="preserve"> </w:t>
      </w:r>
      <w:r w:rsidR="008A032B" w:rsidRPr="001B3BA5">
        <w:rPr>
          <w:rFonts w:asciiTheme="majorBidi" w:hAnsiTheme="majorBidi" w:cstheme="majorBidi"/>
          <w:sz w:val="24"/>
          <w:szCs w:val="24"/>
          <w:lang w:val="en-GB"/>
        </w:rPr>
        <w:fldChar w:fldCharType="begin"/>
      </w:r>
      <w:r w:rsidR="008A032B" w:rsidRPr="001B3BA5">
        <w:rPr>
          <w:rFonts w:asciiTheme="majorBidi" w:hAnsiTheme="majorBidi" w:cstheme="majorBidi"/>
          <w:sz w:val="24"/>
          <w:szCs w:val="24"/>
          <w:lang w:val="en-GB"/>
        </w:rPr>
        <w:instrText xml:space="preserve"> ADDIN EN.CITE &lt;EndNote&gt;&lt;Cite&gt;&lt;Author&gt;Jost&lt;/Author&gt;&lt;Year&gt;2006&lt;/Year&gt;&lt;RecNum&gt;1343&lt;/RecNum&gt;&lt;DisplayText&gt;(Jost, 2006)&lt;/DisplayText&gt;&lt;record&gt;&lt;rec-number&gt;1343&lt;/rec-number&gt;&lt;foreign-keys&gt;&lt;key app="EN" db-id="es92r5v5dve2z0erx59pv50vtp29v0t9ef5f" timestamp="1543585937"&gt;1343&lt;/key&gt;&lt;key app="ENWeb" db-id=""&gt;0&lt;/key&gt;&lt;/foreign-keys&gt;&lt;ref-type name="Journal Article"&gt;17&lt;/ref-type&gt;&lt;contributors&gt;&lt;authors&gt;&lt;author&gt;Jost, J. T.&lt;/author&gt;&lt;/authors&gt;&lt;/contributors&gt;&lt;auth-address&gt;Department of Psychology, New York University, New York, NY 10003, USA. john.jost@nyu.edu&lt;/auth-address&gt;&lt;titles&gt;&lt;title&gt;The end of the end of ideology&lt;/title&gt;&lt;secondary-title&gt;American Psychologist&lt;/secondary-title&gt;&lt;/titles&gt;&lt;periodical&gt;&lt;full-title&gt;American Psychologist&lt;/full-title&gt;&lt;/periodical&gt;&lt;pages&gt;651-70&lt;/pages&gt;&lt;volume&gt;61&lt;/volume&gt;&lt;number&gt;7&lt;/number&gt;&lt;keywords&gt;&lt;keyword&gt;Humans&lt;/keyword&gt;&lt;keyword&gt;*Politics&lt;/keyword&gt;&lt;keyword&gt;*Psychology&lt;/keyword&gt;&lt;keyword&gt;*Public Opinion&lt;/keyword&gt;&lt;keyword&gt;United States&lt;/keyword&gt;&lt;/keywords&gt;&lt;dates&gt;&lt;year&gt;2006&lt;/year&gt;&lt;pub-dates&gt;&lt;date&gt;Oct&lt;/date&gt;&lt;/pub-dates&gt;&lt;/dates&gt;&lt;isbn&gt;0003-066X (Print)&amp;#xD;0003-066X (Linking)&lt;/isbn&gt;&lt;accession-num&gt;17032067&lt;/accession-num&gt;&lt;urls&gt;&lt;related-urls&gt;&lt;url&gt;https://www.ncbi.nlm.nih.gov/pubmed/17032067&lt;/url&gt;&lt;/related-urls&gt;&lt;/urls&gt;&lt;electronic-resource-num&gt;10.1037/0003-066X.61.7.651&lt;/electronic-resource-num&gt;&lt;/record&gt;&lt;/Cite&gt;&lt;/EndNote&gt;</w:instrText>
      </w:r>
      <w:r w:rsidR="008A032B" w:rsidRPr="001B3BA5">
        <w:rPr>
          <w:rFonts w:asciiTheme="majorBidi" w:hAnsiTheme="majorBidi" w:cstheme="majorBidi"/>
          <w:sz w:val="24"/>
          <w:szCs w:val="24"/>
          <w:lang w:val="en-GB"/>
        </w:rPr>
        <w:fldChar w:fldCharType="separate"/>
      </w:r>
      <w:r w:rsidR="008A032B" w:rsidRPr="001B3BA5">
        <w:rPr>
          <w:rFonts w:asciiTheme="majorBidi" w:hAnsiTheme="majorBidi" w:cstheme="majorBidi"/>
          <w:noProof/>
          <w:sz w:val="24"/>
          <w:szCs w:val="24"/>
          <w:lang w:val="en-GB"/>
        </w:rPr>
        <w:t>(Jost, 2006)</w:t>
      </w:r>
      <w:r w:rsidR="008A032B" w:rsidRPr="001B3BA5">
        <w:rPr>
          <w:rFonts w:asciiTheme="majorBidi" w:hAnsiTheme="majorBidi" w:cstheme="majorBidi"/>
          <w:sz w:val="24"/>
          <w:szCs w:val="24"/>
          <w:lang w:val="en-GB"/>
        </w:rPr>
        <w:fldChar w:fldCharType="end"/>
      </w:r>
      <w:r w:rsidR="008A032B" w:rsidRPr="001B3BA5">
        <w:rPr>
          <w:rFonts w:asciiTheme="majorBidi" w:hAnsiTheme="majorBidi" w:cstheme="majorBidi"/>
          <w:sz w:val="24"/>
          <w:szCs w:val="24"/>
          <w:lang w:val="en-GB"/>
        </w:rPr>
        <w:t>.</w:t>
      </w:r>
    </w:p>
    <w:p w14:paraId="1D2A3FFE" w14:textId="0B0EF646" w:rsidR="006D07C4" w:rsidRPr="001B3BA5" w:rsidRDefault="00C87F1C">
      <w:pPr>
        <w:spacing w:after="0" w:line="480" w:lineRule="exact"/>
        <w:ind w:firstLine="708"/>
        <w:rPr>
          <w:rFonts w:asciiTheme="majorBidi" w:hAnsiTheme="majorBidi" w:cstheme="majorBidi"/>
          <w:sz w:val="24"/>
          <w:szCs w:val="24"/>
          <w:lang w:val="en-GB"/>
        </w:rPr>
      </w:pPr>
      <w:r w:rsidRPr="001B3BA5">
        <w:rPr>
          <w:rFonts w:asciiTheme="majorBidi" w:hAnsiTheme="majorBidi" w:cstheme="majorBidi"/>
          <w:sz w:val="24"/>
          <w:szCs w:val="24"/>
          <w:lang w:val="en-GB"/>
        </w:rPr>
        <w:t>Notably,</w:t>
      </w:r>
      <w:r w:rsidR="0019653E" w:rsidRPr="001B3BA5">
        <w:rPr>
          <w:rFonts w:asciiTheme="majorBidi" w:hAnsiTheme="majorBidi" w:cstheme="majorBidi"/>
          <w:sz w:val="24"/>
          <w:szCs w:val="24"/>
          <w:lang w:val="en-GB"/>
        </w:rPr>
        <w:t xml:space="preserve"> the importance of CPO in explaining exclusionary attitudes </w:t>
      </w:r>
      <w:r w:rsidR="006D07C4" w:rsidRPr="001B3BA5">
        <w:rPr>
          <w:rFonts w:asciiTheme="majorBidi" w:hAnsiTheme="majorBidi" w:cstheme="majorBidi"/>
          <w:sz w:val="24"/>
          <w:szCs w:val="24"/>
          <w:lang w:val="en-GB"/>
        </w:rPr>
        <w:t>wa</w:t>
      </w:r>
      <w:r w:rsidR="0019653E" w:rsidRPr="001B3BA5">
        <w:rPr>
          <w:rFonts w:asciiTheme="majorBidi" w:hAnsiTheme="majorBidi" w:cstheme="majorBidi"/>
          <w:sz w:val="24"/>
          <w:szCs w:val="24"/>
          <w:lang w:val="en-GB"/>
        </w:rPr>
        <w:t xml:space="preserve">s robust across </w:t>
      </w:r>
      <w:r w:rsidRPr="001B3BA5">
        <w:rPr>
          <w:rFonts w:asciiTheme="majorBidi" w:hAnsiTheme="majorBidi" w:cstheme="majorBidi"/>
          <w:sz w:val="24"/>
          <w:szCs w:val="24"/>
          <w:lang w:val="en-GB"/>
        </w:rPr>
        <w:t xml:space="preserve">cultural </w:t>
      </w:r>
      <w:r w:rsidR="00CC06A2" w:rsidRPr="001B3BA5">
        <w:rPr>
          <w:rFonts w:asciiTheme="majorBidi" w:hAnsiTheme="majorBidi" w:cstheme="majorBidi"/>
          <w:sz w:val="24"/>
          <w:szCs w:val="24"/>
          <w:lang w:val="en-GB"/>
        </w:rPr>
        <w:t>contexts</w:t>
      </w:r>
      <w:r w:rsidR="0019653E" w:rsidRPr="001B3BA5">
        <w:rPr>
          <w:rFonts w:asciiTheme="majorBidi" w:hAnsiTheme="majorBidi" w:cstheme="majorBidi"/>
          <w:sz w:val="24"/>
          <w:szCs w:val="24"/>
          <w:lang w:val="en-GB"/>
        </w:rPr>
        <w:t>.</w:t>
      </w:r>
      <w:r w:rsidR="00CC06A2" w:rsidRPr="001B3BA5">
        <w:rPr>
          <w:rFonts w:asciiTheme="majorBidi" w:hAnsiTheme="majorBidi" w:cstheme="majorBidi"/>
          <w:sz w:val="24"/>
          <w:szCs w:val="24"/>
          <w:lang w:val="en-GB"/>
        </w:rPr>
        <w:t xml:space="preserve"> Our research design did not allow </w:t>
      </w:r>
      <w:r w:rsidRPr="001B3BA5">
        <w:rPr>
          <w:rFonts w:asciiTheme="majorBidi" w:hAnsiTheme="majorBidi" w:cstheme="majorBidi"/>
          <w:sz w:val="24"/>
          <w:szCs w:val="24"/>
          <w:lang w:val="en-GB"/>
        </w:rPr>
        <w:t xml:space="preserve">for </w:t>
      </w:r>
      <w:r w:rsidR="0097772C" w:rsidRPr="001B3BA5">
        <w:rPr>
          <w:rFonts w:asciiTheme="majorBidi" w:hAnsiTheme="majorBidi" w:cstheme="majorBidi"/>
          <w:sz w:val="24"/>
          <w:szCs w:val="24"/>
          <w:lang w:val="en-GB"/>
        </w:rPr>
        <w:t>test</w:t>
      </w:r>
      <w:r w:rsidRPr="001B3BA5">
        <w:rPr>
          <w:rFonts w:asciiTheme="majorBidi" w:hAnsiTheme="majorBidi" w:cstheme="majorBidi"/>
          <w:sz w:val="24"/>
          <w:szCs w:val="24"/>
          <w:lang w:val="en-GB"/>
        </w:rPr>
        <w:t>ing</w:t>
      </w:r>
      <w:r w:rsidR="0097772C" w:rsidRPr="001B3BA5">
        <w:rPr>
          <w:rFonts w:asciiTheme="majorBidi" w:hAnsiTheme="majorBidi" w:cstheme="majorBidi"/>
          <w:sz w:val="24"/>
          <w:szCs w:val="24"/>
          <w:lang w:val="en-GB"/>
        </w:rPr>
        <w:t xml:space="preserve"> </w:t>
      </w:r>
      <w:r w:rsidR="009366F7" w:rsidRPr="001B3BA5">
        <w:rPr>
          <w:rFonts w:asciiTheme="majorBidi" w:hAnsiTheme="majorBidi" w:cstheme="majorBidi"/>
          <w:sz w:val="24"/>
          <w:szCs w:val="24"/>
          <w:lang w:val="en-GB"/>
        </w:rPr>
        <w:t xml:space="preserve">directly </w:t>
      </w:r>
      <w:r w:rsidR="0097772C" w:rsidRPr="001B3BA5">
        <w:rPr>
          <w:rFonts w:asciiTheme="majorBidi" w:hAnsiTheme="majorBidi" w:cstheme="majorBidi"/>
          <w:sz w:val="24"/>
          <w:szCs w:val="24"/>
          <w:lang w:val="en-GB"/>
        </w:rPr>
        <w:t>country differences</w:t>
      </w:r>
      <w:r w:rsidR="004D09B2" w:rsidRPr="001B3BA5">
        <w:rPr>
          <w:rFonts w:asciiTheme="majorBidi" w:hAnsiTheme="majorBidi" w:cstheme="majorBidi"/>
          <w:sz w:val="24"/>
          <w:szCs w:val="24"/>
          <w:lang w:val="en-GB"/>
        </w:rPr>
        <w:t xml:space="preserve">, </w:t>
      </w:r>
      <w:r w:rsidR="00CC06A2" w:rsidRPr="001B3BA5">
        <w:rPr>
          <w:rFonts w:asciiTheme="majorBidi" w:hAnsiTheme="majorBidi" w:cstheme="majorBidi"/>
          <w:sz w:val="24"/>
          <w:szCs w:val="24"/>
          <w:lang w:val="en-GB"/>
        </w:rPr>
        <w:t xml:space="preserve">but British </w:t>
      </w:r>
      <w:r w:rsidR="009366F7" w:rsidRPr="001B3BA5">
        <w:rPr>
          <w:rFonts w:asciiTheme="majorBidi" w:hAnsiTheme="majorBidi" w:cstheme="majorBidi"/>
          <w:sz w:val="24"/>
          <w:szCs w:val="24"/>
          <w:lang w:val="en-GB"/>
        </w:rPr>
        <w:t xml:space="preserve">participants appeared to </w:t>
      </w:r>
      <w:r w:rsidR="004D09B2" w:rsidRPr="001B3BA5">
        <w:rPr>
          <w:rFonts w:asciiTheme="majorBidi" w:hAnsiTheme="majorBidi" w:cstheme="majorBidi"/>
          <w:sz w:val="24"/>
          <w:szCs w:val="24"/>
          <w:lang w:val="en-GB"/>
        </w:rPr>
        <w:t xml:space="preserve">adhere more to CPO and especially the exclusive determination right than Dutch </w:t>
      </w:r>
      <w:r w:rsidR="009366F7" w:rsidRPr="001B3BA5">
        <w:rPr>
          <w:rFonts w:asciiTheme="majorBidi" w:hAnsiTheme="majorBidi" w:cstheme="majorBidi"/>
          <w:sz w:val="24"/>
          <w:szCs w:val="24"/>
          <w:lang w:val="en-GB"/>
        </w:rPr>
        <w:t>participants</w:t>
      </w:r>
      <w:r w:rsidR="004D09B2" w:rsidRPr="001B3BA5">
        <w:rPr>
          <w:rFonts w:asciiTheme="majorBidi" w:hAnsiTheme="majorBidi" w:cstheme="majorBidi"/>
          <w:sz w:val="24"/>
          <w:szCs w:val="24"/>
          <w:lang w:val="en-GB"/>
        </w:rPr>
        <w:t xml:space="preserve">. </w:t>
      </w:r>
      <w:r w:rsidRPr="001B3BA5">
        <w:rPr>
          <w:rFonts w:asciiTheme="majorBidi" w:hAnsiTheme="majorBidi" w:cstheme="majorBidi"/>
          <w:sz w:val="24"/>
          <w:szCs w:val="24"/>
          <w:lang w:val="en-GB"/>
        </w:rPr>
        <w:t>This may be</w:t>
      </w:r>
      <w:r w:rsidR="00505CCF" w:rsidRPr="001B3BA5">
        <w:rPr>
          <w:rFonts w:asciiTheme="majorBidi" w:hAnsiTheme="majorBidi" w:cstheme="majorBidi"/>
          <w:sz w:val="24"/>
          <w:szCs w:val="24"/>
          <w:lang w:val="en-GB"/>
        </w:rPr>
        <w:t xml:space="preserve"> due to </w:t>
      </w:r>
      <w:r w:rsidR="009366F7" w:rsidRPr="001B3BA5">
        <w:rPr>
          <w:rFonts w:asciiTheme="majorBidi" w:hAnsiTheme="majorBidi" w:cstheme="majorBidi"/>
          <w:sz w:val="24"/>
          <w:szCs w:val="24"/>
          <w:lang w:val="en-GB"/>
        </w:rPr>
        <w:t>cultural and historical reasons</w:t>
      </w:r>
      <w:r w:rsidR="00505CCF" w:rsidRPr="001B3BA5">
        <w:rPr>
          <w:rFonts w:asciiTheme="majorBidi" w:hAnsiTheme="majorBidi" w:cstheme="majorBidi"/>
          <w:sz w:val="24"/>
          <w:szCs w:val="24"/>
          <w:lang w:val="en-GB"/>
        </w:rPr>
        <w:t>,</w:t>
      </w:r>
      <w:r w:rsidR="006F6B0A" w:rsidRPr="001B3BA5">
        <w:rPr>
          <w:rFonts w:asciiTheme="majorBidi" w:hAnsiTheme="majorBidi" w:cstheme="majorBidi"/>
          <w:sz w:val="24"/>
          <w:szCs w:val="24"/>
          <w:lang w:val="en-GB"/>
        </w:rPr>
        <w:t xml:space="preserve"> but </w:t>
      </w:r>
      <w:r w:rsidRPr="001B3BA5">
        <w:rPr>
          <w:rFonts w:asciiTheme="majorBidi" w:hAnsiTheme="majorBidi" w:cstheme="majorBidi"/>
          <w:sz w:val="24"/>
          <w:szCs w:val="24"/>
          <w:lang w:val="en-GB"/>
        </w:rPr>
        <w:t>it may also be</w:t>
      </w:r>
      <w:r w:rsidR="009366F7" w:rsidRPr="001B3BA5">
        <w:rPr>
          <w:rFonts w:asciiTheme="majorBidi" w:hAnsiTheme="majorBidi" w:cstheme="majorBidi"/>
          <w:sz w:val="24"/>
          <w:szCs w:val="24"/>
          <w:lang w:val="en-GB"/>
        </w:rPr>
        <w:t xml:space="preserve"> due to </w:t>
      </w:r>
      <w:r w:rsidR="002F4FA0" w:rsidRPr="001B3BA5">
        <w:rPr>
          <w:rFonts w:asciiTheme="majorBidi" w:hAnsiTheme="majorBidi" w:cstheme="majorBidi"/>
          <w:sz w:val="24"/>
          <w:szCs w:val="24"/>
          <w:lang w:val="en-GB"/>
        </w:rPr>
        <w:t>the ownership-fuel</w:t>
      </w:r>
      <w:r w:rsidR="00446C5C">
        <w:rPr>
          <w:rFonts w:asciiTheme="majorBidi" w:hAnsiTheme="majorBidi" w:cstheme="majorBidi"/>
          <w:sz w:val="24"/>
          <w:szCs w:val="24"/>
          <w:lang w:val="en-GB"/>
        </w:rPr>
        <w:t>l</w:t>
      </w:r>
      <w:r w:rsidR="002F4FA0" w:rsidRPr="001B3BA5">
        <w:rPr>
          <w:rFonts w:asciiTheme="majorBidi" w:hAnsiTheme="majorBidi" w:cstheme="majorBidi"/>
          <w:sz w:val="24"/>
          <w:szCs w:val="24"/>
          <w:lang w:val="en-GB"/>
        </w:rPr>
        <w:t xml:space="preserve">ed ‘Leave’ campaign in </w:t>
      </w:r>
      <w:r w:rsidR="009366F7" w:rsidRPr="001B3BA5">
        <w:rPr>
          <w:rFonts w:asciiTheme="majorBidi" w:hAnsiTheme="majorBidi" w:cstheme="majorBidi"/>
          <w:sz w:val="24"/>
          <w:szCs w:val="24"/>
          <w:lang w:val="en-GB"/>
        </w:rPr>
        <w:t xml:space="preserve">the </w:t>
      </w:r>
      <w:r w:rsidR="002F4FA0" w:rsidRPr="001B3BA5">
        <w:rPr>
          <w:rFonts w:asciiTheme="majorBidi" w:hAnsiTheme="majorBidi" w:cstheme="majorBidi"/>
          <w:sz w:val="24"/>
          <w:szCs w:val="24"/>
          <w:lang w:val="en-GB"/>
        </w:rPr>
        <w:t>British media</w:t>
      </w:r>
      <w:r w:rsidR="006F6B0A" w:rsidRPr="001B3BA5">
        <w:rPr>
          <w:rFonts w:asciiTheme="majorBidi" w:hAnsiTheme="majorBidi" w:cstheme="majorBidi"/>
          <w:sz w:val="24"/>
          <w:szCs w:val="24"/>
          <w:lang w:val="en-GB"/>
        </w:rPr>
        <w:t xml:space="preserve"> or</w:t>
      </w:r>
      <w:r w:rsidR="002F4FA0" w:rsidRPr="001B3BA5">
        <w:rPr>
          <w:rFonts w:asciiTheme="majorBidi" w:hAnsiTheme="majorBidi" w:cstheme="majorBidi"/>
          <w:sz w:val="24"/>
          <w:szCs w:val="24"/>
          <w:lang w:val="en-GB"/>
        </w:rPr>
        <w:t xml:space="preserve"> </w:t>
      </w:r>
      <w:r w:rsidR="006F6B0A" w:rsidRPr="001B3BA5">
        <w:rPr>
          <w:rFonts w:asciiTheme="majorBidi" w:hAnsiTheme="majorBidi" w:cstheme="majorBidi"/>
          <w:sz w:val="24"/>
          <w:szCs w:val="24"/>
          <w:lang w:val="en-GB"/>
        </w:rPr>
        <w:t xml:space="preserve">the overrepresentation of higher educated Dutch </w:t>
      </w:r>
      <w:r w:rsidR="009366F7" w:rsidRPr="001B3BA5">
        <w:rPr>
          <w:rFonts w:asciiTheme="majorBidi" w:hAnsiTheme="majorBidi" w:cstheme="majorBidi"/>
          <w:sz w:val="24"/>
          <w:szCs w:val="24"/>
          <w:lang w:val="en-GB"/>
        </w:rPr>
        <w:t>participants</w:t>
      </w:r>
      <w:r w:rsidR="006F6B0A" w:rsidRPr="001B3BA5">
        <w:rPr>
          <w:rFonts w:asciiTheme="majorBidi" w:hAnsiTheme="majorBidi" w:cstheme="majorBidi"/>
          <w:sz w:val="24"/>
          <w:szCs w:val="24"/>
          <w:lang w:val="en-GB"/>
        </w:rPr>
        <w:t>.</w:t>
      </w:r>
      <w:r w:rsidR="003F18F7" w:rsidRPr="001B3BA5">
        <w:rPr>
          <w:rFonts w:asciiTheme="majorBidi" w:hAnsiTheme="majorBidi" w:cstheme="majorBidi"/>
          <w:sz w:val="24"/>
          <w:szCs w:val="24"/>
          <w:lang w:val="en-GB"/>
        </w:rPr>
        <w:t xml:space="preserve"> A </w:t>
      </w:r>
      <w:r w:rsidR="00505CCF" w:rsidRPr="001B3BA5">
        <w:rPr>
          <w:rFonts w:asciiTheme="majorBidi" w:hAnsiTheme="majorBidi" w:cstheme="majorBidi"/>
          <w:sz w:val="24"/>
          <w:szCs w:val="24"/>
          <w:lang w:val="en-GB"/>
        </w:rPr>
        <w:t>study comparing</w:t>
      </w:r>
      <w:r w:rsidR="003F18F7" w:rsidRPr="001B3BA5">
        <w:rPr>
          <w:rFonts w:asciiTheme="majorBidi" w:hAnsiTheme="majorBidi" w:cstheme="majorBidi"/>
          <w:sz w:val="24"/>
          <w:szCs w:val="24"/>
          <w:lang w:val="en-GB"/>
        </w:rPr>
        <w:t xml:space="preserve"> representative samples </w:t>
      </w:r>
      <w:r w:rsidR="00505CCF" w:rsidRPr="001B3BA5">
        <w:rPr>
          <w:rFonts w:asciiTheme="majorBidi" w:hAnsiTheme="majorBidi" w:cstheme="majorBidi"/>
          <w:sz w:val="24"/>
          <w:szCs w:val="24"/>
          <w:lang w:val="en-GB"/>
        </w:rPr>
        <w:t>from</w:t>
      </w:r>
      <w:r w:rsidR="003F18F7" w:rsidRPr="001B3BA5">
        <w:rPr>
          <w:rFonts w:asciiTheme="majorBidi" w:hAnsiTheme="majorBidi" w:cstheme="majorBidi"/>
          <w:sz w:val="24"/>
          <w:szCs w:val="24"/>
          <w:lang w:val="en-GB"/>
        </w:rPr>
        <w:t xml:space="preserve"> several countries</w:t>
      </w:r>
      <w:r w:rsidR="00505CCF" w:rsidRPr="001B3BA5">
        <w:rPr>
          <w:rFonts w:asciiTheme="majorBidi" w:hAnsiTheme="majorBidi" w:cstheme="majorBidi"/>
          <w:sz w:val="24"/>
          <w:szCs w:val="24"/>
          <w:lang w:val="en-GB"/>
        </w:rPr>
        <w:t xml:space="preserve">, </w:t>
      </w:r>
      <w:bookmarkStart w:id="44" w:name="_Hlk36130224"/>
      <w:r w:rsidR="00505CCF" w:rsidRPr="001B3BA5">
        <w:rPr>
          <w:rFonts w:asciiTheme="majorBidi" w:hAnsiTheme="majorBidi" w:cstheme="majorBidi"/>
          <w:sz w:val="24"/>
          <w:szCs w:val="24"/>
          <w:lang w:val="en-GB"/>
        </w:rPr>
        <w:t>and using a longitudinal design,</w:t>
      </w:r>
      <w:r w:rsidR="003F18F7" w:rsidRPr="001B3BA5">
        <w:rPr>
          <w:rFonts w:asciiTheme="majorBidi" w:hAnsiTheme="majorBidi" w:cstheme="majorBidi"/>
          <w:sz w:val="24"/>
          <w:szCs w:val="24"/>
          <w:lang w:val="en-GB"/>
        </w:rPr>
        <w:t xml:space="preserve"> could </w:t>
      </w:r>
      <w:r w:rsidR="009366F7" w:rsidRPr="001B3BA5">
        <w:rPr>
          <w:rFonts w:asciiTheme="majorBidi" w:hAnsiTheme="majorBidi" w:cstheme="majorBidi"/>
          <w:sz w:val="24"/>
          <w:szCs w:val="24"/>
          <w:lang w:val="en-GB"/>
        </w:rPr>
        <w:t xml:space="preserve">provide </w:t>
      </w:r>
      <w:r w:rsidR="003F18F7" w:rsidRPr="001B3BA5">
        <w:rPr>
          <w:rFonts w:asciiTheme="majorBidi" w:hAnsiTheme="majorBidi" w:cstheme="majorBidi"/>
          <w:sz w:val="24"/>
          <w:szCs w:val="24"/>
          <w:lang w:val="en-GB"/>
        </w:rPr>
        <w:t>more insight into country differences</w:t>
      </w:r>
      <w:r w:rsidR="00505CCF" w:rsidRPr="001B3BA5">
        <w:rPr>
          <w:rFonts w:asciiTheme="majorBidi" w:hAnsiTheme="majorBidi" w:cstheme="majorBidi"/>
          <w:sz w:val="24"/>
          <w:szCs w:val="24"/>
          <w:lang w:val="en-GB"/>
        </w:rPr>
        <w:t xml:space="preserve"> as well as</w:t>
      </w:r>
      <w:r w:rsidR="00555E25" w:rsidRPr="001B3BA5">
        <w:rPr>
          <w:rFonts w:asciiTheme="majorBidi" w:hAnsiTheme="majorBidi" w:cstheme="majorBidi"/>
          <w:sz w:val="24"/>
          <w:szCs w:val="24"/>
          <w:lang w:val="en-GB"/>
        </w:rPr>
        <w:t xml:space="preserve"> temporal</w:t>
      </w:r>
      <w:r w:rsidR="009366F7" w:rsidRPr="001B3BA5">
        <w:rPr>
          <w:rFonts w:asciiTheme="majorBidi" w:hAnsiTheme="majorBidi" w:cstheme="majorBidi"/>
          <w:sz w:val="24"/>
          <w:szCs w:val="24"/>
          <w:lang w:val="en-GB"/>
        </w:rPr>
        <w:t xml:space="preserve"> fluctuations </w:t>
      </w:r>
      <w:r w:rsidR="00555E25" w:rsidRPr="001B3BA5">
        <w:rPr>
          <w:rFonts w:asciiTheme="majorBidi" w:hAnsiTheme="majorBidi" w:cstheme="majorBidi"/>
          <w:sz w:val="24"/>
          <w:szCs w:val="24"/>
          <w:lang w:val="en-GB"/>
        </w:rPr>
        <w:t>of</w:t>
      </w:r>
      <w:r w:rsidR="009366F7" w:rsidRPr="001B3BA5">
        <w:rPr>
          <w:rFonts w:asciiTheme="majorBidi" w:hAnsiTheme="majorBidi" w:cstheme="majorBidi"/>
          <w:sz w:val="24"/>
          <w:szCs w:val="24"/>
          <w:lang w:val="en-GB"/>
        </w:rPr>
        <w:t xml:space="preserve"> CP</w:t>
      </w:r>
      <w:r w:rsidR="00AA030D">
        <w:rPr>
          <w:rFonts w:asciiTheme="majorBidi" w:hAnsiTheme="majorBidi" w:cstheme="majorBidi"/>
          <w:sz w:val="24"/>
          <w:szCs w:val="24"/>
          <w:lang w:val="en-GB"/>
        </w:rPr>
        <w:t>O</w:t>
      </w:r>
      <w:r w:rsidR="00837CDD" w:rsidRPr="001B3BA5">
        <w:rPr>
          <w:rFonts w:asciiTheme="majorBidi" w:hAnsiTheme="majorBidi" w:cstheme="majorBidi"/>
          <w:sz w:val="24"/>
          <w:szCs w:val="24"/>
          <w:lang w:val="en-GB"/>
        </w:rPr>
        <w:t>.</w:t>
      </w:r>
    </w:p>
    <w:bookmarkEnd w:id="44"/>
    <w:p w14:paraId="525EFC77" w14:textId="7E044791" w:rsidR="009366F7" w:rsidRPr="001B3BA5" w:rsidRDefault="008643F0">
      <w:pPr>
        <w:spacing w:after="0" w:line="480" w:lineRule="exact"/>
        <w:ind w:firstLine="708"/>
        <w:rPr>
          <w:rFonts w:ascii="Times New Roman" w:hAnsi="Times New Roman" w:cs="Times New Roman"/>
          <w:sz w:val="24"/>
          <w:szCs w:val="24"/>
          <w:lang w:val="en-GB"/>
        </w:rPr>
      </w:pPr>
      <w:r w:rsidRPr="001B3BA5">
        <w:rPr>
          <w:rFonts w:ascii="Times New Roman" w:hAnsi="Times New Roman" w:cs="Times New Roman"/>
          <w:sz w:val="24"/>
          <w:szCs w:val="24"/>
          <w:lang w:val="en-GB"/>
        </w:rPr>
        <w:t>A</w:t>
      </w:r>
      <w:r w:rsidR="00393F04" w:rsidRPr="001B3BA5">
        <w:rPr>
          <w:rFonts w:ascii="Times New Roman" w:hAnsi="Times New Roman" w:cs="Times New Roman"/>
          <w:sz w:val="24"/>
          <w:szCs w:val="24"/>
          <w:lang w:val="en-GB"/>
        </w:rPr>
        <w:t xml:space="preserve">dherence to sovereignty was a strong predictor of </w:t>
      </w:r>
      <w:r w:rsidR="00F17C87" w:rsidRPr="001B3BA5">
        <w:rPr>
          <w:rFonts w:asciiTheme="majorBidi" w:hAnsiTheme="majorBidi" w:cstheme="majorBidi"/>
          <w:sz w:val="24"/>
          <w:szCs w:val="24"/>
          <w:lang w:val="en-GB"/>
        </w:rPr>
        <w:t>European integration attitudes</w:t>
      </w:r>
      <w:r w:rsidR="00DD48B0" w:rsidRPr="001B3BA5">
        <w:rPr>
          <w:rFonts w:ascii="Times New Roman" w:hAnsi="Times New Roman" w:cs="Times New Roman"/>
          <w:sz w:val="24"/>
          <w:szCs w:val="24"/>
          <w:lang w:val="en-GB"/>
        </w:rPr>
        <w:t xml:space="preserve"> and </w:t>
      </w:r>
      <w:r w:rsidR="00393F04" w:rsidRPr="001B3BA5">
        <w:rPr>
          <w:rFonts w:ascii="Times New Roman" w:hAnsi="Times New Roman" w:cs="Times New Roman"/>
          <w:sz w:val="24"/>
          <w:szCs w:val="24"/>
          <w:lang w:val="en-GB"/>
        </w:rPr>
        <w:t>the Brexit vote</w:t>
      </w:r>
      <w:r w:rsidR="006D07C4" w:rsidRPr="001B3BA5">
        <w:rPr>
          <w:rFonts w:ascii="Times New Roman" w:hAnsi="Times New Roman" w:cs="Times New Roman"/>
          <w:sz w:val="24"/>
          <w:szCs w:val="24"/>
          <w:lang w:val="en-GB"/>
        </w:rPr>
        <w:t xml:space="preserve">. A reason is that </w:t>
      </w:r>
      <w:r w:rsidR="00393F04" w:rsidRPr="001B3BA5">
        <w:rPr>
          <w:rFonts w:ascii="Times New Roman" w:hAnsi="Times New Roman" w:cs="Times New Roman"/>
          <w:sz w:val="24"/>
          <w:szCs w:val="24"/>
          <w:lang w:val="en-GB"/>
        </w:rPr>
        <w:t xml:space="preserve">the </w:t>
      </w:r>
      <w:r w:rsidR="006D07C4" w:rsidRPr="001B3BA5">
        <w:rPr>
          <w:rFonts w:ascii="Times New Roman" w:hAnsi="Times New Roman" w:cs="Times New Roman"/>
          <w:sz w:val="24"/>
          <w:szCs w:val="24"/>
          <w:lang w:val="en-GB"/>
        </w:rPr>
        <w:t>sovereignty</w:t>
      </w:r>
      <w:r w:rsidR="00EC136C" w:rsidRPr="001B3BA5">
        <w:rPr>
          <w:rFonts w:ascii="Times New Roman" w:hAnsi="Times New Roman" w:cs="Times New Roman"/>
          <w:sz w:val="24"/>
          <w:szCs w:val="24"/>
          <w:lang w:val="en-GB"/>
        </w:rPr>
        <w:t xml:space="preserve"> </w:t>
      </w:r>
      <w:r w:rsidR="00393F04" w:rsidRPr="001B3BA5">
        <w:rPr>
          <w:rFonts w:ascii="Times New Roman" w:hAnsi="Times New Roman" w:cs="Times New Roman"/>
          <w:sz w:val="24"/>
          <w:szCs w:val="24"/>
          <w:lang w:val="en-GB"/>
        </w:rPr>
        <w:t xml:space="preserve">items triggered attitudes towards the EU and Brexit. The items explicitly mentioned </w:t>
      </w:r>
      <w:r w:rsidR="00B146E8" w:rsidRPr="001B3BA5">
        <w:rPr>
          <w:rFonts w:ascii="Times New Roman" w:hAnsi="Times New Roman" w:cs="Times New Roman"/>
          <w:sz w:val="24"/>
          <w:szCs w:val="24"/>
          <w:lang w:val="en-GB"/>
        </w:rPr>
        <w:t>‘</w:t>
      </w:r>
      <w:r w:rsidR="00393F04" w:rsidRPr="001B3BA5">
        <w:rPr>
          <w:rFonts w:ascii="Times New Roman" w:hAnsi="Times New Roman" w:cs="Times New Roman"/>
          <w:sz w:val="24"/>
          <w:szCs w:val="24"/>
          <w:lang w:val="en-GB"/>
        </w:rPr>
        <w:t>international organizations</w:t>
      </w:r>
      <w:r w:rsidR="00B146E8" w:rsidRPr="001B3BA5">
        <w:rPr>
          <w:rFonts w:ascii="Times New Roman" w:hAnsi="Times New Roman" w:cs="Times New Roman"/>
          <w:sz w:val="24"/>
          <w:szCs w:val="24"/>
          <w:lang w:val="en-GB"/>
        </w:rPr>
        <w:t>’</w:t>
      </w:r>
      <w:r w:rsidR="00393F04" w:rsidRPr="001B3BA5">
        <w:rPr>
          <w:rFonts w:ascii="Times New Roman" w:hAnsi="Times New Roman" w:cs="Times New Roman"/>
          <w:sz w:val="24"/>
          <w:szCs w:val="24"/>
          <w:lang w:val="en-GB"/>
        </w:rPr>
        <w:t xml:space="preserve"> and </w:t>
      </w:r>
      <w:r w:rsidR="00B146E8" w:rsidRPr="001B3BA5">
        <w:rPr>
          <w:rFonts w:ascii="Times New Roman" w:hAnsi="Times New Roman" w:cs="Times New Roman"/>
          <w:sz w:val="24"/>
          <w:szCs w:val="24"/>
          <w:lang w:val="en-GB"/>
        </w:rPr>
        <w:t>‘</w:t>
      </w:r>
      <w:r w:rsidR="00393F04" w:rsidRPr="001B3BA5">
        <w:rPr>
          <w:rFonts w:ascii="Times New Roman" w:hAnsi="Times New Roman" w:cs="Times New Roman"/>
          <w:sz w:val="24"/>
          <w:szCs w:val="24"/>
          <w:lang w:val="en-GB"/>
        </w:rPr>
        <w:t xml:space="preserve">international rules or </w:t>
      </w:r>
      <w:r w:rsidR="00F50F78" w:rsidRPr="001B3BA5">
        <w:rPr>
          <w:rFonts w:ascii="Times New Roman" w:hAnsi="Times New Roman" w:cs="Times New Roman"/>
          <w:sz w:val="24"/>
          <w:szCs w:val="24"/>
          <w:lang w:val="en-GB"/>
        </w:rPr>
        <w:t>regulations’ and</w:t>
      </w:r>
      <w:r w:rsidR="00EC136C" w:rsidRPr="001B3BA5">
        <w:rPr>
          <w:rFonts w:ascii="Times New Roman" w:hAnsi="Times New Roman" w:cs="Times New Roman"/>
          <w:sz w:val="24"/>
          <w:szCs w:val="24"/>
          <w:lang w:val="en-GB"/>
        </w:rPr>
        <w:t xml:space="preserve"> </w:t>
      </w:r>
      <w:r w:rsidR="006D07C4" w:rsidRPr="001B3BA5">
        <w:rPr>
          <w:rFonts w:ascii="Times New Roman" w:hAnsi="Times New Roman" w:cs="Times New Roman"/>
          <w:sz w:val="24"/>
          <w:szCs w:val="24"/>
          <w:lang w:val="en-GB"/>
        </w:rPr>
        <w:t xml:space="preserve">were presented </w:t>
      </w:r>
      <w:r w:rsidRPr="001B3BA5">
        <w:rPr>
          <w:rFonts w:ascii="Times New Roman" w:hAnsi="Times New Roman" w:cs="Times New Roman"/>
          <w:sz w:val="24"/>
          <w:szCs w:val="24"/>
          <w:lang w:val="en-GB"/>
        </w:rPr>
        <w:t>after</w:t>
      </w:r>
      <w:r w:rsidR="006D07C4" w:rsidRPr="001B3BA5">
        <w:rPr>
          <w:rFonts w:ascii="Times New Roman" w:hAnsi="Times New Roman" w:cs="Times New Roman"/>
          <w:sz w:val="24"/>
          <w:szCs w:val="24"/>
          <w:lang w:val="en-GB"/>
        </w:rPr>
        <w:t xml:space="preserve"> </w:t>
      </w:r>
      <w:r w:rsidR="00AE26F9" w:rsidRPr="001B3BA5">
        <w:rPr>
          <w:rFonts w:ascii="Times New Roman" w:hAnsi="Times New Roman" w:cs="Times New Roman"/>
          <w:sz w:val="24"/>
          <w:szCs w:val="24"/>
          <w:lang w:val="en-GB"/>
        </w:rPr>
        <w:t xml:space="preserve">the questions </w:t>
      </w:r>
      <w:r w:rsidR="00393F04" w:rsidRPr="001B3BA5">
        <w:rPr>
          <w:rFonts w:ascii="Times New Roman" w:hAnsi="Times New Roman" w:cs="Times New Roman"/>
          <w:sz w:val="24"/>
          <w:szCs w:val="24"/>
          <w:lang w:val="en-GB"/>
        </w:rPr>
        <w:t>about the EU and Brexit</w:t>
      </w:r>
      <w:r w:rsidR="00A665CC" w:rsidRPr="001B3BA5">
        <w:rPr>
          <w:rFonts w:ascii="Times New Roman" w:hAnsi="Times New Roman" w:cs="Times New Roman"/>
          <w:sz w:val="24"/>
          <w:szCs w:val="24"/>
          <w:lang w:val="en-GB"/>
        </w:rPr>
        <w:t xml:space="preserve">, </w:t>
      </w:r>
      <w:r w:rsidRPr="001B3BA5">
        <w:rPr>
          <w:rFonts w:ascii="Times New Roman" w:hAnsi="Times New Roman" w:cs="Times New Roman"/>
          <w:sz w:val="24"/>
          <w:szCs w:val="24"/>
          <w:lang w:val="en-GB"/>
        </w:rPr>
        <w:t>thus being subject to order or framing effects</w:t>
      </w:r>
      <w:r w:rsidR="00393F04" w:rsidRPr="001B3BA5">
        <w:rPr>
          <w:rFonts w:ascii="Times New Roman" w:hAnsi="Times New Roman" w:cs="Times New Roman"/>
          <w:sz w:val="24"/>
          <w:szCs w:val="24"/>
          <w:lang w:val="en-GB"/>
        </w:rPr>
        <w:t xml:space="preserve">. </w:t>
      </w:r>
      <w:bookmarkStart w:id="45" w:name="_Hlk19705005"/>
      <w:r w:rsidR="009366F7" w:rsidRPr="001B3BA5">
        <w:rPr>
          <w:rFonts w:ascii="Times New Roman" w:hAnsi="Times New Roman" w:cs="Times New Roman"/>
          <w:sz w:val="24"/>
          <w:szCs w:val="24"/>
          <w:lang w:val="en-GB"/>
        </w:rPr>
        <w:t>There is a</w:t>
      </w:r>
      <w:r w:rsidR="004F354D" w:rsidRPr="001B3BA5">
        <w:rPr>
          <w:rFonts w:ascii="Times New Roman" w:hAnsi="Times New Roman" w:cs="Times New Roman"/>
          <w:sz w:val="24"/>
          <w:szCs w:val="24"/>
          <w:lang w:val="en-GB"/>
        </w:rPr>
        <w:t>nother reason</w:t>
      </w:r>
      <w:r w:rsidR="009366F7" w:rsidRPr="001B3BA5">
        <w:rPr>
          <w:rFonts w:ascii="Times New Roman" w:hAnsi="Times New Roman" w:cs="Times New Roman"/>
          <w:sz w:val="24"/>
          <w:szCs w:val="24"/>
          <w:lang w:val="en-GB"/>
        </w:rPr>
        <w:t>. T</w:t>
      </w:r>
      <w:r w:rsidR="004A7867" w:rsidRPr="001B3BA5">
        <w:rPr>
          <w:rFonts w:ascii="Times New Roman" w:hAnsi="Times New Roman" w:cs="Times New Roman"/>
          <w:sz w:val="24"/>
          <w:szCs w:val="24"/>
          <w:lang w:val="en-GB"/>
        </w:rPr>
        <w:t>he idea that national governments should decide on what is good for society, which is a</w:t>
      </w:r>
      <w:r w:rsidRPr="001B3BA5">
        <w:rPr>
          <w:rFonts w:ascii="Times New Roman" w:hAnsi="Times New Roman" w:cs="Times New Roman"/>
          <w:sz w:val="24"/>
          <w:szCs w:val="24"/>
          <w:lang w:val="en-GB"/>
        </w:rPr>
        <w:t xml:space="preserve"> crucial</w:t>
      </w:r>
      <w:r w:rsidR="004A7867" w:rsidRPr="001B3BA5">
        <w:rPr>
          <w:rFonts w:ascii="Times New Roman" w:hAnsi="Times New Roman" w:cs="Times New Roman"/>
          <w:sz w:val="24"/>
          <w:szCs w:val="24"/>
          <w:lang w:val="en-GB"/>
        </w:rPr>
        <w:t xml:space="preserve"> feature of sovereignty, was perhaps not sufficiently emphas</w:t>
      </w:r>
      <w:r w:rsidRPr="001B3BA5">
        <w:rPr>
          <w:rFonts w:ascii="Times New Roman" w:hAnsi="Times New Roman" w:cs="Times New Roman"/>
          <w:sz w:val="24"/>
          <w:szCs w:val="24"/>
          <w:lang w:val="en-GB"/>
        </w:rPr>
        <w:t>ise</w:t>
      </w:r>
      <w:r w:rsidR="004A7867" w:rsidRPr="001B3BA5">
        <w:rPr>
          <w:rFonts w:ascii="Times New Roman" w:hAnsi="Times New Roman" w:cs="Times New Roman"/>
          <w:sz w:val="24"/>
          <w:szCs w:val="24"/>
          <w:lang w:val="en-GB"/>
        </w:rPr>
        <w:t xml:space="preserve">d in the sovereignty measures </w:t>
      </w:r>
      <w:r w:rsidR="004A7867" w:rsidRPr="001B3BA5">
        <w:rPr>
          <w:rFonts w:ascii="Times New Roman" w:hAnsi="Times New Roman" w:cs="Times New Roman"/>
          <w:sz w:val="24"/>
          <w:szCs w:val="24"/>
          <w:lang w:val="en-GB"/>
        </w:rPr>
        <w:fldChar w:fldCharType="begin"/>
      </w:r>
      <w:r w:rsidR="0056663E" w:rsidRPr="001B3BA5">
        <w:rPr>
          <w:rFonts w:ascii="Times New Roman" w:hAnsi="Times New Roman" w:cs="Times New Roman"/>
          <w:sz w:val="24"/>
          <w:szCs w:val="24"/>
          <w:lang w:val="en-GB"/>
        </w:rPr>
        <w:instrText xml:space="preserve"> ADDIN EN.CITE &lt;EndNote&gt;&lt;Cite&gt;&lt;Author&gt;Ripstein&lt;/Author&gt;&lt;Year&gt;2017&lt;/Year&gt;&lt;RecNum&gt;1386&lt;/RecNum&gt;&lt;DisplayText&gt;(Ripstein, 2017)&lt;/DisplayText&gt;&lt;record&gt;&lt;rec-number&gt;1386&lt;/rec-number&gt;&lt;foreign-keys&gt;&lt;key app="EN" db-id="es92r5v5dve2z0erx59pv50vtp29v0t9ef5f" timestamp="1551973617"&gt;1386&lt;/key&gt;&lt;/foreign-keys&gt;&lt;ref-type name="Journal Article"&gt;17&lt;/ref-type&gt;&lt;contributors&gt;&lt;authors&gt;&lt;author&gt;Ripstein, Arthur&lt;/author&gt;&lt;/authors&gt;&lt;/contributors&gt;&lt;titles&gt;&lt;title&gt;Property and sovereignty: How to tell the difference&lt;/title&gt;&lt;secondary-title&gt;Theoretical Inquiries in Law&lt;/secondary-title&gt;&lt;/titles&gt;&lt;periodical&gt;&lt;full-title&gt;Theoretical Inquiries in Law&lt;/full-title&gt;&lt;/periodical&gt;&lt;pages&gt;243-268&lt;/pages&gt;&lt;volume&gt;18&lt;/volume&gt;&lt;number&gt;2&lt;/number&gt;&lt;dates&gt;&lt;year&gt;2017&lt;/year&gt;&lt;/dates&gt;&lt;isbn&gt;1565-3404&lt;/isbn&gt;&lt;urls&gt;&lt;/urls&gt;&lt;electronic-resource-num&gt;10.1515/til-2017-0013&lt;/electronic-resource-num&gt;&lt;/record&gt;&lt;/Cite&gt;&lt;/EndNote&gt;</w:instrText>
      </w:r>
      <w:r w:rsidR="004A7867" w:rsidRPr="001B3BA5">
        <w:rPr>
          <w:rFonts w:ascii="Times New Roman" w:hAnsi="Times New Roman" w:cs="Times New Roman"/>
          <w:sz w:val="24"/>
          <w:szCs w:val="24"/>
          <w:lang w:val="en-GB"/>
        </w:rPr>
        <w:fldChar w:fldCharType="separate"/>
      </w:r>
      <w:r w:rsidR="004A7867" w:rsidRPr="001B3BA5">
        <w:rPr>
          <w:rFonts w:ascii="Times New Roman" w:hAnsi="Times New Roman" w:cs="Times New Roman"/>
          <w:noProof/>
          <w:sz w:val="24"/>
          <w:szCs w:val="24"/>
          <w:lang w:val="en-GB"/>
        </w:rPr>
        <w:t>(Ripstein, 2017)</w:t>
      </w:r>
      <w:r w:rsidR="004A7867" w:rsidRPr="001B3BA5">
        <w:rPr>
          <w:rFonts w:ascii="Times New Roman" w:hAnsi="Times New Roman" w:cs="Times New Roman"/>
          <w:sz w:val="24"/>
          <w:szCs w:val="24"/>
          <w:lang w:val="en-GB"/>
        </w:rPr>
        <w:fldChar w:fldCharType="end"/>
      </w:r>
      <w:r w:rsidR="004A7867" w:rsidRPr="001B3BA5">
        <w:rPr>
          <w:rFonts w:ascii="Times New Roman" w:hAnsi="Times New Roman" w:cs="Times New Roman"/>
          <w:sz w:val="24"/>
          <w:szCs w:val="24"/>
          <w:lang w:val="en-GB"/>
        </w:rPr>
        <w:t>.</w:t>
      </w:r>
      <w:r w:rsidR="004A7867" w:rsidRPr="001B3BA5">
        <w:rPr>
          <w:rFonts w:asciiTheme="majorBidi" w:hAnsiTheme="majorBidi" w:cstheme="majorBidi"/>
          <w:sz w:val="24"/>
          <w:szCs w:val="24"/>
          <w:lang w:val="en-GB"/>
        </w:rPr>
        <w:t xml:space="preserve"> </w:t>
      </w:r>
      <w:r w:rsidR="007B5DD8" w:rsidRPr="001B3BA5">
        <w:rPr>
          <w:rFonts w:asciiTheme="majorBidi" w:hAnsiTheme="majorBidi" w:cstheme="majorBidi"/>
          <w:sz w:val="24"/>
          <w:szCs w:val="24"/>
          <w:lang w:val="en-GB"/>
        </w:rPr>
        <w:t>Such an emphasis</w:t>
      </w:r>
      <w:r w:rsidR="00AE26F9" w:rsidRPr="001B3BA5">
        <w:rPr>
          <w:rFonts w:asciiTheme="majorBidi" w:hAnsiTheme="majorBidi" w:cstheme="majorBidi"/>
          <w:sz w:val="24"/>
          <w:szCs w:val="24"/>
          <w:lang w:val="en-GB"/>
        </w:rPr>
        <w:t xml:space="preserve"> might have le</w:t>
      </w:r>
      <w:r w:rsidR="007B5DD8" w:rsidRPr="001B3BA5">
        <w:rPr>
          <w:rFonts w:asciiTheme="majorBidi" w:hAnsiTheme="majorBidi" w:cstheme="majorBidi"/>
          <w:sz w:val="24"/>
          <w:szCs w:val="24"/>
          <w:lang w:val="en-GB"/>
        </w:rPr>
        <w:t>ssened the</w:t>
      </w:r>
      <w:r w:rsidR="00AE26F9" w:rsidRPr="001B3BA5">
        <w:rPr>
          <w:rFonts w:asciiTheme="majorBidi" w:hAnsiTheme="majorBidi" w:cstheme="majorBidi"/>
          <w:sz w:val="24"/>
          <w:szCs w:val="24"/>
          <w:lang w:val="en-GB"/>
        </w:rPr>
        <w:t xml:space="preserve"> overlap between sovereignty and ownership.</w:t>
      </w:r>
    </w:p>
    <w:p w14:paraId="03EC420D" w14:textId="4E9F794A" w:rsidR="00D77BFD" w:rsidRPr="001B3BA5" w:rsidRDefault="00E2198E">
      <w:pPr>
        <w:pStyle w:val="ListParagraph"/>
        <w:spacing w:after="0" w:line="480" w:lineRule="exact"/>
        <w:ind w:left="0" w:firstLine="709"/>
        <w:rPr>
          <w:rFonts w:asciiTheme="majorBidi" w:hAnsiTheme="majorBidi" w:cstheme="majorBidi"/>
          <w:sz w:val="24"/>
          <w:szCs w:val="24"/>
          <w:lang w:val="en-GB"/>
        </w:rPr>
      </w:pPr>
      <w:bookmarkStart w:id="46" w:name="_Hlk21419365"/>
      <w:bookmarkEnd w:id="45"/>
      <w:r w:rsidRPr="001B3BA5">
        <w:rPr>
          <w:rFonts w:ascii="Times New Roman" w:hAnsi="Times New Roman" w:cs="Times New Roman"/>
          <w:sz w:val="24"/>
          <w:szCs w:val="24"/>
          <w:lang w:val="en-GB"/>
        </w:rPr>
        <w:t xml:space="preserve">Our </w:t>
      </w:r>
      <w:r w:rsidR="00080881" w:rsidRPr="001B3BA5">
        <w:rPr>
          <w:rFonts w:ascii="Times New Roman" w:hAnsi="Times New Roman" w:cs="Times New Roman"/>
          <w:sz w:val="24"/>
          <w:szCs w:val="24"/>
          <w:lang w:val="en-GB"/>
        </w:rPr>
        <w:t xml:space="preserve">work </w:t>
      </w:r>
      <w:r w:rsidRPr="001B3BA5">
        <w:rPr>
          <w:rFonts w:ascii="Times New Roman" w:hAnsi="Times New Roman" w:cs="Times New Roman"/>
          <w:sz w:val="24"/>
          <w:szCs w:val="24"/>
          <w:lang w:val="en-GB"/>
        </w:rPr>
        <w:t xml:space="preserve">has </w:t>
      </w:r>
      <w:r w:rsidR="00A86694" w:rsidRPr="001B3BA5">
        <w:rPr>
          <w:rFonts w:ascii="Times New Roman" w:hAnsi="Times New Roman" w:cs="Times New Roman"/>
          <w:sz w:val="24"/>
          <w:szCs w:val="24"/>
          <w:lang w:val="en-GB"/>
        </w:rPr>
        <w:t xml:space="preserve">several </w:t>
      </w:r>
      <w:r w:rsidRPr="001B3BA5">
        <w:rPr>
          <w:rFonts w:ascii="Times New Roman" w:hAnsi="Times New Roman" w:cs="Times New Roman"/>
          <w:sz w:val="24"/>
          <w:szCs w:val="24"/>
          <w:lang w:val="en-GB"/>
        </w:rPr>
        <w:t xml:space="preserve">limitations. </w:t>
      </w:r>
      <w:r w:rsidR="00080881" w:rsidRPr="001B3BA5">
        <w:rPr>
          <w:rFonts w:ascii="Times New Roman" w:hAnsi="Times New Roman" w:cs="Times New Roman"/>
          <w:iCs/>
          <w:sz w:val="24"/>
          <w:szCs w:val="24"/>
          <w:lang w:val="en-GB"/>
        </w:rPr>
        <w:t>First</w:t>
      </w:r>
      <w:r w:rsidR="002778AD" w:rsidRPr="001B3BA5">
        <w:rPr>
          <w:rFonts w:ascii="Times New Roman" w:hAnsi="Times New Roman" w:cs="Times New Roman"/>
          <w:sz w:val="24"/>
          <w:szCs w:val="24"/>
          <w:lang w:val="en-GB"/>
        </w:rPr>
        <w:t xml:space="preserve">, </w:t>
      </w:r>
      <w:r w:rsidR="00080881" w:rsidRPr="001B3BA5">
        <w:rPr>
          <w:rFonts w:ascii="Times New Roman" w:hAnsi="Times New Roman" w:cs="Times New Roman"/>
          <w:sz w:val="24"/>
          <w:szCs w:val="24"/>
          <w:lang w:val="en-GB"/>
        </w:rPr>
        <w:t xml:space="preserve">CPO </w:t>
      </w:r>
      <w:r w:rsidR="002778AD" w:rsidRPr="001B3BA5">
        <w:rPr>
          <w:rFonts w:ascii="Times New Roman" w:hAnsi="Times New Roman" w:cs="Times New Roman"/>
          <w:sz w:val="24"/>
          <w:szCs w:val="24"/>
          <w:lang w:val="en-GB"/>
        </w:rPr>
        <w:t>can be a</w:t>
      </w:r>
      <w:r w:rsidR="00080881" w:rsidRPr="001B3BA5">
        <w:rPr>
          <w:rFonts w:ascii="Times New Roman" w:hAnsi="Times New Roman" w:cs="Times New Roman"/>
          <w:sz w:val="24"/>
          <w:szCs w:val="24"/>
          <w:lang w:val="en-GB"/>
        </w:rPr>
        <w:t xml:space="preserve"> contributor to</w:t>
      </w:r>
      <w:r w:rsidR="002778AD" w:rsidRPr="001B3BA5">
        <w:rPr>
          <w:rFonts w:ascii="Times New Roman" w:hAnsi="Times New Roman" w:cs="Times New Roman"/>
          <w:sz w:val="24"/>
          <w:szCs w:val="24"/>
          <w:lang w:val="en-GB"/>
        </w:rPr>
        <w:t xml:space="preserve"> exclusionary attitudes, but </w:t>
      </w:r>
      <w:r w:rsidR="00080881" w:rsidRPr="001B3BA5">
        <w:rPr>
          <w:rFonts w:ascii="Times New Roman" w:hAnsi="Times New Roman" w:cs="Times New Roman"/>
          <w:sz w:val="24"/>
          <w:szCs w:val="24"/>
          <w:lang w:val="en-GB"/>
        </w:rPr>
        <w:t xml:space="preserve">can </w:t>
      </w:r>
      <w:r w:rsidR="002778AD" w:rsidRPr="001B3BA5">
        <w:rPr>
          <w:rFonts w:ascii="Times New Roman" w:hAnsi="Times New Roman" w:cs="Times New Roman"/>
          <w:sz w:val="24"/>
          <w:szCs w:val="24"/>
          <w:lang w:val="en-GB"/>
        </w:rPr>
        <w:t>also</w:t>
      </w:r>
      <w:r w:rsidR="00080881" w:rsidRPr="001B3BA5">
        <w:rPr>
          <w:rFonts w:ascii="Times New Roman" w:hAnsi="Times New Roman" w:cs="Times New Roman"/>
          <w:sz w:val="24"/>
          <w:szCs w:val="24"/>
          <w:lang w:val="en-GB"/>
        </w:rPr>
        <w:t xml:space="preserve"> be </w:t>
      </w:r>
      <w:r w:rsidR="00E86847" w:rsidRPr="001B3BA5">
        <w:rPr>
          <w:rFonts w:ascii="Times New Roman" w:hAnsi="Times New Roman" w:cs="Times New Roman"/>
          <w:sz w:val="24"/>
          <w:szCs w:val="24"/>
          <w:lang w:val="en-GB"/>
        </w:rPr>
        <w:t>used</w:t>
      </w:r>
      <w:r w:rsidR="00080881" w:rsidRPr="001B3BA5">
        <w:rPr>
          <w:rFonts w:ascii="Times New Roman" w:hAnsi="Times New Roman" w:cs="Times New Roman"/>
          <w:sz w:val="24"/>
          <w:szCs w:val="24"/>
          <w:lang w:val="en-GB"/>
        </w:rPr>
        <w:t xml:space="preserve"> to justify</w:t>
      </w:r>
      <w:r w:rsidR="002778AD" w:rsidRPr="001B3BA5">
        <w:rPr>
          <w:rFonts w:ascii="Times New Roman" w:hAnsi="Times New Roman" w:cs="Times New Roman"/>
          <w:sz w:val="24"/>
          <w:szCs w:val="24"/>
          <w:lang w:val="en-GB"/>
        </w:rPr>
        <w:t xml:space="preserve"> </w:t>
      </w:r>
      <w:r w:rsidR="00A91239" w:rsidRPr="001B3BA5">
        <w:rPr>
          <w:rFonts w:ascii="Times New Roman" w:hAnsi="Times New Roman" w:cs="Times New Roman"/>
          <w:sz w:val="24"/>
          <w:szCs w:val="24"/>
          <w:lang w:val="en-GB"/>
        </w:rPr>
        <w:t xml:space="preserve">negative </w:t>
      </w:r>
      <w:r w:rsidR="002778AD" w:rsidRPr="001B3BA5">
        <w:rPr>
          <w:rFonts w:ascii="Times New Roman" w:hAnsi="Times New Roman" w:cs="Times New Roman"/>
          <w:sz w:val="24"/>
          <w:szCs w:val="24"/>
          <w:lang w:val="en-GB"/>
        </w:rPr>
        <w:t>attitudes</w:t>
      </w:r>
      <w:r w:rsidR="00A91239" w:rsidRPr="001B3BA5">
        <w:rPr>
          <w:rFonts w:ascii="Times New Roman" w:hAnsi="Times New Roman" w:cs="Times New Roman"/>
          <w:sz w:val="24"/>
          <w:szCs w:val="24"/>
          <w:lang w:val="en-GB"/>
        </w:rPr>
        <w:t xml:space="preserve"> towards immigrants</w:t>
      </w:r>
      <w:r w:rsidR="008A2A28" w:rsidRPr="001B3BA5">
        <w:rPr>
          <w:rFonts w:ascii="Times New Roman" w:hAnsi="Times New Roman" w:cs="Times New Roman"/>
          <w:sz w:val="24"/>
          <w:szCs w:val="24"/>
          <w:lang w:val="en-GB"/>
        </w:rPr>
        <w:t>,</w:t>
      </w:r>
      <w:r w:rsidR="00A91239" w:rsidRPr="001B3BA5">
        <w:rPr>
          <w:rFonts w:ascii="Times New Roman" w:hAnsi="Times New Roman" w:cs="Times New Roman"/>
          <w:sz w:val="24"/>
          <w:szCs w:val="24"/>
          <w:lang w:val="en-GB"/>
        </w:rPr>
        <w:t xml:space="preserve"> the EU</w:t>
      </w:r>
      <w:r w:rsidR="008A2A28" w:rsidRPr="001B3BA5">
        <w:rPr>
          <w:rFonts w:ascii="Times New Roman" w:hAnsi="Times New Roman" w:cs="Times New Roman"/>
          <w:sz w:val="24"/>
          <w:szCs w:val="24"/>
          <w:lang w:val="en-GB"/>
        </w:rPr>
        <w:t>,</w:t>
      </w:r>
      <w:r w:rsidR="002778AD" w:rsidRPr="001B3BA5">
        <w:rPr>
          <w:rFonts w:ascii="Times New Roman" w:hAnsi="Times New Roman" w:cs="Times New Roman"/>
          <w:sz w:val="24"/>
          <w:szCs w:val="24"/>
          <w:lang w:val="en-GB"/>
        </w:rPr>
        <w:t xml:space="preserve"> </w:t>
      </w:r>
      <w:r w:rsidR="009F6A73" w:rsidRPr="001B3BA5">
        <w:rPr>
          <w:rFonts w:ascii="Times New Roman" w:hAnsi="Times New Roman" w:cs="Times New Roman"/>
          <w:sz w:val="24"/>
          <w:szCs w:val="24"/>
          <w:lang w:val="en-GB"/>
        </w:rPr>
        <w:t xml:space="preserve">and </w:t>
      </w:r>
      <w:r w:rsidR="008A2A28" w:rsidRPr="001B3BA5">
        <w:rPr>
          <w:rFonts w:ascii="Times New Roman" w:hAnsi="Times New Roman" w:cs="Times New Roman"/>
          <w:sz w:val="24"/>
          <w:szCs w:val="24"/>
          <w:lang w:val="en-GB"/>
        </w:rPr>
        <w:t xml:space="preserve">the </w:t>
      </w:r>
      <w:r w:rsidR="009F6A73" w:rsidRPr="001B3BA5">
        <w:rPr>
          <w:rFonts w:ascii="Times New Roman" w:hAnsi="Times New Roman" w:cs="Times New Roman"/>
          <w:sz w:val="24"/>
          <w:szCs w:val="24"/>
          <w:lang w:val="en-GB"/>
        </w:rPr>
        <w:t>Brexit vot</w:t>
      </w:r>
      <w:r w:rsidR="008A2A28" w:rsidRPr="001B3BA5">
        <w:rPr>
          <w:rFonts w:ascii="Times New Roman" w:hAnsi="Times New Roman" w:cs="Times New Roman"/>
          <w:sz w:val="24"/>
          <w:szCs w:val="24"/>
          <w:lang w:val="en-GB"/>
        </w:rPr>
        <w:t>e</w:t>
      </w:r>
      <w:r w:rsidR="009F6A73" w:rsidRPr="001B3BA5">
        <w:rPr>
          <w:rFonts w:ascii="Times New Roman" w:hAnsi="Times New Roman" w:cs="Times New Roman"/>
          <w:sz w:val="24"/>
          <w:szCs w:val="24"/>
          <w:lang w:val="en-GB"/>
        </w:rPr>
        <w:t xml:space="preserve"> </w:t>
      </w:r>
      <w:r w:rsidR="002778AD" w:rsidRPr="001B3BA5">
        <w:rPr>
          <w:rFonts w:ascii="Times New Roman" w:hAnsi="Times New Roman" w:cs="Times New Roman"/>
          <w:sz w:val="24"/>
          <w:szCs w:val="24"/>
          <w:lang w:val="en-GB"/>
        </w:rPr>
        <w:fldChar w:fldCharType="begin"/>
      </w:r>
      <w:r w:rsidR="0056663E" w:rsidRPr="001B3BA5">
        <w:rPr>
          <w:rFonts w:ascii="Times New Roman" w:hAnsi="Times New Roman" w:cs="Times New Roman"/>
          <w:sz w:val="24"/>
          <w:szCs w:val="24"/>
          <w:lang w:val="en-GB"/>
        </w:rPr>
        <w:instrText xml:space="preserve"> ADDIN EN.CITE &lt;EndNote&gt;&lt;Cite&gt;&lt;Author&gt;Crandall&lt;/Author&gt;&lt;Year&gt;2003&lt;/Year&gt;&lt;RecNum&gt;1494&lt;/RecNum&gt;&lt;DisplayText&gt;(Crandall &amp;amp; Eshleman, 2003)&lt;/DisplayText&gt;&lt;record&gt;&lt;rec-number&gt;1494&lt;/rec-number&gt;&lt;foreign-keys&gt;&lt;key app="EN" db-id="es92r5v5dve2z0erx59pv50vtp29v0t9ef5f" timestamp="1570520900"&gt;1494&lt;/key&gt;&lt;/foreign-keys&gt;&lt;ref-type name="Journal Article"&gt;17&lt;/ref-type&gt;&lt;contributors&gt;&lt;authors&gt;&lt;author&gt;Crandall, Christian S&lt;/author&gt;&lt;author&gt;Eshleman, Amy&lt;/author&gt;&lt;/authors&gt;&lt;/contributors&gt;&lt;titles&gt;&lt;title&gt;A justification-suppression model of the expression and experience of prejudice&lt;/title&gt;&lt;secondary-title&gt;Psychological bulletin&lt;/secondary-title&gt;&lt;/titles&gt;&lt;periodical&gt;&lt;full-title&gt;Psychological bulletin&lt;/full-title&gt;&lt;/periodical&gt;&lt;pages&gt;414-446&lt;/pages&gt;&lt;volume&gt;129&lt;/volume&gt;&lt;number&gt;3&lt;/number&gt;&lt;dates&gt;&lt;year&gt;2003&lt;/year&gt;&lt;/dates&gt;&lt;isbn&gt;1939-1455&lt;/isbn&gt;&lt;urls&gt;&lt;/urls&gt;&lt;electronic-resource-num&gt;10.1037/0033-2909.129.3.414&lt;/electronic-resource-num&gt;&lt;/record&gt;&lt;/Cite&gt;&lt;/EndNote&gt;</w:instrText>
      </w:r>
      <w:r w:rsidR="002778AD" w:rsidRPr="001B3BA5">
        <w:rPr>
          <w:rFonts w:ascii="Times New Roman" w:hAnsi="Times New Roman" w:cs="Times New Roman"/>
          <w:sz w:val="24"/>
          <w:szCs w:val="24"/>
          <w:lang w:val="en-GB"/>
        </w:rPr>
        <w:fldChar w:fldCharType="separate"/>
      </w:r>
      <w:r w:rsidR="002778AD" w:rsidRPr="001B3BA5">
        <w:rPr>
          <w:rFonts w:ascii="Times New Roman" w:hAnsi="Times New Roman" w:cs="Times New Roman"/>
          <w:noProof/>
          <w:sz w:val="24"/>
          <w:szCs w:val="24"/>
          <w:lang w:val="en-GB"/>
        </w:rPr>
        <w:t>(Crandall &amp; Eshleman, 2003)</w:t>
      </w:r>
      <w:r w:rsidR="002778AD" w:rsidRPr="001B3BA5">
        <w:rPr>
          <w:rFonts w:ascii="Times New Roman" w:hAnsi="Times New Roman" w:cs="Times New Roman"/>
          <w:sz w:val="24"/>
          <w:szCs w:val="24"/>
          <w:lang w:val="en-GB"/>
        </w:rPr>
        <w:fldChar w:fldCharType="end"/>
      </w:r>
      <w:r w:rsidR="002778AD" w:rsidRPr="001B3BA5">
        <w:rPr>
          <w:rFonts w:ascii="Times New Roman" w:hAnsi="Times New Roman" w:cs="Times New Roman"/>
          <w:sz w:val="24"/>
          <w:szCs w:val="24"/>
          <w:lang w:val="en-GB"/>
        </w:rPr>
        <w:t>.</w:t>
      </w:r>
      <w:r w:rsidR="002902DA" w:rsidRPr="001B3BA5">
        <w:rPr>
          <w:rFonts w:ascii="Times New Roman" w:hAnsi="Times New Roman" w:cs="Times New Roman"/>
          <w:sz w:val="24"/>
          <w:szCs w:val="24"/>
          <w:lang w:val="en-GB"/>
        </w:rPr>
        <w:t xml:space="preserve"> </w:t>
      </w:r>
      <w:r w:rsidR="009F6A73" w:rsidRPr="001B3BA5">
        <w:rPr>
          <w:rFonts w:asciiTheme="majorBidi" w:hAnsiTheme="majorBidi" w:cstheme="majorBidi"/>
          <w:sz w:val="24"/>
          <w:szCs w:val="24"/>
          <w:lang w:val="en-GB"/>
        </w:rPr>
        <w:t xml:space="preserve">Experimental </w:t>
      </w:r>
      <w:r w:rsidR="008A2A28" w:rsidRPr="00AA030D">
        <w:rPr>
          <w:rFonts w:asciiTheme="majorBidi" w:hAnsiTheme="majorBidi" w:cstheme="majorBidi"/>
          <w:sz w:val="24"/>
          <w:szCs w:val="24"/>
          <w:lang w:val="en-GB"/>
        </w:rPr>
        <w:t xml:space="preserve">work indicates that people can use intergroup threat to </w:t>
      </w:r>
      <w:r w:rsidR="009F6A73" w:rsidRPr="001B3BA5">
        <w:rPr>
          <w:rFonts w:asciiTheme="majorBidi" w:hAnsiTheme="majorBidi" w:cstheme="majorBidi"/>
          <w:sz w:val="24"/>
          <w:szCs w:val="24"/>
          <w:lang w:val="en-GB"/>
        </w:rPr>
        <w:t xml:space="preserve">justify attitudes towards minorities </w:t>
      </w:r>
      <w:r w:rsidR="003576F1" w:rsidRPr="001B3BA5">
        <w:rPr>
          <w:rFonts w:asciiTheme="majorBidi" w:hAnsiTheme="majorBidi" w:cstheme="majorBidi"/>
          <w:sz w:val="24"/>
          <w:szCs w:val="24"/>
          <w:lang w:val="en-GB"/>
        </w:rPr>
        <w:fldChar w:fldCharType="begin"/>
      </w:r>
      <w:r w:rsidR="003576F1" w:rsidRPr="001B3BA5">
        <w:rPr>
          <w:rFonts w:asciiTheme="majorBidi" w:hAnsiTheme="majorBidi" w:cstheme="majorBidi"/>
          <w:sz w:val="24"/>
          <w:szCs w:val="24"/>
          <w:lang w:val="en-GB"/>
        </w:rPr>
        <w:instrText xml:space="preserve"> ADDIN EN.CITE &lt;EndNote&gt;&lt;Cite&gt;&lt;Author&gt;Bahns&lt;/Author&gt;&lt;Year&gt;2016&lt;/Year&gt;&lt;RecNum&gt;1558&lt;/RecNum&gt;&lt;DisplayText&gt;(Bahns, 2016)&lt;/DisplayText&gt;&lt;record&gt;&lt;rec-number&gt;1558&lt;/rec-number&gt;&lt;foreign-keys&gt;&lt;key app="EN" db-id="es92r5v5dve2z0erx59pv50vtp29v0t9ef5f" timestamp="1583334679"&gt;1558&lt;/key&gt;&lt;key app="ENWeb" db-id=""&gt;0&lt;/key&gt;&lt;/foreign-keys&gt;&lt;ref-type name="Journal Article"&gt;17&lt;/ref-type&gt;&lt;contributors&gt;&lt;authors&gt;&lt;author&gt;Bahns, Angela J.&lt;/author&gt;&lt;/authors&gt;&lt;/contributors&gt;&lt;titles&gt;&lt;title&gt;Threat as justification of prejudice&lt;/title&gt;&lt;secondary-title&gt;Group Processes &amp;amp; Intergroup Relations&lt;/secondary-title&gt;&lt;/titles&gt;&lt;periodical&gt;&lt;full-title&gt;Group Processes &amp;amp; Intergroup Relations&lt;/full-title&gt;&lt;/periodical&gt;&lt;pages&gt;52-74&lt;/pages&gt;&lt;volume&gt;20&lt;/volume&gt;&lt;number&gt;1&lt;/number&gt;&lt;dates&gt;&lt;year&gt;2016&lt;/year&gt;&lt;/dates&gt;&lt;isbn&gt;1368-4302&amp;#xD;1461-7188&lt;/isbn&gt;&lt;urls&gt;&lt;/urls&gt;&lt;electronic-resource-num&gt;10.1177/1368430215591042&lt;/electronic-resource-num&gt;&lt;/record&gt;&lt;/Cite&gt;&lt;/EndNote&gt;</w:instrText>
      </w:r>
      <w:r w:rsidR="003576F1" w:rsidRPr="001B3BA5">
        <w:rPr>
          <w:rFonts w:asciiTheme="majorBidi" w:hAnsiTheme="majorBidi" w:cstheme="majorBidi"/>
          <w:sz w:val="24"/>
          <w:szCs w:val="24"/>
          <w:lang w:val="en-GB"/>
        </w:rPr>
        <w:fldChar w:fldCharType="separate"/>
      </w:r>
      <w:r w:rsidR="003576F1" w:rsidRPr="001B3BA5">
        <w:rPr>
          <w:rFonts w:asciiTheme="majorBidi" w:hAnsiTheme="majorBidi" w:cstheme="majorBidi"/>
          <w:noProof/>
          <w:sz w:val="24"/>
          <w:szCs w:val="24"/>
          <w:lang w:val="en-GB"/>
        </w:rPr>
        <w:t>(Bahns, 2016)</w:t>
      </w:r>
      <w:r w:rsidR="003576F1" w:rsidRPr="001B3BA5">
        <w:rPr>
          <w:rFonts w:asciiTheme="majorBidi" w:hAnsiTheme="majorBidi" w:cstheme="majorBidi"/>
          <w:sz w:val="24"/>
          <w:szCs w:val="24"/>
          <w:lang w:val="en-GB"/>
        </w:rPr>
        <w:fldChar w:fldCharType="end"/>
      </w:r>
      <w:r w:rsidR="008A2A28" w:rsidRPr="00AA030D">
        <w:rPr>
          <w:rFonts w:asciiTheme="majorBidi" w:hAnsiTheme="majorBidi" w:cstheme="majorBidi"/>
          <w:sz w:val="24"/>
          <w:szCs w:val="24"/>
          <w:lang w:val="en-GB"/>
        </w:rPr>
        <w:t>,</w:t>
      </w:r>
      <w:r w:rsidR="009F6A73" w:rsidRPr="001B3BA5">
        <w:rPr>
          <w:rFonts w:asciiTheme="majorBidi" w:hAnsiTheme="majorBidi" w:cstheme="majorBidi"/>
          <w:sz w:val="24"/>
          <w:szCs w:val="24"/>
          <w:lang w:val="en-GB"/>
        </w:rPr>
        <w:t xml:space="preserve"> and longitudinal </w:t>
      </w:r>
      <w:r w:rsidR="008A2A28" w:rsidRPr="00AA030D">
        <w:rPr>
          <w:rFonts w:asciiTheme="majorBidi" w:hAnsiTheme="majorBidi" w:cstheme="majorBidi"/>
          <w:sz w:val="24"/>
          <w:szCs w:val="24"/>
          <w:lang w:val="en-GB"/>
        </w:rPr>
        <w:t xml:space="preserve">research </w:t>
      </w:r>
      <w:r w:rsidR="009F6A73" w:rsidRPr="001B3BA5">
        <w:rPr>
          <w:rFonts w:asciiTheme="majorBidi" w:hAnsiTheme="majorBidi" w:cstheme="majorBidi"/>
          <w:sz w:val="24"/>
          <w:szCs w:val="24"/>
          <w:lang w:val="en-GB"/>
        </w:rPr>
        <w:t>suggest</w:t>
      </w:r>
      <w:r w:rsidR="008A2A28" w:rsidRPr="00AA030D">
        <w:rPr>
          <w:rFonts w:asciiTheme="majorBidi" w:hAnsiTheme="majorBidi" w:cstheme="majorBidi"/>
          <w:sz w:val="24"/>
          <w:szCs w:val="24"/>
          <w:lang w:val="en-GB"/>
        </w:rPr>
        <w:t>s</w:t>
      </w:r>
      <w:r w:rsidR="009F6A73" w:rsidRPr="001B3BA5">
        <w:rPr>
          <w:rFonts w:asciiTheme="majorBidi" w:hAnsiTheme="majorBidi" w:cstheme="majorBidi"/>
          <w:sz w:val="24"/>
          <w:szCs w:val="24"/>
          <w:lang w:val="en-GB"/>
        </w:rPr>
        <w:t xml:space="preserve"> that </w:t>
      </w:r>
      <w:r w:rsidR="008A2A28" w:rsidRPr="001B3BA5">
        <w:rPr>
          <w:rFonts w:asciiTheme="majorBidi" w:hAnsiTheme="majorBidi" w:cstheme="majorBidi"/>
          <w:sz w:val="24"/>
          <w:szCs w:val="24"/>
          <w:lang w:val="en-GB"/>
        </w:rPr>
        <w:t xml:space="preserve">a reason </w:t>
      </w:r>
      <w:r w:rsidR="009F6A73" w:rsidRPr="001B3BA5">
        <w:rPr>
          <w:rFonts w:asciiTheme="majorBidi" w:hAnsiTheme="majorBidi" w:cstheme="majorBidi"/>
          <w:sz w:val="24"/>
          <w:szCs w:val="24"/>
          <w:lang w:val="en-GB"/>
        </w:rPr>
        <w:t>voting behavio</w:t>
      </w:r>
      <w:r w:rsidR="008643F0" w:rsidRPr="001B3BA5">
        <w:rPr>
          <w:rFonts w:asciiTheme="majorBidi" w:hAnsiTheme="majorBidi" w:cstheme="majorBidi"/>
          <w:sz w:val="24"/>
          <w:szCs w:val="24"/>
          <w:lang w:val="en-GB"/>
        </w:rPr>
        <w:t>u</w:t>
      </w:r>
      <w:r w:rsidR="009F6A73" w:rsidRPr="001B3BA5">
        <w:rPr>
          <w:rFonts w:asciiTheme="majorBidi" w:hAnsiTheme="majorBidi" w:cstheme="majorBidi"/>
          <w:sz w:val="24"/>
          <w:szCs w:val="24"/>
          <w:lang w:val="en-GB"/>
        </w:rPr>
        <w:t>r influences attitudes</w:t>
      </w:r>
      <w:r w:rsidR="008A2A28" w:rsidRPr="001B3BA5">
        <w:rPr>
          <w:rFonts w:asciiTheme="majorBidi" w:hAnsiTheme="majorBidi" w:cstheme="majorBidi"/>
          <w:sz w:val="24"/>
          <w:szCs w:val="24"/>
          <w:lang w:val="en-GB"/>
        </w:rPr>
        <w:t xml:space="preserve"> is</w:t>
      </w:r>
      <w:r w:rsidR="009F6A73" w:rsidRPr="001B3BA5">
        <w:rPr>
          <w:rFonts w:asciiTheme="majorBidi" w:hAnsiTheme="majorBidi" w:cstheme="majorBidi"/>
          <w:sz w:val="24"/>
          <w:szCs w:val="24"/>
          <w:lang w:val="en-GB"/>
        </w:rPr>
        <w:t xml:space="preserve"> because voters are more likely to adjust their opinions to </w:t>
      </w:r>
      <w:r w:rsidR="008A2A28" w:rsidRPr="00AA030D">
        <w:rPr>
          <w:rFonts w:asciiTheme="majorBidi" w:hAnsiTheme="majorBidi" w:cstheme="majorBidi"/>
          <w:sz w:val="24"/>
          <w:szCs w:val="24"/>
          <w:lang w:val="en-GB"/>
        </w:rPr>
        <w:t xml:space="preserve">political </w:t>
      </w:r>
      <w:r w:rsidR="009F6A73" w:rsidRPr="001B3BA5">
        <w:rPr>
          <w:rFonts w:asciiTheme="majorBidi" w:hAnsiTheme="majorBidi" w:cstheme="majorBidi"/>
          <w:sz w:val="24"/>
          <w:szCs w:val="24"/>
          <w:lang w:val="en-GB"/>
        </w:rPr>
        <w:t xml:space="preserve">messages </w:t>
      </w:r>
      <w:r w:rsidR="00403F33" w:rsidRPr="001B3BA5">
        <w:rPr>
          <w:rFonts w:asciiTheme="majorBidi" w:hAnsiTheme="majorBidi" w:cstheme="majorBidi"/>
          <w:sz w:val="24"/>
          <w:szCs w:val="24"/>
          <w:lang w:val="en-GB"/>
        </w:rPr>
        <w:t xml:space="preserve">they are most exposed to </w:t>
      </w:r>
      <w:r w:rsidR="003576F1" w:rsidRPr="001B3BA5">
        <w:rPr>
          <w:rFonts w:asciiTheme="majorBidi" w:hAnsiTheme="majorBidi" w:cstheme="majorBidi"/>
          <w:sz w:val="24"/>
          <w:szCs w:val="24"/>
          <w:lang w:val="en-GB"/>
        </w:rPr>
        <w:fldChar w:fldCharType="begin"/>
      </w:r>
      <w:r w:rsidR="003576F1" w:rsidRPr="001B3BA5">
        <w:rPr>
          <w:rFonts w:asciiTheme="majorBidi" w:hAnsiTheme="majorBidi" w:cstheme="majorBidi"/>
          <w:sz w:val="24"/>
          <w:szCs w:val="24"/>
          <w:lang w:val="en-GB"/>
        </w:rPr>
        <w:instrText xml:space="preserve"> ADDIN EN.CITE &lt;EndNote&gt;&lt;Cite&gt;&lt;Author&gt;Rooduijn&lt;/Author&gt;&lt;Year&gt;2016&lt;/Year&gt;&lt;RecNum&gt;1562&lt;/RecNum&gt;&lt;DisplayText&gt;(Rooduijn, van der Brug, &amp;amp; de Lange, 2016)&lt;/DisplayText&gt;&lt;record&gt;&lt;rec-number&gt;1562&lt;/rec-number&gt;&lt;foreign-keys&gt;&lt;key app="EN" db-id="es92r5v5dve2z0erx59pv50vtp29v0t9ef5f" timestamp="1583334696"&gt;1562&lt;/key&gt;&lt;key app="ENWeb" db-id=""&gt;0&lt;/key&gt;&lt;/foreign-keys&gt;&lt;ref-type name="Journal Article"&gt;17&lt;/ref-type&gt;&lt;contributors&gt;&lt;authors&gt;&lt;author&gt;Rooduijn, Matthijs&lt;/author&gt;&lt;author&gt;van der Brug, Wouter&lt;/author&gt;&lt;author&gt;de Lange, Sarah L.&lt;/author&gt;&lt;/authors&gt;&lt;/contributors&gt;&lt;titles&gt;&lt;title&gt;Expressing or fuelling discontent? The relationship between populist voting and political discontent&lt;/title&gt;&lt;secondary-title&gt;Electoral Studies&lt;/secondary-title&gt;&lt;/titles&gt;&lt;periodical&gt;&lt;full-title&gt;Electoral Studies&lt;/full-title&gt;&lt;/periodical&gt;&lt;pages&gt;32-40&lt;/pages&gt;&lt;volume&gt;43&lt;/volume&gt;&lt;dates&gt;&lt;year&gt;2016&lt;/year&gt;&lt;/dates&gt;&lt;isbn&gt;02613794&lt;/isbn&gt;&lt;urls&gt;&lt;/urls&gt;&lt;electronic-resource-num&gt;10.1016/j.electstud.2016.04.006&lt;/electronic-resource-num&gt;&lt;/record&gt;&lt;/Cite&gt;&lt;/EndNote&gt;</w:instrText>
      </w:r>
      <w:r w:rsidR="003576F1" w:rsidRPr="001B3BA5">
        <w:rPr>
          <w:rFonts w:asciiTheme="majorBidi" w:hAnsiTheme="majorBidi" w:cstheme="majorBidi"/>
          <w:sz w:val="24"/>
          <w:szCs w:val="24"/>
          <w:lang w:val="en-GB"/>
        </w:rPr>
        <w:fldChar w:fldCharType="separate"/>
      </w:r>
      <w:r w:rsidR="003576F1" w:rsidRPr="001B3BA5">
        <w:rPr>
          <w:rFonts w:asciiTheme="majorBidi" w:hAnsiTheme="majorBidi" w:cstheme="majorBidi"/>
          <w:noProof/>
          <w:sz w:val="24"/>
          <w:szCs w:val="24"/>
          <w:lang w:val="en-GB"/>
        </w:rPr>
        <w:t>(Rooduijn, van der Brug, &amp; de Lange, 2016)</w:t>
      </w:r>
      <w:r w:rsidR="003576F1" w:rsidRPr="001B3BA5">
        <w:rPr>
          <w:rFonts w:asciiTheme="majorBidi" w:hAnsiTheme="majorBidi" w:cstheme="majorBidi"/>
          <w:sz w:val="24"/>
          <w:szCs w:val="24"/>
          <w:lang w:val="en-GB"/>
        </w:rPr>
        <w:fldChar w:fldCharType="end"/>
      </w:r>
      <w:r w:rsidR="009F6A73" w:rsidRPr="001B3BA5">
        <w:rPr>
          <w:rFonts w:asciiTheme="majorBidi" w:hAnsiTheme="majorBidi" w:cstheme="majorBidi"/>
          <w:sz w:val="24"/>
          <w:szCs w:val="24"/>
          <w:lang w:val="en-GB"/>
        </w:rPr>
        <w:t>. The ownership-fue</w:t>
      </w:r>
      <w:r w:rsidR="00446C5C">
        <w:rPr>
          <w:rFonts w:asciiTheme="majorBidi" w:hAnsiTheme="majorBidi" w:cstheme="majorBidi"/>
          <w:sz w:val="24"/>
          <w:szCs w:val="24"/>
          <w:lang w:val="en-GB"/>
        </w:rPr>
        <w:t>l</w:t>
      </w:r>
      <w:r w:rsidR="009F6A73" w:rsidRPr="001B3BA5">
        <w:rPr>
          <w:rFonts w:asciiTheme="majorBidi" w:hAnsiTheme="majorBidi" w:cstheme="majorBidi"/>
          <w:sz w:val="24"/>
          <w:szCs w:val="24"/>
          <w:lang w:val="en-GB"/>
        </w:rPr>
        <w:t>led ‘Leave’ campaign</w:t>
      </w:r>
      <w:r w:rsidR="008A2A28" w:rsidRPr="001B3BA5">
        <w:rPr>
          <w:rFonts w:asciiTheme="majorBidi" w:hAnsiTheme="majorBidi" w:cstheme="majorBidi"/>
          <w:sz w:val="24"/>
          <w:szCs w:val="24"/>
          <w:lang w:val="en-GB"/>
        </w:rPr>
        <w:t>, then,</w:t>
      </w:r>
      <w:r w:rsidR="009F6A73" w:rsidRPr="001B3BA5">
        <w:rPr>
          <w:rFonts w:asciiTheme="majorBidi" w:hAnsiTheme="majorBidi" w:cstheme="majorBidi"/>
          <w:sz w:val="24"/>
          <w:szCs w:val="24"/>
          <w:lang w:val="en-GB"/>
        </w:rPr>
        <w:t xml:space="preserve"> might have increased the </w:t>
      </w:r>
      <w:r w:rsidR="008A2A28" w:rsidRPr="00AA030D">
        <w:rPr>
          <w:rFonts w:asciiTheme="majorBidi" w:hAnsiTheme="majorBidi" w:cstheme="majorBidi"/>
          <w:sz w:val="24"/>
          <w:szCs w:val="24"/>
          <w:lang w:val="en-GB"/>
        </w:rPr>
        <w:t>probability of Brexit voters</w:t>
      </w:r>
      <w:r w:rsidR="009F6A73" w:rsidRPr="001B3BA5">
        <w:rPr>
          <w:rFonts w:asciiTheme="majorBidi" w:hAnsiTheme="majorBidi" w:cstheme="majorBidi"/>
          <w:sz w:val="24"/>
          <w:szCs w:val="24"/>
          <w:lang w:val="en-GB"/>
        </w:rPr>
        <w:t xml:space="preserve"> </w:t>
      </w:r>
      <w:r w:rsidR="008A2A28" w:rsidRPr="00AA030D">
        <w:rPr>
          <w:rFonts w:asciiTheme="majorBidi" w:hAnsiTheme="majorBidi" w:cstheme="majorBidi"/>
          <w:sz w:val="24"/>
          <w:szCs w:val="24"/>
          <w:lang w:val="en-GB"/>
        </w:rPr>
        <w:t xml:space="preserve">using CPO to </w:t>
      </w:r>
      <w:r w:rsidR="009F6A73" w:rsidRPr="001B3BA5">
        <w:rPr>
          <w:rFonts w:asciiTheme="majorBidi" w:hAnsiTheme="majorBidi" w:cstheme="majorBidi"/>
          <w:sz w:val="24"/>
          <w:szCs w:val="24"/>
          <w:lang w:val="en-GB"/>
        </w:rPr>
        <w:t>justify their vote.</w:t>
      </w:r>
      <w:r w:rsidR="00403F33" w:rsidRPr="001B3BA5">
        <w:rPr>
          <w:rFonts w:asciiTheme="majorBidi" w:hAnsiTheme="majorBidi" w:cstheme="majorBidi"/>
          <w:sz w:val="24"/>
          <w:szCs w:val="24"/>
          <w:lang w:val="en-GB"/>
        </w:rPr>
        <w:t xml:space="preserve"> </w:t>
      </w:r>
      <w:r w:rsidR="00A86694" w:rsidRPr="001B3BA5">
        <w:rPr>
          <w:rFonts w:ascii="Times New Roman" w:hAnsi="Times New Roman" w:cs="Times New Roman"/>
          <w:sz w:val="24"/>
          <w:szCs w:val="24"/>
          <w:lang w:val="en-GB"/>
        </w:rPr>
        <w:t xml:space="preserve">Our </w:t>
      </w:r>
      <w:r w:rsidR="002778AD" w:rsidRPr="001B3BA5">
        <w:rPr>
          <w:rFonts w:ascii="Times New Roman" w:hAnsi="Times New Roman" w:cs="Times New Roman"/>
          <w:sz w:val="24"/>
          <w:szCs w:val="24"/>
          <w:lang w:val="en-GB"/>
        </w:rPr>
        <w:t xml:space="preserve">cross-sectional </w:t>
      </w:r>
      <w:r w:rsidR="00A86694" w:rsidRPr="001B3BA5">
        <w:rPr>
          <w:rFonts w:ascii="Times New Roman" w:hAnsi="Times New Roman" w:cs="Times New Roman"/>
          <w:sz w:val="24"/>
          <w:szCs w:val="24"/>
          <w:lang w:val="en-GB"/>
        </w:rPr>
        <w:t>design</w:t>
      </w:r>
      <w:r w:rsidR="002778AD" w:rsidRPr="001B3BA5">
        <w:rPr>
          <w:rFonts w:ascii="Times New Roman" w:hAnsi="Times New Roman" w:cs="Times New Roman"/>
          <w:sz w:val="24"/>
          <w:szCs w:val="24"/>
          <w:lang w:val="en-GB"/>
        </w:rPr>
        <w:t xml:space="preserve"> </w:t>
      </w:r>
      <w:bookmarkStart w:id="47" w:name="_Hlk34214008"/>
      <w:r w:rsidR="002778AD" w:rsidRPr="001B3BA5">
        <w:rPr>
          <w:rFonts w:ascii="Times New Roman" w:hAnsi="Times New Roman" w:cs="Times New Roman"/>
          <w:sz w:val="24"/>
          <w:szCs w:val="24"/>
          <w:lang w:val="en-GB"/>
        </w:rPr>
        <w:t>prevent</w:t>
      </w:r>
      <w:r w:rsidR="00505CCF" w:rsidRPr="001B3BA5">
        <w:rPr>
          <w:rFonts w:ascii="Times New Roman" w:hAnsi="Times New Roman" w:cs="Times New Roman"/>
          <w:sz w:val="24"/>
          <w:szCs w:val="24"/>
          <w:lang w:val="en-GB"/>
        </w:rPr>
        <w:t>s</w:t>
      </w:r>
      <w:r w:rsidR="002778AD" w:rsidRPr="001B3BA5">
        <w:rPr>
          <w:rFonts w:ascii="Times New Roman" w:hAnsi="Times New Roman" w:cs="Times New Roman"/>
          <w:sz w:val="24"/>
          <w:szCs w:val="24"/>
          <w:lang w:val="en-GB"/>
        </w:rPr>
        <w:t xml:space="preserve"> conclusions about </w:t>
      </w:r>
      <w:r w:rsidR="00A91239" w:rsidRPr="001B3BA5">
        <w:rPr>
          <w:rFonts w:ascii="Times New Roman" w:hAnsi="Times New Roman" w:cs="Times New Roman"/>
          <w:sz w:val="24"/>
          <w:szCs w:val="24"/>
          <w:lang w:val="en-GB"/>
        </w:rPr>
        <w:t>the direction of influence</w:t>
      </w:r>
      <w:bookmarkEnd w:id="47"/>
      <w:r w:rsidR="002778AD" w:rsidRPr="001B3BA5">
        <w:rPr>
          <w:rFonts w:ascii="Times New Roman" w:hAnsi="Times New Roman" w:cs="Times New Roman"/>
          <w:sz w:val="24"/>
          <w:szCs w:val="24"/>
          <w:lang w:val="en-GB"/>
        </w:rPr>
        <w:t xml:space="preserve">, </w:t>
      </w:r>
      <w:r w:rsidR="008A2A28" w:rsidRPr="001B3BA5">
        <w:rPr>
          <w:rFonts w:ascii="Times New Roman" w:hAnsi="Times New Roman" w:cs="Times New Roman"/>
          <w:sz w:val="24"/>
          <w:szCs w:val="24"/>
          <w:lang w:val="en-GB"/>
        </w:rPr>
        <w:t xml:space="preserve">with </w:t>
      </w:r>
      <w:r w:rsidR="00A86694" w:rsidRPr="001B3BA5">
        <w:rPr>
          <w:rFonts w:ascii="Times New Roman" w:hAnsi="Times New Roman" w:cs="Times New Roman"/>
          <w:sz w:val="24"/>
          <w:szCs w:val="24"/>
          <w:lang w:val="en-GB"/>
        </w:rPr>
        <w:t xml:space="preserve">bidirectionality </w:t>
      </w:r>
      <w:r w:rsidR="008A2A28" w:rsidRPr="001B3BA5">
        <w:rPr>
          <w:rFonts w:ascii="Times New Roman" w:hAnsi="Times New Roman" w:cs="Times New Roman"/>
          <w:sz w:val="24"/>
          <w:szCs w:val="24"/>
          <w:lang w:val="en-GB"/>
        </w:rPr>
        <w:t>being</w:t>
      </w:r>
      <w:r w:rsidR="00A91239" w:rsidRPr="001B3BA5">
        <w:rPr>
          <w:rFonts w:ascii="Times New Roman" w:hAnsi="Times New Roman" w:cs="Times New Roman"/>
          <w:sz w:val="24"/>
          <w:szCs w:val="24"/>
          <w:lang w:val="en-GB"/>
        </w:rPr>
        <w:t xml:space="preserve"> </w:t>
      </w:r>
      <w:r w:rsidR="00A86694" w:rsidRPr="001B3BA5">
        <w:rPr>
          <w:rFonts w:ascii="Times New Roman" w:hAnsi="Times New Roman" w:cs="Times New Roman"/>
          <w:sz w:val="24"/>
          <w:szCs w:val="24"/>
          <w:lang w:val="en-GB"/>
        </w:rPr>
        <w:t>likely</w:t>
      </w:r>
      <w:r w:rsidR="002778AD" w:rsidRPr="001B3BA5">
        <w:rPr>
          <w:rFonts w:ascii="Times New Roman" w:hAnsi="Times New Roman" w:cs="Times New Roman"/>
          <w:sz w:val="24"/>
          <w:szCs w:val="24"/>
          <w:lang w:val="en-GB"/>
        </w:rPr>
        <w:t>.</w:t>
      </w:r>
      <w:r w:rsidR="000D17F5" w:rsidRPr="001B3BA5">
        <w:rPr>
          <w:rFonts w:ascii="Times New Roman" w:hAnsi="Times New Roman" w:cs="Times New Roman"/>
          <w:sz w:val="24"/>
          <w:szCs w:val="24"/>
          <w:lang w:val="en-GB"/>
        </w:rPr>
        <w:t xml:space="preserve"> </w:t>
      </w:r>
      <w:r w:rsidR="008A2A28" w:rsidRPr="001B3BA5">
        <w:rPr>
          <w:rFonts w:ascii="Times New Roman" w:hAnsi="Times New Roman" w:cs="Times New Roman"/>
          <w:sz w:val="24"/>
          <w:szCs w:val="24"/>
          <w:lang w:val="en-GB"/>
        </w:rPr>
        <w:t xml:space="preserve">Instead, </w:t>
      </w:r>
      <w:r w:rsidR="0063258A" w:rsidRPr="001B3BA5">
        <w:rPr>
          <w:rFonts w:ascii="Times New Roman" w:hAnsi="Times New Roman" w:cs="Times New Roman"/>
          <w:sz w:val="24"/>
          <w:szCs w:val="24"/>
          <w:lang w:val="en-GB"/>
        </w:rPr>
        <w:t>our</w:t>
      </w:r>
      <w:r w:rsidR="0097772C" w:rsidRPr="001B3BA5">
        <w:rPr>
          <w:rFonts w:ascii="Times New Roman" w:hAnsi="Times New Roman" w:cs="Times New Roman"/>
          <w:sz w:val="24"/>
          <w:szCs w:val="24"/>
          <w:lang w:val="en-GB"/>
        </w:rPr>
        <w:t xml:space="preserve"> findings </w:t>
      </w:r>
      <w:r w:rsidR="008A2A28" w:rsidRPr="001B3BA5">
        <w:rPr>
          <w:rFonts w:ascii="Times New Roman" w:hAnsi="Times New Roman" w:cs="Times New Roman"/>
          <w:sz w:val="24"/>
          <w:szCs w:val="24"/>
          <w:lang w:val="en-GB"/>
        </w:rPr>
        <w:t>support</w:t>
      </w:r>
      <w:r w:rsidR="0097772C" w:rsidRPr="001B3BA5">
        <w:rPr>
          <w:rFonts w:ascii="Times New Roman" w:hAnsi="Times New Roman" w:cs="Times New Roman"/>
          <w:sz w:val="24"/>
          <w:szCs w:val="24"/>
          <w:lang w:val="en-GB"/>
        </w:rPr>
        <w:t xml:space="preserve"> a theoretically </w:t>
      </w:r>
      <w:r w:rsidR="00A91239" w:rsidRPr="001B3BA5">
        <w:rPr>
          <w:rFonts w:ascii="Times New Roman" w:hAnsi="Times New Roman" w:cs="Times New Roman"/>
          <w:sz w:val="24"/>
          <w:szCs w:val="24"/>
          <w:lang w:val="en-GB"/>
        </w:rPr>
        <w:t>plausible</w:t>
      </w:r>
      <w:r w:rsidR="0097772C" w:rsidRPr="001B3BA5">
        <w:rPr>
          <w:rFonts w:ascii="Times New Roman" w:hAnsi="Times New Roman" w:cs="Times New Roman"/>
          <w:sz w:val="24"/>
          <w:szCs w:val="24"/>
          <w:lang w:val="en-GB"/>
        </w:rPr>
        <w:t xml:space="preserve"> and important direction of influence</w:t>
      </w:r>
      <w:r w:rsidR="00D77BFD" w:rsidRPr="001B3BA5">
        <w:rPr>
          <w:rFonts w:ascii="Times New Roman" w:hAnsi="Times New Roman" w:cs="Times New Roman"/>
          <w:sz w:val="24"/>
          <w:szCs w:val="24"/>
          <w:lang w:val="en-GB"/>
        </w:rPr>
        <w:t>,</w:t>
      </w:r>
      <w:r w:rsidR="0097772C" w:rsidRPr="001B3BA5">
        <w:rPr>
          <w:rFonts w:ascii="Times New Roman" w:hAnsi="Times New Roman" w:cs="Times New Roman"/>
          <w:sz w:val="24"/>
          <w:szCs w:val="24"/>
          <w:lang w:val="en-GB"/>
        </w:rPr>
        <w:t xml:space="preserve"> which </w:t>
      </w:r>
      <w:r w:rsidR="00D77BFD" w:rsidRPr="001B3BA5">
        <w:rPr>
          <w:rFonts w:ascii="Times New Roman" w:hAnsi="Times New Roman" w:cs="Times New Roman"/>
          <w:sz w:val="24"/>
          <w:szCs w:val="24"/>
          <w:lang w:val="en-GB"/>
        </w:rPr>
        <w:t xml:space="preserve">is also </w:t>
      </w:r>
      <w:r w:rsidR="008A2A28" w:rsidRPr="001B3BA5">
        <w:rPr>
          <w:rFonts w:ascii="Times New Roman" w:hAnsi="Times New Roman" w:cs="Times New Roman"/>
          <w:sz w:val="24"/>
          <w:szCs w:val="24"/>
          <w:lang w:val="en-GB"/>
        </w:rPr>
        <w:t xml:space="preserve">bolstered </w:t>
      </w:r>
      <w:r w:rsidR="00D77BFD" w:rsidRPr="001B3BA5">
        <w:rPr>
          <w:rFonts w:ascii="Times New Roman" w:hAnsi="Times New Roman" w:cs="Times New Roman"/>
          <w:sz w:val="24"/>
          <w:szCs w:val="24"/>
          <w:lang w:val="en-GB"/>
        </w:rPr>
        <w:t xml:space="preserve">by experimental work. For example, </w:t>
      </w:r>
      <w:r w:rsidR="00A91239" w:rsidRPr="001B3BA5">
        <w:rPr>
          <w:rFonts w:ascii="Times New Roman" w:hAnsi="Times New Roman" w:cs="Times New Roman"/>
          <w:sz w:val="24"/>
          <w:szCs w:val="24"/>
          <w:lang w:val="en-GB"/>
        </w:rPr>
        <w:t>experiment</w:t>
      </w:r>
      <w:r w:rsidRPr="001B3BA5">
        <w:rPr>
          <w:rFonts w:ascii="Times New Roman" w:hAnsi="Times New Roman" w:cs="Times New Roman"/>
          <w:sz w:val="24"/>
          <w:szCs w:val="24"/>
          <w:lang w:val="en-GB"/>
        </w:rPr>
        <w:t xml:space="preserve">s on the endowment effect and mere ownership effect </w:t>
      </w:r>
      <w:r w:rsidR="00A91239" w:rsidRPr="001B3BA5">
        <w:rPr>
          <w:rFonts w:ascii="Times New Roman" w:hAnsi="Times New Roman" w:cs="Times New Roman"/>
          <w:sz w:val="24"/>
          <w:szCs w:val="24"/>
          <w:lang w:val="en-GB"/>
        </w:rPr>
        <w:t xml:space="preserve">have found that </w:t>
      </w:r>
      <w:r w:rsidR="00080881" w:rsidRPr="001B3BA5">
        <w:rPr>
          <w:rFonts w:ascii="Times New Roman" w:hAnsi="Times New Roman" w:cs="Times New Roman"/>
          <w:sz w:val="24"/>
          <w:szCs w:val="24"/>
          <w:lang w:val="en-GB"/>
        </w:rPr>
        <w:t xml:space="preserve">ownership </w:t>
      </w:r>
      <w:r w:rsidR="00A91239" w:rsidRPr="001B3BA5">
        <w:rPr>
          <w:rFonts w:ascii="Times New Roman" w:hAnsi="Times New Roman" w:cs="Times New Roman"/>
          <w:sz w:val="24"/>
          <w:szCs w:val="24"/>
          <w:lang w:val="en-GB"/>
        </w:rPr>
        <w:t xml:space="preserve">causally </w:t>
      </w:r>
      <w:r w:rsidRPr="001B3BA5">
        <w:rPr>
          <w:rFonts w:ascii="Times New Roman" w:hAnsi="Times New Roman" w:cs="Times New Roman"/>
          <w:sz w:val="24"/>
          <w:szCs w:val="24"/>
          <w:lang w:val="en-GB"/>
        </w:rPr>
        <w:t>affect</w:t>
      </w:r>
      <w:r w:rsidR="00A91239" w:rsidRPr="001B3BA5">
        <w:rPr>
          <w:rFonts w:ascii="Times New Roman" w:hAnsi="Times New Roman" w:cs="Times New Roman"/>
          <w:sz w:val="24"/>
          <w:szCs w:val="24"/>
          <w:lang w:val="en-GB"/>
        </w:rPr>
        <w:t>s</w:t>
      </w:r>
      <w:r w:rsidRPr="001B3BA5">
        <w:rPr>
          <w:rFonts w:ascii="Times New Roman" w:hAnsi="Times New Roman" w:cs="Times New Roman"/>
          <w:sz w:val="24"/>
          <w:szCs w:val="24"/>
          <w:lang w:val="en-GB"/>
        </w:rPr>
        <w:t xml:space="preserve"> the value attached to </w:t>
      </w:r>
      <w:r w:rsidR="00A91239" w:rsidRPr="001B3BA5">
        <w:rPr>
          <w:rFonts w:ascii="Times New Roman" w:hAnsi="Times New Roman" w:cs="Times New Roman"/>
          <w:sz w:val="24"/>
          <w:szCs w:val="24"/>
          <w:lang w:val="en-GB"/>
        </w:rPr>
        <w:t>an</w:t>
      </w:r>
      <w:r w:rsidRPr="001B3BA5">
        <w:rPr>
          <w:rFonts w:ascii="Times New Roman" w:hAnsi="Times New Roman" w:cs="Times New Roman"/>
          <w:sz w:val="24"/>
          <w:szCs w:val="24"/>
          <w:lang w:val="en-GB"/>
        </w:rPr>
        <w:t xml:space="preserve"> object </w:t>
      </w:r>
      <w:r w:rsidRPr="001B3BA5">
        <w:rPr>
          <w:rFonts w:ascii="Times New Roman" w:hAnsi="Times New Roman" w:cs="Times New Roman"/>
          <w:sz w:val="24"/>
          <w:szCs w:val="24"/>
          <w:lang w:val="en-GB"/>
        </w:rPr>
        <w:fldChar w:fldCharType="begin"/>
      </w:r>
      <w:r w:rsidR="0056663E" w:rsidRPr="001B3BA5">
        <w:rPr>
          <w:rFonts w:ascii="Times New Roman" w:hAnsi="Times New Roman" w:cs="Times New Roman"/>
          <w:sz w:val="24"/>
          <w:szCs w:val="24"/>
          <w:lang w:val="en-GB"/>
        </w:rPr>
        <w:instrText xml:space="preserve"> ADDIN EN.CITE &lt;EndNote&gt;&lt;Cite&gt;&lt;Author&gt;Morewedge&lt;/Author&gt;&lt;Year&gt;2015&lt;/Year&gt;&lt;RecNum&gt;1463&lt;/RecNum&gt;&lt;DisplayText&gt;(Morewedge &amp;amp; Giblin, 2015)&lt;/DisplayText&gt;&lt;record&gt;&lt;rec-number&gt;1463&lt;/rec-number&gt;&lt;foreign-keys&gt;&lt;key app="EN" db-id="es92r5v5dve2z0erx59pv50vtp29v0t9ef5f" timestamp="1563280099"&gt;1463&lt;/key&gt;&lt;key app="ENWeb" db-id=""&gt;0&lt;/key&gt;&lt;/foreign-keys&gt;&lt;ref-type name="Journal Article"&gt;17&lt;/ref-type&gt;&lt;contributors&gt;&lt;authors&gt;&lt;author&gt;Morewedge, C. K.&lt;/author&gt;&lt;author&gt;Giblin, C. E.&lt;/author&gt;&lt;/authors&gt;&lt;/contributors&gt;&lt;auth-address&gt;Boston University, Questrom School of Business, Department of Marketing, Boston, MA, USA. Electronic address: morewedg@bu.edu.&amp;#xD;Carnegie Mellon University, Tepper School of Business, Pittsburgh, PA, USA.&lt;/auth-address&gt;&lt;titles&gt;&lt;title&gt;Explanations of the endowment effect: An integrative review&lt;/title&gt;&lt;secondary-title&gt;Trends in Cognitive Sciences&lt;/secondary-title&gt;&lt;/titles&gt;&lt;periodical&gt;&lt;full-title&gt;Trends in Cognitive Sciences&lt;/full-title&gt;&lt;/periodical&gt;&lt;pages&gt;339-48&lt;/pages&gt;&lt;volume&gt;19&lt;/volume&gt;&lt;number&gt;6&lt;/number&gt;&lt;keywords&gt;&lt;keyword&gt;Animals&lt;/keyword&gt;&lt;keyword&gt;Biological Evolution&lt;/keyword&gt;&lt;keyword&gt;*Cognition&lt;/keyword&gt;&lt;keyword&gt;Economics, Behavioral&lt;/keyword&gt;&lt;keyword&gt;Humans&lt;/keyword&gt;&lt;keyword&gt;Models, Psychological&lt;/keyword&gt;&lt;keyword&gt;*Perception&lt;/keyword&gt;&lt;keyword&gt;*Social Behavior&lt;/keyword&gt;&lt;keyword&gt;confirmatory hypothesis testing&lt;/keyword&gt;&lt;keyword&gt;endowment effect&lt;/keyword&gt;&lt;keyword&gt;loss aversion&lt;/keyword&gt;&lt;keyword&gt;memory bias&lt;/keyword&gt;&lt;keyword&gt;mere ownership effect&lt;/keyword&gt;&lt;keyword&gt;willingness to pay-willingness to accept gap&lt;/keyword&gt;&lt;/keywords&gt;&lt;dates&gt;&lt;year&gt;2015&lt;/year&gt;&lt;pub-dates&gt;&lt;date&gt;Jun&lt;/date&gt;&lt;/pub-dates&gt;&lt;/dates&gt;&lt;isbn&gt;1879-307X (Electronic)&amp;#xD;1364-6613 (Linking)&lt;/isbn&gt;&lt;accession-num&gt;25939336&lt;/accession-num&gt;&lt;urls&gt;&lt;related-urls&gt;&lt;url&gt;https://www.ncbi.nlm.nih.gov/pubmed/25939336&lt;/url&gt;&lt;/related-urls&gt;&lt;/urls&gt;&lt;electronic-resource-num&gt;10.1016/j.tics.2015.04.004&lt;/electronic-resource-num&gt;&lt;/record&gt;&lt;/Cite&gt;&lt;/EndNote&gt;</w:instrText>
      </w:r>
      <w:r w:rsidRPr="001B3BA5">
        <w:rPr>
          <w:rFonts w:ascii="Times New Roman" w:hAnsi="Times New Roman" w:cs="Times New Roman"/>
          <w:sz w:val="24"/>
          <w:szCs w:val="24"/>
          <w:lang w:val="en-GB"/>
        </w:rPr>
        <w:fldChar w:fldCharType="separate"/>
      </w:r>
      <w:r w:rsidRPr="001B3BA5">
        <w:rPr>
          <w:rFonts w:ascii="Times New Roman" w:hAnsi="Times New Roman" w:cs="Times New Roman"/>
          <w:noProof/>
          <w:sz w:val="24"/>
          <w:szCs w:val="24"/>
          <w:lang w:val="en-GB"/>
        </w:rPr>
        <w:t>(Morewedge &amp; Giblin, 2015)</w:t>
      </w:r>
      <w:r w:rsidRPr="001B3BA5">
        <w:rPr>
          <w:rFonts w:ascii="Times New Roman" w:hAnsi="Times New Roman" w:cs="Times New Roman"/>
          <w:sz w:val="24"/>
          <w:szCs w:val="24"/>
          <w:lang w:val="en-GB"/>
        </w:rPr>
        <w:fldChar w:fldCharType="end"/>
      </w:r>
      <w:r w:rsidRPr="001B3BA5">
        <w:rPr>
          <w:rFonts w:ascii="Times New Roman" w:hAnsi="Times New Roman" w:cs="Times New Roman"/>
          <w:sz w:val="24"/>
          <w:szCs w:val="24"/>
          <w:lang w:val="en-GB"/>
        </w:rPr>
        <w:t xml:space="preserve">. Although </w:t>
      </w:r>
      <w:r w:rsidR="00C153B7" w:rsidRPr="001B3BA5">
        <w:rPr>
          <w:rFonts w:ascii="Times New Roman" w:hAnsi="Times New Roman" w:cs="Times New Roman"/>
          <w:sz w:val="24"/>
          <w:szCs w:val="24"/>
          <w:lang w:val="en-GB"/>
        </w:rPr>
        <w:t>ownership</w:t>
      </w:r>
      <w:r w:rsidRPr="001B3BA5">
        <w:rPr>
          <w:rFonts w:ascii="Times New Roman" w:hAnsi="Times New Roman" w:cs="Times New Roman"/>
          <w:sz w:val="24"/>
          <w:szCs w:val="24"/>
          <w:lang w:val="en-GB"/>
        </w:rPr>
        <w:t xml:space="preserve"> </w:t>
      </w:r>
      <w:r w:rsidR="00C153B7" w:rsidRPr="001B3BA5">
        <w:rPr>
          <w:rFonts w:ascii="Times New Roman" w:hAnsi="Times New Roman" w:cs="Times New Roman"/>
          <w:sz w:val="24"/>
          <w:szCs w:val="24"/>
          <w:lang w:val="en-GB"/>
        </w:rPr>
        <w:t xml:space="preserve">of the country </w:t>
      </w:r>
      <w:r w:rsidRPr="001B3BA5">
        <w:rPr>
          <w:rFonts w:ascii="Times New Roman" w:hAnsi="Times New Roman" w:cs="Times New Roman"/>
          <w:sz w:val="24"/>
          <w:szCs w:val="24"/>
          <w:lang w:val="en-GB"/>
        </w:rPr>
        <w:t>might be harder to manipulate, manipulating ownership rhetoric in a political speech</w:t>
      </w:r>
      <w:r w:rsidR="00080881" w:rsidRPr="001B3BA5">
        <w:rPr>
          <w:rFonts w:ascii="Times New Roman" w:hAnsi="Times New Roman" w:cs="Times New Roman"/>
          <w:sz w:val="24"/>
          <w:szCs w:val="24"/>
          <w:lang w:val="en-GB"/>
        </w:rPr>
        <w:t xml:space="preserve"> could inform causality.</w:t>
      </w:r>
      <w:bookmarkEnd w:id="46"/>
      <w:r w:rsidR="00A91239" w:rsidRPr="001B3BA5">
        <w:rPr>
          <w:rFonts w:ascii="Times New Roman" w:hAnsi="Times New Roman" w:cs="Times New Roman"/>
          <w:sz w:val="24"/>
          <w:szCs w:val="24"/>
          <w:lang w:val="en-GB"/>
        </w:rPr>
        <w:t xml:space="preserve"> Furthermore, longitudinal </w:t>
      </w:r>
      <w:r w:rsidR="008A2A28" w:rsidRPr="001B3BA5">
        <w:rPr>
          <w:rFonts w:ascii="Times New Roman" w:hAnsi="Times New Roman" w:cs="Times New Roman"/>
          <w:sz w:val="24"/>
          <w:szCs w:val="24"/>
          <w:lang w:val="en-GB"/>
        </w:rPr>
        <w:t xml:space="preserve">investigations </w:t>
      </w:r>
      <w:r w:rsidR="00A91239" w:rsidRPr="001B3BA5">
        <w:rPr>
          <w:rFonts w:ascii="Times New Roman" w:hAnsi="Times New Roman" w:cs="Times New Roman"/>
          <w:sz w:val="24"/>
          <w:szCs w:val="24"/>
          <w:lang w:val="en-GB"/>
        </w:rPr>
        <w:t>could examine associations</w:t>
      </w:r>
      <w:r w:rsidR="008A2A28" w:rsidRPr="001B3BA5">
        <w:rPr>
          <w:rFonts w:ascii="Times New Roman" w:hAnsi="Times New Roman" w:cs="Times New Roman"/>
          <w:sz w:val="24"/>
          <w:szCs w:val="24"/>
          <w:lang w:val="en-GB"/>
        </w:rPr>
        <w:t xml:space="preserve"> among these constructs across</w:t>
      </w:r>
      <w:r w:rsidR="00A91239" w:rsidRPr="001B3BA5">
        <w:rPr>
          <w:rFonts w:ascii="Times New Roman" w:hAnsi="Times New Roman" w:cs="Times New Roman"/>
          <w:sz w:val="24"/>
          <w:szCs w:val="24"/>
          <w:lang w:val="en-GB"/>
        </w:rPr>
        <w:t xml:space="preserve"> time</w:t>
      </w:r>
      <w:r w:rsidR="00137DFA" w:rsidRPr="001B3BA5">
        <w:rPr>
          <w:rFonts w:ascii="Times New Roman" w:hAnsi="Times New Roman" w:cs="Times New Roman"/>
          <w:sz w:val="24"/>
          <w:szCs w:val="24"/>
          <w:lang w:val="en-GB"/>
        </w:rPr>
        <w:t>.</w:t>
      </w:r>
    </w:p>
    <w:p w14:paraId="7D874D82" w14:textId="37972DAC" w:rsidR="00D77BFD" w:rsidRPr="001B3BA5" w:rsidRDefault="00E2198E">
      <w:pPr>
        <w:pStyle w:val="ListParagraph"/>
        <w:spacing w:after="0" w:line="480" w:lineRule="exact"/>
        <w:ind w:left="0" w:firstLine="709"/>
        <w:rPr>
          <w:rFonts w:ascii="Times New Roman" w:hAnsi="Times New Roman" w:cs="Times New Roman"/>
          <w:sz w:val="24"/>
          <w:szCs w:val="24"/>
          <w:lang w:val="en-GB"/>
        </w:rPr>
      </w:pPr>
      <w:r w:rsidRPr="001B3BA5">
        <w:rPr>
          <w:rFonts w:asciiTheme="majorBidi" w:hAnsiTheme="majorBidi" w:cstheme="majorBidi"/>
          <w:iCs/>
          <w:sz w:val="24"/>
          <w:szCs w:val="24"/>
          <w:lang w:val="en-GB"/>
        </w:rPr>
        <w:t>Second</w:t>
      </w:r>
      <w:r w:rsidRPr="001B3BA5">
        <w:rPr>
          <w:rFonts w:asciiTheme="majorBidi" w:hAnsiTheme="majorBidi" w:cstheme="majorBidi"/>
          <w:sz w:val="24"/>
          <w:szCs w:val="24"/>
          <w:lang w:val="en-GB"/>
        </w:rPr>
        <w:t xml:space="preserve">, </w:t>
      </w:r>
      <w:r w:rsidR="00815174" w:rsidRPr="001B3BA5">
        <w:rPr>
          <w:rFonts w:ascii="Times New Roman" w:hAnsi="Times New Roman" w:cs="Times New Roman"/>
          <w:sz w:val="24"/>
          <w:szCs w:val="24"/>
          <w:lang w:val="en-GB"/>
        </w:rPr>
        <w:t>we do not suggest that socially and politically complex phenomena</w:t>
      </w:r>
      <w:r w:rsidR="00080881" w:rsidRPr="001B3BA5">
        <w:rPr>
          <w:rFonts w:ascii="Times New Roman" w:hAnsi="Times New Roman" w:cs="Times New Roman"/>
          <w:sz w:val="24"/>
          <w:szCs w:val="24"/>
          <w:lang w:val="en-GB"/>
        </w:rPr>
        <w:t>, such</w:t>
      </w:r>
      <w:r w:rsidR="00815174" w:rsidRPr="001B3BA5">
        <w:rPr>
          <w:rFonts w:ascii="Times New Roman" w:hAnsi="Times New Roman" w:cs="Times New Roman"/>
          <w:sz w:val="24"/>
          <w:szCs w:val="24"/>
          <w:lang w:val="en-GB"/>
        </w:rPr>
        <w:t xml:space="preserve"> as the Brexit vote</w:t>
      </w:r>
      <w:r w:rsidR="00080881" w:rsidRPr="001B3BA5">
        <w:rPr>
          <w:rFonts w:ascii="Times New Roman" w:hAnsi="Times New Roman" w:cs="Times New Roman"/>
          <w:sz w:val="24"/>
          <w:szCs w:val="24"/>
          <w:lang w:val="en-GB"/>
        </w:rPr>
        <w:t>,</w:t>
      </w:r>
      <w:r w:rsidR="00815174" w:rsidRPr="001B3BA5">
        <w:rPr>
          <w:rFonts w:ascii="Times New Roman" w:hAnsi="Times New Roman" w:cs="Times New Roman"/>
          <w:sz w:val="24"/>
          <w:szCs w:val="24"/>
          <w:lang w:val="en-GB"/>
        </w:rPr>
        <w:t xml:space="preserve"> can be explained primarily by </w:t>
      </w:r>
      <w:r w:rsidR="00DC7F0F" w:rsidRPr="001B3BA5">
        <w:rPr>
          <w:rFonts w:ascii="Times New Roman" w:hAnsi="Times New Roman" w:cs="Times New Roman"/>
          <w:sz w:val="24"/>
          <w:szCs w:val="24"/>
          <w:lang w:val="en-GB"/>
        </w:rPr>
        <w:t>CPO</w:t>
      </w:r>
      <w:r w:rsidR="00815174" w:rsidRPr="001B3BA5">
        <w:rPr>
          <w:rFonts w:ascii="Times New Roman" w:hAnsi="Times New Roman" w:cs="Times New Roman"/>
          <w:sz w:val="24"/>
          <w:szCs w:val="24"/>
          <w:lang w:val="en-GB"/>
        </w:rPr>
        <w:t xml:space="preserve">. Instead, we </w:t>
      </w:r>
      <w:r w:rsidR="00DC7F0F" w:rsidRPr="001B3BA5">
        <w:rPr>
          <w:rFonts w:ascii="Times New Roman" w:hAnsi="Times New Roman" w:cs="Times New Roman"/>
          <w:sz w:val="24"/>
          <w:szCs w:val="24"/>
          <w:lang w:val="en-GB"/>
        </w:rPr>
        <w:t xml:space="preserve">argue </w:t>
      </w:r>
      <w:r w:rsidR="00815174" w:rsidRPr="001B3BA5">
        <w:rPr>
          <w:rFonts w:ascii="Times New Roman" w:hAnsi="Times New Roman" w:cs="Times New Roman"/>
          <w:sz w:val="24"/>
          <w:szCs w:val="24"/>
          <w:lang w:val="en-GB"/>
        </w:rPr>
        <w:t xml:space="preserve">that </w:t>
      </w:r>
      <w:r w:rsidR="00DC7F0F" w:rsidRPr="001B3BA5">
        <w:rPr>
          <w:rFonts w:ascii="Times New Roman" w:hAnsi="Times New Roman" w:cs="Times New Roman"/>
          <w:sz w:val="24"/>
          <w:szCs w:val="24"/>
          <w:lang w:val="en-GB"/>
        </w:rPr>
        <w:t>CPO</w:t>
      </w:r>
      <w:r w:rsidR="00BF14BC" w:rsidRPr="001B3BA5" w:rsidDel="00BF14BC">
        <w:rPr>
          <w:rFonts w:ascii="Times New Roman" w:hAnsi="Times New Roman" w:cs="Times New Roman"/>
          <w:sz w:val="24"/>
          <w:szCs w:val="24"/>
          <w:lang w:val="en-GB"/>
        </w:rPr>
        <w:t xml:space="preserve"> </w:t>
      </w:r>
      <w:r w:rsidR="009A5A40" w:rsidRPr="001B3BA5">
        <w:rPr>
          <w:rFonts w:ascii="Times New Roman" w:hAnsi="Times New Roman" w:cs="Times New Roman"/>
          <w:sz w:val="24"/>
          <w:szCs w:val="24"/>
          <w:lang w:val="en-GB"/>
        </w:rPr>
        <w:t xml:space="preserve">is one of </w:t>
      </w:r>
      <w:r w:rsidR="00DC7F0F" w:rsidRPr="001B3BA5">
        <w:rPr>
          <w:rFonts w:ascii="Times New Roman" w:hAnsi="Times New Roman" w:cs="Times New Roman"/>
          <w:sz w:val="24"/>
          <w:szCs w:val="24"/>
          <w:lang w:val="en-GB"/>
        </w:rPr>
        <w:t>several key</w:t>
      </w:r>
      <w:r w:rsidR="009A5A40" w:rsidRPr="001B3BA5">
        <w:rPr>
          <w:rFonts w:ascii="Times New Roman" w:hAnsi="Times New Roman" w:cs="Times New Roman"/>
          <w:sz w:val="24"/>
          <w:szCs w:val="24"/>
          <w:lang w:val="en-GB"/>
        </w:rPr>
        <w:t xml:space="preserve"> factors that </w:t>
      </w:r>
      <w:r w:rsidR="00D77BFD" w:rsidRPr="001B3BA5">
        <w:rPr>
          <w:rFonts w:ascii="Times New Roman" w:hAnsi="Times New Roman" w:cs="Times New Roman"/>
          <w:sz w:val="24"/>
          <w:szCs w:val="24"/>
          <w:lang w:val="en-GB"/>
        </w:rPr>
        <w:t xml:space="preserve">is likely to </w:t>
      </w:r>
      <w:r w:rsidR="009A5A40" w:rsidRPr="001B3BA5">
        <w:rPr>
          <w:rFonts w:ascii="Times New Roman" w:hAnsi="Times New Roman" w:cs="Times New Roman"/>
          <w:sz w:val="24"/>
          <w:szCs w:val="24"/>
          <w:lang w:val="en-GB"/>
        </w:rPr>
        <w:t xml:space="preserve">have </w:t>
      </w:r>
      <w:r w:rsidR="00080881" w:rsidRPr="001B3BA5">
        <w:rPr>
          <w:rFonts w:ascii="Times New Roman" w:hAnsi="Times New Roman" w:cs="Times New Roman"/>
          <w:sz w:val="24"/>
          <w:szCs w:val="24"/>
          <w:lang w:val="en-GB"/>
        </w:rPr>
        <w:t xml:space="preserve">assisted </w:t>
      </w:r>
      <w:r w:rsidR="009A5A40" w:rsidRPr="001B3BA5">
        <w:rPr>
          <w:rFonts w:ascii="Times New Roman" w:hAnsi="Times New Roman" w:cs="Times New Roman"/>
          <w:sz w:val="24"/>
          <w:szCs w:val="24"/>
          <w:lang w:val="en-GB"/>
        </w:rPr>
        <w:t xml:space="preserve">the </w:t>
      </w:r>
      <w:r w:rsidR="00B146E8" w:rsidRPr="001B3BA5">
        <w:rPr>
          <w:rFonts w:ascii="Times New Roman" w:hAnsi="Times New Roman" w:cs="Times New Roman"/>
          <w:sz w:val="24"/>
          <w:szCs w:val="24"/>
          <w:lang w:val="en-GB"/>
        </w:rPr>
        <w:t>‘</w:t>
      </w:r>
      <w:r w:rsidR="009A5A40" w:rsidRPr="001B3BA5">
        <w:rPr>
          <w:rFonts w:ascii="Times New Roman" w:hAnsi="Times New Roman" w:cs="Times New Roman"/>
          <w:sz w:val="24"/>
          <w:szCs w:val="24"/>
          <w:lang w:val="en-GB"/>
        </w:rPr>
        <w:t>leave</w:t>
      </w:r>
      <w:r w:rsidR="00B146E8" w:rsidRPr="001B3BA5">
        <w:rPr>
          <w:rFonts w:ascii="Times New Roman" w:hAnsi="Times New Roman" w:cs="Times New Roman"/>
          <w:sz w:val="24"/>
          <w:szCs w:val="24"/>
          <w:lang w:val="en-GB"/>
        </w:rPr>
        <w:t>’</w:t>
      </w:r>
      <w:r w:rsidR="009A5A40" w:rsidRPr="001B3BA5">
        <w:rPr>
          <w:rFonts w:ascii="Times New Roman" w:hAnsi="Times New Roman" w:cs="Times New Roman"/>
          <w:sz w:val="24"/>
          <w:szCs w:val="24"/>
          <w:lang w:val="en-GB"/>
        </w:rPr>
        <w:t xml:space="preserve"> camp to win over the majority</w:t>
      </w:r>
      <w:r w:rsidR="00846B3C" w:rsidRPr="001B3BA5">
        <w:rPr>
          <w:rFonts w:ascii="Times New Roman" w:hAnsi="Times New Roman" w:cs="Times New Roman"/>
          <w:sz w:val="24"/>
          <w:szCs w:val="24"/>
          <w:lang w:val="en-GB"/>
        </w:rPr>
        <w:t xml:space="preserve"> of votes</w:t>
      </w:r>
      <w:r w:rsidR="009A5A40" w:rsidRPr="001B3BA5">
        <w:rPr>
          <w:rFonts w:ascii="Times New Roman" w:hAnsi="Times New Roman" w:cs="Times New Roman"/>
          <w:sz w:val="24"/>
          <w:szCs w:val="24"/>
          <w:lang w:val="en-GB"/>
        </w:rPr>
        <w:t>.</w:t>
      </w:r>
      <w:r w:rsidR="00AB01CF" w:rsidRPr="001B3BA5">
        <w:rPr>
          <w:rFonts w:ascii="Times New Roman" w:hAnsi="Times New Roman" w:cs="Times New Roman"/>
          <w:sz w:val="24"/>
          <w:szCs w:val="24"/>
          <w:lang w:val="en-GB"/>
        </w:rPr>
        <w:t xml:space="preserve"> </w:t>
      </w:r>
      <w:r w:rsidR="00D77BFD" w:rsidRPr="001B3BA5">
        <w:rPr>
          <w:rFonts w:ascii="Times New Roman" w:hAnsi="Times New Roman" w:cs="Times New Roman"/>
          <w:sz w:val="24"/>
          <w:szCs w:val="24"/>
          <w:lang w:val="en-GB"/>
        </w:rPr>
        <w:t>O</w:t>
      </w:r>
      <w:r w:rsidR="00091EE0" w:rsidRPr="001B3BA5">
        <w:rPr>
          <w:rFonts w:ascii="Times New Roman" w:hAnsi="Times New Roman" w:cs="Times New Roman"/>
          <w:sz w:val="24"/>
          <w:szCs w:val="24"/>
          <w:lang w:val="en-GB"/>
        </w:rPr>
        <w:t xml:space="preserve">ur results </w:t>
      </w:r>
      <w:r w:rsidR="00EF5846" w:rsidRPr="001B3BA5">
        <w:rPr>
          <w:rFonts w:ascii="Times New Roman" w:hAnsi="Times New Roman" w:cs="Times New Roman"/>
          <w:sz w:val="24"/>
          <w:szCs w:val="24"/>
          <w:lang w:val="en-GB"/>
        </w:rPr>
        <w:t xml:space="preserve">indicate </w:t>
      </w:r>
      <w:r w:rsidR="00091EE0" w:rsidRPr="001B3BA5">
        <w:rPr>
          <w:rFonts w:ascii="Times New Roman" w:hAnsi="Times New Roman" w:cs="Times New Roman"/>
          <w:sz w:val="24"/>
          <w:szCs w:val="24"/>
          <w:lang w:val="en-GB"/>
        </w:rPr>
        <w:t xml:space="preserve">that CPO </w:t>
      </w:r>
      <w:r w:rsidR="00A91239" w:rsidRPr="001B3BA5">
        <w:rPr>
          <w:rFonts w:ascii="Times New Roman" w:hAnsi="Times New Roman" w:cs="Times New Roman"/>
          <w:sz w:val="24"/>
          <w:szCs w:val="24"/>
          <w:lang w:val="en-GB"/>
        </w:rPr>
        <w:t>i</w:t>
      </w:r>
      <w:r w:rsidR="00091EE0" w:rsidRPr="001B3BA5">
        <w:rPr>
          <w:rFonts w:ascii="Times New Roman" w:hAnsi="Times New Roman" w:cs="Times New Roman"/>
          <w:sz w:val="24"/>
          <w:szCs w:val="24"/>
          <w:lang w:val="en-GB"/>
        </w:rPr>
        <w:t xml:space="preserve">s a more </w:t>
      </w:r>
      <w:r w:rsidR="00EF5846" w:rsidRPr="001B3BA5">
        <w:rPr>
          <w:rFonts w:ascii="Times New Roman" w:hAnsi="Times New Roman" w:cs="Times New Roman"/>
          <w:sz w:val="24"/>
          <w:szCs w:val="24"/>
          <w:lang w:val="en-GB"/>
        </w:rPr>
        <w:t xml:space="preserve">critical </w:t>
      </w:r>
      <w:r w:rsidR="00091EE0" w:rsidRPr="001B3BA5">
        <w:rPr>
          <w:rFonts w:ascii="Times New Roman" w:hAnsi="Times New Roman" w:cs="Times New Roman"/>
          <w:sz w:val="24"/>
          <w:szCs w:val="24"/>
          <w:lang w:val="en-GB"/>
        </w:rPr>
        <w:t xml:space="preserve">predictor of the Brexit vote than national identification and place attachment, but not as </w:t>
      </w:r>
      <w:r w:rsidR="00EF5846" w:rsidRPr="001B3BA5">
        <w:rPr>
          <w:rFonts w:ascii="Times New Roman" w:hAnsi="Times New Roman" w:cs="Times New Roman"/>
          <w:sz w:val="24"/>
          <w:szCs w:val="24"/>
          <w:lang w:val="en-GB"/>
        </w:rPr>
        <w:t xml:space="preserve">critical </w:t>
      </w:r>
      <w:r w:rsidR="00091EE0" w:rsidRPr="001B3BA5">
        <w:rPr>
          <w:rFonts w:ascii="Times New Roman" w:hAnsi="Times New Roman" w:cs="Times New Roman"/>
          <w:sz w:val="24"/>
          <w:szCs w:val="24"/>
          <w:lang w:val="en-GB"/>
        </w:rPr>
        <w:t xml:space="preserve">as adherence to sovereignty. </w:t>
      </w:r>
      <w:r w:rsidR="00AB01CF" w:rsidRPr="001B3BA5">
        <w:rPr>
          <w:rFonts w:ascii="Times New Roman" w:hAnsi="Times New Roman" w:cs="Times New Roman"/>
          <w:sz w:val="24"/>
          <w:szCs w:val="24"/>
          <w:lang w:val="en-GB"/>
        </w:rPr>
        <w:t xml:space="preserve">Future research should </w:t>
      </w:r>
      <w:r w:rsidR="00080881" w:rsidRPr="001B3BA5">
        <w:rPr>
          <w:rFonts w:ascii="Times New Roman" w:hAnsi="Times New Roman" w:cs="Times New Roman"/>
          <w:sz w:val="24"/>
          <w:szCs w:val="24"/>
          <w:lang w:val="en-GB"/>
        </w:rPr>
        <w:t xml:space="preserve">examine </w:t>
      </w:r>
      <w:r w:rsidR="0057683A" w:rsidRPr="001B3BA5">
        <w:rPr>
          <w:rFonts w:ascii="Times New Roman" w:hAnsi="Times New Roman" w:cs="Times New Roman"/>
          <w:sz w:val="24"/>
          <w:szCs w:val="24"/>
          <w:lang w:val="en-GB"/>
        </w:rPr>
        <w:t xml:space="preserve">populist attitudes </w:t>
      </w:r>
      <w:r w:rsidR="0057683A" w:rsidRPr="001B3BA5">
        <w:rPr>
          <w:rFonts w:ascii="Times New Roman" w:hAnsi="Times New Roman" w:cs="Times New Roman"/>
          <w:sz w:val="24"/>
          <w:szCs w:val="24"/>
          <w:lang w:val="en-GB"/>
        </w:rPr>
        <w:fldChar w:fldCharType="begin"/>
      </w:r>
      <w:r w:rsidR="003068D3" w:rsidRPr="001B3BA5">
        <w:rPr>
          <w:rFonts w:ascii="Times New Roman" w:hAnsi="Times New Roman" w:cs="Times New Roman"/>
          <w:sz w:val="24"/>
          <w:szCs w:val="24"/>
          <w:lang w:val="en-GB"/>
        </w:rPr>
        <w:instrText xml:space="preserve"> ADDIN EN.CITE &lt;EndNote&gt;&lt;Cite&gt;&lt;Author&gt;Hobolt&lt;/Author&gt;&lt;Year&gt;2016&lt;/Year&gt;&lt;RecNum&gt;1281&lt;/RecNum&gt;&lt;DisplayText&gt;(Hobolt, 2016)&lt;/DisplayText&gt;&lt;record&gt;&lt;rec-number&gt;1281&lt;/rec-number&gt;&lt;foreign-keys&gt;&lt;key app="EN" db-id="es92r5v5dve2z0erx59pv50vtp29v0t9ef5f" timestamp="1530191999"&gt;1281&lt;/key&gt;&lt;key app="ENWeb" db-id=""&gt;0&lt;/key&gt;&lt;/foreign-keys&gt;&lt;ref-type name="Journal Article"&gt;17&lt;/ref-type&gt;&lt;contributors&gt;&lt;authors&gt;&lt;author&gt;Hobolt, Sara B.&lt;/author&gt;&lt;/authors&gt;&lt;/contributors&gt;&lt;titles&gt;&lt;title&gt;The Brexit vote: A divided nation, a divided continent&lt;/title&gt;&lt;secondary-title&gt;Journal of European Public Policy&lt;/secondary-title&gt;&lt;/titles&gt;&lt;periodical&gt;&lt;full-title&gt;Journal of European Public Policy&lt;/full-title&gt;&lt;/periodical&gt;&lt;pages&gt;1259-1277&lt;/pages&gt;&lt;volume&gt;23&lt;/volume&gt;&lt;number&gt;9&lt;/number&gt;&lt;dates&gt;&lt;year&gt;2016&lt;/year&gt;&lt;/dates&gt;&lt;isbn&gt;1350-1763&amp;#xD;1466-4429&lt;/isbn&gt;&lt;urls&gt;&lt;/urls&gt;&lt;electronic-resource-num&gt;10.1080/13501763.2016.1225785&lt;/electronic-resource-num&gt;&lt;/record&gt;&lt;/Cite&gt;&lt;/EndNote&gt;</w:instrText>
      </w:r>
      <w:r w:rsidR="0057683A" w:rsidRPr="001B3BA5">
        <w:rPr>
          <w:rFonts w:ascii="Times New Roman" w:hAnsi="Times New Roman" w:cs="Times New Roman"/>
          <w:sz w:val="24"/>
          <w:szCs w:val="24"/>
          <w:lang w:val="en-GB"/>
        </w:rPr>
        <w:fldChar w:fldCharType="separate"/>
      </w:r>
      <w:r w:rsidR="003068D3" w:rsidRPr="001B3BA5">
        <w:rPr>
          <w:rFonts w:ascii="Times New Roman" w:hAnsi="Times New Roman" w:cs="Times New Roman"/>
          <w:noProof/>
          <w:sz w:val="24"/>
          <w:szCs w:val="24"/>
          <w:lang w:val="en-GB"/>
        </w:rPr>
        <w:t>(Hobolt, 2016)</w:t>
      </w:r>
      <w:r w:rsidR="0057683A" w:rsidRPr="001B3BA5">
        <w:rPr>
          <w:rFonts w:ascii="Times New Roman" w:hAnsi="Times New Roman" w:cs="Times New Roman"/>
          <w:sz w:val="24"/>
          <w:szCs w:val="24"/>
          <w:lang w:val="en-GB"/>
        </w:rPr>
        <w:fldChar w:fldCharType="end"/>
      </w:r>
      <w:r w:rsidR="008643F0" w:rsidRPr="001B3BA5">
        <w:rPr>
          <w:rFonts w:ascii="Times New Roman" w:hAnsi="Times New Roman" w:cs="Times New Roman"/>
          <w:sz w:val="24"/>
          <w:szCs w:val="24"/>
          <w:lang w:val="en-GB"/>
        </w:rPr>
        <w:t>,</w:t>
      </w:r>
      <w:r w:rsidR="0057683A" w:rsidRPr="001B3BA5">
        <w:rPr>
          <w:rFonts w:ascii="Times New Roman" w:hAnsi="Times New Roman" w:cs="Times New Roman"/>
          <w:sz w:val="24"/>
          <w:szCs w:val="24"/>
          <w:lang w:val="en-GB"/>
        </w:rPr>
        <w:t xml:space="preserve"> intergroup threat </w:t>
      </w:r>
      <w:r w:rsidR="0057683A" w:rsidRPr="001B3BA5">
        <w:rPr>
          <w:rFonts w:ascii="Times New Roman" w:hAnsi="Times New Roman" w:cs="Times New Roman"/>
          <w:sz w:val="24"/>
          <w:szCs w:val="24"/>
          <w:lang w:val="en-GB"/>
        </w:rPr>
        <w:fldChar w:fldCharType="begin"/>
      </w:r>
      <w:r w:rsidR="0057683A" w:rsidRPr="001B3BA5">
        <w:rPr>
          <w:rFonts w:ascii="Times New Roman" w:hAnsi="Times New Roman" w:cs="Times New Roman"/>
          <w:sz w:val="24"/>
          <w:szCs w:val="24"/>
          <w:lang w:val="en-GB"/>
        </w:rPr>
        <w:instrText xml:space="preserve"> ADDIN EN.CITE &lt;EndNote&gt;&lt;Cite&gt;&lt;Author&gt;Van de Vyver&lt;/Author&gt;&lt;Year&gt;2018&lt;/Year&gt;&lt;RecNum&gt;1511&lt;/RecNum&gt;&lt;DisplayText&gt;(Van de Vyver, Leite, Abrams, &amp;amp; Palmer, 2018)&lt;/DisplayText&gt;&lt;record&gt;&lt;rec-number&gt;1511&lt;/rec-number&gt;&lt;foreign-keys&gt;&lt;key app="EN" db-id="es92r5v5dve2z0erx59pv50vtp29v0t9ef5f" timestamp="1573575073"&gt;1511&lt;/key&gt;&lt;key app="ENWeb" db-id=""&gt;0&lt;/key&gt;&lt;/foreign-keys&gt;&lt;ref-type name="Journal Article"&gt;17&lt;/ref-type&gt;&lt;contributors&gt;&lt;authors&gt;&lt;author&gt;Van de Vyver, Julie&lt;/author&gt;&lt;author&gt;Leite, Ana C.&lt;/author&gt;&lt;author&gt;Abrams, Dominic&lt;/author&gt;&lt;author&gt;Palmer, Sally B.&lt;/author&gt;&lt;/authors&gt;&lt;/contributors&gt;&lt;titles&gt;&lt;title&gt;Brexit or Bremain? A person and social analysis of voting decisions in the EU referendum&lt;/title&gt;&lt;secondary-title&gt;Journal of Community &amp;amp; Applied Social Psychology&lt;/secondary-title&gt;&lt;/titles&gt;&lt;periodical&gt;&lt;full-title&gt;Journal of Community &amp;amp; Applied Social Psychology&lt;/full-title&gt;&lt;/periodical&gt;&lt;pages&gt;65-79&lt;/pages&gt;&lt;volume&gt;28&lt;/volume&gt;&lt;number&gt;2&lt;/number&gt;&lt;dates&gt;&lt;year&gt;2018&lt;/year&gt;&lt;/dates&gt;&lt;isbn&gt;10529284&lt;/isbn&gt;&lt;urls&gt;&lt;/urls&gt;&lt;electronic-resource-num&gt;10.1002/casp.2341&lt;/electronic-resource-num&gt;&lt;/record&gt;&lt;/Cite&gt;&lt;/EndNote&gt;</w:instrText>
      </w:r>
      <w:r w:rsidR="0057683A" w:rsidRPr="001B3BA5">
        <w:rPr>
          <w:rFonts w:ascii="Times New Roman" w:hAnsi="Times New Roman" w:cs="Times New Roman"/>
          <w:sz w:val="24"/>
          <w:szCs w:val="24"/>
          <w:lang w:val="en-GB"/>
        </w:rPr>
        <w:fldChar w:fldCharType="separate"/>
      </w:r>
      <w:r w:rsidR="0057683A" w:rsidRPr="001B3BA5">
        <w:rPr>
          <w:rFonts w:ascii="Times New Roman" w:hAnsi="Times New Roman" w:cs="Times New Roman"/>
          <w:noProof/>
          <w:sz w:val="24"/>
          <w:szCs w:val="24"/>
          <w:lang w:val="en-GB"/>
        </w:rPr>
        <w:t>(Van de Vyver, Leite, Abrams, &amp; Palmer, 2018)</w:t>
      </w:r>
      <w:r w:rsidR="0057683A" w:rsidRPr="001B3BA5">
        <w:rPr>
          <w:rFonts w:ascii="Times New Roman" w:hAnsi="Times New Roman" w:cs="Times New Roman"/>
          <w:sz w:val="24"/>
          <w:szCs w:val="24"/>
          <w:lang w:val="en-GB"/>
        </w:rPr>
        <w:fldChar w:fldCharType="end"/>
      </w:r>
      <w:r w:rsidR="00A86694" w:rsidRPr="001B3BA5">
        <w:rPr>
          <w:rFonts w:ascii="Times New Roman" w:hAnsi="Times New Roman" w:cs="Times New Roman"/>
          <w:sz w:val="24"/>
          <w:szCs w:val="24"/>
          <w:lang w:val="en-GB"/>
        </w:rPr>
        <w:t>,</w:t>
      </w:r>
      <w:r w:rsidR="008643F0" w:rsidRPr="001B3BA5">
        <w:rPr>
          <w:rFonts w:ascii="Times New Roman" w:hAnsi="Times New Roman" w:cs="Times New Roman"/>
          <w:sz w:val="24"/>
          <w:szCs w:val="24"/>
          <w:lang w:val="en-GB"/>
        </w:rPr>
        <w:t xml:space="preserve"> and national nostalgia </w:t>
      </w:r>
      <w:r w:rsidR="00AE04E3">
        <w:rPr>
          <w:rFonts w:ascii="Times New Roman" w:hAnsi="Times New Roman" w:cs="Times New Roman"/>
          <w:sz w:val="24"/>
          <w:szCs w:val="24"/>
          <w:lang w:val="en-GB"/>
        </w:rPr>
        <w:fldChar w:fldCharType="begin"/>
      </w:r>
      <w:r w:rsidR="00AE04E3">
        <w:rPr>
          <w:rFonts w:ascii="Times New Roman" w:hAnsi="Times New Roman" w:cs="Times New Roman"/>
          <w:sz w:val="24"/>
          <w:szCs w:val="24"/>
          <w:lang w:val="en-GB"/>
        </w:rPr>
        <w:instrText xml:space="preserve"> ADDIN EN.CITE &lt;EndNote&gt;&lt;Cite&gt;&lt;Author&gt;Sedikides&lt;/Author&gt;&lt;Year&gt;2019&lt;/Year&gt;&lt;RecNum&gt;1605&lt;/RecNum&gt;&lt;DisplayText&gt;(Sedikides &amp;amp; Wildschut, 2019)&lt;/DisplayText&gt;&lt;record&gt;&lt;rec-number&gt;1605&lt;/rec-number&gt;&lt;foreign-keys&gt;&lt;key app="EN" db-id="es92r5v5dve2z0erx59pv50vtp29v0t9ef5f" timestamp="1585561350"&gt;1605&lt;/key&gt;&lt;key app="ENWeb" db-id=""&gt;0&lt;/key&gt;&lt;/foreign-keys&gt;&lt;ref-type name="Journal Article"&gt;17&lt;/ref-type&gt;&lt;contributors&gt;&lt;authors&gt;&lt;author&gt;Sedikides, Constantine&lt;/author&gt;&lt;author&gt;Wildschut, Tim&lt;/author&gt;&lt;/authors&gt;&lt;/contributors&gt;&lt;titles&gt;&lt;title&gt;The sociality of personal and collective nostalgia&lt;/title&gt;&lt;secondary-title&gt;European Review of Social Psychology&lt;/secondary-title&gt;&lt;/titles&gt;&lt;periodical&gt;&lt;full-title&gt;European Review of Social Psychology&lt;/full-title&gt;&lt;/periodical&gt;&lt;pages&gt;123-173&lt;/pages&gt;&lt;volume&gt;30&lt;/volume&gt;&lt;number&gt;1&lt;/number&gt;&lt;dates&gt;&lt;year&gt;2019&lt;/year&gt;&lt;/dates&gt;&lt;isbn&gt;1046-3283&amp;#xD;1479-277X&lt;/isbn&gt;&lt;urls&gt;&lt;/urls&gt;&lt;electronic-resource-num&gt;10.1080/10463283.2019.1630098&lt;/electronic-resource-num&gt;&lt;/record&gt;&lt;/Cite&gt;&lt;/EndNote&gt;</w:instrText>
      </w:r>
      <w:r w:rsidR="00AE04E3">
        <w:rPr>
          <w:rFonts w:ascii="Times New Roman" w:hAnsi="Times New Roman" w:cs="Times New Roman"/>
          <w:sz w:val="24"/>
          <w:szCs w:val="24"/>
          <w:lang w:val="en-GB"/>
        </w:rPr>
        <w:fldChar w:fldCharType="separate"/>
      </w:r>
      <w:r w:rsidR="00AE04E3">
        <w:rPr>
          <w:rFonts w:ascii="Times New Roman" w:hAnsi="Times New Roman" w:cs="Times New Roman"/>
          <w:noProof/>
          <w:sz w:val="24"/>
          <w:szCs w:val="24"/>
          <w:lang w:val="en-GB"/>
        </w:rPr>
        <w:t>(Sedikides &amp; Wildschut, 2019)</w:t>
      </w:r>
      <w:r w:rsidR="00AE04E3">
        <w:rPr>
          <w:rFonts w:ascii="Times New Roman" w:hAnsi="Times New Roman" w:cs="Times New Roman"/>
          <w:sz w:val="24"/>
          <w:szCs w:val="24"/>
          <w:lang w:val="en-GB"/>
        </w:rPr>
        <w:fldChar w:fldCharType="end"/>
      </w:r>
      <w:r w:rsidR="008643F0" w:rsidRPr="001B3BA5">
        <w:rPr>
          <w:rFonts w:ascii="Times New Roman" w:hAnsi="Times New Roman" w:cs="Times New Roman"/>
          <w:sz w:val="24"/>
          <w:szCs w:val="24"/>
          <w:lang w:val="en-GB"/>
        </w:rPr>
        <w:t xml:space="preserve">, </w:t>
      </w:r>
      <w:r w:rsidR="00A86694" w:rsidRPr="001B3BA5">
        <w:rPr>
          <w:rFonts w:ascii="Times New Roman" w:hAnsi="Times New Roman" w:cs="Times New Roman"/>
          <w:sz w:val="24"/>
          <w:szCs w:val="24"/>
          <w:lang w:val="en-GB"/>
        </w:rPr>
        <w:t>along with</w:t>
      </w:r>
      <w:r w:rsidR="00080881" w:rsidRPr="001B3BA5">
        <w:rPr>
          <w:rFonts w:ascii="Times New Roman" w:hAnsi="Times New Roman" w:cs="Times New Roman"/>
          <w:sz w:val="24"/>
          <w:szCs w:val="24"/>
          <w:lang w:val="en-GB"/>
        </w:rPr>
        <w:t xml:space="preserve"> their interaction with </w:t>
      </w:r>
      <w:r w:rsidR="00DC7F0F" w:rsidRPr="001B3BA5">
        <w:rPr>
          <w:rFonts w:ascii="Times New Roman" w:hAnsi="Times New Roman" w:cs="Times New Roman"/>
          <w:sz w:val="24"/>
          <w:szCs w:val="24"/>
          <w:lang w:val="en-GB"/>
        </w:rPr>
        <w:t>CPO</w:t>
      </w:r>
      <w:r w:rsidR="00080881" w:rsidRPr="001B3BA5">
        <w:rPr>
          <w:rFonts w:ascii="Times New Roman" w:hAnsi="Times New Roman" w:cs="Times New Roman"/>
          <w:sz w:val="24"/>
          <w:szCs w:val="24"/>
          <w:lang w:val="en-GB"/>
        </w:rPr>
        <w:t xml:space="preserve">. </w:t>
      </w:r>
    </w:p>
    <w:p w14:paraId="28F21CE3" w14:textId="12995220" w:rsidR="00E2198E" w:rsidRPr="001B3BA5" w:rsidRDefault="00E2198E" w:rsidP="00584266">
      <w:pPr>
        <w:pStyle w:val="ListParagraph"/>
        <w:spacing w:after="0" w:line="480" w:lineRule="exact"/>
        <w:ind w:left="0" w:firstLine="709"/>
        <w:rPr>
          <w:rFonts w:asciiTheme="majorBidi" w:hAnsiTheme="majorBidi" w:cstheme="majorBidi"/>
          <w:sz w:val="24"/>
          <w:szCs w:val="24"/>
          <w:lang w:val="en-GB"/>
        </w:rPr>
      </w:pPr>
      <w:r w:rsidRPr="001B3BA5">
        <w:rPr>
          <w:rFonts w:ascii="Times New Roman" w:hAnsi="Times New Roman" w:cs="Times New Roman"/>
          <w:iCs/>
          <w:sz w:val="24"/>
          <w:szCs w:val="24"/>
          <w:lang w:val="en-GB"/>
        </w:rPr>
        <w:t>Third</w:t>
      </w:r>
      <w:r w:rsidRPr="001B3BA5">
        <w:rPr>
          <w:rFonts w:ascii="Times New Roman" w:hAnsi="Times New Roman" w:cs="Times New Roman"/>
          <w:sz w:val="24"/>
          <w:szCs w:val="24"/>
          <w:lang w:val="en-GB"/>
        </w:rPr>
        <w:t xml:space="preserve">, </w:t>
      </w:r>
      <w:r w:rsidRPr="001B3BA5">
        <w:rPr>
          <w:rFonts w:asciiTheme="majorBidi" w:hAnsiTheme="majorBidi" w:cstheme="majorBidi"/>
          <w:sz w:val="24"/>
          <w:szCs w:val="24"/>
          <w:lang w:val="en-GB"/>
        </w:rPr>
        <w:t xml:space="preserve">we focused on the exclusionary consequences of </w:t>
      </w:r>
      <w:r w:rsidR="00DC7F0F" w:rsidRPr="001B3BA5">
        <w:rPr>
          <w:rFonts w:asciiTheme="majorBidi" w:hAnsiTheme="majorBidi" w:cstheme="majorBidi"/>
          <w:sz w:val="24"/>
          <w:szCs w:val="24"/>
          <w:lang w:val="en-GB"/>
        </w:rPr>
        <w:t>CPO</w:t>
      </w:r>
      <w:r w:rsidR="00080881" w:rsidRPr="001B3BA5">
        <w:rPr>
          <w:rFonts w:asciiTheme="majorBidi" w:hAnsiTheme="majorBidi" w:cstheme="majorBidi"/>
          <w:sz w:val="24"/>
          <w:szCs w:val="24"/>
          <w:lang w:val="en-GB"/>
        </w:rPr>
        <w:t xml:space="preserve">. Follow-up </w:t>
      </w:r>
      <w:r w:rsidRPr="001B3BA5">
        <w:rPr>
          <w:rFonts w:asciiTheme="majorBidi" w:hAnsiTheme="majorBidi" w:cstheme="majorBidi"/>
          <w:sz w:val="24"/>
          <w:szCs w:val="24"/>
          <w:lang w:val="en-GB"/>
        </w:rPr>
        <w:t xml:space="preserve">research could </w:t>
      </w:r>
      <w:r w:rsidR="00080881" w:rsidRPr="001B3BA5">
        <w:rPr>
          <w:rFonts w:asciiTheme="majorBidi" w:hAnsiTheme="majorBidi" w:cstheme="majorBidi"/>
          <w:sz w:val="24"/>
          <w:szCs w:val="24"/>
          <w:lang w:val="en-GB"/>
        </w:rPr>
        <w:t xml:space="preserve">address </w:t>
      </w:r>
      <w:r w:rsidR="00A86694" w:rsidRPr="001B3BA5">
        <w:rPr>
          <w:rFonts w:asciiTheme="majorBidi" w:hAnsiTheme="majorBidi" w:cstheme="majorBidi"/>
          <w:sz w:val="24"/>
          <w:szCs w:val="24"/>
          <w:lang w:val="en-GB"/>
        </w:rPr>
        <w:t>its</w:t>
      </w:r>
      <w:r w:rsidRPr="001B3BA5">
        <w:rPr>
          <w:rFonts w:asciiTheme="majorBidi" w:hAnsiTheme="majorBidi" w:cstheme="majorBidi"/>
          <w:sz w:val="24"/>
          <w:szCs w:val="24"/>
          <w:lang w:val="en-GB"/>
        </w:rPr>
        <w:t xml:space="preserve"> inclusionary side. </w:t>
      </w:r>
      <w:bookmarkStart w:id="48" w:name="_Hlk18493759"/>
      <w:r w:rsidR="000404DD" w:rsidRPr="001B3BA5">
        <w:rPr>
          <w:rFonts w:asciiTheme="majorBidi" w:hAnsiTheme="majorBidi" w:cstheme="majorBidi"/>
          <w:sz w:val="24"/>
          <w:szCs w:val="24"/>
          <w:lang w:val="en-GB"/>
        </w:rPr>
        <w:t>A sense of o</w:t>
      </w:r>
      <w:r w:rsidRPr="001B3BA5">
        <w:rPr>
          <w:rFonts w:asciiTheme="majorBidi" w:hAnsiTheme="majorBidi" w:cstheme="majorBidi"/>
          <w:sz w:val="24"/>
          <w:szCs w:val="24"/>
          <w:lang w:val="en-GB"/>
        </w:rPr>
        <w:t>wnership can be shared</w:t>
      </w:r>
      <w:r w:rsidR="00080881"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which c</w:t>
      </w:r>
      <w:r w:rsidR="00A91239" w:rsidRPr="001B3BA5">
        <w:rPr>
          <w:rFonts w:asciiTheme="majorBidi" w:hAnsiTheme="majorBidi" w:cstheme="majorBidi"/>
          <w:sz w:val="24"/>
          <w:szCs w:val="24"/>
          <w:lang w:val="en-GB"/>
        </w:rPr>
        <w:t>an</w:t>
      </w:r>
      <w:r w:rsidRPr="001B3BA5">
        <w:rPr>
          <w:rFonts w:asciiTheme="majorBidi" w:hAnsiTheme="majorBidi" w:cstheme="majorBidi"/>
          <w:sz w:val="24"/>
          <w:szCs w:val="24"/>
          <w:lang w:val="en-GB"/>
        </w:rPr>
        <w:t xml:space="preserve"> </w:t>
      </w:r>
      <w:r w:rsidR="00080881" w:rsidRPr="001B3BA5">
        <w:rPr>
          <w:rFonts w:asciiTheme="majorBidi" w:hAnsiTheme="majorBidi" w:cstheme="majorBidi"/>
          <w:sz w:val="24"/>
          <w:szCs w:val="24"/>
          <w:lang w:val="en-GB"/>
        </w:rPr>
        <w:t>strengthen the</w:t>
      </w:r>
      <w:r w:rsidRPr="001B3BA5">
        <w:rPr>
          <w:rFonts w:asciiTheme="majorBidi" w:hAnsiTheme="majorBidi" w:cstheme="majorBidi"/>
          <w:sz w:val="24"/>
          <w:szCs w:val="24"/>
          <w:lang w:val="en-GB"/>
        </w:rPr>
        <w:t xml:space="preserve"> belief that a country belongs to </w:t>
      </w:r>
      <w:r w:rsidR="00B146E8"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all of us</w:t>
      </w:r>
      <w:r w:rsidR="00B146E8" w:rsidRPr="001B3BA5">
        <w:rPr>
          <w:rFonts w:asciiTheme="majorBidi" w:hAnsiTheme="majorBidi" w:cstheme="majorBidi"/>
          <w:sz w:val="24"/>
          <w:szCs w:val="24"/>
          <w:lang w:val="en-GB"/>
        </w:rPr>
        <w:t>’</w:t>
      </w:r>
      <w:r w:rsidR="00A91239" w:rsidRPr="001B3BA5">
        <w:rPr>
          <w:rFonts w:asciiTheme="majorBidi" w:hAnsiTheme="majorBidi" w:cstheme="majorBidi"/>
          <w:sz w:val="24"/>
          <w:szCs w:val="24"/>
          <w:lang w:val="en-GB"/>
        </w:rPr>
        <w:t xml:space="preserve"> and that we are collectively responsible for how it functions.</w:t>
      </w:r>
      <w:r w:rsidRPr="001B3BA5">
        <w:rPr>
          <w:rFonts w:asciiTheme="majorBidi" w:hAnsiTheme="majorBidi" w:cstheme="majorBidi"/>
          <w:sz w:val="24"/>
          <w:szCs w:val="24"/>
          <w:lang w:val="en-GB"/>
        </w:rPr>
        <w:t xml:space="preserve"> </w:t>
      </w:r>
      <w:r w:rsidR="00080881" w:rsidRPr="001B3BA5">
        <w:rPr>
          <w:rFonts w:asciiTheme="majorBidi" w:hAnsiTheme="majorBidi" w:cstheme="majorBidi"/>
          <w:sz w:val="24"/>
          <w:szCs w:val="24"/>
          <w:lang w:val="en-GB"/>
        </w:rPr>
        <w:t xml:space="preserve">CPO </w:t>
      </w:r>
      <w:r w:rsidRPr="001B3BA5">
        <w:rPr>
          <w:rFonts w:asciiTheme="majorBidi" w:hAnsiTheme="majorBidi" w:cstheme="majorBidi"/>
          <w:sz w:val="24"/>
          <w:szCs w:val="24"/>
          <w:lang w:val="en-GB"/>
        </w:rPr>
        <w:t xml:space="preserve">can be accompanied by a sense of responsibility </w:t>
      </w:r>
      <w:r w:rsidRPr="001B3BA5">
        <w:rPr>
          <w:rFonts w:asciiTheme="majorBidi" w:hAnsiTheme="majorBidi" w:cstheme="majorBidi"/>
          <w:sz w:val="24"/>
          <w:szCs w:val="24"/>
          <w:lang w:val="en-GB"/>
        </w:rPr>
        <w:fldChar w:fldCharType="begin"/>
      </w:r>
      <w:r w:rsidR="0056663E" w:rsidRPr="001B3BA5">
        <w:rPr>
          <w:rFonts w:asciiTheme="majorBidi" w:hAnsiTheme="majorBidi" w:cstheme="majorBidi"/>
          <w:sz w:val="24"/>
          <w:szCs w:val="24"/>
          <w:lang w:val="en-GB"/>
        </w:rPr>
        <w:instrText xml:space="preserve"> ADDIN EN.CITE &lt;EndNote&gt;&lt;Cite&gt;&lt;Author&gt;Verkuyten&lt;/Author&gt;&lt;Year&gt;2017&lt;/Year&gt;&lt;RecNum&gt;1088&lt;/RecNum&gt;&lt;DisplayText&gt;(Verkuyten &amp;amp; Martinovic, 2017)&lt;/DisplayText&gt;&lt;record&gt;&lt;rec-number&gt;1088&lt;/rec-number&gt;&lt;foreign-keys&gt;&lt;key app="EN" db-id="es92r5v5dve2z0erx59pv50vtp29v0t9ef5f" timestamp="1507274941"&gt;1088&lt;/key&gt;&lt;key app="ENWeb" db-id=""&gt;0&lt;/key&gt;&lt;/foreign-keys&gt;&lt;ref-type name="Journal Article"&gt;17&lt;/ref-type&gt;&lt;contributors&gt;&lt;authors&gt;&lt;author&gt;Verkuyten, Maykel&lt;/author&gt;&lt;author&gt;Martinovic, Borja&lt;/author&gt;&lt;/authors&gt;&lt;/contributors&gt;&lt;auth-address&gt;Interdisciplinary Social Science/Ercomer, Utrecht University.&lt;/auth-address&gt;&lt;titles&gt;&lt;title&gt;Collective psychological ownership and intergroup relations&lt;/title&gt;&lt;secondary-title&gt;Perspectives on Psychological Science&lt;/secondary-title&gt;&lt;/titles&gt;&lt;periodical&gt;&lt;full-title&gt;Perspectives on Psychological Science&lt;/full-title&gt;&lt;/periodical&gt;&lt;pages&gt;1021-1039&lt;/pages&gt;&lt;volume&gt;12&lt;/volume&gt;&lt;number&gt;6&lt;/number&gt;&lt;keywords&gt;&lt;keyword&gt;culture/diversity&lt;/keyword&gt;&lt;keyword&gt;intergroup relations&lt;/keyword&gt;&lt;keyword&gt;intragroup processes&lt;/keyword&gt;&lt;keyword&gt;ownership&lt;/keyword&gt;&lt;/keywords&gt;&lt;dates&gt;&lt;year&gt;2017&lt;/year&gt;&lt;pub-dates&gt;&lt;date&gt;Sep 01&lt;/date&gt;&lt;/pub-dates&gt;&lt;/dates&gt;&lt;isbn&gt;1745-6924 (Electronic)&amp;#xD;1745-6916 (Linking)&lt;/isbn&gt;&lt;accession-num&gt;28937914&lt;/accession-num&gt;&lt;urls&gt;&lt;related-urls&gt;&lt;url&gt;&lt;style face="underline" font="default" size="100%"&gt;https://www.ncbi.nlm.nih.gov/pubmed/28937914&lt;/style&gt;&lt;/url&gt;&lt;/related-urls&gt;&lt;/urls&gt;&lt;electronic-resource-num&gt;10.1177/1745691617706514&lt;/electronic-resource-num&gt;&lt;/record&gt;&lt;/Cite&gt;&lt;/EndNote&gt;</w:instrText>
      </w:r>
      <w:r w:rsidRPr="001B3BA5">
        <w:rPr>
          <w:rFonts w:asciiTheme="majorBidi" w:hAnsiTheme="majorBidi" w:cstheme="majorBidi"/>
          <w:sz w:val="24"/>
          <w:szCs w:val="24"/>
          <w:lang w:val="en-GB"/>
        </w:rPr>
        <w:fldChar w:fldCharType="separate"/>
      </w:r>
      <w:r w:rsidRPr="001B3BA5">
        <w:rPr>
          <w:rFonts w:asciiTheme="majorBidi" w:hAnsiTheme="majorBidi" w:cstheme="majorBidi"/>
          <w:noProof/>
          <w:sz w:val="24"/>
          <w:szCs w:val="24"/>
          <w:lang w:val="en-GB"/>
        </w:rPr>
        <w:t>(Verkuyten &amp; Martinovic, 2017)</w:t>
      </w:r>
      <w:r w:rsidRPr="001B3BA5">
        <w:rPr>
          <w:rFonts w:asciiTheme="majorBidi" w:hAnsiTheme="majorBidi" w:cstheme="majorBidi"/>
          <w:sz w:val="24"/>
          <w:szCs w:val="24"/>
          <w:lang w:val="en-GB"/>
        </w:rPr>
        <w:fldChar w:fldCharType="end"/>
      </w:r>
      <w:r w:rsidR="00080881" w:rsidRPr="001B3BA5">
        <w:rPr>
          <w:rFonts w:asciiTheme="majorBidi" w:hAnsiTheme="majorBidi" w:cstheme="majorBidi"/>
          <w:sz w:val="24"/>
          <w:szCs w:val="24"/>
          <w:lang w:val="en-GB"/>
        </w:rPr>
        <w:t xml:space="preserve"> cascading into </w:t>
      </w:r>
      <w:r w:rsidRPr="001B3BA5">
        <w:rPr>
          <w:rFonts w:asciiTheme="majorBidi" w:hAnsiTheme="majorBidi" w:cstheme="majorBidi"/>
          <w:sz w:val="24"/>
          <w:szCs w:val="24"/>
          <w:lang w:val="en-GB"/>
        </w:rPr>
        <w:t>positive intragroup consequences, such as willingness to be politically active</w:t>
      </w:r>
      <w:r w:rsidR="00674C94"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volunt</w:t>
      </w:r>
      <w:r w:rsidR="00A86694" w:rsidRPr="001B3BA5">
        <w:rPr>
          <w:rFonts w:asciiTheme="majorBidi" w:hAnsiTheme="majorBidi" w:cstheme="majorBidi"/>
          <w:sz w:val="24"/>
          <w:szCs w:val="24"/>
          <w:lang w:val="en-GB"/>
        </w:rPr>
        <w:t>eer</w:t>
      </w:r>
      <w:r w:rsidR="00EF5846" w:rsidRPr="001B3BA5">
        <w:rPr>
          <w:rFonts w:asciiTheme="majorBidi" w:hAnsiTheme="majorBidi" w:cstheme="majorBidi"/>
          <w:sz w:val="24"/>
          <w:szCs w:val="24"/>
          <w:lang w:val="en-GB"/>
        </w:rPr>
        <w:t>,</w:t>
      </w:r>
      <w:r w:rsidR="00674C94" w:rsidRPr="001B3BA5">
        <w:rPr>
          <w:rFonts w:asciiTheme="majorBidi" w:hAnsiTheme="majorBidi" w:cstheme="majorBidi"/>
          <w:sz w:val="24"/>
          <w:szCs w:val="24"/>
          <w:lang w:val="en-GB"/>
        </w:rPr>
        <w:t xml:space="preserve"> and make a contribution to society more generally</w:t>
      </w:r>
      <w:r w:rsidRPr="001B3BA5">
        <w:rPr>
          <w:rFonts w:asciiTheme="majorBidi" w:hAnsiTheme="majorBidi" w:cstheme="majorBidi"/>
          <w:sz w:val="24"/>
          <w:szCs w:val="24"/>
          <w:lang w:val="en-GB"/>
        </w:rPr>
        <w:t xml:space="preserve">. </w:t>
      </w:r>
    </w:p>
    <w:bookmarkEnd w:id="48"/>
    <w:p w14:paraId="4B2D5E4A" w14:textId="3DBFFC65" w:rsidR="00B718C0" w:rsidRPr="001B3BA5" w:rsidRDefault="00B718C0">
      <w:pPr>
        <w:spacing w:after="0" w:line="480" w:lineRule="exact"/>
        <w:ind w:firstLine="709"/>
        <w:rPr>
          <w:rFonts w:asciiTheme="majorBidi" w:hAnsiTheme="majorBidi" w:cstheme="majorBidi"/>
          <w:sz w:val="24"/>
          <w:szCs w:val="24"/>
          <w:lang w:val="en-GB"/>
        </w:rPr>
      </w:pPr>
      <w:r w:rsidRPr="001B3BA5">
        <w:rPr>
          <w:rFonts w:asciiTheme="majorBidi" w:hAnsiTheme="majorBidi" w:cstheme="majorBidi"/>
          <w:sz w:val="24"/>
          <w:szCs w:val="24"/>
          <w:lang w:val="en-GB"/>
        </w:rPr>
        <w:t xml:space="preserve">In </w:t>
      </w:r>
      <w:r w:rsidR="00AA1B97" w:rsidRPr="001B3BA5">
        <w:rPr>
          <w:rFonts w:asciiTheme="majorBidi" w:hAnsiTheme="majorBidi" w:cstheme="majorBidi"/>
          <w:sz w:val="24"/>
          <w:szCs w:val="24"/>
          <w:lang w:val="en-GB"/>
        </w:rPr>
        <w:t>closing</w:t>
      </w:r>
      <w:r w:rsidRPr="001B3BA5">
        <w:rPr>
          <w:rFonts w:asciiTheme="majorBidi" w:hAnsiTheme="majorBidi" w:cstheme="majorBidi"/>
          <w:sz w:val="24"/>
          <w:szCs w:val="24"/>
          <w:lang w:val="en-GB"/>
        </w:rPr>
        <w:t xml:space="preserve">, </w:t>
      </w:r>
      <w:r w:rsidR="00DD1D01" w:rsidRPr="001B3BA5">
        <w:rPr>
          <w:rFonts w:asciiTheme="majorBidi" w:hAnsiTheme="majorBidi" w:cstheme="majorBidi"/>
          <w:sz w:val="24"/>
          <w:szCs w:val="24"/>
          <w:lang w:val="en-GB"/>
        </w:rPr>
        <w:t xml:space="preserve">our </w:t>
      </w:r>
      <w:r w:rsidR="00A86694" w:rsidRPr="001B3BA5">
        <w:rPr>
          <w:rFonts w:asciiTheme="majorBidi" w:hAnsiTheme="majorBidi" w:cstheme="majorBidi"/>
          <w:sz w:val="24"/>
          <w:szCs w:val="24"/>
          <w:lang w:val="en-GB"/>
        </w:rPr>
        <w:t xml:space="preserve">findings </w:t>
      </w:r>
      <w:r w:rsidR="00DD1D01" w:rsidRPr="001B3BA5">
        <w:rPr>
          <w:rFonts w:asciiTheme="majorBidi" w:hAnsiTheme="majorBidi" w:cstheme="majorBidi"/>
          <w:sz w:val="24"/>
          <w:szCs w:val="24"/>
          <w:lang w:val="en-GB"/>
        </w:rPr>
        <w:t>indicated</w:t>
      </w:r>
      <w:r w:rsidRPr="001B3BA5">
        <w:rPr>
          <w:rFonts w:asciiTheme="majorBidi" w:hAnsiTheme="majorBidi" w:cstheme="majorBidi"/>
          <w:sz w:val="24"/>
          <w:szCs w:val="24"/>
          <w:lang w:val="en-GB"/>
        </w:rPr>
        <w:t xml:space="preserve"> that </w:t>
      </w:r>
      <w:r w:rsidR="00DC7F0F" w:rsidRPr="001B3BA5">
        <w:rPr>
          <w:rFonts w:asciiTheme="majorBidi" w:hAnsiTheme="majorBidi" w:cstheme="majorBidi"/>
          <w:sz w:val="24"/>
          <w:szCs w:val="24"/>
          <w:lang w:val="en-GB"/>
        </w:rPr>
        <w:t>CPO</w:t>
      </w:r>
      <w:r w:rsidRPr="001B3BA5">
        <w:rPr>
          <w:rFonts w:asciiTheme="majorBidi" w:hAnsiTheme="majorBidi" w:cstheme="majorBidi"/>
          <w:sz w:val="24"/>
          <w:szCs w:val="24"/>
          <w:lang w:val="en-GB"/>
        </w:rPr>
        <w:t xml:space="preserve"> can help explain negative attitudes towards immigrants and the EU</w:t>
      </w:r>
      <w:r w:rsidR="00DD1D01" w:rsidRPr="001B3BA5">
        <w:rPr>
          <w:rFonts w:asciiTheme="majorBidi" w:hAnsiTheme="majorBidi" w:cstheme="majorBidi"/>
          <w:sz w:val="24"/>
          <w:szCs w:val="24"/>
          <w:lang w:val="en-GB"/>
        </w:rPr>
        <w:t xml:space="preserve">, due to </w:t>
      </w:r>
      <w:r w:rsidR="00DC7F0F" w:rsidRPr="001B3BA5">
        <w:rPr>
          <w:rFonts w:asciiTheme="majorBidi" w:hAnsiTheme="majorBidi" w:cstheme="majorBidi"/>
          <w:sz w:val="24"/>
          <w:szCs w:val="24"/>
          <w:lang w:val="en-GB"/>
        </w:rPr>
        <w:t>CPO</w:t>
      </w:r>
      <w:r w:rsidR="00DD1D01" w:rsidRPr="001B3BA5">
        <w:rPr>
          <w:rFonts w:asciiTheme="majorBidi" w:hAnsiTheme="majorBidi" w:cstheme="majorBidi"/>
          <w:sz w:val="24"/>
          <w:szCs w:val="24"/>
          <w:lang w:val="en-GB"/>
        </w:rPr>
        <w:t xml:space="preserve"> implying</w:t>
      </w:r>
      <w:r w:rsidRPr="001B3BA5">
        <w:rPr>
          <w:rFonts w:asciiTheme="majorBidi" w:hAnsiTheme="majorBidi" w:cstheme="majorBidi"/>
          <w:sz w:val="24"/>
          <w:szCs w:val="24"/>
          <w:lang w:val="en-GB"/>
        </w:rPr>
        <w:t xml:space="preserve"> an </w:t>
      </w:r>
      <w:r w:rsidR="00DC01FF" w:rsidRPr="001B3BA5">
        <w:rPr>
          <w:rFonts w:asciiTheme="majorBidi" w:hAnsiTheme="majorBidi" w:cstheme="majorBidi"/>
          <w:sz w:val="24"/>
          <w:szCs w:val="24"/>
          <w:lang w:val="en-GB"/>
        </w:rPr>
        <w:t>exclusive determination right</w:t>
      </w:r>
      <w:r w:rsidRPr="001B3BA5">
        <w:rPr>
          <w:rFonts w:asciiTheme="majorBidi" w:hAnsiTheme="majorBidi" w:cstheme="majorBidi"/>
          <w:sz w:val="24"/>
          <w:szCs w:val="24"/>
          <w:lang w:val="en-GB"/>
        </w:rPr>
        <w:t>. These attitudes were translated into Brexit voting</w:t>
      </w:r>
      <w:r w:rsidR="00A86694" w:rsidRPr="001B3BA5">
        <w:rPr>
          <w:rFonts w:asciiTheme="majorBidi" w:hAnsiTheme="majorBidi" w:cstheme="majorBidi"/>
          <w:sz w:val="24"/>
          <w:szCs w:val="24"/>
          <w:lang w:val="en-GB"/>
        </w:rPr>
        <w:t>.</w:t>
      </w:r>
      <w:r w:rsidRPr="001B3BA5">
        <w:rPr>
          <w:rFonts w:asciiTheme="majorBidi" w:hAnsiTheme="majorBidi" w:cstheme="majorBidi"/>
          <w:sz w:val="24"/>
          <w:szCs w:val="24"/>
          <w:lang w:val="en-GB"/>
        </w:rPr>
        <w:t xml:space="preserve"> </w:t>
      </w:r>
      <w:r w:rsidR="00DC7F0F" w:rsidRPr="001B3BA5">
        <w:rPr>
          <w:rFonts w:asciiTheme="majorBidi" w:hAnsiTheme="majorBidi" w:cstheme="majorBidi"/>
          <w:sz w:val="24"/>
          <w:szCs w:val="24"/>
          <w:lang w:val="en-GB"/>
        </w:rPr>
        <w:t>CPO</w:t>
      </w:r>
      <w:r w:rsidRPr="001B3BA5">
        <w:rPr>
          <w:rFonts w:asciiTheme="majorBidi" w:hAnsiTheme="majorBidi" w:cstheme="majorBidi"/>
          <w:sz w:val="24"/>
          <w:szCs w:val="24"/>
          <w:lang w:val="en-GB"/>
        </w:rPr>
        <w:t xml:space="preserve"> might have</w:t>
      </w:r>
      <w:r w:rsidR="00EF5846" w:rsidRPr="001B3BA5">
        <w:rPr>
          <w:rFonts w:asciiTheme="majorBidi" w:hAnsiTheme="majorBidi" w:cstheme="majorBidi"/>
          <w:sz w:val="24"/>
          <w:szCs w:val="24"/>
          <w:lang w:val="en-GB"/>
        </w:rPr>
        <w:t xml:space="preserve"> contributed to</w:t>
      </w:r>
      <w:r w:rsidRPr="001B3BA5">
        <w:rPr>
          <w:rFonts w:asciiTheme="majorBidi" w:hAnsiTheme="majorBidi" w:cstheme="majorBidi"/>
          <w:sz w:val="24"/>
          <w:szCs w:val="24"/>
          <w:lang w:val="en-GB"/>
        </w:rPr>
        <w:t xml:space="preserve"> </w:t>
      </w:r>
      <w:r w:rsidR="00A86694" w:rsidRPr="001B3BA5">
        <w:rPr>
          <w:rFonts w:asciiTheme="majorBidi" w:hAnsiTheme="majorBidi" w:cstheme="majorBidi"/>
          <w:sz w:val="24"/>
          <w:szCs w:val="24"/>
          <w:lang w:val="en-GB"/>
        </w:rPr>
        <w:t>sway</w:t>
      </w:r>
      <w:r w:rsidR="00EF5846" w:rsidRPr="001B3BA5">
        <w:rPr>
          <w:rFonts w:asciiTheme="majorBidi" w:hAnsiTheme="majorBidi" w:cstheme="majorBidi"/>
          <w:sz w:val="24"/>
          <w:szCs w:val="24"/>
          <w:lang w:val="en-GB"/>
        </w:rPr>
        <w:t>ing</w:t>
      </w:r>
      <w:r w:rsidR="00A86694" w:rsidRPr="001B3BA5">
        <w:rPr>
          <w:rFonts w:asciiTheme="majorBidi" w:hAnsiTheme="majorBidi" w:cstheme="majorBidi"/>
          <w:sz w:val="24"/>
          <w:szCs w:val="24"/>
          <w:lang w:val="en-GB"/>
        </w:rPr>
        <w:t xml:space="preserve"> the</w:t>
      </w:r>
      <w:r w:rsidRPr="001B3BA5">
        <w:rPr>
          <w:rFonts w:asciiTheme="majorBidi" w:hAnsiTheme="majorBidi" w:cstheme="majorBidi"/>
          <w:sz w:val="24"/>
          <w:szCs w:val="24"/>
          <w:lang w:val="en-GB"/>
        </w:rPr>
        <w:t xml:space="preserve"> vote in favo</w:t>
      </w:r>
      <w:r w:rsidR="00501604">
        <w:rPr>
          <w:rFonts w:asciiTheme="majorBidi" w:hAnsiTheme="majorBidi" w:cstheme="majorBidi"/>
          <w:sz w:val="24"/>
          <w:szCs w:val="24"/>
          <w:lang w:val="en-GB"/>
        </w:rPr>
        <w:t>u</w:t>
      </w:r>
      <w:r w:rsidRPr="001B3BA5">
        <w:rPr>
          <w:rFonts w:asciiTheme="majorBidi" w:hAnsiTheme="majorBidi" w:cstheme="majorBidi"/>
          <w:sz w:val="24"/>
          <w:szCs w:val="24"/>
          <w:lang w:val="en-GB"/>
        </w:rPr>
        <w:t>r of Brexit.</w:t>
      </w:r>
    </w:p>
    <w:p w14:paraId="68753914" w14:textId="77777777" w:rsidR="00521417" w:rsidRPr="008A5A2E" w:rsidRDefault="00FF4873" w:rsidP="008A5A2E">
      <w:pPr>
        <w:spacing w:after="0" w:line="360" w:lineRule="auto"/>
        <w:jc w:val="center"/>
        <w:rPr>
          <w:rFonts w:ascii="Times New Roman" w:hAnsi="Times New Roman" w:cs="Times New Roman"/>
          <w:sz w:val="24"/>
          <w:szCs w:val="24"/>
          <w:lang w:val="en-GB"/>
        </w:rPr>
      </w:pPr>
      <w:r w:rsidRPr="001B3BA5">
        <w:rPr>
          <w:sz w:val="24"/>
          <w:szCs w:val="24"/>
          <w:lang w:val="en-GB"/>
        </w:rPr>
        <w:br w:type="page"/>
      </w:r>
      <w:bookmarkEnd w:id="42"/>
      <w:r w:rsidR="00521417" w:rsidRPr="008A5A2E">
        <w:rPr>
          <w:rFonts w:ascii="Times New Roman" w:hAnsi="Times New Roman" w:cs="Times New Roman"/>
          <w:sz w:val="24"/>
          <w:szCs w:val="24"/>
          <w:lang w:val="en-GB"/>
        </w:rPr>
        <w:t>References</w:t>
      </w:r>
    </w:p>
    <w:p w14:paraId="293CD2F5" w14:textId="77777777" w:rsidR="005F1620" w:rsidRPr="008A5A2E" w:rsidRDefault="00521417" w:rsidP="008A5A2E">
      <w:pPr>
        <w:pStyle w:val="EndNoteBibliography"/>
        <w:spacing w:after="0"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lang w:val="en-GB"/>
        </w:rPr>
        <w:fldChar w:fldCharType="begin"/>
      </w:r>
      <w:r w:rsidRPr="008A5A2E">
        <w:rPr>
          <w:rFonts w:ascii="Times New Roman" w:hAnsi="Times New Roman" w:cs="Times New Roman"/>
          <w:sz w:val="24"/>
          <w:szCs w:val="24"/>
        </w:rPr>
        <w:instrText xml:space="preserve"> ADDIN EN.REFLIST </w:instrText>
      </w:r>
      <w:r w:rsidRPr="008A5A2E">
        <w:rPr>
          <w:rFonts w:ascii="Times New Roman" w:hAnsi="Times New Roman" w:cs="Times New Roman"/>
          <w:sz w:val="24"/>
          <w:szCs w:val="24"/>
          <w:lang w:val="en-GB"/>
        </w:rPr>
        <w:fldChar w:fldCharType="separate"/>
      </w:r>
      <w:r w:rsidR="005F1620" w:rsidRPr="008A5A2E">
        <w:rPr>
          <w:rFonts w:ascii="Times New Roman" w:hAnsi="Times New Roman" w:cs="Times New Roman"/>
          <w:sz w:val="24"/>
          <w:szCs w:val="24"/>
        </w:rPr>
        <w:t xml:space="preserve">Akkerman, A., Mudde, C., &amp; Zaslove, A. (2013). How populist are the people? Measuring populist attitudes in voters. </w:t>
      </w:r>
      <w:r w:rsidR="005F1620" w:rsidRPr="008A5A2E">
        <w:rPr>
          <w:rFonts w:ascii="Times New Roman" w:hAnsi="Times New Roman" w:cs="Times New Roman"/>
          <w:i/>
          <w:sz w:val="24"/>
          <w:szCs w:val="24"/>
        </w:rPr>
        <w:t>Comparative Political Studies, 47</w:t>
      </w:r>
      <w:r w:rsidR="005F1620" w:rsidRPr="008A5A2E">
        <w:rPr>
          <w:rFonts w:ascii="Times New Roman" w:hAnsi="Times New Roman" w:cs="Times New Roman"/>
          <w:sz w:val="24"/>
          <w:szCs w:val="24"/>
        </w:rPr>
        <w:t>(9), 1324-1353. doi:10.1177/0010414013512600</w:t>
      </w:r>
    </w:p>
    <w:p w14:paraId="1345CA95"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Albertazzi, D., &amp; McDonnell, D. (2007). </w:t>
      </w:r>
      <w:r w:rsidRPr="008A5A2E">
        <w:rPr>
          <w:rFonts w:ascii="Times New Roman" w:hAnsi="Times New Roman" w:cs="Times New Roman"/>
          <w:i/>
          <w:sz w:val="24"/>
          <w:szCs w:val="24"/>
        </w:rPr>
        <w:t>Twenty-first century populism: The spectre of Western European democracy</w:t>
      </w:r>
      <w:r w:rsidRPr="008A5A2E">
        <w:rPr>
          <w:rFonts w:ascii="Times New Roman" w:hAnsi="Times New Roman" w:cs="Times New Roman"/>
          <w:sz w:val="24"/>
          <w:szCs w:val="24"/>
        </w:rPr>
        <w:t>. New York, NY: Springer.</w:t>
      </w:r>
    </w:p>
    <w:p w14:paraId="0B9265EB"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Alwin, D. F. (1997). Feeling thermometers versus 7-point scales: Which are better? </w:t>
      </w:r>
      <w:r w:rsidRPr="008A5A2E">
        <w:rPr>
          <w:rFonts w:ascii="Times New Roman" w:hAnsi="Times New Roman" w:cs="Times New Roman"/>
          <w:i/>
          <w:sz w:val="24"/>
          <w:szCs w:val="24"/>
        </w:rPr>
        <w:t>Sociological Methods &amp; Research, 25</w:t>
      </w:r>
      <w:r w:rsidRPr="008A5A2E">
        <w:rPr>
          <w:rFonts w:ascii="Times New Roman" w:hAnsi="Times New Roman" w:cs="Times New Roman"/>
          <w:sz w:val="24"/>
          <w:szCs w:val="24"/>
        </w:rPr>
        <w:t>(3), 318-340. doi:10.1177/0049124197025003003</w:t>
      </w:r>
    </w:p>
    <w:p w14:paraId="1A4F7302"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Anastasio, P. A., &amp; Rose, K. C. (2014). Beyond deserving more. </w:t>
      </w:r>
      <w:r w:rsidRPr="008A5A2E">
        <w:rPr>
          <w:rFonts w:ascii="Times New Roman" w:hAnsi="Times New Roman" w:cs="Times New Roman"/>
          <w:i/>
          <w:sz w:val="24"/>
          <w:szCs w:val="24"/>
        </w:rPr>
        <w:t>Social Psychological and Personality Science, 5</w:t>
      </w:r>
      <w:r w:rsidRPr="008A5A2E">
        <w:rPr>
          <w:rFonts w:ascii="Times New Roman" w:hAnsi="Times New Roman" w:cs="Times New Roman"/>
          <w:sz w:val="24"/>
          <w:szCs w:val="24"/>
        </w:rPr>
        <w:t>(5), 593-600. doi:10.1177/1948550613519683</w:t>
      </w:r>
    </w:p>
    <w:p w14:paraId="2AC6DE7F"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Andreouli, E., &amp; Nicholson, C. (2018). Brexit and everyday politics: An analysis of focus‐group data on the EU referendum. </w:t>
      </w:r>
      <w:r w:rsidRPr="008A5A2E">
        <w:rPr>
          <w:rFonts w:ascii="Times New Roman" w:hAnsi="Times New Roman" w:cs="Times New Roman"/>
          <w:i/>
          <w:sz w:val="24"/>
          <w:szCs w:val="24"/>
        </w:rPr>
        <w:t>Political Psychology, 39</w:t>
      </w:r>
      <w:r w:rsidRPr="008A5A2E">
        <w:rPr>
          <w:rFonts w:ascii="Times New Roman" w:hAnsi="Times New Roman" w:cs="Times New Roman"/>
          <w:sz w:val="24"/>
          <w:szCs w:val="24"/>
        </w:rPr>
        <w:t>(6), 1323-1338. doi:10.1111/pops.12544</w:t>
      </w:r>
    </w:p>
    <w:p w14:paraId="3A45DE5B"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Bahns, A. J. (2016). Threat as justification of prejudice. </w:t>
      </w:r>
      <w:r w:rsidRPr="008A5A2E">
        <w:rPr>
          <w:rFonts w:ascii="Times New Roman" w:hAnsi="Times New Roman" w:cs="Times New Roman"/>
          <w:i/>
          <w:sz w:val="24"/>
          <w:szCs w:val="24"/>
        </w:rPr>
        <w:t>Group Processes &amp; Intergroup Relations, 20</w:t>
      </w:r>
      <w:r w:rsidRPr="008A5A2E">
        <w:rPr>
          <w:rFonts w:ascii="Times New Roman" w:hAnsi="Times New Roman" w:cs="Times New Roman"/>
          <w:sz w:val="24"/>
          <w:szCs w:val="24"/>
        </w:rPr>
        <w:t>(1), 52-74. doi:10.1177/1368430215591042</w:t>
      </w:r>
    </w:p>
    <w:p w14:paraId="21E43CCE"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Baldoni, E. (2003). The free movement of persons in the European Union: A legal-historical overview. </w:t>
      </w:r>
      <w:r w:rsidRPr="008A5A2E">
        <w:rPr>
          <w:rFonts w:ascii="Times New Roman" w:hAnsi="Times New Roman" w:cs="Times New Roman"/>
          <w:i/>
          <w:sz w:val="24"/>
          <w:szCs w:val="24"/>
        </w:rPr>
        <w:t>State of the Art Report, Pioneur Working Paper, 2</w:t>
      </w:r>
      <w:r w:rsidRPr="008A5A2E">
        <w:rPr>
          <w:rFonts w:ascii="Times New Roman" w:hAnsi="Times New Roman" w:cs="Times New Roman"/>
          <w:sz w:val="24"/>
          <w:szCs w:val="24"/>
        </w:rPr>
        <w:t xml:space="preserve">. </w:t>
      </w:r>
    </w:p>
    <w:p w14:paraId="3086BD60"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Beggan, J. K. (1991). Using what you own to get what you need: The role of possessions in satisfying control motivation. </w:t>
      </w:r>
      <w:r w:rsidRPr="008A5A2E">
        <w:rPr>
          <w:rFonts w:ascii="Times New Roman" w:hAnsi="Times New Roman" w:cs="Times New Roman"/>
          <w:i/>
          <w:sz w:val="24"/>
          <w:szCs w:val="24"/>
        </w:rPr>
        <w:t>Journal of Social Behavior and Personality, 6</w:t>
      </w:r>
      <w:r w:rsidRPr="008A5A2E">
        <w:rPr>
          <w:rFonts w:ascii="Times New Roman" w:hAnsi="Times New Roman" w:cs="Times New Roman"/>
          <w:sz w:val="24"/>
          <w:szCs w:val="24"/>
        </w:rPr>
        <w:t xml:space="preserve">(6), 129-146. </w:t>
      </w:r>
    </w:p>
    <w:p w14:paraId="124611D1"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Bennett, M. (2014). Intergroup social exclusion in childhood: Forms, norms, context, and social identity. </w:t>
      </w:r>
      <w:r w:rsidRPr="008A5A2E">
        <w:rPr>
          <w:rFonts w:ascii="Times New Roman" w:hAnsi="Times New Roman" w:cs="Times New Roman"/>
          <w:i/>
          <w:sz w:val="24"/>
          <w:szCs w:val="24"/>
        </w:rPr>
        <w:t>Journal of Social Issues, 70</w:t>
      </w:r>
      <w:r w:rsidRPr="008A5A2E">
        <w:rPr>
          <w:rFonts w:ascii="Times New Roman" w:hAnsi="Times New Roman" w:cs="Times New Roman"/>
          <w:sz w:val="24"/>
          <w:szCs w:val="24"/>
        </w:rPr>
        <w:t>(1), 183-195. doi:10.1111/josi.12054</w:t>
      </w:r>
    </w:p>
    <w:p w14:paraId="36860336"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Berning, C. C., &amp; Schlueter, E. (2016). The dynamics of radical right-wing populist party preferences and perceived group threat: A comparative panel analysis of three competing hypotheses in the Netherlands and Germany. </w:t>
      </w:r>
      <w:r w:rsidRPr="008A5A2E">
        <w:rPr>
          <w:rFonts w:ascii="Times New Roman" w:hAnsi="Times New Roman" w:cs="Times New Roman"/>
          <w:i/>
          <w:sz w:val="24"/>
          <w:szCs w:val="24"/>
        </w:rPr>
        <w:t>Soc Sci Res, 55</w:t>
      </w:r>
      <w:r w:rsidRPr="008A5A2E">
        <w:rPr>
          <w:rFonts w:ascii="Times New Roman" w:hAnsi="Times New Roman" w:cs="Times New Roman"/>
          <w:sz w:val="24"/>
          <w:szCs w:val="24"/>
        </w:rPr>
        <w:t>, 83-93. doi:10.1016/j.ssresearch.2015.09.003</w:t>
      </w:r>
    </w:p>
    <w:p w14:paraId="7A347706"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Blumer, H. (1958). Race prejudice as a sense of group position. </w:t>
      </w:r>
      <w:r w:rsidRPr="008A5A2E">
        <w:rPr>
          <w:rFonts w:ascii="Times New Roman" w:hAnsi="Times New Roman" w:cs="Times New Roman"/>
          <w:i/>
          <w:sz w:val="24"/>
          <w:szCs w:val="24"/>
        </w:rPr>
        <w:t>Pacific Sociological Review, 1</w:t>
      </w:r>
      <w:r w:rsidRPr="008A5A2E">
        <w:rPr>
          <w:rFonts w:ascii="Times New Roman" w:hAnsi="Times New Roman" w:cs="Times New Roman"/>
          <w:sz w:val="24"/>
          <w:szCs w:val="24"/>
        </w:rPr>
        <w:t xml:space="preserve">(1), 3-7. </w:t>
      </w:r>
    </w:p>
    <w:p w14:paraId="752517B1"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Brown, G., Lawrence, T. B., &amp; Robinson, S. L. (2005). Territoriality in organizations. </w:t>
      </w:r>
      <w:r w:rsidRPr="008A5A2E">
        <w:rPr>
          <w:rFonts w:ascii="Times New Roman" w:hAnsi="Times New Roman" w:cs="Times New Roman"/>
          <w:i/>
          <w:sz w:val="24"/>
          <w:szCs w:val="24"/>
        </w:rPr>
        <w:t>The Academy of Management Review, 30</w:t>
      </w:r>
      <w:r w:rsidRPr="008A5A2E">
        <w:rPr>
          <w:rFonts w:ascii="Times New Roman" w:hAnsi="Times New Roman" w:cs="Times New Roman"/>
          <w:sz w:val="24"/>
          <w:szCs w:val="24"/>
        </w:rPr>
        <w:t>(3), 577-594. doi:10.2307/20159145</w:t>
      </w:r>
    </w:p>
    <w:p w14:paraId="77C22953"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Brown, T. A. (2015). </w:t>
      </w:r>
      <w:r w:rsidRPr="008A5A2E">
        <w:rPr>
          <w:rFonts w:ascii="Times New Roman" w:hAnsi="Times New Roman" w:cs="Times New Roman"/>
          <w:i/>
          <w:sz w:val="24"/>
          <w:szCs w:val="24"/>
        </w:rPr>
        <w:t>Confirmatory factor analysis for applied research</w:t>
      </w:r>
      <w:r w:rsidRPr="008A5A2E">
        <w:rPr>
          <w:rFonts w:ascii="Times New Roman" w:hAnsi="Times New Roman" w:cs="Times New Roman"/>
          <w:sz w:val="24"/>
          <w:szCs w:val="24"/>
        </w:rPr>
        <w:t>: Guilford publications.</w:t>
      </w:r>
    </w:p>
    <w:p w14:paraId="2E6AAFEE"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Brubaker, R. (2019). Populism and nationalism. </w:t>
      </w:r>
      <w:r w:rsidRPr="008A5A2E">
        <w:rPr>
          <w:rFonts w:ascii="Times New Roman" w:hAnsi="Times New Roman" w:cs="Times New Roman"/>
          <w:i/>
          <w:sz w:val="24"/>
          <w:szCs w:val="24"/>
        </w:rPr>
        <w:t>Nations and Nationalism, 26</w:t>
      </w:r>
      <w:r w:rsidRPr="008A5A2E">
        <w:rPr>
          <w:rFonts w:ascii="Times New Roman" w:hAnsi="Times New Roman" w:cs="Times New Roman"/>
          <w:sz w:val="24"/>
          <w:szCs w:val="24"/>
        </w:rPr>
        <w:t>(1), 44-66. doi:10.1111/nana.12522</w:t>
      </w:r>
    </w:p>
    <w:p w14:paraId="44C82ACC"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Brylka, A., Mähönen, T. A., &amp; Jasinskaja-Lahti, I. (2015). National identification and intergroup attitudes among members of the national majority and immigrants: Preliminary evidence for the mediational role of psychological ownership of a country. </w:t>
      </w:r>
      <w:r w:rsidRPr="008A5A2E">
        <w:rPr>
          <w:rFonts w:ascii="Times New Roman" w:hAnsi="Times New Roman" w:cs="Times New Roman"/>
          <w:i/>
          <w:sz w:val="24"/>
          <w:szCs w:val="24"/>
        </w:rPr>
        <w:t>Journal of Social and Political Psychology, 3</w:t>
      </w:r>
      <w:r w:rsidRPr="008A5A2E">
        <w:rPr>
          <w:rFonts w:ascii="Times New Roman" w:hAnsi="Times New Roman" w:cs="Times New Roman"/>
          <w:sz w:val="24"/>
          <w:szCs w:val="24"/>
        </w:rPr>
        <w:t>(1), 24-45. doi:10.5964/jspp.v3i1.275</w:t>
      </w:r>
    </w:p>
    <w:p w14:paraId="09493D5C"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Campbell, A., Converse, P. E., Miller, W. E., &amp; Stokes, D. E. (1980). </w:t>
      </w:r>
      <w:r w:rsidRPr="008A5A2E">
        <w:rPr>
          <w:rFonts w:ascii="Times New Roman" w:hAnsi="Times New Roman" w:cs="Times New Roman"/>
          <w:i/>
          <w:sz w:val="24"/>
          <w:szCs w:val="24"/>
        </w:rPr>
        <w:t>The American voter</w:t>
      </w:r>
      <w:r w:rsidRPr="008A5A2E">
        <w:rPr>
          <w:rFonts w:ascii="Times New Roman" w:hAnsi="Times New Roman" w:cs="Times New Roman"/>
          <w:sz w:val="24"/>
          <w:szCs w:val="24"/>
        </w:rPr>
        <w:t>: University of Chicago Press.</w:t>
      </w:r>
    </w:p>
    <w:p w14:paraId="1066681A"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Cap, P. (2017). Immigration and anti-migration discourses: The early rhetoric of Brexit. In P. Cap (Ed.), </w:t>
      </w:r>
      <w:r w:rsidRPr="008A5A2E">
        <w:rPr>
          <w:rFonts w:ascii="Times New Roman" w:hAnsi="Times New Roman" w:cs="Times New Roman"/>
          <w:i/>
          <w:sz w:val="24"/>
          <w:szCs w:val="24"/>
        </w:rPr>
        <w:t>The language of fear: Communicating threat in public discourse</w:t>
      </w:r>
      <w:r w:rsidRPr="008A5A2E">
        <w:rPr>
          <w:rFonts w:ascii="Times New Roman" w:hAnsi="Times New Roman" w:cs="Times New Roman"/>
          <w:sz w:val="24"/>
          <w:szCs w:val="24"/>
        </w:rPr>
        <w:t xml:space="preserve"> (pp. 67-79). London: Macmillan Publishers Ltd.</w:t>
      </w:r>
    </w:p>
    <w:p w14:paraId="0FA78757"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Capelos, T., &amp; Katsanidou, A. (2018). Reactionary politics: Explaining the psychological roots of anti preferences in European integration and immigration debates. </w:t>
      </w:r>
      <w:r w:rsidRPr="008A5A2E">
        <w:rPr>
          <w:rFonts w:ascii="Times New Roman" w:hAnsi="Times New Roman" w:cs="Times New Roman"/>
          <w:i/>
          <w:sz w:val="24"/>
          <w:szCs w:val="24"/>
        </w:rPr>
        <w:t>Political Psychology, 39</w:t>
      </w:r>
      <w:r w:rsidRPr="008A5A2E">
        <w:rPr>
          <w:rFonts w:ascii="Times New Roman" w:hAnsi="Times New Roman" w:cs="Times New Roman"/>
          <w:sz w:val="24"/>
          <w:szCs w:val="24"/>
        </w:rPr>
        <w:t>(6), 1271-1288. doi:10.1111/pops.12540</w:t>
      </w:r>
    </w:p>
    <w:p w14:paraId="7DDB1CFE"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Caprara, G. V., Vecchione, M., Schwartz, S. H., Schoen, H., Bain, P. G., Silvester, J., . . . Kirmanoglu, H. (2017). Basic values, ideological self-placement, and voting: A cross-cultural study. </w:t>
      </w:r>
      <w:r w:rsidRPr="008A5A2E">
        <w:rPr>
          <w:rFonts w:ascii="Times New Roman" w:hAnsi="Times New Roman" w:cs="Times New Roman"/>
          <w:i/>
          <w:sz w:val="24"/>
          <w:szCs w:val="24"/>
        </w:rPr>
        <w:t>Cross-Cultural Research, 51</w:t>
      </w:r>
      <w:r w:rsidRPr="008A5A2E">
        <w:rPr>
          <w:rFonts w:ascii="Times New Roman" w:hAnsi="Times New Roman" w:cs="Times New Roman"/>
          <w:sz w:val="24"/>
          <w:szCs w:val="24"/>
        </w:rPr>
        <w:t xml:space="preserve">(4), 388-411. </w:t>
      </w:r>
    </w:p>
    <w:p w14:paraId="098D2866"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Carey, S. (2002). Undivided loyalties: is national identity an obstacle to European integration? </w:t>
      </w:r>
      <w:r w:rsidRPr="008A5A2E">
        <w:rPr>
          <w:rFonts w:ascii="Times New Roman" w:hAnsi="Times New Roman" w:cs="Times New Roman"/>
          <w:i/>
          <w:sz w:val="24"/>
          <w:szCs w:val="24"/>
        </w:rPr>
        <w:t>European Union Politics, 3</w:t>
      </w:r>
      <w:r w:rsidRPr="008A5A2E">
        <w:rPr>
          <w:rFonts w:ascii="Times New Roman" w:hAnsi="Times New Roman" w:cs="Times New Roman"/>
          <w:sz w:val="24"/>
          <w:szCs w:val="24"/>
        </w:rPr>
        <w:t>(4), 387-413. doi:10.1177/1465116502003004001</w:t>
      </w:r>
    </w:p>
    <w:p w14:paraId="1D4BEFDD" w14:textId="77777777" w:rsidR="005F1620" w:rsidRPr="00E50AB0" w:rsidRDefault="005F1620" w:rsidP="008A5A2E">
      <w:pPr>
        <w:pStyle w:val="EndNoteBibliography"/>
        <w:spacing w:line="360" w:lineRule="auto"/>
        <w:ind w:left="720" w:hanging="720"/>
        <w:rPr>
          <w:rFonts w:ascii="Times New Roman" w:hAnsi="Times New Roman" w:cs="Times New Roman"/>
          <w:sz w:val="24"/>
          <w:szCs w:val="24"/>
          <w:lang w:val="pt-PT"/>
        </w:rPr>
      </w:pPr>
      <w:r w:rsidRPr="008A5A2E">
        <w:rPr>
          <w:rFonts w:ascii="Times New Roman" w:hAnsi="Times New Roman" w:cs="Times New Roman"/>
          <w:sz w:val="24"/>
          <w:szCs w:val="24"/>
        </w:rPr>
        <w:t xml:space="preserve">Coakley, J. (2007). National identity in Northern Ireland: stability or change? </w:t>
      </w:r>
      <w:r w:rsidRPr="00E50AB0">
        <w:rPr>
          <w:rFonts w:ascii="Times New Roman" w:hAnsi="Times New Roman" w:cs="Times New Roman"/>
          <w:i/>
          <w:sz w:val="24"/>
          <w:szCs w:val="24"/>
          <w:lang w:val="pt-PT"/>
        </w:rPr>
        <w:t>Nations and Nationalism, 13</w:t>
      </w:r>
      <w:r w:rsidRPr="00E50AB0">
        <w:rPr>
          <w:rFonts w:ascii="Times New Roman" w:hAnsi="Times New Roman" w:cs="Times New Roman"/>
          <w:sz w:val="24"/>
          <w:szCs w:val="24"/>
          <w:lang w:val="pt-PT"/>
        </w:rPr>
        <w:t>(4), 573-597. doi:10.1111/j.1469-8129.2007.00316.x</w:t>
      </w:r>
    </w:p>
    <w:p w14:paraId="149D60F5"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E50AB0">
        <w:rPr>
          <w:rFonts w:ascii="Times New Roman" w:hAnsi="Times New Roman" w:cs="Times New Roman"/>
          <w:sz w:val="24"/>
          <w:szCs w:val="24"/>
          <w:lang w:val="pt-PT"/>
        </w:rPr>
        <w:t xml:space="preserve">Costa-Lopes, R., Dovidio, J. F., Pereira, C. R., &amp; Jost, J. T. (2013). </w:t>
      </w:r>
      <w:r w:rsidRPr="008A5A2E">
        <w:rPr>
          <w:rFonts w:ascii="Times New Roman" w:hAnsi="Times New Roman" w:cs="Times New Roman"/>
          <w:sz w:val="24"/>
          <w:szCs w:val="24"/>
        </w:rPr>
        <w:t xml:space="preserve">Social psychological perspectives on the legitimation of social inequality: Past, present and future. </w:t>
      </w:r>
      <w:r w:rsidRPr="008A5A2E">
        <w:rPr>
          <w:rFonts w:ascii="Times New Roman" w:hAnsi="Times New Roman" w:cs="Times New Roman"/>
          <w:i/>
          <w:sz w:val="24"/>
          <w:szCs w:val="24"/>
        </w:rPr>
        <w:t>European Journal of Social Psychology, 43</w:t>
      </w:r>
      <w:r w:rsidRPr="008A5A2E">
        <w:rPr>
          <w:rFonts w:ascii="Times New Roman" w:hAnsi="Times New Roman" w:cs="Times New Roman"/>
          <w:sz w:val="24"/>
          <w:szCs w:val="24"/>
        </w:rPr>
        <w:t>(4), 229-237. doi:10.1002/ejsp.1966</w:t>
      </w:r>
    </w:p>
    <w:p w14:paraId="17E77151"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Crandall, C. S., &amp; Eshleman, A. (2003). A justification-suppression model of the expression and experience of prejudice. </w:t>
      </w:r>
      <w:r w:rsidRPr="008A5A2E">
        <w:rPr>
          <w:rFonts w:ascii="Times New Roman" w:hAnsi="Times New Roman" w:cs="Times New Roman"/>
          <w:i/>
          <w:sz w:val="24"/>
          <w:szCs w:val="24"/>
        </w:rPr>
        <w:t>Psychological bulletin, 129</w:t>
      </w:r>
      <w:r w:rsidRPr="008A5A2E">
        <w:rPr>
          <w:rFonts w:ascii="Times New Roman" w:hAnsi="Times New Roman" w:cs="Times New Roman"/>
          <w:sz w:val="24"/>
          <w:szCs w:val="24"/>
        </w:rPr>
        <w:t>(3), 414-446. doi:10.1037/0033-2909.129.3.414</w:t>
      </w:r>
    </w:p>
    <w:p w14:paraId="1CD5F907"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Dovidio, J. F., Kawakami, K., &amp; Beach, K. R. (2001). Implicit and explicit attitudes: Examination of the relationship between measures of intergroup bias. In R. Brown &amp; S. L. Gaertner (Eds.), </w:t>
      </w:r>
      <w:r w:rsidRPr="008A5A2E">
        <w:rPr>
          <w:rFonts w:ascii="Times New Roman" w:hAnsi="Times New Roman" w:cs="Times New Roman"/>
          <w:i/>
          <w:sz w:val="24"/>
          <w:szCs w:val="24"/>
        </w:rPr>
        <w:t>Blackwell handbook of social psychology: Intergroup processes</w:t>
      </w:r>
      <w:r w:rsidRPr="008A5A2E">
        <w:rPr>
          <w:rFonts w:ascii="Times New Roman" w:hAnsi="Times New Roman" w:cs="Times New Roman"/>
          <w:sz w:val="24"/>
          <w:szCs w:val="24"/>
        </w:rPr>
        <w:t>. Malden, MA: Blackwell.</w:t>
      </w:r>
    </w:p>
    <w:p w14:paraId="1E311D97"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Enders, C., &amp; Bandalos, D. (2001). The relative performance of full information maximum likelihood estimation for missing data in structural equation models. </w:t>
      </w:r>
      <w:r w:rsidRPr="008A5A2E">
        <w:rPr>
          <w:rFonts w:ascii="Times New Roman" w:hAnsi="Times New Roman" w:cs="Times New Roman"/>
          <w:i/>
          <w:sz w:val="24"/>
          <w:szCs w:val="24"/>
        </w:rPr>
        <w:t>Structural Equation Modeling: A Multidisciplinary Journal, 8</w:t>
      </w:r>
      <w:r w:rsidRPr="008A5A2E">
        <w:rPr>
          <w:rFonts w:ascii="Times New Roman" w:hAnsi="Times New Roman" w:cs="Times New Roman"/>
          <w:sz w:val="24"/>
          <w:szCs w:val="24"/>
        </w:rPr>
        <w:t>(3), 430-457. doi:10.1207/s15328007sem0803_5</w:t>
      </w:r>
    </w:p>
    <w:p w14:paraId="52C6D05D" w14:textId="36BFDEFF"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European Parliament. (2014). Policies.   Retrieved from </w:t>
      </w:r>
      <w:hyperlink r:id="rId9" w:history="1">
        <w:r w:rsidRPr="008A5A2E">
          <w:rPr>
            <w:rStyle w:val="Hyperlink"/>
            <w:rFonts w:ascii="Times New Roman" w:hAnsi="Times New Roman" w:cs="Times New Roman"/>
            <w:sz w:val="24"/>
            <w:szCs w:val="24"/>
          </w:rPr>
          <w:t>https://europarlamentti.info/en/values-and-objectives/policies/</w:t>
        </w:r>
      </w:hyperlink>
    </w:p>
    <w:p w14:paraId="3F5D1CE6"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lang w:val="fr-FR"/>
        </w:rPr>
        <w:t xml:space="preserve">European Social Survey. (2018). </w:t>
      </w:r>
      <w:r w:rsidRPr="008A5A2E">
        <w:rPr>
          <w:rFonts w:ascii="Times New Roman" w:hAnsi="Times New Roman" w:cs="Times New Roman"/>
          <w:i/>
          <w:sz w:val="24"/>
          <w:szCs w:val="24"/>
          <w:lang w:val="fr-FR"/>
        </w:rPr>
        <w:t>ESS Round 9 Source Questionnaire</w:t>
      </w:r>
      <w:r w:rsidRPr="008A5A2E">
        <w:rPr>
          <w:rFonts w:ascii="Times New Roman" w:hAnsi="Times New Roman" w:cs="Times New Roman"/>
          <w:sz w:val="24"/>
          <w:szCs w:val="24"/>
          <w:lang w:val="fr-FR"/>
        </w:rPr>
        <w:t xml:space="preserve">. </w:t>
      </w:r>
      <w:r w:rsidRPr="008A5A2E">
        <w:rPr>
          <w:rFonts w:ascii="Times New Roman" w:hAnsi="Times New Roman" w:cs="Times New Roman"/>
          <w:sz w:val="24"/>
          <w:szCs w:val="24"/>
        </w:rPr>
        <w:t>London: ESS ERIC Headquarters c/o City, University of London.</w:t>
      </w:r>
    </w:p>
    <w:p w14:paraId="627E2458"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Fine, S. (2013). The ethics of immigration: Self‐determination and the right to exclude. </w:t>
      </w:r>
      <w:r w:rsidRPr="008A5A2E">
        <w:rPr>
          <w:rFonts w:ascii="Times New Roman" w:hAnsi="Times New Roman" w:cs="Times New Roman"/>
          <w:i/>
          <w:sz w:val="24"/>
          <w:szCs w:val="24"/>
        </w:rPr>
        <w:t>Philosophy Compass, 8</w:t>
      </w:r>
      <w:r w:rsidRPr="008A5A2E">
        <w:rPr>
          <w:rFonts w:ascii="Times New Roman" w:hAnsi="Times New Roman" w:cs="Times New Roman"/>
          <w:sz w:val="24"/>
          <w:szCs w:val="24"/>
        </w:rPr>
        <w:t>(3), 254-268. doi:10.1111/phc3.12019</w:t>
      </w:r>
    </w:p>
    <w:p w14:paraId="5EAAE33A"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Føllesdal, A. (1998). Survey article: subsidiarity. </w:t>
      </w:r>
      <w:r w:rsidRPr="008A5A2E">
        <w:rPr>
          <w:rFonts w:ascii="Times New Roman" w:hAnsi="Times New Roman" w:cs="Times New Roman"/>
          <w:i/>
          <w:sz w:val="24"/>
          <w:szCs w:val="24"/>
        </w:rPr>
        <w:t>Journal of Political Philosophy, 6</w:t>
      </w:r>
      <w:r w:rsidRPr="008A5A2E">
        <w:rPr>
          <w:rFonts w:ascii="Times New Roman" w:hAnsi="Times New Roman" w:cs="Times New Roman"/>
          <w:sz w:val="24"/>
          <w:szCs w:val="24"/>
        </w:rPr>
        <w:t>(2), 190-218. doi:10.1111/1467-9760.00052</w:t>
      </w:r>
    </w:p>
    <w:p w14:paraId="5E5027D8"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Furby, L. (1978). Possession in humans: An exploratory study of its meaning and motivation. </w:t>
      </w:r>
      <w:r w:rsidRPr="008A5A2E">
        <w:rPr>
          <w:rFonts w:ascii="Times New Roman" w:hAnsi="Times New Roman" w:cs="Times New Roman"/>
          <w:i/>
          <w:sz w:val="24"/>
          <w:szCs w:val="24"/>
        </w:rPr>
        <w:t>Social Behavior and Personality: an international journal, 6</w:t>
      </w:r>
      <w:r w:rsidRPr="008A5A2E">
        <w:rPr>
          <w:rFonts w:ascii="Times New Roman" w:hAnsi="Times New Roman" w:cs="Times New Roman"/>
          <w:sz w:val="24"/>
          <w:szCs w:val="24"/>
        </w:rPr>
        <w:t>(1), 49-65. doi:10.2224/sbp.1978.6.1.49</w:t>
      </w:r>
    </w:p>
    <w:p w14:paraId="030B7C54"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Gans, C. (2001). Historical rights: The evaluation of nationalist claims to sovereignty. </w:t>
      </w:r>
      <w:r w:rsidRPr="008A5A2E">
        <w:rPr>
          <w:rFonts w:ascii="Times New Roman" w:hAnsi="Times New Roman" w:cs="Times New Roman"/>
          <w:i/>
          <w:sz w:val="24"/>
          <w:szCs w:val="24"/>
        </w:rPr>
        <w:t>Political Theory, 29</w:t>
      </w:r>
      <w:r w:rsidRPr="008A5A2E">
        <w:rPr>
          <w:rFonts w:ascii="Times New Roman" w:hAnsi="Times New Roman" w:cs="Times New Roman"/>
          <w:sz w:val="24"/>
          <w:szCs w:val="24"/>
        </w:rPr>
        <w:t>(1), 58-79. doi:10.1177/0090591701029001004</w:t>
      </w:r>
    </w:p>
    <w:p w14:paraId="0DBCBD7A"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Goodwin, M., &amp; Milazzo, C. (2017). Taking back control? Investigating the role of immigration in the 2016 vote for Brexit. </w:t>
      </w:r>
      <w:r w:rsidRPr="008A5A2E">
        <w:rPr>
          <w:rFonts w:ascii="Times New Roman" w:hAnsi="Times New Roman" w:cs="Times New Roman"/>
          <w:i/>
          <w:sz w:val="24"/>
          <w:szCs w:val="24"/>
        </w:rPr>
        <w:t>The British Journal of Politics and International Relations, 19</w:t>
      </w:r>
      <w:r w:rsidRPr="008A5A2E">
        <w:rPr>
          <w:rFonts w:ascii="Times New Roman" w:hAnsi="Times New Roman" w:cs="Times New Roman"/>
          <w:sz w:val="24"/>
          <w:szCs w:val="24"/>
        </w:rPr>
        <w:t>(3), 450-464. doi:10.1177/1369148117710799</w:t>
      </w:r>
    </w:p>
    <w:p w14:paraId="696C3F17"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Gregg, A. P., Mahadevan, N., &amp; Sedikides, C. (2017). The SPOT effect: People spontaneously prefer their own theories. </w:t>
      </w:r>
      <w:r w:rsidRPr="008A5A2E">
        <w:rPr>
          <w:rFonts w:ascii="Times New Roman" w:hAnsi="Times New Roman" w:cs="Times New Roman"/>
          <w:i/>
          <w:sz w:val="24"/>
          <w:szCs w:val="24"/>
        </w:rPr>
        <w:t>Quarterly Journal of Experimental Psychology, 70</w:t>
      </w:r>
      <w:r w:rsidRPr="008A5A2E">
        <w:rPr>
          <w:rFonts w:ascii="Times New Roman" w:hAnsi="Times New Roman" w:cs="Times New Roman"/>
          <w:sz w:val="24"/>
          <w:szCs w:val="24"/>
        </w:rPr>
        <w:t>(6), 996-1010. doi:10.1080/17470218.2015.1099162</w:t>
      </w:r>
    </w:p>
    <w:p w14:paraId="15D3AA7A"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Grewal, R., Cote, J. A., &amp; Baumgartner, H. (2004). Multicollinearity and measurement error in structural equation models: Implications for theory testing. </w:t>
      </w:r>
      <w:r w:rsidRPr="008A5A2E">
        <w:rPr>
          <w:rFonts w:ascii="Times New Roman" w:hAnsi="Times New Roman" w:cs="Times New Roman"/>
          <w:i/>
          <w:sz w:val="24"/>
          <w:szCs w:val="24"/>
        </w:rPr>
        <w:t>Marketing Science, 23</w:t>
      </w:r>
      <w:r w:rsidRPr="008A5A2E">
        <w:rPr>
          <w:rFonts w:ascii="Times New Roman" w:hAnsi="Times New Roman" w:cs="Times New Roman"/>
          <w:sz w:val="24"/>
          <w:szCs w:val="24"/>
        </w:rPr>
        <w:t>(4), 519-529. doi:10.1287/mksc.1040.0070</w:t>
      </w:r>
    </w:p>
    <w:p w14:paraId="0472F2B0"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Harmsen, R. (2010). Concluding comment: On understanding the relationship between populism and Euroscepticism. </w:t>
      </w:r>
      <w:r w:rsidRPr="008A5A2E">
        <w:rPr>
          <w:rFonts w:ascii="Times New Roman" w:hAnsi="Times New Roman" w:cs="Times New Roman"/>
          <w:i/>
          <w:sz w:val="24"/>
          <w:szCs w:val="24"/>
        </w:rPr>
        <w:t>Perspectives on European Politics and Society, 11</w:t>
      </w:r>
      <w:r w:rsidRPr="008A5A2E">
        <w:rPr>
          <w:rFonts w:ascii="Times New Roman" w:hAnsi="Times New Roman" w:cs="Times New Roman"/>
          <w:sz w:val="24"/>
          <w:szCs w:val="24"/>
        </w:rPr>
        <w:t>(3), 333-341. doi:10.1080/15705854.2010.503036</w:t>
      </w:r>
    </w:p>
    <w:p w14:paraId="2BA098FC"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Hatton, T. J. (2015). Asylum policy in the EU: The case for deeper integration. </w:t>
      </w:r>
      <w:r w:rsidRPr="008A5A2E">
        <w:rPr>
          <w:rFonts w:ascii="Times New Roman" w:hAnsi="Times New Roman" w:cs="Times New Roman"/>
          <w:i/>
          <w:sz w:val="24"/>
          <w:szCs w:val="24"/>
        </w:rPr>
        <w:t>CESifo Economic Studies, 61</w:t>
      </w:r>
      <w:r w:rsidRPr="008A5A2E">
        <w:rPr>
          <w:rFonts w:ascii="Times New Roman" w:hAnsi="Times New Roman" w:cs="Times New Roman"/>
          <w:sz w:val="24"/>
          <w:szCs w:val="24"/>
        </w:rPr>
        <w:t>(3-4), 605-637. doi:10.1093/cesifo/ifv002</w:t>
      </w:r>
    </w:p>
    <w:p w14:paraId="0957F7E8"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Hernández, B., Carmen Hidalgo, M., Salazar-Laplace, M. E., &amp; Hess, S. (2007). Place attachment and place identity in natives and non-natives. </w:t>
      </w:r>
      <w:r w:rsidRPr="008A5A2E">
        <w:rPr>
          <w:rFonts w:ascii="Times New Roman" w:hAnsi="Times New Roman" w:cs="Times New Roman"/>
          <w:i/>
          <w:sz w:val="24"/>
          <w:szCs w:val="24"/>
        </w:rPr>
        <w:t>Journal of Environmental Psychology, 27</w:t>
      </w:r>
      <w:r w:rsidRPr="008A5A2E">
        <w:rPr>
          <w:rFonts w:ascii="Times New Roman" w:hAnsi="Times New Roman" w:cs="Times New Roman"/>
          <w:sz w:val="24"/>
          <w:szCs w:val="24"/>
        </w:rPr>
        <w:t>(4), 310-319. doi:10.1016/j.jenvp.2007.06.003</w:t>
      </w:r>
    </w:p>
    <w:p w14:paraId="182A8664"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Hinde, R. A. (1970). </w:t>
      </w:r>
      <w:r w:rsidRPr="008A5A2E">
        <w:rPr>
          <w:rFonts w:ascii="Times New Roman" w:hAnsi="Times New Roman" w:cs="Times New Roman"/>
          <w:i/>
          <w:sz w:val="24"/>
          <w:szCs w:val="24"/>
        </w:rPr>
        <w:t>Animal behavior</w:t>
      </w:r>
      <w:r w:rsidRPr="008A5A2E">
        <w:rPr>
          <w:rFonts w:ascii="Times New Roman" w:hAnsi="Times New Roman" w:cs="Times New Roman"/>
          <w:sz w:val="24"/>
          <w:szCs w:val="24"/>
        </w:rPr>
        <w:t>. New York, NY: McGraw-Hill.</w:t>
      </w:r>
    </w:p>
    <w:p w14:paraId="240A4739"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Hobolt, S. B. (2016). The Brexit vote: A divided nation, a divided continent. </w:t>
      </w:r>
      <w:r w:rsidRPr="008A5A2E">
        <w:rPr>
          <w:rFonts w:ascii="Times New Roman" w:hAnsi="Times New Roman" w:cs="Times New Roman"/>
          <w:i/>
          <w:sz w:val="24"/>
          <w:szCs w:val="24"/>
        </w:rPr>
        <w:t>Journal of European Public Policy, 23</w:t>
      </w:r>
      <w:r w:rsidRPr="008A5A2E">
        <w:rPr>
          <w:rFonts w:ascii="Times New Roman" w:hAnsi="Times New Roman" w:cs="Times New Roman"/>
          <w:sz w:val="24"/>
          <w:szCs w:val="24"/>
        </w:rPr>
        <w:t>(9), 1259-1277. doi:10.1080/13501763.2016.1225785</w:t>
      </w:r>
    </w:p>
    <w:p w14:paraId="2B772699"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Huber, J., &amp; Inglehart, R. (1995). Expert interpretations of party space and party locations in 42 societies. </w:t>
      </w:r>
      <w:r w:rsidRPr="008A5A2E">
        <w:rPr>
          <w:rFonts w:ascii="Times New Roman" w:hAnsi="Times New Roman" w:cs="Times New Roman"/>
          <w:i/>
          <w:sz w:val="24"/>
          <w:szCs w:val="24"/>
        </w:rPr>
        <w:t>Party Politics, 1</w:t>
      </w:r>
      <w:r w:rsidRPr="008A5A2E">
        <w:rPr>
          <w:rFonts w:ascii="Times New Roman" w:hAnsi="Times New Roman" w:cs="Times New Roman"/>
          <w:sz w:val="24"/>
          <w:szCs w:val="24"/>
        </w:rPr>
        <w:t xml:space="preserve">(1), 73-111. </w:t>
      </w:r>
    </w:p>
    <w:p w14:paraId="36EDF12B"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Hutchings, P. B., &amp; Sullivan, K. E. (2019). Prejudice and the Brexit vote: A tangled web. </w:t>
      </w:r>
      <w:r w:rsidRPr="008A5A2E">
        <w:rPr>
          <w:rFonts w:ascii="Times New Roman" w:hAnsi="Times New Roman" w:cs="Times New Roman"/>
          <w:i/>
          <w:sz w:val="24"/>
          <w:szCs w:val="24"/>
        </w:rPr>
        <w:t>Palgrave Communications, 5</w:t>
      </w:r>
      <w:r w:rsidRPr="008A5A2E">
        <w:rPr>
          <w:rFonts w:ascii="Times New Roman" w:hAnsi="Times New Roman" w:cs="Times New Roman"/>
          <w:sz w:val="24"/>
          <w:szCs w:val="24"/>
        </w:rPr>
        <w:t>(1). doi:10.1057/s41599-018-0214-5</w:t>
      </w:r>
    </w:p>
    <w:p w14:paraId="74597A53"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lang w:val="de-DE"/>
        </w:rPr>
      </w:pPr>
      <w:r w:rsidRPr="008A5A2E">
        <w:rPr>
          <w:rFonts w:ascii="Times New Roman" w:hAnsi="Times New Roman" w:cs="Times New Roman"/>
          <w:sz w:val="24"/>
          <w:szCs w:val="24"/>
        </w:rPr>
        <w:t xml:space="preserve">Jost, J. T. (2006). The end of the end of ideology. </w:t>
      </w:r>
      <w:r w:rsidRPr="008A5A2E">
        <w:rPr>
          <w:rFonts w:ascii="Times New Roman" w:hAnsi="Times New Roman" w:cs="Times New Roman"/>
          <w:i/>
          <w:sz w:val="24"/>
          <w:szCs w:val="24"/>
          <w:lang w:val="de-DE"/>
        </w:rPr>
        <w:t>American Psychologist, 61</w:t>
      </w:r>
      <w:r w:rsidRPr="008A5A2E">
        <w:rPr>
          <w:rFonts w:ascii="Times New Roman" w:hAnsi="Times New Roman" w:cs="Times New Roman"/>
          <w:sz w:val="24"/>
          <w:szCs w:val="24"/>
          <w:lang w:val="de-DE"/>
        </w:rPr>
        <w:t>(7), 651-670. doi:10.1037/0003-066X.61.7.651</w:t>
      </w:r>
    </w:p>
    <w:p w14:paraId="2964CD91"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lang w:val="de-DE"/>
        </w:rPr>
        <w:t xml:space="preserve">Jost, J. T., Glaser, J., Kruglanski, A. W., &amp; Sulloway, F. J. (2003). </w:t>
      </w:r>
      <w:r w:rsidRPr="008A5A2E">
        <w:rPr>
          <w:rFonts w:ascii="Times New Roman" w:hAnsi="Times New Roman" w:cs="Times New Roman"/>
          <w:sz w:val="24"/>
          <w:szCs w:val="24"/>
        </w:rPr>
        <w:t xml:space="preserve">Political conservatism as motivated social cognition. </w:t>
      </w:r>
      <w:r w:rsidRPr="008A5A2E">
        <w:rPr>
          <w:rFonts w:ascii="Times New Roman" w:hAnsi="Times New Roman" w:cs="Times New Roman"/>
          <w:i/>
          <w:sz w:val="24"/>
          <w:szCs w:val="24"/>
        </w:rPr>
        <w:t>Psychol Bull, 129</w:t>
      </w:r>
      <w:r w:rsidRPr="008A5A2E">
        <w:rPr>
          <w:rFonts w:ascii="Times New Roman" w:hAnsi="Times New Roman" w:cs="Times New Roman"/>
          <w:sz w:val="24"/>
          <w:szCs w:val="24"/>
        </w:rPr>
        <w:t>(3), 339-375. doi:10.1037/0033-2909.129.3.339</w:t>
      </w:r>
    </w:p>
    <w:p w14:paraId="51432A50" w14:textId="3B954E5A"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Kantar Public. (2019). Kantar public.   Retrieved from </w:t>
      </w:r>
      <w:hyperlink r:id="rId10" w:history="1">
        <w:r w:rsidRPr="008A5A2E">
          <w:rPr>
            <w:rStyle w:val="Hyperlink"/>
            <w:rFonts w:ascii="Times New Roman" w:hAnsi="Times New Roman" w:cs="Times New Roman"/>
            <w:sz w:val="24"/>
            <w:szCs w:val="24"/>
          </w:rPr>
          <w:t>https://www.kantar.com/public/</w:t>
        </w:r>
      </w:hyperlink>
    </w:p>
    <w:p w14:paraId="5B97B485"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Leruth, B., &amp; Taylor-Gooby, P. (2019). Does political discourse matter? Comparing party positions and public attitudes on immigration in England. </w:t>
      </w:r>
      <w:r w:rsidRPr="008A5A2E">
        <w:rPr>
          <w:rFonts w:ascii="Times New Roman" w:hAnsi="Times New Roman" w:cs="Times New Roman"/>
          <w:i/>
          <w:sz w:val="24"/>
          <w:szCs w:val="24"/>
        </w:rPr>
        <w:t>Politics, 39</w:t>
      </w:r>
      <w:r w:rsidRPr="008A5A2E">
        <w:rPr>
          <w:rFonts w:ascii="Times New Roman" w:hAnsi="Times New Roman" w:cs="Times New Roman"/>
          <w:sz w:val="24"/>
          <w:szCs w:val="24"/>
        </w:rPr>
        <w:t>(2), 154-169. doi:10.1177/0263395718755566</w:t>
      </w:r>
    </w:p>
    <w:p w14:paraId="0DDEDBD7"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Lubbers, M. (2019). What kind of nationalism sets the radical right and its electorate apart from the rest? Pride in the nation's history as part of nationalist nostalgia. </w:t>
      </w:r>
      <w:r w:rsidRPr="008A5A2E">
        <w:rPr>
          <w:rFonts w:ascii="Times New Roman" w:hAnsi="Times New Roman" w:cs="Times New Roman"/>
          <w:i/>
          <w:sz w:val="24"/>
          <w:szCs w:val="24"/>
        </w:rPr>
        <w:t>Nations and Nationalism, 25</w:t>
      </w:r>
      <w:r w:rsidRPr="008A5A2E">
        <w:rPr>
          <w:rFonts w:ascii="Times New Roman" w:hAnsi="Times New Roman" w:cs="Times New Roman"/>
          <w:sz w:val="24"/>
          <w:szCs w:val="24"/>
        </w:rPr>
        <w:t>(2), 449-466. doi:10.1111/nana.12517</w:t>
      </w:r>
    </w:p>
    <w:p w14:paraId="0A3C175D"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Lubbers, M., &amp; Coenders, M. (2017). Nationalistic attitudes and voting for the radical right in Europe. </w:t>
      </w:r>
      <w:r w:rsidRPr="008A5A2E">
        <w:rPr>
          <w:rFonts w:ascii="Times New Roman" w:hAnsi="Times New Roman" w:cs="Times New Roman"/>
          <w:i/>
          <w:sz w:val="24"/>
          <w:szCs w:val="24"/>
        </w:rPr>
        <w:t>European Union Politics, 18</w:t>
      </w:r>
      <w:r w:rsidRPr="008A5A2E">
        <w:rPr>
          <w:rFonts w:ascii="Times New Roman" w:hAnsi="Times New Roman" w:cs="Times New Roman"/>
          <w:sz w:val="24"/>
          <w:szCs w:val="24"/>
        </w:rPr>
        <w:t>(1), 98-118. doi:10.1177/1465116516678932</w:t>
      </w:r>
    </w:p>
    <w:p w14:paraId="72DA2FD1"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Martinovic, B., &amp; Verkuyten, M. (2012). Host national and religious identification among Turkish Muslims in Western Europe: The role of ingroup norms, perceived discrimination and value incompatibility. </w:t>
      </w:r>
      <w:r w:rsidRPr="008A5A2E">
        <w:rPr>
          <w:rFonts w:ascii="Times New Roman" w:hAnsi="Times New Roman" w:cs="Times New Roman"/>
          <w:i/>
          <w:sz w:val="24"/>
          <w:szCs w:val="24"/>
        </w:rPr>
        <w:t>European Journal of Social Psychology, 42</w:t>
      </w:r>
      <w:r w:rsidRPr="008A5A2E">
        <w:rPr>
          <w:rFonts w:ascii="Times New Roman" w:hAnsi="Times New Roman" w:cs="Times New Roman"/>
          <w:sz w:val="24"/>
          <w:szCs w:val="24"/>
        </w:rPr>
        <w:t>(7), 893-903. doi:10.1002/ejsp.1900</w:t>
      </w:r>
    </w:p>
    <w:p w14:paraId="328FF435"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Merrill, T. W. (1998). Property and the right to exclude. </w:t>
      </w:r>
      <w:r w:rsidRPr="008A5A2E">
        <w:rPr>
          <w:rFonts w:ascii="Times New Roman" w:hAnsi="Times New Roman" w:cs="Times New Roman"/>
          <w:i/>
          <w:sz w:val="24"/>
          <w:szCs w:val="24"/>
        </w:rPr>
        <w:t>Nebraska Law Review, 77</w:t>
      </w:r>
      <w:r w:rsidRPr="008A5A2E">
        <w:rPr>
          <w:rFonts w:ascii="Times New Roman" w:hAnsi="Times New Roman" w:cs="Times New Roman"/>
          <w:sz w:val="24"/>
          <w:szCs w:val="24"/>
        </w:rPr>
        <w:t xml:space="preserve">(4), 730-755. </w:t>
      </w:r>
    </w:p>
    <w:p w14:paraId="0EA874DC"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Morewedge, C. K., &amp; Giblin, C. E. (2015). Explanations of the endowment effect: An integrative review. </w:t>
      </w:r>
      <w:r w:rsidRPr="008A5A2E">
        <w:rPr>
          <w:rFonts w:ascii="Times New Roman" w:hAnsi="Times New Roman" w:cs="Times New Roman"/>
          <w:i/>
          <w:sz w:val="24"/>
          <w:szCs w:val="24"/>
        </w:rPr>
        <w:t>Trends in Cognitive Sciences, 19</w:t>
      </w:r>
      <w:r w:rsidRPr="008A5A2E">
        <w:rPr>
          <w:rFonts w:ascii="Times New Roman" w:hAnsi="Times New Roman" w:cs="Times New Roman"/>
          <w:sz w:val="24"/>
          <w:szCs w:val="24"/>
        </w:rPr>
        <w:t>(6), 339-348. doi:10.1016/j.tics.2015.04.004</w:t>
      </w:r>
    </w:p>
    <w:p w14:paraId="5CF12FCB"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Mudde, C. (2007). </w:t>
      </w:r>
      <w:r w:rsidRPr="008A5A2E">
        <w:rPr>
          <w:rFonts w:ascii="Times New Roman" w:hAnsi="Times New Roman" w:cs="Times New Roman"/>
          <w:i/>
          <w:sz w:val="24"/>
          <w:szCs w:val="24"/>
        </w:rPr>
        <w:t>Populist radical right parties in Europe</w:t>
      </w:r>
      <w:r w:rsidRPr="008A5A2E">
        <w:rPr>
          <w:rFonts w:ascii="Times New Roman" w:hAnsi="Times New Roman" w:cs="Times New Roman"/>
          <w:sz w:val="24"/>
          <w:szCs w:val="24"/>
        </w:rPr>
        <w:t xml:space="preserve"> (Vol. 22). Cambridge, UK: Cambridge University Press.</w:t>
      </w:r>
    </w:p>
    <w:p w14:paraId="0357BF92"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Mudde, C. (2010). The populist radical right: A pathological normalcy. </w:t>
      </w:r>
      <w:r w:rsidRPr="008A5A2E">
        <w:rPr>
          <w:rFonts w:ascii="Times New Roman" w:hAnsi="Times New Roman" w:cs="Times New Roman"/>
          <w:i/>
          <w:sz w:val="24"/>
          <w:szCs w:val="24"/>
        </w:rPr>
        <w:t>West European Politics, 33</w:t>
      </w:r>
      <w:r w:rsidRPr="008A5A2E">
        <w:rPr>
          <w:rFonts w:ascii="Times New Roman" w:hAnsi="Times New Roman" w:cs="Times New Roman"/>
          <w:sz w:val="24"/>
          <w:szCs w:val="24"/>
        </w:rPr>
        <w:t>(6), 1167-1186. doi:10.1080/01402382.2010.508901</w:t>
      </w:r>
    </w:p>
    <w:p w14:paraId="35021096"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lang w:val="nl-NL"/>
        </w:rPr>
      </w:pPr>
      <w:r w:rsidRPr="008A5A2E">
        <w:rPr>
          <w:rFonts w:ascii="Times New Roman" w:hAnsi="Times New Roman" w:cs="Times New Roman"/>
          <w:sz w:val="24"/>
          <w:szCs w:val="24"/>
        </w:rPr>
        <w:t xml:space="preserve">Neary, K. R., Friedman, O., &amp; Burnstein, C. L. (2009). Preschoolers infer ownership from “control of permission”. </w:t>
      </w:r>
      <w:r w:rsidRPr="008A5A2E">
        <w:rPr>
          <w:rFonts w:ascii="Times New Roman" w:hAnsi="Times New Roman" w:cs="Times New Roman"/>
          <w:i/>
          <w:sz w:val="24"/>
          <w:szCs w:val="24"/>
          <w:lang w:val="nl-NL"/>
        </w:rPr>
        <w:t>Developmental psychology, 45</w:t>
      </w:r>
      <w:r w:rsidRPr="008A5A2E">
        <w:rPr>
          <w:rFonts w:ascii="Times New Roman" w:hAnsi="Times New Roman" w:cs="Times New Roman"/>
          <w:sz w:val="24"/>
          <w:szCs w:val="24"/>
          <w:lang w:val="nl-NL"/>
        </w:rPr>
        <w:t>(3), 873-876. doi:10.1037/a0014088</w:t>
      </w:r>
    </w:p>
    <w:p w14:paraId="47C4BA59"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lang w:val="nl-NL"/>
        </w:rPr>
      </w:pPr>
      <w:r w:rsidRPr="008A5A2E">
        <w:rPr>
          <w:rFonts w:ascii="Times New Roman" w:hAnsi="Times New Roman" w:cs="Times New Roman"/>
          <w:sz w:val="24"/>
          <w:szCs w:val="24"/>
          <w:lang w:val="nl-NL"/>
        </w:rPr>
        <w:t>Partij Voor de Vrijheid. (2012). Hún Brussel, óns Nederland: Verkiezingsprogramma 2012-2017.</w:t>
      </w:r>
    </w:p>
    <w:p w14:paraId="5F485F32"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lang w:val="fr-FR"/>
        </w:rPr>
        <w:t xml:space="preserve">Pehrson, S., Vignoles, V. L., &amp; Brown, R. (2009). </w:t>
      </w:r>
      <w:r w:rsidRPr="008A5A2E">
        <w:rPr>
          <w:rFonts w:ascii="Times New Roman" w:hAnsi="Times New Roman" w:cs="Times New Roman"/>
          <w:sz w:val="24"/>
          <w:szCs w:val="24"/>
        </w:rPr>
        <w:t xml:space="preserve">National identification and anti-immigrant prejudice: Individual and contextual effects of national definitions. </w:t>
      </w:r>
      <w:r w:rsidRPr="008A5A2E">
        <w:rPr>
          <w:rFonts w:ascii="Times New Roman" w:hAnsi="Times New Roman" w:cs="Times New Roman"/>
          <w:i/>
          <w:sz w:val="24"/>
          <w:szCs w:val="24"/>
        </w:rPr>
        <w:t>Social Psychology Quarterly, 72</w:t>
      </w:r>
      <w:r w:rsidRPr="008A5A2E">
        <w:rPr>
          <w:rFonts w:ascii="Times New Roman" w:hAnsi="Times New Roman" w:cs="Times New Roman"/>
          <w:sz w:val="24"/>
          <w:szCs w:val="24"/>
        </w:rPr>
        <w:t>(1), 24-38. doi:10.1177/019027250907200104</w:t>
      </w:r>
    </w:p>
    <w:p w14:paraId="72E4199A"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Pierce, J. L., &amp; Jussila, I. (2009). Collective psychological ownership within the work and organizational context: Construct introduction and elaboration. </w:t>
      </w:r>
      <w:r w:rsidRPr="008A5A2E">
        <w:rPr>
          <w:rFonts w:ascii="Times New Roman" w:hAnsi="Times New Roman" w:cs="Times New Roman"/>
          <w:i/>
          <w:sz w:val="24"/>
          <w:szCs w:val="24"/>
        </w:rPr>
        <w:t>Journal of Organizational Behavior, 31</w:t>
      </w:r>
      <w:r w:rsidRPr="008A5A2E">
        <w:rPr>
          <w:rFonts w:ascii="Times New Roman" w:hAnsi="Times New Roman" w:cs="Times New Roman"/>
          <w:sz w:val="24"/>
          <w:szCs w:val="24"/>
        </w:rPr>
        <w:t>(6), 810-834. doi:10.1002/job.628</w:t>
      </w:r>
    </w:p>
    <w:p w14:paraId="028637C7"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Pierce, J. L., Jussila, I., &amp; Li, D. (2017). Development and validation of an instrument for assessing collective psychological ownership in organizational field settings. </w:t>
      </w:r>
      <w:r w:rsidRPr="008A5A2E">
        <w:rPr>
          <w:rFonts w:ascii="Times New Roman" w:hAnsi="Times New Roman" w:cs="Times New Roman"/>
          <w:i/>
          <w:sz w:val="24"/>
          <w:szCs w:val="24"/>
        </w:rPr>
        <w:t>Journal of Management &amp; Organization, 24</w:t>
      </w:r>
      <w:r w:rsidRPr="008A5A2E">
        <w:rPr>
          <w:rFonts w:ascii="Times New Roman" w:hAnsi="Times New Roman" w:cs="Times New Roman"/>
          <w:sz w:val="24"/>
          <w:szCs w:val="24"/>
        </w:rPr>
        <w:t>(6), 1-17. doi:10.1017/jmo.2016.66</w:t>
      </w:r>
    </w:p>
    <w:p w14:paraId="64FDB8F7"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Pierce, J. L., Kostova, T., &amp; Dirks, K. T. (2001). Toward a theory of psychological ownership in organizations. </w:t>
      </w:r>
      <w:r w:rsidRPr="008A5A2E">
        <w:rPr>
          <w:rFonts w:ascii="Times New Roman" w:hAnsi="Times New Roman" w:cs="Times New Roman"/>
          <w:i/>
          <w:sz w:val="24"/>
          <w:szCs w:val="24"/>
        </w:rPr>
        <w:t>The Academy of Management Review, 26</w:t>
      </w:r>
      <w:r w:rsidRPr="008A5A2E">
        <w:rPr>
          <w:rFonts w:ascii="Times New Roman" w:hAnsi="Times New Roman" w:cs="Times New Roman"/>
          <w:sz w:val="24"/>
          <w:szCs w:val="24"/>
        </w:rPr>
        <w:t>(2), 298-310. doi:10.2307/259124</w:t>
      </w:r>
    </w:p>
    <w:p w14:paraId="04BC7354"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Pierce, J. L., Kostova, T., &amp; Dirks, K. T. (2003). The state of psychological ownership: Integrating and extending a century of research. </w:t>
      </w:r>
      <w:r w:rsidRPr="008A5A2E">
        <w:rPr>
          <w:rFonts w:ascii="Times New Roman" w:hAnsi="Times New Roman" w:cs="Times New Roman"/>
          <w:i/>
          <w:sz w:val="24"/>
          <w:szCs w:val="24"/>
        </w:rPr>
        <w:t>Review of General Psychology, 7</w:t>
      </w:r>
      <w:r w:rsidRPr="008A5A2E">
        <w:rPr>
          <w:rFonts w:ascii="Times New Roman" w:hAnsi="Times New Roman" w:cs="Times New Roman"/>
          <w:sz w:val="24"/>
          <w:szCs w:val="24"/>
        </w:rPr>
        <w:t>(1), 84-107. doi:10.1037/1089-2680.7.1.84</w:t>
      </w:r>
    </w:p>
    <w:p w14:paraId="5ADC0905"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Piurko, Y., Schwartz, S. H., &amp; Davidov, E. (2011). Basic personal values and the meaning of left‐right political orientations in 20 countries. </w:t>
      </w:r>
      <w:r w:rsidRPr="008A5A2E">
        <w:rPr>
          <w:rFonts w:ascii="Times New Roman" w:hAnsi="Times New Roman" w:cs="Times New Roman"/>
          <w:i/>
          <w:sz w:val="24"/>
          <w:szCs w:val="24"/>
        </w:rPr>
        <w:t>Political Psychology, 32</w:t>
      </w:r>
      <w:r w:rsidRPr="008A5A2E">
        <w:rPr>
          <w:rFonts w:ascii="Times New Roman" w:hAnsi="Times New Roman" w:cs="Times New Roman"/>
          <w:sz w:val="24"/>
          <w:szCs w:val="24"/>
        </w:rPr>
        <w:t xml:space="preserve">(4), 537-561. </w:t>
      </w:r>
    </w:p>
    <w:p w14:paraId="35C36C87"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Porteous, J. D. (1976). Home: The territorial core. </w:t>
      </w:r>
      <w:r w:rsidRPr="008A5A2E">
        <w:rPr>
          <w:rFonts w:ascii="Times New Roman" w:hAnsi="Times New Roman" w:cs="Times New Roman"/>
          <w:i/>
          <w:sz w:val="24"/>
          <w:szCs w:val="24"/>
        </w:rPr>
        <w:t>Geographical Review</w:t>
      </w:r>
      <w:r w:rsidRPr="008A5A2E">
        <w:rPr>
          <w:rFonts w:ascii="Times New Roman" w:hAnsi="Times New Roman" w:cs="Times New Roman"/>
          <w:sz w:val="24"/>
          <w:szCs w:val="24"/>
        </w:rPr>
        <w:t>, 383-390. doi:10.1016/0272-4944(95)90022-5</w:t>
      </w:r>
    </w:p>
    <w:p w14:paraId="3F9E8FF0"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Portice, J., &amp; Reicher, S. (2018). Arguments for European disintegration: A mobilization analysis of anti-immigration speeches by U.K. political leaders. </w:t>
      </w:r>
      <w:r w:rsidRPr="008A5A2E">
        <w:rPr>
          <w:rFonts w:ascii="Times New Roman" w:hAnsi="Times New Roman" w:cs="Times New Roman"/>
          <w:i/>
          <w:sz w:val="24"/>
          <w:szCs w:val="24"/>
        </w:rPr>
        <w:t>Political Psychology, 39</w:t>
      </w:r>
      <w:r w:rsidRPr="008A5A2E">
        <w:rPr>
          <w:rFonts w:ascii="Times New Roman" w:hAnsi="Times New Roman" w:cs="Times New Roman"/>
          <w:sz w:val="24"/>
          <w:szCs w:val="24"/>
        </w:rPr>
        <w:t>(6), 1357-1372. doi:10.1111/pops.12551</w:t>
      </w:r>
    </w:p>
    <w:p w14:paraId="6C856D5F"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Ringeisen-Biardeaud, J. (2017). “Let’s take back control”: Brexit and the debate on sovereignty. </w:t>
      </w:r>
      <w:r w:rsidRPr="008A5A2E">
        <w:rPr>
          <w:rFonts w:ascii="Times New Roman" w:hAnsi="Times New Roman" w:cs="Times New Roman"/>
          <w:i/>
          <w:sz w:val="24"/>
          <w:szCs w:val="24"/>
        </w:rPr>
        <w:t>Revue française de civilisation britannique, 22</w:t>
      </w:r>
      <w:r w:rsidRPr="008A5A2E">
        <w:rPr>
          <w:rFonts w:ascii="Times New Roman" w:hAnsi="Times New Roman" w:cs="Times New Roman"/>
          <w:sz w:val="24"/>
          <w:szCs w:val="24"/>
        </w:rPr>
        <w:t>(2). doi:10.4000/rfcb.1319</w:t>
      </w:r>
    </w:p>
    <w:p w14:paraId="5C895DCB"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Ripstein, A. (2017). Property and sovereignty: How to tell the difference. </w:t>
      </w:r>
      <w:r w:rsidRPr="008A5A2E">
        <w:rPr>
          <w:rFonts w:ascii="Times New Roman" w:hAnsi="Times New Roman" w:cs="Times New Roman"/>
          <w:i/>
          <w:sz w:val="24"/>
          <w:szCs w:val="24"/>
        </w:rPr>
        <w:t>Theoretical Inquiries in Law, 18</w:t>
      </w:r>
      <w:r w:rsidRPr="008A5A2E">
        <w:rPr>
          <w:rFonts w:ascii="Times New Roman" w:hAnsi="Times New Roman" w:cs="Times New Roman"/>
          <w:sz w:val="24"/>
          <w:szCs w:val="24"/>
        </w:rPr>
        <w:t>(2), 243-268. doi:10.1515/til-2017-0013</w:t>
      </w:r>
    </w:p>
    <w:p w14:paraId="5C798CB2"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Rochat, P. (2014). </w:t>
      </w:r>
      <w:r w:rsidRPr="008A5A2E">
        <w:rPr>
          <w:rFonts w:ascii="Times New Roman" w:hAnsi="Times New Roman" w:cs="Times New Roman"/>
          <w:i/>
          <w:sz w:val="24"/>
          <w:szCs w:val="24"/>
        </w:rPr>
        <w:t>Origins of possession: Owning and sharing in development</w:t>
      </w:r>
      <w:r w:rsidRPr="008A5A2E">
        <w:rPr>
          <w:rFonts w:ascii="Times New Roman" w:hAnsi="Times New Roman" w:cs="Times New Roman"/>
          <w:sz w:val="24"/>
          <w:szCs w:val="24"/>
        </w:rPr>
        <w:t>: Cambridge University Press.</w:t>
      </w:r>
    </w:p>
    <w:p w14:paraId="532A3869"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lang w:val="nl-NL"/>
        </w:rPr>
        <w:t xml:space="preserve">Rooduijn, M., van der Brug, W., &amp; de Lange, S. L. (2016). </w:t>
      </w:r>
      <w:r w:rsidRPr="008A5A2E">
        <w:rPr>
          <w:rFonts w:ascii="Times New Roman" w:hAnsi="Times New Roman" w:cs="Times New Roman"/>
          <w:sz w:val="24"/>
          <w:szCs w:val="24"/>
        </w:rPr>
        <w:t xml:space="preserve">Expressing or fuelling discontent? The relationship between populist voting and political discontent. </w:t>
      </w:r>
      <w:r w:rsidRPr="008A5A2E">
        <w:rPr>
          <w:rFonts w:ascii="Times New Roman" w:hAnsi="Times New Roman" w:cs="Times New Roman"/>
          <w:i/>
          <w:sz w:val="24"/>
          <w:szCs w:val="24"/>
        </w:rPr>
        <w:t>Electoral Studies, 43</w:t>
      </w:r>
      <w:r w:rsidRPr="008A5A2E">
        <w:rPr>
          <w:rFonts w:ascii="Times New Roman" w:hAnsi="Times New Roman" w:cs="Times New Roman"/>
          <w:sz w:val="24"/>
          <w:szCs w:val="24"/>
        </w:rPr>
        <w:t>, 32-40. doi:10.1016/j.electstud.2016.04.006</w:t>
      </w:r>
    </w:p>
    <w:p w14:paraId="59FBCAF2"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Ross, H., Friedman, O., &amp; Field, A. (2015). Toddlers assert and acknowledge ownership rights. </w:t>
      </w:r>
      <w:r w:rsidRPr="008A5A2E">
        <w:rPr>
          <w:rFonts w:ascii="Times New Roman" w:hAnsi="Times New Roman" w:cs="Times New Roman"/>
          <w:i/>
          <w:sz w:val="24"/>
          <w:szCs w:val="24"/>
        </w:rPr>
        <w:t>Social Development, 24</w:t>
      </w:r>
      <w:r w:rsidRPr="008A5A2E">
        <w:rPr>
          <w:rFonts w:ascii="Times New Roman" w:hAnsi="Times New Roman" w:cs="Times New Roman"/>
          <w:sz w:val="24"/>
          <w:szCs w:val="24"/>
        </w:rPr>
        <w:t>(2), 341-356. doi:10.1111/sode.12101</w:t>
      </w:r>
    </w:p>
    <w:p w14:paraId="0D4A332A"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Rossano, F., Rakoczy, H., &amp; Tomasello, M. (2011). Young children's understanding of violations of property rights. </w:t>
      </w:r>
      <w:r w:rsidRPr="008A5A2E">
        <w:rPr>
          <w:rFonts w:ascii="Times New Roman" w:hAnsi="Times New Roman" w:cs="Times New Roman"/>
          <w:i/>
          <w:sz w:val="24"/>
          <w:szCs w:val="24"/>
        </w:rPr>
        <w:t>Cognition, 121</w:t>
      </w:r>
      <w:r w:rsidRPr="008A5A2E">
        <w:rPr>
          <w:rFonts w:ascii="Times New Roman" w:hAnsi="Times New Roman" w:cs="Times New Roman"/>
          <w:sz w:val="24"/>
          <w:szCs w:val="24"/>
        </w:rPr>
        <w:t>(2), 219-227. doi:10.1016/j.cognition.2011.06.007</w:t>
      </w:r>
    </w:p>
    <w:p w14:paraId="07A0A3FB"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Scannell, L., &amp; Gifford, R. (2010). Defining place attachment: A tripartite organizing framework. </w:t>
      </w:r>
      <w:r w:rsidRPr="008A5A2E">
        <w:rPr>
          <w:rFonts w:ascii="Times New Roman" w:hAnsi="Times New Roman" w:cs="Times New Roman"/>
          <w:i/>
          <w:sz w:val="24"/>
          <w:szCs w:val="24"/>
        </w:rPr>
        <w:t>Journal of Environmental Psychology, 30</w:t>
      </w:r>
      <w:r w:rsidRPr="008A5A2E">
        <w:rPr>
          <w:rFonts w:ascii="Times New Roman" w:hAnsi="Times New Roman" w:cs="Times New Roman"/>
          <w:sz w:val="24"/>
          <w:szCs w:val="24"/>
        </w:rPr>
        <w:t>(1), 1-10. doi:10.1016/j.jenvp.2009.09.006</w:t>
      </w:r>
    </w:p>
    <w:p w14:paraId="4BA70D70"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Sedikides, C., &amp; Wildschut, T. (2019). The sociality of personal and collective nostalgia. </w:t>
      </w:r>
      <w:r w:rsidRPr="008A5A2E">
        <w:rPr>
          <w:rFonts w:ascii="Times New Roman" w:hAnsi="Times New Roman" w:cs="Times New Roman"/>
          <w:i/>
          <w:sz w:val="24"/>
          <w:szCs w:val="24"/>
        </w:rPr>
        <w:t>European Review of Social Psychology, 30</w:t>
      </w:r>
      <w:r w:rsidRPr="008A5A2E">
        <w:rPr>
          <w:rFonts w:ascii="Times New Roman" w:hAnsi="Times New Roman" w:cs="Times New Roman"/>
          <w:sz w:val="24"/>
          <w:szCs w:val="24"/>
        </w:rPr>
        <w:t>(1), 123-173. doi:10.1080/10463283.2019.1630098</w:t>
      </w:r>
    </w:p>
    <w:p w14:paraId="4F67D733"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Shaw, A., Li, V., &amp; Olson, K. R. (2012). Children apply principles of physical ownership to ideas. </w:t>
      </w:r>
      <w:r w:rsidRPr="008A5A2E">
        <w:rPr>
          <w:rFonts w:ascii="Times New Roman" w:hAnsi="Times New Roman" w:cs="Times New Roman"/>
          <w:i/>
          <w:sz w:val="24"/>
          <w:szCs w:val="24"/>
        </w:rPr>
        <w:t>Cognitive Science, 36</w:t>
      </w:r>
      <w:r w:rsidRPr="008A5A2E">
        <w:rPr>
          <w:rFonts w:ascii="Times New Roman" w:hAnsi="Times New Roman" w:cs="Times New Roman"/>
          <w:sz w:val="24"/>
          <w:szCs w:val="24"/>
        </w:rPr>
        <w:t>(8), 1383-1403. doi:10.1111/j.1551-6709.2012.01265.x</w:t>
      </w:r>
    </w:p>
    <w:p w14:paraId="7F960C43"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Sibley, C. G., Liu, J. H., Duckitt, J., &amp; Khan, S. S. (2008). Social representations of history and the legitimation of social inequality: the form and function of historical negation. </w:t>
      </w:r>
      <w:r w:rsidRPr="008A5A2E">
        <w:rPr>
          <w:rFonts w:ascii="Times New Roman" w:hAnsi="Times New Roman" w:cs="Times New Roman"/>
          <w:i/>
          <w:sz w:val="24"/>
          <w:szCs w:val="24"/>
        </w:rPr>
        <w:t>European Journal of Social Psychology, 38</w:t>
      </w:r>
      <w:r w:rsidRPr="008A5A2E">
        <w:rPr>
          <w:rFonts w:ascii="Times New Roman" w:hAnsi="Times New Roman" w:cs="Times New Roman"/>
          <w:sz w:val="24"/>
          <w:szCs w:val="24"/>
        </w:rPr>
        <w:t>(3), 542-565. doi:10.1002/ejsp.449</w:t>
      </w:r>
    </w:p>
    <w:p w14:paraId="45DE51DC"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Snare, F. (1972). The concept of property. </w:t>
      </w:r>
      <w:r w:rsidRPr="008A5A2E">
        <w:rPr>
          <w:rFonts w:ascii="Times New Roman" w:hAnsi="Times New Roman" w:cs="Times New Roman"/>
          <w:i/>
          <w:sz w:val="24"/>
          <w:szCs w:val="24"/>
        </w:rPr>
        <w:t>American Philosophical Quarterly, 9</w:t>
      </w:r>
      <w:r w:rsidRPr="008A5A2E">
        <w:rPr>
          <w:rFonts w:ascii="Times New Roman" w:hAnsi="Times New Roman" w:cs="Times New Roman"/>
          <w:sz w:val="24"/>
          <w:szCs w:val="24"/>
        </w:rPr>
        <w:t xml:space="preserve">(2), 200-206. </w:t>
      </w:r>
    </w:p>
    <w:p w14:paraId="1D838FAC" w14:textId="01F88DD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Soper, D. S. (2017). A-priori sample size calculator for structural equation models [software].   Retrieved from </w:t>
      </w:r>
      <w:hyperlink r:id="rId11" w:history="1">
        <w:r w:rsidRPr="008A5A2E">
          <w:rPr>
            <w:rStyle w:val="Hyperlink"/>
            <w:rFonts w:ascii="Times New Roman" w:hAnsi="Times New Roman" w:cs="Times New Roman"/>
            <w:sz w:val="24"/>
            <w:szCs w:val="24"/>
          </w:rPr>
          <w:t>https://www.danielsoper.com/statcalc/</w:t>
        </w:r>
      </w:hyperlink>
    </w:p>
    <w:p w14:paraId="2E7B2E76"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Steenbergen, M. R. (2010). The new political psychology of voting </w:t>
      </w:r>
      <w:r w:rsidRPr="008A5A2E">
        <w:rPr>
          <w:rFonts w:ascii="Times New Roman" w:hAnsi="Times New Roman" w:cs="Times New Roman"/>
          <w:i/>
          <w:sz w:val="24"/>
          <w:szCs w:val="24"/>
        </w:rPr>
        <w:t>Information–Wahrnehmung–Emotion</w:t>
      </w:r>
      <w:r w:rsidRPr="008A5A2E">
        <w:rPr>
          <w:rFonts w:ascii="Times New Roman" w:hAnsi="Times New Roman" w:cs="Times New Roman"/>
          <w:sz w:val="24"/>
          <w:szCs w:val="24"/>
        </w:rPr>
        <w:t xml:space="preserve"> (pp. 13-31): Springer.</w:t>
      </w:r>
    </w:p>
    <w:p w14:paraId="3AC9C938"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Stokes, B. (2016). Euroskepticism beyond Brexit. </w:t>
      </w:r>
      <w:r w:rsidRPr="008A5A2E">
        <w:rPr>
          <w:rFonts w:ascii="Times New Roman" w:hAnsi="Times New Roman" w:cs="Times New Roman"/>
          <w:i/>
          <w:sz w:val="24"/>
          <w:szCs w:val="24"/>
        </w:rPr>
        <w:t>Pew Research Center, 7</w:t>
      </w:r>
      <w:r w:rsidRPr="008A5A2E">
        <w:rPr>
          <w:rFonts w:ascii="Times New Roman" w:hAnsi="Times New Roman" w:cs="Times New Roman"/>
          <w:sz w:val="24"/>
          <w:szCs w:val="24"/>
        </w:rPr>
        <w:t xml:space="preserve">. </w:t>
      </w:r>
    </w:p>
    <w:p w14:paraId="40506E68"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Storz, N., Martinovic, B., Verkuyten, M., Žeželj, I., Roccas, S., &amp; Psaltis, C. (2020).</w:t>
      </w:r>
      <w:r w:rsidRPr="008A5A2E">
        <w:rPr>
          <w:rFonts w:ascii="Times New Roman" w:hAnsi="Times New Roman" w:cs="Times New Roman"/>
          <w:i/>
          <w:sz w:val="24"/>
          <w:szCs w:val="24"/>
        </w:rPr>
        <w:t xml:space="preserve"> Collective psychological ownership and reconciliation in territorial conflicts</w:t>
      </w:r>
      <w:r w:rsidRPr="008A5A2E">
        <w:rPr>
          <w:rFonts w:ascii="Times New Roman" w:hAnsi="Times New Roman" w:cs="Times New Roman"/>
          <w:sz w:val="24"/>
          <w:szCs w:val="24"/>
        </w:rPr>
        <w:t>. Manuscript submitted for publication.</w:t>
      </w:r>
    </w:p>
    <w:p w14:paraId="1CD61DDC" w14:textId="6234E8C9"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ThesisTools. (2019). ThesisTools.   Retrieved from </w:t>
      </w:r>
      <w:hyperlink r:id="rId12" w:history="1">
        <w:r w:rsidRPr="008A5A2E">
          <w:rPr>
            <w:rStyle w:val="Hyperlink"/>
            <w:rFonts w:ascii="Times New Roman" w:hAnsi="Times New Roman" w:cs="Times New Roman"/>
            <w:sz w:val="24"/>
            <w:szCs w:val="24"/>
          </w:rPr>
          <w:t>https://www.thesistoolspro.com/</w:t>
        </w:r>
      </w:hyperlink>
    </w:p>
    <w:p w14:paraId="215AE806"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Van de Vyver, J., Leite, A. C., Abrams, D., &amp; Palmer, S. B. (2018). Brexit or Bremain? A person and social analysis of voting decisions in the EU referendum. </w:t>
      </w:r>
      <w:r w:rsidRPr="008A5A2E">
        <w:rPr>
          <w:rFonts w:ascii="Times New Roman" w:hAnsi="Times New Roman" w:cs="Times New Roman"/>
          <w:i/>
          <w:sz w:val="24"/>
          <w:szCs w:val="24"/>
        </w:rPr>
        <w:t>Journal of Community &amp; Applied Social Psychology, 28</w:t>
      </w:r>
      <w:r w:rsidRPr="008A5A2E">
        <w:rPr>
          <w:rFonts w:ascii="Times New Roman" w:hAnsi="Times New Roman" w:cs="Times New Roman"/>
          <w:sz w:val="24"/>
          <w:szCs w:val="24"/>
        </w:rPr>
        <w:t>(2), 65-79. doi:10.1002/casp.2341</w:t>
      </w:r>
    </w:p>
    <w:p w14:paraId="799BFD0E"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Vasilopoulou, S. (2016). UK Euroscepticism and the Brexit referendum. </w:t>
      </w:r>
      <w:r w:rsidRPr="008A5A2E">
        <w:rPr>
          <w:rFonts w:ascii="Times New Roman" w:hAnsi="Times New Roman" w:cs="Times New Roman"/>
          <w:i/>
          <w:sz w:val="24"/>
          <w:szCs w:val="24"/>
        </w:rPr>
        <w:t>The Political Quarterly, 87</w:t>
      </w:r>
      <w:r w:rsidRPr="008A5A2E">
        <w:rPr>
          <w:rFonts w:ascii="Times New Roman" w:hAnsi="Times New Roman" w:cs="Times New Roman"/>
          <w:sz w:val="24"/>
          <w:szCs w:val="24"/>
        </w:rPr>
        <w:t>(2), 219-227. doi:10.1111/1467-923X.12258</w:t>
      </w:r>
    </w:p>
    <w:p w14:paraId="1C9D8E32"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lang w:val="fr-FR"/>
        </w:rPr>
      </w:pPr>
      <w:r w:rsidRPr="008A5A2E">
        <w:rPr>
          <w:rFonts w:ascii="Times New Roman" w:hAnsi="Times New Roman" w:cs="Times New Roman"/>
          <w:sz w:val="24"/>
          <w:szCs w:val="24"/>
        </w:rPr>
        <w:t xml:space="preserve">Verkuyten, M., &amp; Martinovic, B. (2017). Collective psychological ownership and intergroup relations. </w:t>
      </w:r>
      <w:r w:rsidRPr="008A5A2E">
        <w:rPr>
          <w:rFonts w:ascii="Times New Roman" w:hAnsi="Times New Roman" w:cs="Times New Roman"/>
          <w:i/>
          <w:sz w:val="24"/>
          <w:szCs w:val="24"/>
          <w:lang w:val="fr-FR"/>
        </w:rPr>
        <w:t>Perspectives on Psychological Science, 12</w:t>
      </w:r>
      <w:r w:rsidRPr="008A5A2E">
        <w:rPr>
          <w:rFonts w:ascii="Times New Roman" w:hAnsi="Times New Roman" w:cs="Times New Roman"/>
          <w:sz w:val="24"/>
          <w:szCs w:val="24"/>
          <w:lang w:val="fr-FR"/>
        </w:rPr>
        <w:t>(6), 1021-1039. doi:10.1177/1745691617706514</w:t>
      </w:r>
    </w:p>
    <w:p w14:paraId="31AED3D8"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lang w:val="nl-NL"/>
        </w:rPr>
      </w:pPr>
      <w:r w:rsidRPr="008A5A2E">
        <w:rPr>
          <w:rFonts w:ascii="Times New Roman" w:hAnsi="Times New Roman" w:cs="Times New Roman"/>
          <w:sz w:val="24"/>
          <w:szCs w:val="24"/>
          <w:lang w:val="fr-FR"/>
        </w:rPr>
        <w:t xml:space="preserve">Verkuyten, M., Sierksma, J., &amp; Thijs, J. (2015). </w:t>
      </w:r>
      <w:r w:rsidRPr="008A5A2E">
        <w:rPr>
          <w:rFonts w:ascii="Times New Roman" w:hAnsi="Times New Roman" w:cs="Times New Roman"/>
          <w:sz w:val="24"/>
          <w:szCs w:val="24"/>
        </w:rPr>
        <w:t xml:space="preserve">First arrival and owning the land: How children reason about ownership of territory. </w:t>
      </w:r>
      <w:r w:rsidRPr="008A5A2E">
        <w:rPr>
          <w:rFonts w:ascii="Times New Roman" w:hAnsi="Times New Roman" w:cs="Times New Roman"/>
          <w:i/>
          <w:sz w:val="24"/>
          <w:szCs w:val="24"/>
          <w:lang w:val="nl-NL"/>
        </w:rPr>
        <w:t>Journal of Environmental Psychology, 41</w:t>
      </w:r>
      <w:r w:rsidRPr="008A5A2E">
        <w:rPr>
          <w:rFonts w:ascii="Times New Roman" w:hAnsi="Times New Roman" w:cs="Times New Roman"/>
          <w:sz w:val="24"/>
          <w:szCs w:val="24"/>
          <w:lang w:val="nl-NL"/>
        </w:rPr>
        <w:t>, 58-64. doi:10.1016/j.jenvp.2014.11.007</w:t>
      </w:r>
    </w:p>
    <w:p w14:paraId="2F850688" w14:textId="16E61BC6"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lang w:val="nl-NL"/>
        </w:rPr>
        <w:t xml:space="preserve">Vlaams Belang. (2019). Vlaams Belang website.   </w:t>
      </w:r>
      <w:r w:rsidRPr="008A5A2E">
        <w:rPr>
          <w:rFonts w:ascii="Times New Roman" w:hAnsi="Times New Roman" w:cs="Times New Roman"/>
          <w:sz w:val="24"/>
          <w:szCs w:val="24"/>
        </w:rPr>
        <w:t xml:space="preserve">Retrieved from </w:t>
      </w:r>
      <w:hyperlink r:id="rId13" w:history="1">
        <w:r w:rsidRPr="008A5A2E">
          <w:rPr>
            <w:rStyle w:val="Hyperlink"/>
            <w:rFonts w:ascii="Times New Roman" w:hAnsi="Times New Roman" w:cs="Times New Roman"/>
            <w:sz w:val="24"/>
            <w:szCs w:val="24"/>
          </w:rPr>
          <w:t>https://www.vlaamsbelang.org/</w:t>
        </w:r>
      </w:hyperlink>
    </w:p>
    <w:p w14:paraId="7723BBB4" w14:textId="7777777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Wagner, U., Becker, J. C., Christ, O., Pettigrew, T. F., &amp; Schmidt, P. (2010). A longitudinal test of the relation between German nationalism, patriotism, and outgroup derogation. </w:t>
      </w:r>
      <w:r w:rsidRPr="008A5A2E">
        <w:rPr>
          <w:rFonts w:ascii="Times New Roman" w:hAnsi="Times New Roman" w:cs="Times New Roman"/>
          <w:i/>
          <w:sz w:val="24"/>
          <w:szCs w:val="24"/>
        </w:rPr>
        <w:t>European Sociological Review, 28</w:t>
      </w:r>
      <w:r w:rsidRPr="008A5A2E">
        <w:rPr>
          <w:rFonts w:ascii="Times New Roman" w:hAnsi="Times New Roman" w:cs="Times New Roman"/>
          <w:sz w:val="24"/>
          <w:szCs w:val="24"/>
        </w:rPr>
        <w:t>(3), 319-332. doi:10.1093/esr/jcq066</w:t>
      </w:r>
    </w:p>
    <w:p w14:paraId="60A50608" w14:textId="5B1F3037" w:rsidR="005F1620" w:rsidRPr="008A5A2E" w:rsidRDefault="005F1620" w:rsidP="008A5A2E">
      <w:pPr>
        <w:pStyle w:val="EndNoteBibliography"/>
        <w:spacing w:line="360" w:lineRule="auto"/>
        <w:ind w:left="720" w:hanging="720"/>
        <w:rPr>
          <w:rFonts w:ascii="Times New Roman" w:hAnsi="Times New Roman" w:cs="Times New Roman"/>
          <w:sz w:val="24"/>
          <w:szCs w:val="24"/>
        </w:rPr>
      </w:pPr>
      <w:r w:rsidRPr="008A5A2E">
        <w:rPr>
          <w:rFonts w:ascii="Times New Roman" w:hAnsi="Times New Roman" w:cs="Times New Roman"/>
          <w:sz w:val="24"/>
          <w:szCs w:val="24"/>
        </w:rPr>
        <w:t xml:space="preserve">Wilders, G. (2012). Wilders wil Nederland uit EU [Press release]. Retrieved from </w:t>
      </w:r>
      <w:hyperlink r:id="rId14" w:history="1">
        <w:r w:rsidRPr="008A5A2E">
          <w:rPr>
            <w:rStyle w:val="Hyperlink"/>
            <w:rFonts w:ascii="Times New Roman" w:hAnsi="Times New Roman" w:cs="Times New Roman"/>
            <w:sz w:val="24"/>
            <w:szCs w:val="24"/>
          </w:rPr>
          <w:t>https://www.pvv.nl/index.php/component/content/article.html?id=5540:wilders-wil-nederland-uit-eu</w:t>
        </w:r>
      </w:hyperlink>
    </w:p>
    <w:p w14:paraId="2D42239E" w14:textId="55776686" w:rsidR="0051771C" w:rsidRPr="001B3BA5" w:rsidRDefault="00521417" w:rsidP="008A5A2E">
      <w:pPr>
        <w:spacing w:after="0" w:line="360" w:lineRule="auto"/>
        <w:ind w:firstLine="708"/>
        <w:rPr>
          <w:rFonts w:ascii="Times New Roman" w:hAnsi="Times New Roman" w:cs="Times New Roman"/>
          <w:sz w:val="24"/>
          <w:szCs w:val="24"/>
          <w:lang w:val="en-GB"/>
        </w:rPr>
        <w:sectPr w:rsidR="0051771C" w:rsidRPr="001B3BA5" w:rsidSect="0051771C">
          <w:headerReference w:type="default" r:id="rId15"/>
          <w:footerReference w:type="default" r:id="rId16"/>
          <w:pgSz w:w="11906" w:h="16838"/>
          <w:pgMar w:top="1418" w:right="1418" w:bottom="1418" w:left="1418" w:header="709" w:footer="709" w:gutter="0"/>
          <w:cols w:space="708"/>
          <w:docGrid w:linePitch="360"/>
        </w:sectPr>
      </w:pPr>
      <w:r w:rsidRPr="008A5A2E">
        <w:rPr>
          <w:rFonts w:ascii="Times New Roman" w:hAnsi="Times New Roman" w:cs="Times New Roman"/>
          <w:sz w:val="24"/>
          <w:szCs w:val="24"/>
          <w:lang w:val="en-GB"/>
        </w:rPr>
        <w:fldChar w:fldCharType="end"/>
      </w:r>
    </w:p>
    <w:p w14:paraId="5D5D2596" w14:textId="28A74951" w:rsidR="00FF4873" w:rsidRPr="001B3BA5" w:rsidRDefault="00FF4873" w:rsidP="0051771C">
      <w:pPr>
        <w:spacing w:after="0" w:line="360" w:lineRule="auto"/>
        <w:rPr>
          <w:rFonts w:ascii="Times New Roman" w:hAnsi="Times New Roman" w:cs="Times New Roman"/>
          <w:sz w:val="24"/>
          <w:szCs w:val="24"/>
          <w:lang w:val="en-GB"/>
        </w:rPr>
      </w:pPr>
      <w:bookmarkStart w:id="49" w:name="_Hlk19604274"/>
    </w:p>
    <w:tbl>
      <w:tblPr>
        <w:tblpPr w:leftFromText="141" w:rightFromText="141" w:vertAnchor="text" w:horzAnchor="margin" w:tblpY="103"/>
        <w:tblW w:w="13766" w:type="dxa"/>
        <w:tblBorders>
          <w:bottom w:val="single" w:sz="4" w:space="0" w:color="auto"/>
        </w:tblBorders>
        <w:tblLayout w:type="fixed"/>
        <w:tblCellMar>
          <w:left w:w="70" w:type="dxa"/>
          <w:right w:w="70" w:type="dxa"/>
        </w:tblCellMar>
        <w:tblLook w:val="04A0" w:firstRow="1" w:lastRow="0" w:firstColumn="1" w:lastColumn="0" w:noHBand="0" w:noVBand="1"/>
      </w:tblPr>
      <w:tblGrid>
        <w:gridCol w:w="3290"/>
        <w:gridCol w:w="725"/>
        <w:gridCol w:w="664"/>
        <w:gridCol w:w="1007"/>
        <w:gridCol w:w="620"/>
        <w:gridCol w:w="568"/>
        <w:gridCol w:w="934"/>
        <w:gridCol w:w="992"/>
        <w:gridCol w:w="993"/>
        <w:gridCol w:w="993"/>
        <w:gridCol w:w="993"/>
        <w:gridCol w:w="994"/>
        <w:gridCol w:w="985"/>
        <w:gridCol w:w="8"/>
      </w:tblGrid>
      <w:tr w:rsidR="002B4207" w:rsidRPr="001B3BA5" w14:paraId="14A42811" w14:textId="77777777" w:rsidTr="00435299">
        <w:trPr>
          <w:gridAfter w:val="1"/>
          <w:wAfter w:w="8" w:type="dxa"/>
          <w:trHeight w:val="121"/>
        </w:trPr>
        <w:tc>
          <w:tcPr>
            <w:tcW w:w="13758" w:type="dxa"/>
            <w:gridSpan w:val="13"/>
            <w:tcBorders>
              <w:bottom w:val="single" w:sz="24" w:space="0" w:color="000000" w:themeColor="text1"/>
            </w:tcBorders>
          </w:tcPr>
          <w:p w14:paraId="3A2410C5" w14:textId="77777777" w:rsidR="002B4207" w:rsidRPr="001B3BA5" w:rsidRDefault="002B4207" w:rsidP="00435299">
            <w:pPr>
              <w:pStyle w:val="Table"/>
              <w:rPr>
                <w:b/>
                <w:color w:val="auto"/>
                <w:sz w:val="24"/>
                <w:szCs w:val="24"/>
                <w:lang w:val="en-GB"/>
              </w:rPr>
            </w:pPr>
            <w:r w:rsidRPr="001B3BA5">
              <w:rPr>
                <w:b/>
                <w:color w:val="auto"/>
                <w:sz w:val="24"/>
                <w:szCs w:val="24"/>
                <w:lang w:val="en-GB"/>
              </w:rPr>
              <w:t xml:space="preserve">Table 1. </w:t>
            </w:r>
            <w:r w:rsidRPr="001B3BA5">
              <w:rPr>
                <w:color w:val="auto"/>
                <w:sz w:val="24"/>
                <w:szCs w:val="24"/>
                <w:lang w:val="en-GB"/>
              </w:rPr>
              <w:t>Descriptive Statistics in Study 1</w:t>
            </w:r>
          </w:p>
        </w:tc>
      </w:tr>
      <w:tr w:rsidR="002B4207" w:rsidRPr="001B3BA5" w14:paraId="073DF6EE" w14:textId="77777777" w:rsidTr="00435299">
        <w:trPr>
          <w:trHeight w:val="308"/>
        </w:trPr>
        <w:tc>
          <w:tcPr>
            <w:tcW w:w="3290" w:type="dxa"/>
            <w:vMerge w:val="restart"/>
            <w:tcBorders>
              <w:top w:val="single" w:sz="24" w:space="0" w:color="000000" w:themeColor="text1"/>
            </w:tcBorders>
            <w:shd w:val="clear" w:color="auto" w:fill="auto"/>
            <w:noWrap/>
            <w:vAlign w:val="center"/>
            <w:hideMark/>
          </w:tcPr>
          <w:p w14:paraId="78A1C720" w14:textId="77777777" w:rsidR="002B4207" w:rsidRPr="001B3BA5" w:rsidRDefault="002B4207" w:rsidP="00435299">
            <w:pPr>
              <w:pStyle w:val="Table"/>
              <w:rPr>
                <w:color w:val="auto"/>
                <w:lang w:val="en-GB"/>
              </w:rPr>
            </w:pPr>
            <w:bookmarkStart w:id="50" w:name="_Hlk13579985"/>
          </w:p>
        </w:tc>
        <w:tc>
          <w:tcPr>
            <w:tcW w:w="725" w:type="dxa"/>
            <w:vMerge w:val="restart"/>
            <w:tcBorders>
              <w:top w:val="single" w:sz="24" w:space="0" w:color="000000" w:themeColor="text1"/>
            </w:tcBorders>
            <w:shd w:val="clear" w:color="auto" w:fill="auto"/>
            <w:noWrap/>
            <w:vAlign w:val="bottom"/>
          </w:tcPr>
          <w:p w14:paraId="7161043E" w14:textId="77777777" w:rsidR="002B4207" w:rsidRPr="001B3BA5" w:rsidRDefault="002B4207" w:rsidP="00435299">
            <w:pPr>
              <w:pStyle w:val="Table"/>
              <w:jc w:val="center"/>
              <w:rPr>
                <w:color w:val="auto"/>
                <w:lang w:val="en-GB"/>
              </w:rPr>
            </w:pPr>
            <w:r w:rsidRPr="001B3BA5">
              <w:rPr>
                <w:i/>
                <w:color w:val="auto"/>
                <w:lang w:val="en-GB"/>
              </w:rPr>
              <w:t>Valid n</w:t>
            </w:r>
          </w:p>
        </w:tc>
        <w:tc>
          <w:tcPr>
            <w:tcW w:w="664" w:type="dxa"/>
            <w:vMerge w:val="restart"/>
            <w:tcBorders>
              <w:top w:val="single" w:sz="24" w:space="0" w:color="000000" w:themeColor="text1"/>
            </w:tcBorders>
            <w:shd w:val="clear" w:color="auto" w:fill="auto"/>
            <w:noWrap/>
            <w:vAlign w:val="bottom"/>
          </w:tcPr>
          <w:p w14:paraId="31ECB4D6" w14:textId="77777777" w:rsidR="002B4207" w:rsidRPr="001B3BA5" w:rsidRDefault="002B4207" w:rsidP="00435299">
            <w:pPr>
              <w:pStyle w:val="Table"/>
              <w:jc w:val="center"/>
              <w:rPr>
                <w:color w:val="auto"/>
                <w:lang w:val="en-GB"/>
              </w:rPr>
            </w:pPr>
            <w:r w:rsidRPr="001B3BA5">
              <w:rPr>
                <w:i/>
                <w:color w:val="auto"/>
                <w:lang w:val="en-GB"/>
              </w:rPr>
              <w:t>Range</w:t>
            </w:r>
          </w:p>
        </w:tc>
        <w:tc>
          <w:tcPr>
            <w:tcW w:w="1007" w:type="dxa"/>
            <w:vMerge w:val="restart"/>
            <w:tcBorders>
              <w:top w:val="single" w:sz="24" w:space="0" w:color="000000" w:themeColor="text1"/>
            </w:tcBorders>
            <w:shd w:val="clear" w:color="auto" w:fill="auto"/>
            <w:noWrap/>
            <w:vAlign w:val="bottom"/>
          </w:tcPr>
          <w:p w14:paraId="60E24863" w14:textId="77777777" w:rsidR="002B4207" w:rsidRPr="001B3BA5" w:rsidRDefault="002B4207" w:rsidP="00435299">
            <w:pPr>
              <w:pStyle w:val="Table"/>
              <w:jc w:val="center"/>
              <w:rPr>
                <w:color w:val="auto"/>
                <w:lang w:val="en-GB"/>
              </w:rPr>
            </w:pPr>
            <w:r w:rsidRPr="001B3BA5">
              <w:rPr>
                <w:i/>
                <w:color w:val="auto"/>
                <w:lang w:val="en-GB"/>
              </w:rPr>
              <w:t>Mean/ proportion</w:t>
            </w:r>
          </w:p>
        </w:tc>
        <w:tc>
          <w:tcPr>
            <w:tcW w:w="620" w:type="dxa"/>
            <w:vMerge w:val="restart"/>
            <w:tcBorders>
              <w:top w:val="single" w:sz="24" w:space="0" w:color="000000" w:themeColor="text1"/>
            </w:tcBorders>
            <w:shd w:val="clear" w:color="auto" w:fill="auto"/>
            <w:noWrap/>
            <w:vAlign w:val="bottom"/>
          </w:tcPr>
          <w:p w14:paraId="63FFE537" w14:textId="77777777" w:rsidR="002B4207" w:rsidRPr="001B3BA5" w:rsidRDefault="002B4207" w:rsidP="00435299">
            <w:pPr>
              <w:pStyle w:val="Table"/>
              <w:jc w:val="center"/>
              <w:rPr>
                <w:color w:val="auto"/>
                <w:lang w:val="en-GB"/>
              </w:rPr>
            </w:pPr>
            <w:r w:rsidRPr="001B3BA5">
              <w:rPr>
                <w:i/>
                <w:color w:val="auto"/>
                <w:lang w:val="en-GB"/>
              </w:rPr>
              <w:t>SD</w:t>
            </w:r>
          </w:p>
        </w:tc>
        <w:tc>
          <w:tcPr>
            <w:tcW w:w="568" w:type="dxa"/>
            <w:vMerge w:val="restart"/>
            <w:tcBorders>
              <w:top w:val="single" w:sz="24" w:space="0" w:color="000000" w:themeColor="text1"/>
            </w:tcBorders>
            <w:vAlign w:val="bottom"/>
          </w:tcPr>
          <w:p w14:paraId="6B09545B" w14:textId="77777777" w:rsidR="002B4207" w:rsidRPr="001B3BA5" w:rsidRDefault="002B4207" w:rsidP="00435299">
            <w:pPr>
              <w:pStyle w:val="Table"/>
              <w:jc w:val="center"/>
              <w:rPr>
                <w:i/>
                <w:color w:val="auto"/>
                <w:lang w:val="en-GB"/>
              </w:rPr>
            </w:pPr>
            <w:r w:rsidRPr="001B3BA5">
              <w:rPr>
                <w:i/>
                <w:color w:val="auto"/>
                <w:lang w:val="en-GB"/>
              </w:rPr>
              <w:t>α</w:t>
            </w:r>
          </w:p>
        </w:tc>
        <w:tc>
          <w:tcPr>
            <w:tcW w:w="934" w:type="dxa"/>
            <w:vMerge w:val="restart"/>
            <w:tcBorders>
              <w:top w:val="single" w:sz="24" w:space="0" w:color="000000" w:themeColor="text1"/>
            </w:tcBorders>
            <w:vAlign w:val="bottom"/>
          </w:tcPr>
          <w:p w14:paraId="5FF61E0B" w14:textId="77777777" w:rsidR="002B4207" w:rsidRPr="001B3BA5" w:rsidRDefault="002B4207" w:rsidP="00435299">
            <w:pPr>
              <w:pStyle w:val="Table"/>
              <w:jc w:val="center"/>
              <w:rPr>
                <w:i/>
                <w:color w:val="auto"/>
                <w:lang w:val="en-GB"/>
              </w:rPr>
            </w:pPr>
            <w:r w:rsidRPr="001B3BA5">
              <w:rPr>
                <w:i/>
                <w:color w:val="auto"/>
                <w:lang w:val="en-GB"/>
              </w:rPr>
              <w:t>t</w:t>
            </w:r>
          </w:p>
        </w:tc>
        <w:tc>
          <w:tcPr>
            <w:tcW w:w="5958" w:type="dxa"/>
            <w:gridSpan w:val="7"/>
            <w:tcBorders>
              <w:top w:val="single" w:sz="24" w:space="0" w:color="000000" w:themeColor="text1"/>
              <w:bottom w:val="single" w:sz="12" w:space="0" w:color="000000" w:themeColor="text1"/>
            </w:tcBorders>
            <w:vAlign w:val="center"/>
          </w:tcPr>
          <w:p w14:paraId="7FEB76EA" w14:textId="77777777" w:rsidR="002B4207" w:rsidRPr="001B3BA5" w:rsidRDefault="002B4207" w:rsidP="00435299">
            <w:pPr>
              <w:pStyle w:val="Table"/>
              <w:jc w:val="center"/>
              <w:rPr>
                <w:i/>
                <w:color w:val="auto"/>
                <w:lang w:val="en-GB"/>
              </w:rPr>
            </w:pPr>
            <w:r w:rsidRPr="001B3BA5">
              <w:rPr>
                <w:i/>
                <w:color w:val="auto"/>
                <w:lang w:val="en-GB"/>
              </w:rPr>
              <w:t>Correlations Among Main Variables</w:t>
            </w:r>
          </w:p>
        </w:tc>
      </w:tr>
      <w:tr w:rsidR="002B4207" w:rsidRPr="001B3BA5" w14:paraId="5B1EAADE" w14:textId="77777777" w:rsidTr="00435299">
        <w:trPr>
          <w:trHeight w:val="307"/>
        </w:trPr>
        <w:tc>
          <w:tcPr>
            <w:tcW w:w="3290" w:type="dxa"/>
            <w:vMerge/>
            <w:tcBorders>
              <w:bottom w:val="single" w:sz="12" w:space="0" w:color="000000" w:themeColor="text1"/>
            </w:tcBorders>
            <w:shd w:val="clear" w:color="auto" w:fill="auto"/>
            <w:noWrap/>
            <w:vAlign w:val="center"/>
          </w:tcPr>
          <w:p w14:paraId="6F36CF1E" w14:textId="77777777" w:rsidR="002B4207" w:rsidRPr="001B3BA5" w:rsidRDefault="002B4207" w:rsidP="00435299">
            <w:pPr>
              <w:pStyle w:val="Table"/>
              <w:rPr>
                <w:color w:val="auto"/>
                <w:lang w:val="en-GB"/>
              </w:rPr>
            </w:pPr>
          </w:p>
        </w:tc>
        <w:tc>
          <w:tcPr>
            <w:tcW w:w="725" w:type="dxa"/>
            <w:vMerge/>
            <w:tcBorders>
              <w:bottom w:val="single" w:sz="12" w:space="0" w:color="000000" w:themeColor="text1"/>
            </w:tcBorders>
            <w:shd w:val="clear" w:color="auto" w:fill="auto"/>
            <w:noWrap/>
            <w:vAlign w:val="center"/>
          </w:tcPr>
          <w:p w14:paraId="24B496C1" w14:textId="77777777" w:rsidR="002B4207" w:rsidRPr="001B3BA5" w:rsidRDefault="002B4207" w:rsidP="00435299">
            <w:pPr>
              <w:pStyle w:val="Table"/>
              <w:jc w:val="center"/>
              <w:rPr>
                <w:i/>
                <w:color w:val="auto"/>
                <w:lang w:val="en-GB"/>
              </w:rPr>
            </w:pPr>
          </w:p>
        </w:tc>
        <w:tc>
          <w:tcPr>
            <w:tcW w:w="664" w:type="dxa"/>
            <w:vMerge/>
            <w:tcBorders>
              <w:bottom w:val="single" w:sz="12" w:space="0" w:color="000000" w:themeColor="text1"/>
            </w:tcBorders>
            <w:shd w:val="clear" w:color="auto" w:fill="auto"/>
            <w:noWrap/>
            <w:vAlign w:val="center"/>
          </w:tcPr>
          <w:p w14:paraId="3F083079" w14:textId="77777777" w:rsidR="002B4207" w:rsidRPr="001B3BA5" w:rsidRDefault="002B4207" w:rsidP="00435299">
            <w:pPr>
              <w:pStyle w:val="Table"/>
              <w:jc w:val="center"/>
              <w:rPr>
                <w:i/>
                <w:color w:val="auto"/>
                <w:lang w:val="en-GB"/>
              </w:rPr>
            </w:pPr>
          </w:p>
        </w:tc>
        <w:tc>
          <w:tcPr>
            <w:tcW w:w="1007" w:type="dxa"/>
            <w:vMerge/>
            <w:tcBorders>
              <w:bottom w:val="single" w:sz="12" w:space="0" w:color="000000" w:themeColor="text1"/>
            </w:tcBorders>
            <w:shd w:val="clear" w:color="auto" w:fill="auto"/>
            <w:noWrap/>
            <w:vAlign w:val="center"/>
          </w:tcPr>
          <w:p w14:paraId="38385AF0" w14:textId="77777777" w:rsidR="002B4207" w:rsidRPr="001B3BA5" w:rsidRDefault="002B4207" w:rsidP="00435299">
            <w:pPr>
              <w:pStyle w:val="Table"/>
              <w:jc w:val="center"/>
              <w:rPr>
                <w:i/>
                <w:color w:val="auto"/>
                <w:lang w:val="en-GB"/>
              </w:rPr>
            </w:pPr>
          </w:p>
        </w:tc>
        <w:tc>
          <w:tcPr>
            <w:tcW w:w="620" w:type="dxa"/>
            <w:vMerge/>
            <w:tcBorders>
              <w:bottom w:val="single" w:sz="12" w:space="0" w:color="000000" w:themeColor="text1"/>
            </w:tcBorders>
            <w:shd w:val="clear" w:color="auto" w:fill="auto"/>
            <w:noWrap/>
            <w:vAlign w:val="center"/>
          </w:tcPr>
          <w:p w14:paraId="65057FE1" w14:textId="77777777" w:rsidR="002B4207" w:rsidRPr="001B3BA5" w:rsidRDefault="002B4207" w:rsidP="00435299">
            <w:pPr>
              <w:pStyle w:val="Table"/>
              <w:jc w:val="center"/>
              <w:rPr>
                <w:i/>
                <w:color w:val="auto"/>
                <w:lang w:val="en-GB"/>
              </w:rPr>
            </w:pPr>
          </w:p>
        </w:tc>
        <w:tc>
          <w:tcPr>
            <w:tcW w:w="568" w:type="dxa"/>
            <w:vMerge/>
            <w:tcBorders>
              <w:bottom w:val="single" w:sz="12" w:space="0" w:color="000000" w:themeColor="text1"/>
            </w:tcBorders>
          </w:tcPr>
          <w:p w14:paraId="1F07BAA6" w14:textId="77777777" w:rsidR="002B4207" w:rsidRPr="001B3BA5" w:rsidRDefault="002B4207" w:rsidP="00435299">
            <w:pPr>
              <w:pStyle w:val="Table"/>
              <w:jc w:val="center"/>
              <w:rPr>
                <w:color w:val="auto"/>
                <w:lang w:val="en-GB"/>
              </w:rPr>
            </w:pPr>
          </w:p>
        </w:tc>
        <w:tc>
          <w:tcPr>
            <w:tcW w:w="934" w:type="dxa"/>
            <w:vMerge/>
            <w:tcBorders>
              <w:bottom w:val="single" w:sz="12" w:space="0" w:color="000000" w:themeColor="text1"/>
            </w:tcBorders>
          </w:tcPr>
          <w:p w14:paraId="069038F7" w14:textId="77777777" w:rsidR="002B4207" w:rsidRPr="001B3BA5" w:rsidRDefault="002B4207" w:rsidP="00435299">
            <w:pPr>
              <w:pStyle w:val="Table"/>
              <w:jc w:val="center"/>
              <w:rPr>
                <w:i/>
                <w:color w:val="auto"/>
                <w:lang w:val="en-GB"/>
              </w:rPr>
            </w:pPr>
          </w:p>
        </w:tc>
        <w:tc>
          <w:tcPr>
            <w:tcW w:w="992" w:type="dxa"/>
            <w:tcBorders>
              <w:top w:val="single" w:sz="12" w:space="0" w:color="000000" w:themeColor="text1"/>
              <w:bottom w:val="single" w:sz="12" w:space="0" w:color="000000" w:themeColor="text1"/>
            </w:tcBorders>
            <w:vAlign w:val="center"/>
          </w:tcPr>
          <w:p w14:paraId="65E61A38" w14:textId="77777777" w:rsidR="002B4207" w:rsidRPr="001B3BA5" w:rsidRDefault="002B4207" w:rsidP="00435299">
            <w:pPr>
              <w:pStyle w:val="Table"/>
              <w:jc w:val="center"/>
              <w:rPr>
                <w:color w:val="auto"/>
                <w:lang w:val="en-GB"/>
              </w:rPr>
            </w:pPr>
            <w:r w:rsidRPr="001B3BA5">
              <w:rPr>
                <w:color w:val="auto"/>
                <w:lang w:val="en-GB"/>
              </w:rPr>
              <w:t>2.</w:t>
            </w:r>
          </w:p>
        </w:tc>
        <w:tc>
          <w:tcPr>
            <w:tcW w:w="993" w:type="dxa"/>
            <w:tcBorders>
              <w:top w:val="single" w:sz="12" w:space="0" w:color="000000" w:themeColor="text1"/>
              <w:bottom w:val="single" w:sz="12" w:space="0" w:color="000000" w:themeColor="text1"/>
            </w:tcBorders>
            <w:vAlign w:val="center"/>
          </w:tcPr>
          <w:p w14:paraId="4788C2EA" w14:textId="77777777" w:rsidR="002B4207" w:rsidRPr="001B3BA5" w:rsidRDefault="002B4207" w:rsidP="00435299">
            <w:pPr>
              <w:pStyle w:val="Table"/>
              <w:jc w:val="center"/>
              <w:rPr>
                <w:color w:val="auto"/>
                <w:lang w:val="en-GB"/>
              </w:rPr>
            </w:pPr>
            <w:r w:rsidRPr="001B3BA5">
              <w:rPr>
                <w:color w:val="auto"/>
                <w:lang w:val="en-GB"/>
              </w:rPr>
              <w:t>3.</w:t>
            </w:r>
          </w:p>
        </w:tc>
        <w:tc>
          <w:tcPr>
            <w:tcW w:w="993" w:type="dxa"/>
            <w:tcBorders>
              <w:top w:val="single" w:sz="12" w:space="0" w:color="000000" w:themeColor="text1"/>
              <w:bottom w:val="single" w:sz="12" w:space="0" w:color="000000" w:themeColor="text1"/>
            </w:tcBorders>
            <w:vAlign w:val="center"/>
          </w:tcPr>
          <w:p w14:paraId="64AA6C6A" w14:textId="77777777" w:rsidR="002B4207" w:rsidRPr="001B3BA5" w:rsidRDefault="002B4207" w:rsidP="00435299">
            <w:pPr>
              <w:pStyle w:val="Table"/>
              <w:jc w:val="center"/>
              <w:rPr>
                <w:color w:val="auto"/>
                <w:lang w:val="en-GB"/>
              </w:rPr>
            </w:pPr>
            <w:r w:rsidRPr="001B3BA5">
              <w:rPr>
                <w:color w:val="auto"/>
                <w:lang w:val="en-GB"/>
              </w:rPr>
              <w:t>4.</w:t>
            </w:r>
          </w:p>
        </w:tc>
        <w:tc>
          <w:tcPr>
            <w:tcW w:w="993" w:type="dxa"/>
            <w:tcBorders>
              <w:top w:val="single" w:sz="12" w:space="0" w:color="000000" w:themeColor="text1"/>
              <w:bottom w:val="single" w:sz="12" w:space="0" w:color="000000" w:themeColor="text1"/>
            </w:tcBorders>
            <w:vAlign w:val="center"/>
          </w:tcPr>
          <w:p w14:paraId="790DFD70" w14:textId="77777777" w:rsidR="002B4207" w:rsidRPr="001B3BA5" w:rsidRDefault="002B4207" w:rsidP="00435299">
            <w:pPr>
              <w:pStyle w:val="Table"/>
              <w:jc w:val="center"/>
              <w:rPr>
                <w:color w:val="auto"/>
                <w:lang w:val="en-GB"/>
              </w:rPr>
            </w:pPr>
            <w:r w:rsidRPr="001B3BA5">
              <w:rPr>
                <w:color w:val="auto"/>
                <w:lang w:val="en-GB"/>
              </w:rPr>
              <w:t>5.</w:t>
            </w:r>
          </w:p>
        </w:tc>
        <w:tc>
          <w:tcPr>
            <w:tcW w:w="994" w:type="dxa"/>
            <w:tcBorders>
              <w:top w:val="single" w:sz="12" w:space="0" w:color="000000" w:themeColor="text1"/>
              <w:bottom w:val="single" w:sz="12" w:space="0" w:color="000000" w:themeColor="text1"/>
            </w:tcBorders>
            <w:vAlign w:val="center"/>
          </w:tcPr>
          <w:p w14:paraId="28C0B736" w14:textId="77777777" w:rsidR="002B4207" w:rsidRPr="001B3BA5" w:rsidRDefault="002B4207" w:rsidP="00435299">
            <w:pPr>
              <w:pStyle w:val="Table"/>
              <w:jc w:val="center"/>
              <w:rPr>
                <w:color w:val="auto"/>
                <w:lang w:val="en-GB"/>
              </w:rPr>
            </w:pPr>
            <w:r w:rsidRPr="001B3BA5">
              <w:rPr>
                <w:color w:val="auto"/>
                <w:lang w:val="en-GB"/>
              </w:rPr>
              <w:t>6.</w:t>
            </w:r>
          </w:p>
        </w:tc>
        <w:tc>
          <w:tcPr>
            <w:tcW w:w="993" w:type="dxa"/>
            <w:gridSpan w:val="2"/>
            <w:tcBorders>
              <w:top w:val="single" w:sz="12" w:space="0" w:color="000000" w:themeColor="text1"/>
              <w:bottom w:val="single" w:sz="12" w:space="0" w:color="000000" w:themeColor="text1"/>
            </w:tcBorders>
          </w:tcPr>
          <w:p w14:paraId="04416079" w14:textId="77777777" w:rsidR="002B4207" w:rsidRPr="001B3BA5" w:rsidRDefault="002B4207" w:rsidP="00435299">
            <w:pPr>
              <w:pStyle w:val="Table"/>
              <w:jc w:val="center"/>
              <w:rPr>
                <w:color w:val="auto"/>
                <w:lang w:val="en-GB"/>
              </w:rPr>
            </w:pPr>
            <w:r w:rsidRPr="001B3BA5">
              <w:rPr>
                <w:color w:val="auto"/>
                <w:lang w:val="en-GB"/>
              </w:rPr>
              <w:t>7.</w:t>
            </w:r>
          </w:p>
        </w:tc>
      </w:tr>
      <w:tr w:rsidR="002B4207" w:rsidRPr="001B3BA5" w14:paraId="6C6CB465" w14:textId="77777777" w:rsidTr="00435299">
        <w:trPr>
          <w:trHeight w:val="300"/>
        </w:trPr>
        <w:tc>
          <w:tcPr>
            <w:tcW w:w="3290" w:type="dxa"/>
            <w:tcBorders>
              <w:top w:val="nil"/>
            </w:tcBorders>
            <w:shd w:val="clear" w:color="auto" w:fill="auto"/>
            <w:noWrap/>
            <w:vAlign w:val="center"/>
          </w:tcPr>
          <w:p w14:paraId="428DE73B" w14:textId="77777777" w:rsidR="002B4207" w:rsidRPr="001B3BA5" w:rsidRDefault="002B4207" w:rsidP="00435299">
            <w:pPr>
              <w:pStyle w:val="Table"/>
              <w:jc w:val="left"/>
              <w:rPr>
                <w:color w:val="auto"/>
                <w:lang w:val="en-GB"/>
              </w:rPr>
            </w:pPr>
            <w:r w:rsidRPr="001B3BA5">
              <w:rPr>
                <w:color w:val="auto"/>
                <w:lang w:val="en-GB"/>
              </w:rPr>
              <w:t>1. Collective psychological ownership</w:t>
            </w:r>
          </w:p>
        </w:tc>
        <w:tc>
          <w:tcPr>
            <w:tcW w:w="725" w:type="dxa"/>
            <w:tcBorders>
              <w:top w:val="nil"/>
            </w:tcBorders>
            <w:shd w:val="clear" w:color="auto" w:fill="auto"/>
            <w:noWrap/>
            <w:vAlign w:val="center"/>
          </w:tcPr>
          <w:p w14:paraId="58ECA171" w14:textId="77777777" w:rsidR="002B4207" w:rsidRPr="001B3BA5" w:rsidRDefault="002B4207" w:rsidP="00435299">
            <w:pPr>
              <w:pStyle w:val="Table"/>
              <w:jc w:val="center"/>
              <w:rPr>
                <w:color w:val="auto"/>
                <w:lang w:val="en-GB"/>
              </w:rPr>
            </w:pPr>
            <w:r w:rsidRPr="001B3BA5">
              <w:rPr>
                <w:color w:val="auto"/>
                <w:lang w:val="en-GB"/>
              </w:rPr>
              <w:t>572</w:t>
            </w:r>
          </w:p>
        </w:tc>
        <w:tc>
          <w:tcPr>
            <w:tcW w:w="664" w:type="dxa"/>
            <w:tcBorders>
              <w:top w:val="nil"/>
            </w:tcBorders>
            <w:shd w:val="clear" w:color="auto" w:fill="auto"/>
            <w:noWrap/>
            <w:vAlign w:val="center"/>
          </w:tcPr>
          <w:p w14:paraId="08FA522F" w14:textId="77777777" w:rsidR="002B4207" w:rsidRPr="001B3BA5" w:rsidRDefault="002B4207" w:rsidP="00435299">
            <w:pPr>
              <w:pStyle w:val="Table"/>
              <w:tabs>
                <w:tab w:val="decimal" w:pos="238"/>
              </w:tabs>
              <w:jc w:val="left"/>
              <w:rPr>
                <w:color w:val="auto"/>
                <w:lang w:val="en-GB"/>
              </w:rPr>
            </w:pPr>
            <w:r w:rsidRPr="001B3BA5">
              <w:rPr>
                <w:color w:val="auto"/>
                <w:lang w:val="en-GB"/>
              </w:rPr>
              <w:t>1-7</w:t>
            </w:r>
          </w:p>
        </w:tc>
        <w:tc>
          <w:tcPr>
            <w:tcW w:w="1007" w:type="dxa"/>
            <w:tcBorders>
              <w:top w:val="nil"/>
            </w:tcBorders>
            <w:shd w:val="clear" w:color="auto" w:fill="auto"/>
            <w:noWrap/>
            <w:vAlign w:val="center"/>
          </w:tcPr>
          <w:p w14:paraId="062F784B" w14:textId="77777777" w:rsidR="002B4207" w:rsidRPr="001B3BA5" w:rsidRDefault="002B4207" w:rsidP="00435299">
            <w:pPr>
              <w:pStyle w:val="Table"/>
              <w:tabs>
                <w:tab w:val="decimal" w:pos="641"/>
              </w:tabs>
              <w:jc w:val="left"/>
              <w:rPr>
                <w:color w:val="auto"/>
                <w:lang w:val="en-GB"/>
              </w:rPr>
            </w:pPr>
            <w:r w:rsidRPr="001B3BA5">
              <w:rPr>
                <w:color w:val="auto"/>
                <w:lang w:val="en-GB"/>
              </w:rPr>
              <w:t>4.78</w:t>
            </w:r>
          </w:p>
        </w:tc>
        <w:tc>
          <w:tcPr>
            <w:tcW w:w="620" w:type="dxa"/>
            <w:tcBorders>
              <w:top w:val="nil"/>
            </w:tcBorders>
            <w:shd w:val="clear" w:color="auto" w:fill="auto"/>
            <w:noWrap/>
            <w:vAlign w:val="center"/>
          </w:tcPr>
          <w:p w14:paraId="662696F5" w14:textId="77777777" w:rsidR="002B4207" w:rsidRPr="001B3BA5" w:rsidRDefault="002B4207" w:rsidP="00435299">
            <w:pPr>
              <w:pStyle w:val="Table"/>
              <w:jc w:val="center"/>
              <w:rPr>
                <w:color w:val="auto"/>
                <w:lang w:val="en-GB"/>
              </w:rPr>
            </w:pPr>
            <w:r w:rsidRPr="001B3BA5">
              <w:rPr>
                <w:color w:val="auto"/>
                <w:lang w:val="en-GB"/>
              </w:rPr>
              <w:t>1.65</w:t>
            </w:r>
          </w:p>
        </w:tc>
        <w:tc>
          <w:tcPr>
            <w:tcW w:w="568" w:type="dxa"/>
            <w:vAlign w:val="center"/>
          </w:tcPr>
          <w:p w14:paraId="717A1A4E" w14:textId="77777777" w:rsidR="002B4207" w:rsidRPr="001B3BA5" w:rsidRDefault="002B4207" w:rsidP="00435299">
            <w:pPr>
              <w:pStyle w:val="Table"/>
              <w:jc w:val="center"/>
              <w:rPr>
                <w:color w:val="auto"/>
                <w:lang w:val="en-GB"/>
              </w:rPr>
            </w:pPr>
            <w:r w:rsidRPr="001B3BA5">
              <w:rPr>
                <w:color w:val="auto"/>
                <w:lang w:val="en-GB"/>
              </w:rPr>
              <w:t>.951</w:t>
            </w:r>
          </w:p>
        </w:tc>
        <w:tc>
          <w:tcPr>
            <w:tcW w:w="934" w:type="dxa"/>
            <w:vAlign w:val="center"/>
          </w:tcPr>
          <w:p w14:paraId="7450125A" w14:textId="77777777" w:rsidR="002B4207" w:rsidRPr="001B3BA5" w:rsidRDefault="002B4207" w:rsidP="001D7644">
            <w:pPr>
              <w:pStyle w:val="Table"/>
              <w:tabs>
                <w:tab w:val="decimal" w:pos="0"/>
              </w:tabs>
              <w:jc w:val="left"/>
              <w:rPr>
                <w:color w:val="auto"/>
                <w:lang w:val="en-GB"/>
              </w:rPr>
            </w:pPr>
            <w:r w:rsidRPr="001B3BA5">
              <w:rPr>
                <w:color w:val="auto"/>
                <w:lang w:val="en-GB"/>
              </w:rPr>
              <w:t>11.36***</w:t>
            </w:r>
          </w:p>
        </w:tc>
        <w:tc>
          <w:tcPr>
            <w:tcW w:w="992" w:type="dxa"/>
            <w:vAlign w:val="center"/>
          </w:tcPr>
          <w:p w14:paraId="3EDCF5D0" w14:textId="77777777" w:rsidR="002B4207" w:rsidRPr="001B3BA5" w:rsidRDefault="002B4207" w:rsidP="00435299">
            <w:pPr>
              <w:pStyle w:val="Table"/>
              <w:tabs>
                <w:tab w:val="decimal" w:pos="496"/>
              </w:tabs>
              <w:jc w:val="left"/>
              <w:rPr>
                <w:color w:val="auto"/>
                <w:lang w:val="en-GB"/>
              </w:rPr>
            </w:pPr>
            <w:r w:rsidRPr="001B3BA5">
              <w:rPr>
                <w:color w:val="auto"/>
                <w:lang w:val="en-GB"/>
              </w:rPr>
              <w:t>.643***</w:t>
            </w:r>
          </w:p>
        </w:tc>
        <w:tc>
          <w:tcPr>
            <w:tcW w:w="993" w:type="dxa"/>
            <w:vAlign w:val="center"/>
          </w:tcPr>
          <w:p w14:paraId="3DCF14CA" w14:textId="77777777" w:rsidR="002B4207" w:rsidRPr="001B3BA5" w:rsidRDefault="002B4207" w:rsidP="00435299">
            <w:pPr>
              <w:pStyle w:val="Table"/>
              <w:tabs>
                <w:tab w:val="decimal" w:pos="498"/>
              </w:tabs>
              <w:jc w:val="left"/>
              <w:rPr>
                <w:color w:val="auto"/>
                <w:lang w:val="en-GB"/>
              </w:rPr>
            </w:pPr>
            <w:r w:rsidRPr="001B3BA5">
              <w:rPr>
                <w:color w:val="auto"/>
                <w:lang w:val="en-GB"/>
              </w:rPr>
              <w:t>–.318***</w:t>
            </w:r>
          </w:p>
        </w:tc>
        <w:tc>
          <w:tcPr>
            <w:tcW w:w="993" w:type="dxa"/>
            <w:vAlign w:val="center"/>
          </w:tcPr>
          <w:p w14:paraId="4C5D5642" w14:textId="77777777" w:rsidR="002B4207" w:rsidRPr="001B3BA5" w:rsidRDefault="002B4207" w:rsidP="00435299">
            <w:pPr>
              <w:pStyle w:val="Table"/>
              <w:tabs>
                <w:tab w:val="decimal" w:pos="498"/>
              </w:tabs>
              <w:jc w:val="left"/>
              <w:rPr>
                <w:color w:val="auto"/>
                <w:lang w:val="en-GB"/>
              </w:rPr>
            </w:pPr>
            <w:r w:rsidRPr="001B3BA5">
              <w:rPr>
                <w:color w:val="auto"/>
                <w:lang w:val="en-GB"/>
              </w:rPr>
              <w:t>–.397***</w:t>
            </w:r>
          </w:p>
        </w:tc>
        <w:tc>
          <w:tcPr>
            <w:tcW w:w="993" w:type="dxa"/>
            <w:vAlign w:val="center"/>
          </w:tcPr>
          <w:p w14:paraId="33C309C1" w14:textId="77777777" w:rsidR="002B4207" w:rsidRPr="001B3BA5" w:rsidRDefault="002B4207" w:rsidP="00435299">
            <w:pPr>
              <w:pStyle w:val="Table"/>
              <w:tabs>
                <w:tab w:val="decimal" w:pos="493"/>
              </w:tabs>
              <w:jc w:val="left"/>
              <w:rPr>
                <w:color w:val="auto"/>
                <w:lang w:val="en-GB"/>
              </w:rPr>
            </w:pPr>
            <w:r w:rsidRPr="001B3BA5">
              <w:rPr>
                <w:color w:val="auto"/>
                <w:lang w:val="en-GB"/>
              </w:rPr>
              <w:t xml:space="preserve"> .342***</w:t>
            </w:r>
          </w:p>
        </w:tc>
        <w:tc>
          <w:tcPr>
            <w:tcW w:w="994" w:type="dxa"/>
            <w:vAlign w:val="center"/>
          </w:tcPr>
          <w:p w14:paraId="5C59FA8B" w14:textId="77777777" w:rsidR="002B4207" w:rsidRPr="001B3BA5" w:rsidRDefault="002B4207" w:rsidP="00435299">
            <w:pPr>
              <w:pStyle w:val="Table"/>
              <w:tabs>
                <w:tab w:val="decimal" w:pos="496"/>
              </w:tabs>
              <w:jc w:val="left"/>
              <w:rPr>
                <w:color w:val="auto"/>
                <w:lang w:val="en-GB"/>
              </w:rPr>
            </w:pPr>
            <w:r w:rsidRPr="001B3BA5">
              <w:rPr>
                <w:color w:val="auto"/>
                <w:lang w:val="en-GB"/>
              </w:rPr>
              <w:t xml:space="preserve"> .564***</w:t>
            </w:r>
          </w:p>
        </w:tc>
        <w:tc>
          <w:tcPr>
            <w:tcW w:w="993" w:type="dxa"/>
            <w:gridSpan w:val="2"/>
            <w:vAlign w:val="center"/>
          </w:tcPr>
          <w:p w14:paraId="02ED80A4" w14:textId="77777777" w:rsidR="002B4207" w:rsidRPr="001B3BA5" w:rsidRDefault="002B4207" w:rsidP="00435299">
            <w:pPr>
              <w:pStyle w:val="Table"/>
              <w:tabs>
                <w:tab w:val="decimal" w:pos="498"/>
              </w:tabs>
              <w:jc w:val="left"/>
              <w:rPr>
                <w:color w:val="auto"/>
                <w:lang w:val="en-GB"/>
              </w:rPr>
            </w:pPr>
            <w:r w:rsidRPr="001B3BA5">
              <w:rPr>
                <w:color w:val="auto"/>
                <w:lang w:val="en-GB"/>
              </w:rPr>
              <w:t xml:space="preserve"> .324***</w:t>
            </w:r>
          </w:p>
        </w:tc>
      </w:tr>
      <w:tr w:rsidR="002B4207" w:rsidRPr="001B3BA5" w14:paraId="0FCBE9A1" w14:textId="77777777" w:rsidTr="00435299">
        <w:trPr>
          <w:trHeight w:val="300"/>
        </w:trPr>
        <w:tc>
          <w:tcPr>
            <w:tcW w:w="3290" w:type="dxa"/>
            <w:shd w:val="clear" w:color="auto" w:fill="auto"/>
            <w:noWrap/>
            <w:vAlign w:val="center"/>
          </w:tcPr>
          <w:p w14:paraId="215175F7" w14:textId="77777777" w:rsidR="002B4207" w:rsidRPr="001B3BA5" w:rsidRDefault="002B4207" w:rsidP="00435299">
            <w:pPr>
              <w:pStyle w:val="Table"/>
              <w:jc w:val="left"/>
              <w:rPr>
                <w:color w:val="auto"/>
                <w:lang w:val="en-GB"/>
              </w:rPr>
            </w:pPr>
            <w:bookmarkStart w:id="51" w:name="_Hlk21339693"/>
            <w:r w:rsidRPr="001B3BA5">
              <w:rPr>
                <w:color w:val="auto"/>
                <w:lang w:val="en-GB"/>
              </w:rPr>
              <w:t>2. Exclusive determination right</w:t>
            </w:r>
          </w:p>
        </w:tc>
        <w:tc>
          <w:tcPr>
            <w:tcW w:w="725" w:type="dxa"/>
            <w:shd w:val="clear" w:color="auto" w:fill="auto"/>
            <w:noWrap/>
            <w:vAlign w:val="center"/>
          </w:tcPr>
          <w:p w14:paraId="4D274518" w14:textId="77777777" w:rsidR="002B4207" w:rsidRPr="001B3BA5" w:rsidRDefault="002B4207" w:rsidP="00435299">
            <w:pPr>
              <w:pStyle w:val="Table"/>
              <w:jc w:val="center"/>
              <w:rPr>
                <w:color w:val="auto"/>
                <w:lang w:val="en-GB"/>
              </w:rPr>
            </w:pPr>
            <w:r w:rsidRPr="001B3BA5">
              <w:rPr>
                <w:color w:val="auto"/>
                <w:lang w:val="en-GB"/>
              </w:rPr>
              <w:t>572</w:t>
            </w:r>
          </w:p>
        </w:tc>
        <w:tc>
          <w:tcPr>
            <w:tcW w:w="664" w:type="dxa"/>
            <w:shd w:val="clear" w:color="auto" w:fill="auto"/>
            <w:noWrap/>
            <w:vAlign w:val="center"/>
          </w:tcPr>
          <w:p w14:paraId="769284AE" w14:textId="77777777" w:rsidR="002B4207" w:rsidRPr="001B3BA5" w:rsidRDefault="002B4207" w:rsidP="00435299">
            <w:pPr>
              <w:pStyle w:val="Table"/>
              <w:tabs>
                <w:tab w:val="decimal" w:pos="238"/>
              </w:tabs>
              <w:jc w:val="left"/>
              <w:rPr>
                <w:color w:val="auto"/>
                <w:lang w:val="en-GB"/>
              </w:rPr>
            </w:pPr>
            <w:r w:rsidRPr="001B3BA5">
              <w:rPr>
                <w:color w:val="auto"/>
                <w:lang w:val="en-GB"/>
              </w:rPr>
              <w:t>1-7</w:t>
            </w:r>
          </w:p>
        </w:tc>
        <w:tc>
          <w:tcPr>
            <w:tcW w:w="1007" w:type="dxa"/>
            <w:shd w:val="clear" w:color="auto" w:fill="auto"/>
            <w:noWrap/>
            <w:vAlign w:val="center"/>
          </w:tcPr>
          <w:p w14:paraId="6DF8F4AE" w14:textId="77777777" w:rsidR="002B4207" w:rsidRPr="001B3BA5" w:rsidRDefault="002B4207" w:rsidP="00435299">
            <w:pPr>
              <w:pStyle w:val="Table"/>
              <w:tabs>
                <w:tab w:val="decimal" w:pos="641"/>
              </w:tabs>
              <w:jc w:val="left"/>
              <w:rPr>
                <w:color w:val="auto"/>
                <w:lang w:val="en-GB"/>
              </w:rPr>
            </w:pPr>
            <w:r w:rsidRPr="001B3BA5">
              <w:rPr>
                <w:color w:val="auto"/>
                <w:lang w:val="en-GB"/>
              </w:rPr>
              <w:t>4.15</w:t>
            </w:r>
          </w:p>
        </w:tc>
        <w:tc>
          <w:tcPr>
            <w:tcW w:w="620" w:type="dxa"/>
            <w:shd w:val="clear" w:color="auto" w:fill="auto"/>
            <w:noWrap/>
            <w:vAlign w:val="center"/>
          </w:tcPr>
          <w:p w14:paraId="02CF9F97" w14:textId="77777777" w:rsidR="002B4207" w:rsidRPr="001B3BA5" w:rsidRDefault="002B4207" w:rsidP="00435299">
            <w:pPr>
              <w:pStyle w:val="Table"/>
              <w:jc w:val="center"/>
              <w:rPr>
                <w:color w:val="auto"/>
                <w:lang w:val="en-GB"/>
              </w:rPr>
            </w:pPr>
            <w:r w:rsidRPr="001B3BA5">
              <w:rPr>
                <w:color w:val="auto"/>
                <w:lang w:val="en-GB"/>
              </w:rPr>
              <w:t>1.79</w:t>
            </w:r>
          </w:p>
        </w:tc>
        <w:tc>
          <w:tcPr>
            <w:tcW w:w="568" w:type="dxa"/>
            <w:vAlign w:val="center"/>
          </w:tcPr>
          <w:p w14:paraId="722A1861" w14:textId="77777777" w:rsidR="002B4207" w:rsidRPr="001B3BA5" w:rsidRDefault="002B4207" w:rsidP="00435299">
            <w:pPr>
              <w:pStyle w:val="Table"/>
              <w:jc w:val="center"/>
              <w:rPr>
                <w:color w:val="auto"/>
                <w:lang w:val="en-GB"/>
              </w:rPr>
            </w:pPr>
            <w:r w:rsidRPr="001B3BA5">
              <w:rPr>
                <w:color w:val="auto"/>
                <w:lang w:val="en-GB"/>
              </w:rPr>
              <w:t>.963</w:t>
            </w:r>
          </w:p>
        </w:tc>
        <w:tc>
          <w:tcPr>
            <w:tcW w:w="934" w:type="dxa"/>
            <w:vAlign w:val="center"/>
          </w:tcPr>
          <w:p w14:paraId="53F627BE" w14:textId="77777777" w:rsidR="002B4207" w:rsidRPr="001B3BA5" w:rsidRDefault="002B4207" w:rsidP="001D7644">
            <w:pPr>
              <w:pStyle w:val="Table"/>
              <w:tabs>
                <w:tab w:val="decimal" w:pos="0"/>
              </w:tabs>
              <w:jc w:val="left"/>
              <w:rPr>
                <w:color w:val="auto"/>
                <w:lang w:val="en-GB"/>
              </w:rPr>
            </w:pPr>
            <w:r w:rsidRPr="001B3BA5">
              <w:rPr>
                <w:color w:val="auto"/>
                <w:lang w:val="en-GB"/>
              </w:rPr>
              <w:t>2.01*</w:t>
            </w:r>
          </w:p>
        </w:tc>
        <w:tc>
          <w:tcPr>
            <w:tcW w:w="992" w:type="dxa"/>
            <w:vAlign w:val="center"/>
          </w:tcPr>
          <w:p w14:paraId="255F8129" w14:textId="77777777" w:rsidR="002B4207" w:rsidRPr="001B3BA5" w:rsidRDefault="002B4207" w:rsidP="00435299">
            <w:pPr>
              <w:pStyle w:val="Table"/>
              <w:tabs>
                <w:tab w:val="decimal" w:pos="496"/>
              </w:tabs>
              <w:jc w:val="left"/>
              <w:rPr>
                <w:color w:val="auto"/>
                <w:lang w:val="en-GB"/>
              </w:rPr>
            </w:pPr>
            <w:r w:rsidRPr="001B3BA5">
              <w:rPr>
                <w:color w:val="auto"/>
                <w:lang w:val="en-GB"/>
              </w:rPr>
              <w:t xml:space="preserve"> 1</w:t>
            </w:r>
          </w:p>
        </w:tc>
        <w:tc>
          <w:tcPr>
            <w:tcW w:w="993" w:type="dxa"/>
            <w:vAlign w:val="center"/>
          </w:tcPr>
          <w:p w14:paraId="5BEAD344" w14:textId="77777777" w:rsidR="002B4207" w:rsidRPr="001B3BA5" w:rsidRDefault="002B4207" w:rsidP="00435299">
            <w:pPr>
              <w:pStyle w:val="Table"/>
              <w:tabs>
                <w:tab w:val="decimal" w:pos="498"/>
              </w:tabs>
              <w:jc w:val="left"/>
              <w:rPr>
                <w:color w:val="auto"/>
                <w:lang w:val="en-GB"/>
              </w:rPr>
            </w:pPr>
            <w:r w:rsidRPr="001B3BA5">
              <w:rPr>
                <w:color w:val="auto"/>
                <w:lang w:val="en-GB"/>
              </w:rPr>
              <w:t>–.407***</w:t>
            </w:r>
          </w:p>
        </w:tc>
        <w:tc>
          <w:tcPr>
            <w:tcW w:w="993" w:type="dxa"/>
            <w:vAlign w:val="center"/>
          </w:tcPr>
          <w:p w14:paraId="5AB7BB95" w14:textId="77777777" w:rsidR="002B4207" w:rsidRPr="001B3BA5" w:rsidRDefault="002B4207" w:rsidP="00435299">
            <w:pPr>
              <w:pStyle w:val="Table"/>
              <w:tabs>
                <w:tab w:val="decimal" w:pos="498"/>
              </w:tabs>
              <w:jc w:val="left"/>
              <w:rPr>
                <w:color w:val="auto"/>
                <w:lang w:val="en-GB"/>
              </w:rPr>
            </w:pPr>
            <w:r w:rsidRPr="001B3BA5">
              <w:rPr>
                <w:color w:val="auto"/>
                <w:lang w:val="en-GB"/>
              </w:rPr>
              <w:t>–.469***</w:t>
            </w:r>
          </w:p>
        </w:tc>
        <w:tc>
          <w:tcPr>
            <w:tcW w:w="993" w:type="dxa"/>
            <w:vAlign w:val="center"/>
          </w:tcPr>
          <w:p w14:paraId="55A421D6" w14:textId="77777777" w:rsidR="002B4207" w:rsidRPr="001B3BA5" w:rsidRDefault="002B4207" w:rsidP="00435299">
            <w:pPr>
              <w:pStyle w:val="Table"/>
              <w:tabs>
                <w:tab w:val="decimal" w:pos="493"/>
              </w:tabs>
              <w:jc w:val="left"/>
              <w:rPr>
                <w:color w:val="auto"/>
                <w:lang w:val="en-GB"/>
              </w:rPr>
            </w:pPr>
            <w:r w:rsidRPr="001B3BA5">
              <w:rPr>
                <w:color w:val="auto"/>
                <w:lang w:val="en-GB"/>
              </w:rPr>
              <w:t xml:space="preserve"> .349***</w:t>
            </w:r>
          </w:p>
        </w:tc>
        <w:tc>
          <w:tcPr>
            <w:tcW w:w="994" w:type="dxa"/>
            <w:vAlign w:val="center"/>
          </w:tcPr>
          <w:p w14:paraId="14B2FF5D" w14:textId="77777777" w:rsidR="002B4207" w:rsidRPr="001B3BA5" w:rsidRDefault="002B4207" w:rsidP="00435299">
            <w:pPr>
              <w:pStyle w:val="Table"/>
              <w:tabs>
                <w:tab w:val="decimal" w:pos="496"/>
              </w:tabs>
              <w:jc w:val="left"/>
              <w:rPr>
                <w:color w:val="auto"/>
                <w:lang w:val="en-GB"/>
              </w:rPr>
            </w:pPr>
            <w:r w:rsidRPr="001B3BA5">
              <w:rPr>
                <w:color w:val="auto"/>
                <w:lang w:val="en-GB"/>
              </w:rPr>
              <w:t xml:space="preserve"> .472***</w:t>
            </w:r>
          </w:p>
        </w:tc>
        <w:tc>
          <w:tcPr>
            <w:tcW w:w="993" w:type="dxa"/>
            <w:gridSpan w:val="2"/>
            <w:vAlign w:val="center"/>
          </w:tcPr>
          <w:p w14:paraId="31FB467D" w14:textId="77777777" w:rsidR="002B4207" w:rsidRPr="001B3BA5" w:rsidRDefault="002B4207" w:rsidP="00435299">
            <w:pPr>
              <w:pStyle w:val="Table"/>
              <w:tabs>
                <w:tab w:val="decimal" w:pos="498"/>
              </w:tabs>
              <w:jc w:val="left"/>
              <w:rPr>
                <w:color w:val="auto"/>
                <w:lang w:val="en-GB"/>
              </w:rPr>
            </w:pPr>
            <w:r w:rsidRPr="001B3BA5">
              <w:rPr>
                <w:color w:val="auto"/>
                <w:lang w:val="en-GB"/>
              </w:rPr>
              <w:t xml:space="preserve"> .239***</w:t>
            </w:r>
          </w:p>
        </w:tc>
      </w:tr>
      <w:bookmarkEnd w:id="51"/>
      <w:tr w:rsidR="002B4207" w:rsidRPr="001B3BA5" w14:paraId="381DFAF4" w14:textId="77777777" w:rsidTr="00435299">
        <w:trPr>
          <w:trHeight w:val="300"/>
        </w:trPr>
        <w:tc>
          <w:tcPr>
            <w:tcW w:w="3290" w:type="dxa"/>
            <w:shd w:val="clear" w:color="auto" w:fill="auto"/>
            <w:noWrap/>
            <w:vAlign w:val="center"/>
          </w:tcPr>
          <w:p w14:paraId="1CCE6C27" w14:textId="77777777" w:rsidR="002B4207" w:rsidRPr="001B3BA5" w:rsidRDefault="002B4207" w:rsidP="00435299">
            <w:pPr>
              <w:pStyle w:val="Table"/>
              <w:jc w:val="left"/>
              <w:rPr>
                <w:color w:val="auto"/>
                <w:lang w:val="en-GB"/>
              </w:rPr>
            </w:pPr>
            <w:r w:rsidRPr="001B3BA5">
              <w:rPr>
                <w:color w:val="auto"/>
                <w:lang w:val="en-GB"/>
              </w:rPr>
              <w:t>3. Immigrant minority attitudes</w:t>
            </w:r>
          </w:p>
        </w:tc>
        <w:tc>
          <w:tcPr>
            <w:tcW w:w="725" w:type="dxa"/>
            <w:shd w:val="clear" w:color="auto" w:fill="auto"/>
            <w:noWrap/>
            <w:vAlign w:val="center"/>
          </w:tcPr>
          <w:p w14:paraId="3617E385" w14:textId="77777777" w:rsidR="002B4207" w:rsidRPr="001B3BA5" w:rsidRDefault="002B4207" w:rsidP="00435299">
            <w:pPr>
              <w:pStyle w:val="Table"/>
              <w:jc w:val="center"/>
              <w:rPr>
                <w:color w:val="auto"/>
                <w:lang w:val="en-GB"/>
              </w:rPr>
            </w:pPr>
            <w:r w:rsidRPr="001B3BA5">
              <w:rPr>
                <w:color w:val="auto"/>
                <w:lang w:val="en-GB"/>
              </w:rPr>
              <w:t>566</w:t>
            </w:r>
          </w:p>
        </w:tc>
        <w:tc>
          <w:tcPr>
            <w:tcW w:w="664" w:type="dxa"/>
            <w:shd w:val="clear" w:color="auto" w:fill="auto"/>
            <w:noWrap/>
            <w:vAlign w:val="center"/>
          </w:tcPr>
          <w:p w14:paraId="4D802681" w14:textId="77777777" w:rsidR="002B4207" w:rsidRPr="001B3BA5" w:rsidRDefault="002B4207" w:rsidP="00435299">
            <w:pPr>
              <w:pStyle w:val="Table"/>
              <w:tabs>
                <w:tab w:val="decimal" w:pos="238"/>
              </w:tabs>
              <w:jc w:val="left"/>
              <w:rPr>
                <w:color w:val="auto"/>
                <w:lang w:val="en-GB"/>
              </w:rPr>
            </w:pPr>
            <w:r w:rsidRPr="001B3BA5">
              <w:rPr>
                <w:color w:val="auto"/>
                <w:lang w:val="en-GB"/>
              </w:rPr>
              <w:t>1-11</w:t>
            </w:r>
          </w:p>
        </w:tc>
        <w:tc>
          <w:tcPr>
            <w:tcW w:w="1007" w:type="dxa"/>
            <w:shd w:val="clear" w:color="auto" w:fill="auto"/>
            <w:noWrap/>
            <w:vAlign w:val="center"/>
          </w:tcPr>
          <w:p w14:paraId="4851FDC0" w14:textId="77777777" w:rsidR="002B4207" w:rsidRPr="001B3BA5" w:rsidRDefault="002B4207" w:rsidP="00435299">
            <w:pPr>
              <w:pStyle w:val="Table"/>
              <w:tabs>
                <w:tab w:val="decimal" w:pos="641"/>
              </w:tabs>
              <w:jc w:val="left"/>
              <w:rPr>
                <w:color w:val="auto"/>
                <w:lang w:val="en-GB"/>
              </w:rPr>
            </w:pPr>
            <w:r w:rsidRPr="001B3BA5">
              <w:rPr>
                <w:color w:val="auto"/>
                <w:lang w:val="en-GB"/>
              </w:rPr>
              <w:t>6.13</w:t>
            </w:r>
          </w:p>
        </w:tc>
        <w:tc>
          <w:tcPr>
            <w:tcW w:w="620" w:type="dxa"/>
            <w:shd w:val="clear" w:color="auto" w:fill="auto"/>
            <w:noWrap/>
            <w:vAlign w:val="center"/>
          </w:tcPr>
          <w:p w14:paraId="0C809541" w14:textId="77777777" w:rsidR="002B4207" w:rsidRPr="001B3BA5" w:rsidRDefault="002B4207" w:rsidP="00435299">
            <w:pPr>
              <w:pStyle w:val="Table"/>
              <w:jc w:val="center"/>
              <w:rPr>
                <w:color w:val="auto"/>
                <w:lang w:val="en-GB"/>
              </w:rPr>
            </w:pPr>
            <w:r w:rsidRPr="001B3BA5">
              <w:rPr>
                <w:color w:val="auto"/>
                <w:lang w:val="en-GB"/>
              </w:rPr>
              <w:t>1.65</w:t>
            </w:r>
          </w:p>
        </w:tc>
        <w:tc>
          <w:tcPr>
            <w:tcW w:w="568" w:type="dxa"/>
            <w:vAlign w:val="center"/>
          </w:tcPr>
          <w:p w14:paraId="3BEAA4AC" w14:textId="77777777" w:rsidR="002B4207" w:rsidRPr="001B3BA5" w:rsidRDefault="002B4207" w:rsidP="00435299">
            <w:pPr>
              <w:pStyle w:val="Table"/>
              <w:jc w:val="center"/>
              <w:rPr>
                <w:color w:val="auto"/>
                <w:lang w:val="en-GB"/>
              </w:rPr>
            </w:pPr>
            <w:r w:rsidRPr="001B3BA5">
              <w:rPr>
                <w:color w:val="auto"/>
                <w:lang w:val="en-GB"/>
              </w:rPr>
              <w:t>.938</w:t>
            </w:r>
          </w:p>
        </w:tc>
        <w:tc>
          <w:tcPr>
            <w:tcW w:w="934" w:type="dxa"/>
            <w:vAlign w:val="center"/>
          </w:tcPr>
          <w:p w14:paraId="33BC2DF5" w14:textId="77777777" w:rsidR="002B4207" w:rsidRPr="001B3BA5" w:rsidRDefault="002B4207" w:rsidP="001D7644">
            <w:pPr>
              <w:pStyle w:val="Table"/>
              <w:tabs>
                <w:tab w:val="decimal" w:pos="0"/>
              </w:tabs>
              <w:jc w:val="left"/>
              <w:rPr>
                <w:color w:val="auto"/>
                <w:lang w:val="en-GB"/>
              </w:rPr>
            </w:pPr>
            <w:r w:rsidRPr="001B3BA5">
              <w:rPr>
                <w:color w:val="auto"/>
                <w:lang w:val="en-GB"/>
              </w:rPr>
              <w:t>1.86</w:t>
            </w:r>
          </w:p>
        </w:tc>
        <w:tc>
          <w:tcPr>
            <w:tcW w:w="992" w:type="dxa"/>
            <w:vAlign w:val="center"/>
          </w:tcPr>
          <w:p w14:paraId="553BD0D1" w14:textId="77777777" w:rsidR="002B4207" w:rsidRPr="001B3BA5" w:rsidRDefault="002B4207" w:rsidP="00435299">
            <w:pPr>
              <w:pStyle w:val="Table"/>
              <w:tabs>
                <w:tab w:val="decimal" w:pos="496"/>
              </w:tabs>
              <w:jc w:val="left"/>
              <w:rPr>
                <w:color w:val="auto"/>
                <w:lang w:val="en-GB"/>
              </w:rPr>
            </w:pPr>
          </w:p>
        </w:tc>
        <w:tc>
          <w:tcPr>
            <w:tcW w:w="993" w:type="dxa"/>
            <w:shd w:val="clear" w:color="auto" w:fill="auto"/>
            <w:vAlign w:val="center"/>
          </w:tcPr>
          <w:p w14:paraId="72C6C055" w14:textId="77777777" w:rsidR="002B4207" w:rsidRPr="001B3BA5" w:rsidRDefault="002B4207" w:rsidP="00435299">
            <w:pPr>
              <w:pStyle w:val="Table"/>
              <w:tabs>
                <w:tab w:val="decimal" w:pos="498"/>
              </w:tabs>
              <w:jc w:val="left"/>
              <w:rPr>
                <w:color w:val="auto"/>
                <w:lang w:val="en-GB"/>
              </w:rPr>
            </w:pPr>
            <w:r w:rsidRPr="001B3BA5">
              <w:rPr>
                <w:color w:val="auto"/>
                <w:lang w:val="en-GB"/>
              </w:rPr>
              <w:t xml:space="preserve"> 1</w:t>
            </w:r>
          </w:p>
        </w:tc>
        <w:tc>
          <w:tcPr>
            <w:tcW w:w="993" w:type="dxa"/>
            <w:shd w:val="clear" w:color="auto" w:fill="auto"/>
            <w:vAlign w:val="center"/>
          </w:tcPr>
          <w:p w14:paraId="4DCD77FC" w14:textId="77777777" w:rsidR="002B4207" w:rsidRPr="001B3BA5" w:rsidRDefault="002B4207" w:rsidP="00435299">
            <w:pPr>
              <w:pStyle w:val="Table"/>
              <w:tabs>
                <w:tab w:val="decimal" w:pos="498"/>
              </w:tabs>
              <w:jc w:val="left"/>
              <w:rPr>
                <w:color w:val="auto"/>
                <w:lang w:val="en-GB"/>
              </w:rPr>
            </w:pPr>
            <w:r w:rsidRPr="001B3BA5">
              <w:rPr>
                <w:color w:val="auto"/>
                <w:lang w:val="en-GB"/>
              </w:rPr>
              <w:t xml:space="preserve"> .505***</w:t>
            </w:r>
          </w:p>
        </w:tc>
        <w:tc>
          <w:tcPr>
            <w:tcW w:w="993" w:type="dxa"/>
            <w:shd w:val="clear" w:color="auto" w:fill="auto"/>
            <w:vAlign w:val="center"/>
          </w:tcPr>
          <w:p w14:paraId="5E80E92B" w14:textId="77777777" w:rsidR="002B4207" w:rsidRPr="001B3BA5" w:rsidRDefault="002B4207" w:rsidP="00435299">
            <w:pPr>
              <w:pStyle w:val="Table"/>
              <w:tabs>
                <w:tab w:val="decimal" w:pos="493"/>
              </w:tabs>
              <w:jc w:val="left"/>
              <w:rPr>
                <w:color w:val="auto"/>
                <w:lang w:val="en-GB"/>
              </w:rPr>
            </w:pPr>
            <w:r w:rsidRPr="001B3BA5">
              <w:rPr>
                <w:color w:val="auto"/>
                <w:lang w:val="en-GB"/>
              </w:rPr>
              <w:t xml:space="preserve"> </w:t>
            </w:r>
            <w:r w:rsidRPr="001B3BA5">
              <w:rPr>
                <w:sz w:val="16"/>
                <w:szCs w:val="16"/>
                <w:lang w:val="en-GB"/>
              </w:rPr>
              <w:t>–</w:t>
            </w:r>
            <w:r w:rsidRPr="001B3BA5">
              <w:rPr>
                <w:color w:val="auto"/>
                <w:lang w:val="en-GB"/>
              </w:rPr>
              <w:t>.387***</w:t>
            </w:r>
          </w:p>
        </w:tc>
        <w:tc>
          <w:tcPr>
            <w:tcW w:w="994" w:type="dxa"/>
            <w:shd w:val="clear" w:color="auto" w:fill="auto"/>
            <w:vAlign w:val="center"/>
          </w:tcPr>
          <w:p w14:paraId="127E02AC" w14:textId="77777777" w:rsidR="002B4207" w:rsidRPr="001B3BA5" w:rsidRDefault="002B4207" w:rsidP="00435299">
            <w:pPr>
              <w:pStyle w:val="Table"/>
              <w:tabs>
                <w:tab w:val="decimal" w:pos="496"/>
              </w:tabs>
              <w:jc w:val="left"/>
              <w:rPr>
                <w:color w:val="auto"/>
                <w:lang w:val="en-GB"/>
              </w:rPr>
            </w:pPr>
            <w:r w:rsidRPr="001B3BA5">
              <w:rPr>
                <w:sz w:val="16"/>
                <w:szCs w:val="16"/>
                <w:lang w:val="en-GB"/>
              </w:rPr>
              <w:t>–</w:t>
            </w:r>
            <w:r w:rsidRPr="001B3BA5">
              <w:rPr>
                <w:color w:val="auto"/>
                <w:lang w:val="en-GB"/>
              </w:rPr>
              <w:t>.263***</w:t>
            </w:r>
          </w:p>
        </w:tc>
        <w:tc>
          <w:tcPr>
            <w:tcW w:w="993" w:type="dxa"/>
            <w:gridSpan w:val="2"/>
            <w:vAlign w:val="center"/>
          </w:tcPr>
          <w:p w14:paraId="0739311E" w14:textId="77777777" w:rsidR="002B4207" w:rsidRPr="001B3BA5" w:rsidRDefault="002B4207" w:rsidP="00435299">
            <w:pPr>
              <w:pStyle w:val="Table"/>
              <w:tabs>
                <w:tab w:val="decimal" w:pos="498"/>
              </w:tabs>
              <w:jc w:val="left"/>
              <w:rPr>
                <w:color w:val="auto"/>
                <w:lang w:val="en-GB"/>
              </w:rPr>
            </w:pPr>
            <w:r w:rsidRPr="001B3BA5">
              <w:rPr>
                <w:sz w:val="16"/>
                <w:szCs w:val="16"/>
                <w:lang w:val="en-GB"/>
              </w:rPr>
              <w:t>–</w:t>
            </w:r>
            <w:r w:rsidRPr="001B3BA5">
              <w:rPr>
                <w:color w:val="auto"/>
                <w:lang w:val="en-GB"/>
              </w:rPr>
              <w:t>.120*</w:t>
            </w:r>
          </w:p>
        </w:tc>
      </w:tr>
      <w:tr w:rsidR="002B4207" w:rsidRPr="001B3BA5" w14:paraId="636854BD" w14:textId="77777777" w:rsidTr="00435299">
        <w:trPr>
          <w:trHeight w:val="300"/>
        </w:trPr>
        <w:tc>
          <w:tcPr>
            <w:tcW w:w="3290" w:type="dxa"/>
            <w:shd w:val="clear" w:color="auto" w:fill="auto"/>
            <w:noWrap/>
            <w:vAlign w:val="center"/>
          </w:tcPr>
          <w:p w14:paraId="71313F2D" w14:textId="77777777" w:rsidR="002B4207" w:rsidRPr="001B3BA5" w:rsidRDefault="002B4207" w:rsidP="00435299">
            <w:pPr>
              <w:pStyle w:val="Table"/>
              <w:jc w:val="left"/>
              <w:rPr>
                <w:color w:val="auto"/>
                <w:lang w:val="en-GB"/>
              </w:rPr>
            </w:pPr>
            <w:r w:rsidRPr="001B3BA5">
              <w:rPr>
                <w:color w:val="auto"/>
                <w:lang w:val="en-GB"/>
              </w:rPr>
              <w:t>4. European integration attitudes</w:t>
            </w:r>
          </w:p>
        </w:tc>
        <w:tc>
          <w:tcPr>
            <w:tcW w:w="725" w:type="dxa"/>
            <w:shd w:val="clear" w:color="auto" w:fill="auto"/>
            <w:noWrap/>
            <w:vAlign w:val="center"/>
          </w:tcPr>
          <w:p w14:paraId="095187B4" w14:textId="77777777" w:rsidR="002B4207" w:rsidRPr="001B3BA5" w:rsidRDefault="002B4207" w:rsidP="00435299">
            <w:pPr>
              <w:pStyle w:val="Table"/>
              <w:jc w:val="center"/>
              <w:rPr>
                <w:color w:val="auto"/>
                <w:lang w:val="en-GB"/>
              </w:rPr>
            </w:pPr>
            <w:r w:rsidRPr="001B3BA5">
              <w:rPr>
                <w:color w:val="auto"/>
                <w:lang w:val="en-GB"/>
              </w:rPr>
              <w:t>564</w:t>
            </w:r>
          </w:p>
        </w:tc>
        <w:tc>
          <w:tcPr>
            <w:tcW w:w="664" w:type="dxa"/>
            <w:shd w:val="clear" w:color="auto" w:fill="auto"/>
            <w:noWrap/>
            <w:vAlign w:val="center"/>
          </w:tcPr>
          <w:p w14:paraId="17CFBCAA" w14:textId="77777777" w:rsidR="002B4207" w:rsidRPr="001B3BA5" w:rsidRDefault="002B4207" w:rsidP="00435299">
            <w:pPr>
              <w:pStyle w:val="Table"/>
              <w:tabs>
                <w:tab w:val="decimal" w:pos="238"/>
              </w:tabs>
              <w:jc w:val="left"/>
              <w:rPr>
                <w:color w:val="auto"/>
                <w:lang w:val="en-GB"/>
              </w:rPr>
            </w:pPr>
            <w:r w:rsidRPr="001B3BA5">
              <w:rPr>
                <w:color w:val="auto"/>
                <w:lang w:val="en-GB"/>
              </w:rPr>
              <w:t>1-7</w:t>
            </w:r>
          </w:p>
        </w:tc>
        <w:tc>
          <w:tcPr>
            <w:tcW w:w="1007" w:type="dxa"/>
            <w:shd w:val="clear" w:color="auto" w:fill="auto"/>
            <w:noWrap/>
            <w:vAlign w:val="center"/>
          </w:tcPr>
          <w:p w14:paraId="1785890C" w14:textId="77777777" w:rsidR="002B4207" w:rsidRPr="001B3BA5" w:rsidRDefault="002B4207" w:rsidP="00435299">
            <w:pPr>
              <w:pStyle w:val="Table"/>
              <w:tabs>
                <w:tab w:val="decimal" w:pos="641"/>
              </w:tabs>
              <w:jc w:val="left"/>
              <w:rPr>
                <w:color w:val="auto"/>
                <w:lang w:val="en-GB"/>
              </w:rPr>
            </w:pPr>
            <w:r w:rsidRPr="001B3BA5">
              <w:rPr>
                <w:color w:val="auto"/>
                <w:lang w:val="en-GB"/>
              </w:rPr>
              <w:t>3.69</w:t>
            </w:r>
          </w:p>
        </w:tc>
        <w:tc>
          <w:tcPr>
            <w:tcW w:w="620" w:type="dxa"/>
            <w:shd w:val="clear" w:color="auto" w:fill="auto"/>
            <w:noWrap/>
            <w:vAlign w:val="center"/>
          </w:tcPr>
          <w:p w14:paraId="78E7492E" w14:textId="77777777" w:rsidR="002B4207" w:rsidRPr="001B3BA5" w:rsidRDefault="002B4207" w:rsidP="00435299">
            <w:pPr>
              <w:pStyle w:val="Table"/>
              <w:jc w:val="center"/>
              <w:rPr>
                <w:color w:val="auto"/>
                <w:lang w:val="en-GB"/>
              </w:rPr>
            </w:pPr>
            <w:r w:rsidRPr="001B3BA5">
              <w:rPr>
                <w:color w:val="auto"/>
                <w:lang w:val="en-GB"/>
              </w:rPr>
              <w:t>1.78</w:t>
            </w:r>
          </w:p>
        </w:tc>
        <w:tc>
          <w:tcPr>
            <w:tcW w:w="568" w:type="dxa"/>
            <w:vAlign w:val="center"/>
          </w:tcPr>
          <w:p w14:paraId="5BEF4FE9" w14:textId="77777777" w:rsidR="002B4207" w:rsidRPr="001B3BA5" w:rsidRDefault="002B4207" w:rsidP="00435299">
            <w:pPr>
              <w:pStyle w:val="Table"/>
              <w:jc w:val="center"/>
              <w:rPr>
                <w:color w:val="auto"/>
                <w:lang w:val="en-GB"/>
              </w:rPr>
            </w:pPr>
            <w:r w:rsidRPr="001B3BA5">
              <w:rPr>
                <w:color w:val="auto"/>
                <w:lang w:val="en-GB"/>
              </w:rPr>
              <w:t>-</w:t>
            </w:r>
          </w:p>
        </w:tc>
        <w:tc>
          <w:tcPr>
            <w:tcW w:w="934" w:type="dxa"/>
            <w:vAlign w:val="center"/>
          </w:tcPr>
          <w:p w14:paraId="06D9948F" w14:textId="77777777" w:rsidR="002B4207" w:rsidRPr="001B3BA5" w:rsidRDefault="002B4207" w:rsidP="001D7644">
            <w:pPr>
              <w:pStyle w:val="Table"/>
              <w:tabs>
                <w:tab w:val="decimal" w:pos="0"/>
                <w:tab w:val="decimal" w:pos="354"/>
              </w:tabs>
              <w:jc w:val="left"/>
              <w:rPr>
                <w:color w:val="auto"/>
                <w:lang w:val="en-GB"/>
              </w:rPr>
            </w:pPr>
            <w:r w:rsidRPr="001B3BA5">
              <w:rPr>
                <w:color w:val="auto"/>
                <w:lang w:val="en-GB"/>
              </w:rPr>
              <w:t>4.14***</w:t>
            </w:r>
          </w:p>
        </w:tc>
        <w:tc>
          <w:tcPr>
            <w:tcW w:w="992" w:type="dxa"/>
            <w:vAlign w:val="center"/>
          </w:tcPr>
          <w:p w14:paraId="6424EF8A" w14:textId="77777777" w:rsidR="002B4207" w:rsidRPr="001B3BA5" w:rsidRDefault="002B4207" w:rsidP="00435299">
            <w:pPr>
              <w:pStyle w:val="Table"/>
              <w:tabs>
                <w:tab w:val="decimal" w:pos="354"/>
              </w:tabs>
              <w:jc w:val="left"/>
              <w:rPr>
                <w:color w:val="auto"/>
                <w:lang w:val="en-GB"/>
              </w:rPr>
            </w:pPr>
          </w:p>
        </w:tc>
        <w:tc>
          <w:tcPr>
            <w:tcW w:w="993" w:type="dxa"/>
            <w:shd w:val="clear" w:color="auto" w:fill="auto"/>
            <w:vAlign w:val="center"/>
          </w:tcPr>
          <w:p w14:paraId="780666CF" w14:textId="77777777" w:rsidR="002B4207" w:rsidRPr="001B3BA5" w:rsidRDefault="002B4207" w:rsidP="00435299">
            <w:pPr>
              <w:pStyle w:val="Table"/>
              <w:jc w:val="left"/>
              <w:rPr>
                <w:color w:val="auto"/>
                <w:lang w:val="en-GB"/>
              </w:rPr>
            </w:pPr>
          </w:p>
        </w:tc>
        <w:tc>
          <w:tcPr>
            <w:tcW w:w="993" w:type="dxa"/>
            <w:shd w:val="clear" w:color="auto" w:fill="auto"/>
            <w:vAlign w:val="center"/>
          </w:tcPr>
          <w:p w14:paraId="28A2FFB2" w14:textId="77777777" w:rsidR="002B4207" w:rsidRPr="001B3BA5" w:rsidRDefault="002B4207" w:rsidP="00435299">
            <w:pPr>
              <w:pStyle w:val="Table"/>
              <w:tabs>
                <w:tab w:val="decimal" w:pos="498"/>
              </w:tabs>
              <w:jc w:val="left"/>
              <w:rPr>
                <w:color w:val="auto"/>
                <w:lang w:val="en-GB"/>
              </w:rPr>
            </w:pPr>
            <w:r w:rsidRPr="001B3BA5">
              <w:rPr>
                <w:color w:val="auto"/>
                <w:lang w:val="en-GB"/>
              </w:rPr>
              <w:t xml:space="preserve"> 1</w:t>
            </w:r>
          </w:p>
        </w:tc>
        <w:tc>
          <w:tcPr>
            <w:tcW w:w="993" w:type="dxa"/>
            <w:shd w:val="clear" w:color="auto" w:fill="auto"/>
            <w:vAlign w:val="center"/>
          </w:tcPr>
          <w:p w14:paraId="10382A1B" w14:textId="77777777" w:rsidR="002B4207" w:rsidRPr="001B3BA5" w:rsidRDefault="002B4207" w:rsidP="00435299">
            <w:pPr>
              <w:pStyle w:val="Table"/>
              <w:tabs>
                <w:tab w:val="decimal" w:pos="493"/>
              </w:tabs>
              <w:jc w:val="left"/>
              <w:rPr>
                <w:color w:val="auto"/>
                <w:lang w:val="en-GB"/>
              </w:rPr>
            </w:pPr>
            <w:r w:rsidRPr="001B3BA5">
              <w:rPr>
                <w:color w:val="auto"/>
                <w:lang w:val="en-GB"/>
              </w:rPr>
              <w:t xml:space="preserve"> </w:t>
            </w:r>
            <w:r w:rsidRPr="001B3BA5">
              <w:rPr>
                <w:sz w:val="16"/>
                <w:szCs w:val="16"/>
                <w:lang w:val="en-GB"/>
              </w:rPr>
              <w:t>–</w:t>
            </w:r>
            <w:r w:rsidRPr="001B3BA5">
              <w:rPr>
                <w:color w:val="auto"/>
                <w:lang w:val="en-GB"/>
              </w:rPr>
              <w:t>.423***</w:t>
            </w:r>
          </w:p>
        </w:tc>
        <w:tc>
          <w:tcPr>
            <w:tcW w:w="994" w:type="dxa"/>
            <w:shd w:val="clear" w:color="auto" w:fill="auto"/>
            <w:vAlign w:val="center"/>
          </w:tcPr>
          <w:p w14:paraId="55B40A80" w14:textId="77777777" w:rsidR="002B4207" w:rsidRPr="001B3BA5" w:rsidRDefault="002B4207" w:rsidP="00435299">
            <w:pPr>
              <w:pStyle w:val="Table"/>
              <w:tabs>
                <w:tab w:val="decimal" w:pos="496"/>
              </w:tabs>
              <w:jc w:val="left"/>
              <w:rPr>
                <w:color w:val="auto"/>
                <w:lang w:val="en-GB"/>
              </w:rPr>
            </w:pPr>
            <w:r w:rsidRPr="001B3BA5">
              <w:rPr>
                <w:color w:val="auto"/>
                <w:lang w:val="en-GB"/>
              </w:rPr>
              <w:t xml:space="preserve"> </w:t>
            </w:r>
            <w:r w:rsidRPr="001B3BA5">
              <w:rPr>
                <w:sz w:val="16"/>
                <w:szCs w:val="16"/>
                <w:lang w:val="en-GB"/>
              </w:rPr>
              <w:t>–</w:t>
            </w:r>
            <w:r w:rsidRPr="001B3BA5">
              <w:rPr>
                <w:color w:val="auto"/>
                <w:lang w:val="en-GB"/>
              </w:rPr>
              <w:t>.293***</w:t>
            </w:r>
          </w:p>
        </w:tc>
        <w:tc>
          <w:tcPr>
            <w:tcW w:w="993" w:type="dxa"/>
            <w:gridSpan w:val="2"/>
            <w:vAlign w:val="center"/>
          </w:tcPr>
          <w:p w14:paraId="7703AF48" w14:textId="77777777" w:rsidR="002B4207" w:rsidRPr="001B3BA5" w:rsidRDefault="002B4207" w:rsidP="00435299">
            <w:pPr>
              <w:pStyle w:val="Table"/>
              <w:tabs>
                <w:tab w:val="decimal" w:pos="498"/>
              </w:tabs>
              <w:jc w:val="left"/>
              <w:rPr>
                <w:color w:val="auto"/>
                <w:lang w:val="en-GB"/>
              </w:rPr>
            </w:pPr>
            <w:r w:rsidRPr="001B3BA5">
              <w:rPr>
                <w:color w:val="auto"/>
                <w:lang w:val="en-GB"/>
              </w:rPr>
              <w:t xml:space="preserve"> </w:t>
            </w:r>
            <w:r w:rsidRPr="001B3BA5">
              <w:rPr>
                <w:sz w:val="16"/>
                <w:szCs w:val="16"/>
                <w:lang w:val="en-GB"/>
              </w:rPr>
              <w:t>–</w:t>
            </w:r>
            <w:r w:rsidRPr="001B3BA5">
              <w:rPr>
                <w:color w:val="auto"/>
                <w:lang w:val="en-GB"/>
              </w:rPr>
              <w:t>.176**</w:t>
            </w:r>
          </w:p>
        </w:tc>
      </w:tr>
      <w:tr w:rsidR="002B4207" w:rsidRPr="001B3BA5" w14:paraId="34451482" w14:textId="77777777" w:rsidTr="00435299">
        <w:trPr>
          <w:trHeight w:val="300"/>
        </w:trPr>
        <w:tc>
          <w:tcPr>
            <w:tcW w:w="3290" w:type="dxa"/>
            <w:shd w:val="clear" w:color="auto" w:fill="auto"/>
            <w:noWrap/>
            <w:vAlign w:val="center"/>
          </w:tcPr>
          <w:p w14:paraId="3487D2F8" w14:textId="77777777" w:rsidR="002B4207" w:rsidRPr="001B3BA5" w:rsidRDefault="002B4207" w:rsidP="00435299">
            <w:pPr>
              <w:pStyle w:val="Table"/>
              <w:jc w:val="left"/>
              <w:rPr>
                <w:color w:val="auto"/>
                <w:lang w:val="en-GB"/>
              </w:rPr>
            </w:pPr>
            <w:r w:rsidRPr="001B3BA5">
              <w:rPr>
                <w:color w:val="auto"/>
                <w:lang w:val="en-GB"/>
              </w:rPr>
              <w:t>5. Political ideology</w:t>
            </w:r>
          </w:p>
        </w:tc>
        <w:tc>
          <w:tcPr>
            <w:tcW w:w="725" w:type="dxa"/>
            <w:shd w:val="clear" w:color="auto" w:fill="auto"/>
            <w:noWrap/>
            <w:vAlign w:val="center"/>
          </w:tcPr>
          <w:p w14:paraId="59B534AE" w14:textId="77777777" w:rsidR="002B4207" w:rsidRPr="001B3BA5" w:rsidRDefault="002B4207" w:rsidP="00435299">
            <w:pPr>
              <w:pStyle w:val="Table"/>
              <w:jc w:val="center"/>
              <w:rPr>
                <w:color w:val="auto"/>
                <w:lang w:val="en-GB"/>
              </w:rPr>
            </w:pPr>
            <w:r w:rsidRPr="001B3BA5">
              <w:rPr>
                <w:color w:val="auto"/>
                <w:lang w:val="en-GB"/>
              </w:rPr>
              <w:t>572</w:t>
            </w:r>
          </w:p>
        </w:tc>
        <w:tc>
          <w:tcPr>
            <w:tcW w:w="664" w:type="dxa"/>
            <w:shd w:val="clear" w:color="auto" w:fill="auto"/>
            <w:noWrap/>
            <w:vAlign w:val="center"/>
          </w:tcPr>
          <w:p w14:paraId="17B2E715" w14:textId="77777777" w:rsidR="002B4207" w:rsidRPr="001B3BA5" w:rsidRDefault="002B4207" w:rsidP="00435299">
            <w:pPr>
              <w:pStyle w:val="Table"/>
              <w:tabs>
                <w:tab w:val="decimal" w:pos="238"/>
              </w:tabs>
              <w:jc w:val="left"/>
              <w:rPr>
                <w:color w:val="auto"/>
                <w:lang w:val="en-GB"/>
              </w:rPr>
            </w:pPr>
            <w:r w:rsidRPr="001B3BA5">
              <w:rPr>
                <w:color w:val="auto"/>
                <w:lang w:val="en-GB"/>
              </w:rPr>
              <w:t>1-5</w:t>
            </w:r>
          </w:p>
        </w:tc>
        <w:tc>
          <w:tcPr>
            <w:tcW w:w="1007" w:type="dxa"/>
            <w:shd w:val="clear" w:color="auto" w:fill="auto"/>
            <w:noWrap/>
            <w:vAlign w:val="center"/>
          </w:tcPr>
          <w:p w14:paraId="4557CB5F" w14:textId="77777777" w:rsidR="002B4207" w:rsidRPr="001B3BA5" w:rsidRDefault="002B4207" w:rsidP="00435299">
            <w:pPr>
              <w:pStyle w:val="Table"/>
              <w:tabs>
                <w:tab w:val="decimal" w:pos="641"/>
              </w:tabs>
              <w:jc w:val="left"/>
              <w:rPr>
                <w:color w:val="auto"/>
                <w:lang w:val="en-GB"/>
              </w:rPr>
            </w:pPr>
            <w:r w:rsidRPr="001B3BA5">
              <w:rPr>
                <w:color w:val="auto"/>
                <w:lang w:val="en-GB"/>
              </w:rPr>
              <w:t>2.75</w:t>
            </w:r>
          </w:p>
        </w:tc>
        <w:tc>
          <w:tcPr>
            <w:tcW w:w="620" w:type="dxa"/>
            <w:shd w:val="clear" w:color="auto" w:fill="auto"/>
            <w:noWrap/>
            <w:vAlign w:val="center"/>
          </w:tcPr>
          <w:p w14:paraId="5421E4EF" w14:textId="77777777" w:rsidR="002B4207" w:rsidRPr="001B3BA5" w:rsidRDefault="002B4207" w:rsidP="00435299">
            <w:pPr>
              <w:pStyle w:val="Table"/>
              <w:jc w:val="center"/>
              <w:rPr>
                <w:color w:val="auto"/>
                <w:lang w:val="en-GB"/>
              </w:rPr>
            </w:pPr>
            <w:r w:rsidRPr="001B3BA5">
              <w:rPr>
                <w:color w:val="auto"/>
                <w:lang w:val="en-GB"/>
              </w:rPr>
              <w:t>1.17</w:t>
            </w:r>
          </w:p>
        </w:tc>
        <w:tc>
          <w:tcPr>
            <w:tcW w:w="568" w:type="dxa"/>
            <w:vAlign w:val="center"/>
          </w:tcPr>
          <w:p w14:paraId="33589478" w14:textId="77777777" w:rsidR="002B4207" w:rsidRPr="001B3BA5" w:rsidRDefault="002B4207" w:rsidP="00435299">
            <w:pPr>
              <w:pStyle w:val="Table"/>
              <w:jc w:val="center"/>
              <w:rPr>
                <w:color w:val="auto"/>
                <w:lang w:val="en-GB"/>
              </w:rPr>
            </w:pPr>
            <w:r w:rsidRPr="001B3BA5">
              <w:rPr>
                <w:color w:val="auto"/>
                <w:lang w:val="en-GB"/>
              </w:rPr>
              <w:t>-</w:t>
            </w:r>
          </w:p>
        </w:tc>
        <w:tc>
          <w:tcPr>
            <w:tcW w:w="934" w:type="dxa"/>
            <w:vAlign w:val="center"/>
          </w:tcPr>
          <w:p w14:paraId="68448BCB" w14:textId="77777777" w:rsidR="002B4207" w:rsidRPr="001B3BA5" w:rsidRDefault="002B4207" w:rsidP="001D7644">
            <w:pPr>
              <w:pStyle w:val="Table"/>
              <w:tabs>
                <w:tab w:val="decimal" w:pos="0"/>
                <w:tab w:val="decimal" w:pos="354"/>
              </w:tabs>
              <w:jc w:val="left"/>
              <w:rPr>
                <w:color w:val="auto"/>
                <w:lang w:val="en-GB"/>
              </w:rPr>
            </w:pPr>
            <w:r w:rsidRPr="001B3BA5">
              <w:rPr>
                <w:color w:val="auto"/>
                <w:lang w:val="en-GB"/>
              </w:rPr>
              <w:t>5.13***</w:t>
            </w:r>
          </w:p>
        </w:tc>
        <w:tc>
          <w:tcPr>
            <w:tcW w:w="992" w:type="dxa"/>
            <w:vAlign w:val="center"/>
          </w:tcPr>
          <w:p w14:paraId="28B3E089" w14:textId="77777777" w:rsidR="002B4207" w:rsidRPr="001B3BA5" w:rsidRDefault="002B4207" w:rsidP="00435299">
            <w:pPr>
              <w:pStyle w:val="Table"/>
              <w:tabs>
                <w:tab w:val="decimal" w:pos="354"/>
              </w:tabs>
              <w:jc w:val="left"/>
              <w:rPr>
                <w:color w:val="auto"/>
                <w:lang w:val="en-GB"/>
              </w:rPr>
            </w:pPr>
          </w:p>
        </w:tc>
        <w:tc>
          <w:tcPr>
            <w:tcW w:w="993" w:type="dxa"/>
            <w:vAlign w:val="center"/>
          </w:tcPr>
          <w:p w14:paraId="17B9AFEE" w14:textId="77777777" w:rsidR="002B4207" w:rsidRPr="001B3BA5" w:rsidRDefault="002B4207" w:rsidP="00435299">
            <w:pPr>
              <w:pStyle w:val="Table"/>
              <w:jc w:val="left"/>
              <w:rPr>
                <w:color w:val="auto"/>
                <w:lang w:val="en-GB"/>
              </w:rPr>
            </w:pPr>
          </w:p>
        </w:tc>
        <w:tc>
          <w:tcPr>
            <w:tcW w:w="993" w:type="dxa"/>
            <w:vAlign w:val="center"/>
          </w:tcPr>
          <w:p w14:paraId="499EEDDD" w14:textId="77777777" w:rsidR="002B4207" w:rsidRPr="001B3BA5" w:rsidRDefault="002B4207" w:rsidP="00435299">
            <w:pPr>
              <w:pStyle w:val="Table"/>
              <w:tabs>
                <w:tab w:val="decimal" w:pos="498"/>
              </w:tabs>
              <w:jc w:val="left"/>
              <w:rPr>
                <w:color w:val="auto"/>
                <w:lang w:val="en-GB"/>
              </w:rPr>
            </w:pPr>
          </w:p>
        </w:tc>
        <w:tc>
          <w:tcPr>
            <w:tcW w:w="993" w:type="dxa"/>
            <w:vAlign w:val="center"/>
          </w:tcPr>
          <w:p w14:paraId="71181E29" w14:textId="77777777" w:rsidR="002B4207" w:rsidRPr="001B3BA5" w:rsidRDefault="002B4207" w:rsidP="00435299">
            <w:pPr>
              <w:pStyle w:val="Table"/>
              <w:tabs>
                <w:tab w:val="decimal" w:pos="493"/>
              </w:tabs>
              <w:jc w:val="left"/>
              <w:rPr>
                <w:color w:val="auto"/>
                <w:lang w:val="en-GB"/>
              </w:rPr>
            </w:pPr>
            <w:r w:rsidRPr="001B3BA5">
              <w:rPr>
                <w:color w:val="auto"/>
                <w:lang w:val="en-GB"/>
              </w:rPr>
              <w:t xml:space="preserve"> 1</w:t>
            </w:r>
          </w:p>
        </w:tc>
        <w:tc>
          <w:tcPr>
            <w:tcW w:w="994" w:type="dxa"/>
            <w:vAlign w:val="center"/>
          </w:tcPr>
          <w:p w14:paraId="4549F3CB" w14:textId="77777777" w:rsidR="002B4207" w:rsidRPr="001B3BA5" w:rsidRDefault="002B4207" w:rsidP="00435299">
            <w:pPr>
              <w:pStyle w:val="Table"/>
              <w:tabs>
                <w:tab w:val="decimal" w:pos="496"/>
              </w:tabs>
              <w:jc w:val="left"/>
              <w:rPr>
                <w:color w:val="auto"/>
                <w:lang w:val="en-GB"/>
              </w:rPr>
            </w:pPr>
            <w:r w:rsidRPr="001B3BA5">
              <w:rPr>
                <w:color w:val="auto"/>
                <w:lang w:val="en-GB"/>
              </w:rPr>
              <w:t xml:space="preserve"> .279***</w:t>
            </w:r>
          </w:p>
        </w:tc>
        <w:tc>
          <w:tcPr>
            <w:tcW w:w="993" w:type="dxa"/>
            <w:gridSpan w:val="2"/>
            <w:vAlign w:val="center"/>
          </w:tcPr>
          <w:p w14:paraId="411A97F9" w14:textId="77777777" w:rsidR="002B4207" w:rsidRPr="001B3BA5" w:rsidRDefault="002B4207" w:rsidP="00435299">
            <w:pPr>
              <w:pStyle w:val="Table"/>
              <w:tabs>
                <w:tab w:val="decimal" w:pos="498"/>
              </w:tabs>
              <w:jc w:val="left"/>
              <w:rPr>
                <w:color w:val="auto"/>
                <w:lang w:val="en-GB"/>
              </w:rPr>
            </w:pPr>
            <w:r w:rsidRPr="001B3BA5">
              <w:rPr>
                <w:color w:val="auto"/>
                <w:lang w:val="en-GB"/>
              </w:rPr>
              <w:t xml:space="preserve"> .126**</w:t>
            </w:r>
          </w:p>
        </w:tc>
      </w:tr>
      <w:tr w:rsidR="002B4207" w:rsidRPr="001B3BA5" w14:paraId="292650DD" w14:textId="77777777" w:rsidTr="00435299">
        <w:trPr>
          <w:trHeight w:val="300"/>
        </w:trPr>
        <w:tc>
          <w:tcPr>
            <w:tcW w:w="3290" w:type="dxa"/>
            <w:shd w:val="clear" w:color="auto" w:fill="auto"/>
            <w:noWrap/>
            <w:vAlign w:val="center"/>
          </w:tcPr>
          <w:p w14:paraId="59308C07" w14:textId="77777777" w:rsidR="002B4207" w:rsidRPr="001B3BA5" w:rsidRDefault="002B4207" w:rsidP="00435299">
            <w:pPr>
              <w:pStyle w:val="Table"/>
              <w:jc w:val="left"/>
              <w:rPr>
                <w:color w:val="auto"/>
                <w:lang w:val="en-GB"/>
              </w:rPr>
            </w:pPr>
            <w:r w:rsidRPr="001B3BA5">
              <w:rPr>
                <w:color w:val="auto"/>
                <w:lang w:val="en-GB"/>
              </w:rPr>
              <w:t>6. National identification</w:t>
            </w:r>
          </w:p>
        </w:tc>
        <w:tc>
          <w:tcPr>
            <w:tcW w:w="725" w:type="dxa"/>
            <w:shd w:val="clear" w:color="auto" w:fill="auto"/>
            <w:noWrap/>
            <w:vAlign w:val="center"/>
          </w:tcPr>
          <w:p w14:paraId="3678C95A" w14:textId="77777777" w:rsidR="002B4207" w:rsidRPr="001B3BA5" w:rsidRDefault="002B4207" w:rsidP="00435299">
            <w:pPr>
              <w:pStyle w:val="Table"/>
              <w:jc w:val="center"/>
              <w:rPr>
                <w:color w:val="auto"/>
                <w:lang w:val="en-GB"/>
              </w:rPr>
            </w:pPr>
            <w:r w:rsidRPr="001B3BA5">
              <w:rPr>
                <w:color w:val="auto"/>
                <w:lang w:val="en-GB"/>
              </w:rPr>
              <w:t>572</w:t>
            </w:r>
          </w:p>
        </w:tc>
        <w:tc>
          <w:tcPr>
            <w:tcW w:w="664" w:type="dxa"/>
            <w:shd w:val="clear" w:color="auto" w:fill="auto"/>
            <w:noWrap/>
            <w:vAlign w:val="center"/>
          </w:tcPr>
          <w:p w14:paraId="52D14F3F" w14:textId="77777777" w:rsidR="002B4207" w:rsidRPr="001B3BA5" w:rsidRDefault="002B4207" w:rsidP="00435299">
            <w:pPr>
              <w:pStyle w:val="Table"/>
              <w:tabs>
                <w:tab w:val="decimal" w:pos="238"/>
              </w:tabs>
              <w:jc w:val="left"/>
              <w:rPr>
                <w:color w:val="auto"/>
                <w:lang w:val="en-GB"/>
              </w:rPr>
            </w:pPr>
            <w:r w:rsidRPr="001B3BA5">
              <w:rPr>
                <w:color w:val="auto"/>
                <w:lang w:val="en-GB"/>
              </w:rPr>
              <w:t>1-7</w:t>
            </w:r>
          </w:p>
        </w:tc>
        <w:tc>
          <w:tcPr>
            <w:tcW w:w="1007" w:type="dxa"/>
            <w:shd w:val="clear" w:color="auto" w:fill="auto"/>
            <w:noWrap/>
            <w:vAlign w:val="center"/>
          </w:tcPr>
          <w:p w14:paraId="42D9FDA7" w14:textId="77777777" w:rsidR="002B4207" w:rsidRPr="001B3BA5" w:rsidRDefault="002B4207" w:rsidP="00435299">
            <w:pPr>
              <w:pStyle w:val="Table"/>
              <w:tabs>
                <w:tab w:val="decimal" w:pos="641"/>
              </w:tabs>
              <w:jc w:val="left"/>
              <w:rPr>
                <w:color w:val="auto"/>
                <w:lang w:val="en-GB"/>
              </w:rPr>
            </w:pPr>
            <w:r w:rsidRPr="001B3BA5">
              <w:rPr>
                <w:color w:val="auto"/>
                <w:lang w:val="en-GB"/>
              </w:rPr>
              <w:t>5.05</w:t>
            </w:r>
          </w:p>
        </w:tc>
        <w:tc>
          <w:tcPr>
            <w:tcW w:w="620" w:type="dxa"/>
            <w:shd w:val="clear" w:color="auto" w:fill="auto"/>
            <w:noWrap/>
            <w:vAlign w:val="center"/>
          </w:tcPr>
          <w:p w14:paraId="3FE4BA5F" w14:textId="77777777" w:rsidR="002B4207" w:rsidRPr="001B3BA5" w:rsidRDefault="002B4207" w:rsidP="00435299">
            <w:pPr>
              <w:pStyle w:val="Table"/>
              <w:jc w:val="center"/>
              <w:rPr>
                <w:color w:val="auto"/>
                <w:lang w:val="en-GB"/>
              </w:rPr>
            </w:pPr>
            <w:r w:rsidRPr="001B3BA5">
              <w:rPr>
                <w:color w:val="auto"/>
                <w:lang w:val="en-GB"/>
              </w:rPr>
              <w:t>1.36</w:t>
            </w:r>
          </w:p>
        </w:tc>
        <w:tc>
          <w:tcPr>
            <w:tcW w:w="568" w:type="dxa"/>
            <w:vAlign w:val="center"/>
          </w:tcPr>
          <w:p w14:paraId="44CEAC06" w14:textId="77777777" w:rsidR="002B4207" w:rsidRPr="001B3BA5" w:rsidRDefault="002B4207" w:rsidP="00435299">
            <w:pPr>
              <w:pStyle w:val="Table"/>
              <w:jc w:val="center"/>
              <w:rPr>
                <w:color w:val="auto"/>
                <w:lang w:val="en-GB"/>
              </w:rPr>
            </w:pPr>
            <w:r w:rsidRPr="001B3BA5">
              <w:rPr>
                <w:color w:val="auto"/>
                <w:lang w:val="en-GB"/>
              </w:rPr>
              <w:t>.874</w:t>
            </w:r>
          </w:p>
        </w:tc>
        <w:tc>
          <w:tcPr>
            <w:tcW w:w="934" w:type="dxa"/>
            <w:vAlign w:val="center"/>
          </w:tcPr>
          <w:p w14:paraId="47AA3008" w14:textId="77777777" w:rsidR="002B4207" w:rsidRPr="001B3BA5" w:rsidRDefault="002B4207" w:rsidP="001D7644">
            <w:pPr>
              <w:pStyle w:val="Table"/>
              <w:tabs>
                <w:tab w:val="decimal" w:pos="0"/>
                <w:tab w:val="decimal" w:pos="354"/>
              </w:tabs>
              <w:jc w:val="left"/>
              <w:rPr>
                <w:color w:val="auto"/>
                <w:lang w:val="en-GB"/>
              </w:rPr>
            </w:pPr>
            <w:r w:rsidRPr="001B3BA5">
              <w:rPr>
                <w:color w:val="auto"/>
                <w:lang w:val="en-GB"/>
              </w:rPr>
              <w:t>18.56***</w:t>
            </w:r>
          </w:p>
        </w:tc>
        <w:tc>
          <w:tcPr>
            <w:tcW w:w="992" w:type="dxa"/>
            <w:vAlign w:val="center"/>
          </w:tcPr>
          <w:p w14:paraId="6701722E" w14:textId="77777777" w:rsidR="002B4207" w:rsidRPr="001B3BA5" w:rsidRDefault="002B4207" w:rsidP="00435299">
            <w:pPr>
              <w:pStyle w:val="Table"/>
              <w:tabs>
                <w:tab w:val="decimal" w:pos="354"/>
              </w:tabs>
              <w:jc w:val="left"/>
              <w:rPr>
                <w:color w:val="auto"/>
                <w:lang w:val="en-GB"/>
              </w:rPr>
            </w:pPr>
          </w:p>
        </w:tc>
        <w:tc>
          <w:tcPr>
            <w:tcW w:w="993" w:type="dxa"/>
            <w:vAlign w:val="center"/>
          </w:tcPr>
          <w:p w14:paraId="3D862F4B" w14:textId="77777777" w:rsidR="002B4207" w:rsidRPr="001B3BA5" w:rsidRDefault="002B4207" w:rsidP="00435299">
            <w:pPr>
              <w:pStyle w:val="Table"/>
              <w:jc w:val="left"/>
              <w:rPr>
                <w:color w:val="auto"/>
                <w:lang w:val="en-GB"/>
              </w:rPr>
            </w:pPr>
          </w:p>
        </w:tc>
        <w:tc>
          <w:tcPr>
            <w:tcW w:w="993" w:type="dxa"/>
            <w:vAlign w:val="center"/>
          </w:tcPr>
          <w:p w14:paraId="5FD12F41" w14:textId="77777777" w:rsidR="002B4207" w:rsidRPr="001B3BA5" w:rsidRDefault="002B4207" w:rsidP="00435299">
            <w:pPr>
              <w:pStyle w:val="Table"/>
              <w:tabs>
                <w:tab w:val="decimal" w:pos="498"/>
              </w:tabs>
              <w:jc w:val="left"/>
              <w:rPr>
                <w:color w:val="auto"/>
                <w:lang w:val="en-GB"/>
              </w:rPr>
            </w:pPr>
          </w:p>
        </w:tc>
        <w:tc>
          <w:tcPr>
            <w:tcW w:w="993" w:type="dxa"/>
            <w:vAlign w:val="center"/>
          </w:tcPr>
          <w:p w14:paraId="770EB6BD" w14:textId="77777777" w:rsidR="002B4207" w:rsidRPr="001B3BA5" w:rsidRDefault="002B4207" w:rsidP="00435299">
            <w:pPr>
              <w:pStyle w:val="Table"/>
              <w:jc w:val="left"/>
              <w:rPr>
                <w:color w:val="auto"/>
                <w:lang w:val="en-GB"/>
              </w:rPr>
            </w:pPr>
          </w:p>
        </w:tc>
        <w:tc>
          <w:tcPr>
            <w:tcW w:w="994" w:type="dxa"/>
            <w:vAlign w:val="center"/>
          </w:tcPr>
          <w:p w14:paraId="0A85609B" w14:textId="77777777" w:rsidR="002B4207" w:rsidRPr="001B3BA5" w:rsidRDefault="002B4207" w:rsidP="00435299">
            <w:pPr>
              <w:pStyle w:val="Table"/>
              <w:tabs>
                <w:tab w:val="decimal" w:pos="496"/>
              </w:tabs>
              <w:jc w:val="left"/>
              <w:rPr>
                <w:color w:val="auto"/>
                <w:lang w:val="en-GB"/>
              </w:rPr>
            </w:pPr>
            <w:r w:rsidRPr="001B3BA5">
              <w:rPr>
                <w:color w:val="auto"/>
                <w:lang w:val="en-GB"/>
              </w:rPr>
              <w:t xml:space="preserve"> 1</w:t>
            </w:r>
          </w:p>
        </w:tc>
        <w:tc>
          <w:tcPr>
            <w:tcW w:w="993" w:type="dxa"/>
            <w:gridSpan w:val="2"/>
            <w:vAlign w:val="center"/>
          </w:tcPr>
          <w:p w14:paraId="39D7DC2C" w14:textId="77777777" w:rsidR="002B4207" w:rsidRPr="001B3BA5" w:rsidRDefault="002B4207" w:rsidP="00435299">
            <w:pPr>
              <w:pStyle w:val="Table"/>
              <w:tabs>
                <w:tab w:val="decimal" w:pos="498"/>
              </w:tabs>
              <w:jc w:val="left"/>
              <w:rPr>
                <w:color w:val="auto"/>
                <w:lang w:val="en-GB"/>
              </w:rPr>
            </w:pPr>
            <w:r w:rsidRPr="001B3BA5">
              <w:rPr>
                <w:color w:val="auto"/>
                <w:lang w:val="en-GB"/>
              </w:rPr>
              <w:t xml:space="preserve"> .710***</w:t>
            </w:r>
          </w:p>
        </w:tc>
      </w:tr>
      <w:tr w:rsidR="002B4207" w:rsidRPr="001B3BA5" w14:paraId="48311614" w14:textId="77777777" w:rsidTr="00435299">
        <w:trPr>
          <w:trHeight w:val="300"/>
        </w:trPr>
        <w:tc>
          <w:tcPr>
            <w:tcW w:w="3290" w:type="dxa"/>
            <w:shd w:val="clear" w:color="auto" w:fill="auto"/>
            <w:noWrap/>
            <w:vAlign w:val="center"/>
          </w:tcPr>
          <w:p w14:paraId="3DF8EFB3" w14:textId="77777777" w:rsidR="002B4207" w:rsidRPr="001B3BA5" w:rsidRDefault="002B4207" w:rsidP="00435299">
            <w:pPr>
              <w:pStyle w:val="Table"/>
              <w:jc w:val="left"/>
              <w:rPr>
                <w:color w:val="auto"/>
                <w:lang w:val="en-GB"/>
              </w:rPr>
            </w:pPr>
            <w:r w:rsidRPr="001B3BA5">
              <w:rPr>
                <w:color w:val="auto"/>
                <w:lang w:val="en-GB"/>
              </w:rPr>
              <w:t>7. Place attachment</w:t>
            </w:r>
          </w:p>
        </w:tc>
        <w:tc>
          <w:tcPr>
            <w:tcW w:w="725" w:type="dxa"/>
            <w:shd w:val="clear" w:color="auto" w:fill="auto"/>
            <w:noWrap/>
            <w:vAlign w:val="center"/>
          </w:tcPr>
          <w:p w14:paraId="12106F76" w14:textId="77777777" w:rsidR="002B4207" w:rsidRPr="001B3BA5" w:rsidRDefault="002B4207" w:rsidP="00435299">
            <w:pPr>
              <w:pStyle w:val="Table"/>
              <w:jc w:val="center"/>
              <w:rPr>
                <w:color w:val="auto"/>
                <w:lang w:val="en-GB"/>
              </w:rPr>
            </w:pPr>
            <w:r w:rsidRPr="001B3BA5">
              <w:rPr>
                <w:color w:val="auto"/>
                <w:lang w:val="en-GB"/>
              </w:rPr>
              <w:t>572</w:t>
            </w:r>
          </w:p>
        </w:tc>
        <w:tc>
          <w:tcPr>
            <w:tcW w:w="664" w:type="dxa"/>
            <w:shd w:val="clear" w:color="auto" w:fill="auto"/>
            <w:noWrap/>
            <w:vAlign w:val="center"/>
          </w:tcPr>
          <w:p w14:paraId="1B90B5A5" w14:textId="77777777" w:rsidR="002B4207" w:rsidRPr="001B3BA5" w:rsidRDefault="002B4207" w:rsidP="00435299">
            <w:pPr>
              <w:pStyle w:val="Table"/>
              <w:tabs>
                <w:tab w:val="decimal" w:pos="238"/>
              </w:tabs>
              <w:jc w:val="left"/>
              <w:rPr>
                <w:color w:val="auto"/>
                <w:lang w:val="en-GB"/>
              </w:rPr>
            </w:pPr>
            <w:r w:rsidRPr="001B3BA5">
              <w:rPr>
                <w:color w:val="auto"/>
                <w:lang w:val="en-GB"/>
              </w:rPr>
              <w:t>1-7</w:t>
            </w:r>
          </w:p>
        </w:tc>
        <w:tc>
          <w:tcPr>
            <w:tcW w:w="1007" w:type="dxa"/>
            <w:shd w:val="clear" w:color="auto" w:fill="auto"/>
            <w:noWrap/>
            <w:vAlign w:val="center"/>
          </w:tcPr>
          <w:p w14:paraId="19954220" w14:textId="77777777" w:rsidR="002B4207" w:rsidRPr="001B3BA5" w:rsidRDefault="002B4207" w:rsidP="00435299">
            <w:pPr>
              <w:pStyle w:val="Table"/>
              <w:tabs>
                <w:tab w:val="decimal" w:pos="641"/>
              </w:tabs>
              <w:jc w:val="left"/>
              <w:rPr>
                <w:color w:val="auto"/>
                <w:lang w:val="en-GB"/>
              </w:rPr>
            </w:pPr>
            <w:r w:rsidRPr="001B3BA5">
              <w:rPr>
                <w:color w:val="auto"/>
                <w:lang w:val="en-GB"/>
              </w:rPr>
              <w:t>4.52</w:t>
            </w:r>
          </w:p>
        </w:tc>
        <w:tc>
          <w:tcPr>
            <w:tcW w:w="620" w:type="dxa"/>
            <w:shd w:val="clear" w:color="auto" w:fill="auto"/>
            <w:noWrap/>
            <w:vAlign w:val="center"/>
          </w:tcPr>
          <w:p w14:paraId="0E168E89" w14:textId="77777777" w:rsidR="002B4207" w:rsidRPr="001B3BA5" w:rsidRDefault="002B4207" w:rsidP="00435299">
            <w:pPr>
              <w:pStyle w:val="Table"/>
              <w:jc w:val="center"/>
              <w:rPr>
                <w:color w:val="auto"/>
                <w:lang w:val="en-GB"/>
              </w:rPr>
            </w:pPr>
            <w:r w:rsidRPr="001B3BA5">
              <w:rPr>
                <w:color w:val="auto"/>
                <w:lang w:val="en-GB"/>
              </w:rPr>
              <w:t>1.50</w:t>
            </w:r>
          </w:p>
        </w:tc>
        <w:tc>
          <w:tcPr>
            <w:tcW w:w="568" w:type="dxa"/>
            <w:vAlign w:val="center"/>
          </w:tcPr>
          <w:p w14:paraId="1266C722" w14:textId="77777777" w:rsidR="002B4207" w:rsidRPr="001B3BA5" w:rsidRDefault="002B4207" w:rsidP="00435299">
            <w:pPr>
              <w:pStyle w:val="Table"/>
              <w:jc w:val="center"/>
              <w:rPr>
                <w:color w:val="auto"/>
                <w:lang w:val="en-GB"/>
              </w:rPr>
            </w:pPr>
            <w:r w:rsidRPr="001B3BA5">
              <w:rPr>
                <w:color w:val="auto"/>
                <w:lang w:val="en-GB"/>
              </w:rPr>
              <w:t>.831</w:t>
            </w:r>
          </w:p>
        </w:tc>
        <w:tc>
          <w:tcPr>
            <w:tcW w:w="934" w:type="dxa"/>
            <w:vAlign w:val="center"/>
          </w:tcPr>
          <w:p w14:paraId="0BF22105" w14:textId="77777777" w:rsidR="002B4207" w:rsidRPr="001B3BA5" w:rsidRDefault="002B4207" w:rsidP="001D7644">
            <w:pPr>
              <w:pStyle w:val="Table"/>
              <w:tabs>
                <w:tab w:val="decimal" w:pos="0"/>
                <w:tab w:val="decimal" w:pos="354"/>
              </w:tabs>
              <w:jc w:val="left"/>
              <w:rPr>
                <w:color w:val="auto"/>
                <w:lang w:val="en-GB"/>
              </w:rPr>
            </w:pPr>
            <w:r w:rsidRPr="001B3BA5">
              <w:rPr>
                <w:color w:val="auto"/>
                <w:lang w:val="en-GB"/>
              </w:rPr>
              <w:t>8.23***</w:t>
            </w:r>
          </w:p>
        </w:tc>
        <w:tc>
          <w:tcPr>
            <w:tcW w:w="992" w:type="dxa"/>
            <w:vAlign w:val="center"/>
          </w:tcPr>
          <w:p w14:paraId="62E98319" w14:textId="77777777" w:rsidR="002B4207" w:rsidRPr="001B3BA5" w:rsidRDefault="002B4207" w:rsidP="00435299">
            <w:pPr>
              <w:pStyle w:val="Table"/>
              <w:tabs>
                <w:tab w:val="decimal" w:pos="354"/>
              </w:tabs>
              <w:jc w:val="left"/>
              <w:rPr>
                <w:color w:val="FF0000"/>
                <w:lang w:val="en-GB"/>
              </w:rPr>
            </w:pPr>
          </w:p>
        </w:tc>
        <w:tc>
          <w:tcPr>
            <w:tcW w:w="993" w:type="dxa"/>
            <w:vAlign w:val="center"/>
          </w:tcPr>
          <w:p w14:paraId="33573E75" w14:textId="77777777" w:rsidR="002B4207" w:rsidRPr="001B3BA5" w:rsidRDefault="002B4207" w:rsidP="00435299">
            <w:pPr>
              <w:pStyle w:val="Table"/>
              <w:jc w:val="left"/>
              <w:rPr>
                <w:color w:val="FF0000"/>
                <w:lang w:val="en-GB"/>
              </w:rPr>
            </w:pPr>
          </w:p>
        </w:tc>
        <w:tc>
          <w:tcPr>
            <w:tcW w:w="993" w:type="dxa"/>
            <w:vAlign w:val="center"/>
          </w:tcPr>
          <w:p w14:paraId="3503E951" w14:textId="77777777" w:rsidR="002B4207" w:rsidRPr="001B3BA5" w:rsidRDefault="002B4207" w:rsidP="00435299">
            <w:pPr>
              <w:pStyle w:val="Table"/>
              <w:tabs>
                <w:tab w:val="decimal" w:pos="498"/>
              </w:tabs>
              <w:jc w:val="left"/>
              <w:rPr>
                <w:color w:val="FF0000"/>
                <w:lang w:val="en-GB"/>
              </w:rPr>
            </w:pPr>
          </w:p>
        </w:tc>
        <w:tc>
          <w:tcPr>
            <w:tcW w:w="993" w:type="dxa"/>
            <w:vAlign w:val="center"/>
          </w:tcPr>
          <w:p w14:paraId="721AA7F5" w14:textId="77777777" w:rsidR="002B4207" w:rsidRPr="001B3BA5" w:rsidRDefault="002B4207" w:rsidP="00435299">
            <w:pPr>
              <w:pStyle w:val="Table"/>
              <w:jc w:val="left"/>
              <w:rPr>
                <w:color w:val="FF0000"/>
                <w:lang w:val="en-GB"/>
              </w:rPr>
            </w:pPr>
          </w:p>
        </w:tc>
        <w:tc>
          <w:tcPr>
            <w:tcW w:w="994" w:type="dxa"/>
            <w:vAlign w:val="center"/>
          </w:tcPr>
          <w:p w14:paraId="03AA528D" w14:textId="77777777" w:rsidR="002B4207" w:rsidRPr="001B3BA5" w:rsidRDefault="002B4207" w:rsidP="00435299">
            <w:pPr>
              <w:pStyle w:val="Table"/>
              <w:jc w:val="left"/>
              <w:rPr>
                <w:color w:val="auto"/>
                <w:lang w:val="en-GB"/>
              </w:rPr>
            </w:pPr>
          </w:p>
        </w:tc>
        <w:tc>
          <w:tcPr>
            <w:tcW w:w="993" w:type="dxa"/>
            <w:gridSpan w:val="2"/>
            <w:vAlign w:val="center"/>
          </w:tcPr>
          <w:p w14:paraId="382D981B" w14:textId="77777777" w:rsidR="002B4207" w:rsidRPr="001B3BA5" w:rsidRDefault="002B4207" w:rsidP="00435299">
            <w:pPr>
              <w:pStyle w:val="Table"/>
              <w:tabs>
                <w:tab w:val="decimal" w:pos="498"/>
              </w:tabs>
              <w:jc w:val="left"/>
              <w:rPr>
                <w:color w:val="auto"/>
                <w:lang w:val="en-GB"/>
              </w:rPr>
            </w:pPr>
            <w:r w:rsidRPr="001B3BA5">
              <w:rPr>
                <w:color w:val="auto"/>
                <w:lang w:val="en-GB"/>
              </w:rPr>
              <w:t xml:space="preserve"> 1</w:t>
            </w:r>
          </w:p>
        </w:tc>
      </w:tr>
      <w:tr w:rsidR="002B4207" w:rsidRPr="001B3BA5" w14:paraId="2CDCA2FF" w14:textId="77777777" w:rsidTr="00435299">
        <w:trPr>
          <w:trHeight w:val="300"/>
        </w:trPr>
        <w:tc>
          <w:tcPr>
            <w:tcW w:w="3290" w:type="dxa"/>
            <w:shd w:val="clear" w:color="auto" w:fill="auto"/>
            <w:noWrap/>
            <w:vAlign w:val="center"/>
          </w:tcPr>
          <w:p w14:paraId="1E28E80A" w14:textId="77777777" w:rsidR="002B4207" w:rsidRPr="001B3BA5" w:rsidRDefault="002B4207" w:rsidP="00435299">
            <w:pPr>
              <w:pStyle w:val="Table"/>
              <w:jc w:val="left"/>
              <w:rPr>
                <w:color w:val="auto"/>
                <w:lang w:val="en-GB"/>
              </w:rPr>
            </w:pPr>
            <w:r w:rsidRPr="001B3BA5">
              <w:rPr>
                <w:color w:val="auto"/>
                <w:lang w:val="en-GB"/>
              </w:rPr>
              <w:t>8. Sex (male)</w:t>
            </w:r>
          </w:p>
        </w:tc>
        <w:tc>
          <w:tcPr>
            <w:tcW w:w="725" w:type="dxa"/>
            <w:shd w:val="clear" w:color="auto" w:fill="auto"/>
            <w:noWrap/>
            <w:vAlign w:val="center"/>
          </w:tcPr>
          <w:p w14:paraId="225A9B41" w14:textId="77777777" w:rsidR="002B4207" w:rsidRPr="001B3BA5" w:rsidRDefault="002B4207" w:rsidP="00435299">
            <w:pPr>
              <w:pStyle w:val="Table"/>
              <w:jc w:val="center"/>
              <w:rPr>
                <w:color w:val="auto"/>
                <w:lang w:val="en-GB"/>
              </w:rPr>
            </w:pPr>
            <w:r w:rsidRPr="001B3BA5">
              <w:rPr>
                <w:color w:val="auto"/>
                <w:lang w:val="en-GB"/>
              </w:rPr>
              <w:t>570</w:t>
            </w:r>
          </w:p>
        </w:tc>
        <w:tc>
          <w:tcPr>
            <w:tcW w:w="664" w:type="dxa"/>
            <w:shd w:val="clear" w:color="auto" w:fill="auto"/>
            <w:noWrap/>
            <w:vAlign w:val="center"/>
          </w:tcPr>
          <w:p w14:paraId="0902DB5E" w14:textId="77777777" w:rsidR="002B4207" w:rsidRPr="001B3BA5" w:rsidRDefault="002B4207" w:rsidP="00435299">
            <w:pPr>
              <w:pStyle w:val="Table"/>
              <w:tabs>
                <w:tab w:val="decimal" w:pos="238"/>
              </w:tabs>
              <w:jc w:val="left"/>
              <w:rPr>
                <w:color w:val="auto"/>
                <w:lang w:val="en-GB"/>
              </w:rPr>
            </w:pPr>
            <w:r w:rsidRPr="001B3BA5">
              <w:rPr>
                <w:color w:val="auto"/>
                <w:lang w:val="en-GB"/>
              </w:rPr>
              <w:t>0/1</w:t>
            </w:r>
          </w:p>
        </w:tc>
        <w:tc>
          <w:tcPr>
            <w:tcW w:w="1007" w:type="dxa"/>
            <w:shd w:val="clear" w:color="auto" w:fill="auto"/>
            <w:noWrap/>
            <w:vAlign w:val="center"/>
          </w:tcPr>
          <w:p w14:paraId="4DA654F4" w14:textId="77777777" w:rsidR="002B4207" w:rsidRPr="001B3BA5" w:rsidRDefault="002B4207" w:rsidP="00435299">
            <w:pPr>
              <w:pStyle w:val="Table"/>
              <w:tabs>
                <w:tab w:val="decimal" w:pos="641"/>
              </w:tabs>
              <w:jc w:val="left"/>
              <w:rPr>
                <w:color w:val="auto"/>
                <w:lang w:val="en-GB"/>
              </w:rPr>
            </w:pPr>
            <w:r w:rsidRPr="001B3BA5">
              <w:rPr>
                <w:color w:val="auto"/>
                <w:lang w:val="en-GB"/>
              </w:rPr>
              <w:t>.59</w:t>
            </w:r>
          </w:p>
        </w:tc>
        <w:tc>
          <w:tcPr>
            <w:tcW w:w="620" w:type="dxa"/>
            <w:shd w:val="clear" w:color="auto" w:fill="auto"/>
            <w:noWrap/>
            <w:vAlign w:val="center"/>
          </w:tcPr>
          <w:p w14:paraId="0115EA23" w14:textId="77777777" w:rsidR="002B4207" w:rsidRPr="001B3BA5" w:rsidRDefault="002B4207" w:rsidP="00435299">
            <w:pPr>
              <w:pStyle w:val="Table"/>
              <w:jc w:val="center"/>
              <w:rPr>
                <w:color w:val="auto"/>
                <w:lang w:val="en-GB"/>
              </w:rPr>
            </w:pPr>
            <w:r w:rsidRPr="001B3BA5">
              <w:rPr>
                <w:color w:val="auto"/>
                <w:lang w:val="en-GB"/>
              </w:rPr>
              <w:t>-</w:t>
            </w:r>
          </w:p>
        </w:tc>
        <w:tc>
          <w:tcPr>
            <w:tcW w:w="568" w:type="dxa"/>
            <w:vAlign w:val="center"/>
          </w:tcPr>
          <w:p w14:paraId="40C3FDDB" w14:textId="77777777" w:rsidR="002B4207" w:rsidRPr="001B3BA5" w:rsidRDefault="002B4207" w:rsidP="00435299">
            <w:pPr>
              <w:pStyle w:val="Table"/>
              <w:jc w:val="center"/>
              <w:rPr>
                <w:color w:val="auto"/>
                <w:lang w:val="en-GB"/>
              </w:rPr>
            </w:pPr>
            <w:r w:rsidRPr="001B3BA5">
              <w:rPr>
                <w:color w:val="auto"/>
                <w:lang w:val="en-GB"/>
              </w:rPr>
              <w:t>-</w:t>
            </w:r>
          </w:p>
        </w:tc>
        <w:tc>
          <w:tcPr>
            <w:tcW w:w="934" w:type="dxa"/>
          </w:tcPr>
          <w:p w14:paraId="39EE9CCB" w14:textId="77777777" w:rsidR="002B4207" w:rsidRPr="001B3BA5" w:rsidRDefault="002B4207" w:rsidP="00435299">
            <w:pPr>
              <w:pStyle w:val="Table"/>
              <w:tabs>
                <w:tab w:val="decimal" w:pos="354"/>
              </w:tabs>
              <w:jc w:val="left"/>
              <w:rPr>
                <w:color w:val="auto"/>
                <w:lang w:val="en-GB"/>
              </w:rPr>
            </w:pPr>
          </w:p>
        </w:tc>
        <w:tc>
          <w:tcPr>
            <w:tcW w:w="992" w:type="dxa"/>
            <w:vAlign w:val="center"/>
          </w:tcPr>
          <w:p w14:paraId="1201DBB6" w14:textId="77777777" w:rsidR="002B4207" w:rsidRPr="001B3BA5" w:rsidRDefault="002B4207" w:rsidP="00435299">
            <w:pPr>
              <w:pStyle w:val="Table"/>
              <w:tabs>
                <w:tab w:val="decimal" w:pos="354"/>
              </w:tabs>
              <w:jc w:val="left"/>
              <w:rPr>
                <w:color w:val="FF0000"/>
                <w:lang w:val="en-GB"/>
              </w:rPr>
            </w:pPr>
          </w:p>
        </w:tc>
        <w:tc>
          <w:tcPr>
            <w:tcW w:w="993" w:type="dxa"/>
            <w:vAlign w:val="center"/>
          </w:tcPr>
          <w:p w14:paraId="6C567EED" w14:textId="77777777" w:rsidR="002B4207" w:rsidRPr="001B3BA5" w:rsidRDefault="002B4207" w:rsidP="00435299">
            <w:pPr>
              <w:pStyle w:val="Table"/>
              <w:jc w:val="left"/>
              <w:rPr>
                <w:color w:val="FF0000"/>
                <w:lang w:val="en-GB"/>
              </w:rPr>
            </w:pPr>
          </w:p>
        </w:tc>
        <w:tc>
          <w:tcPr>
            <w:tcW w:w="993" w:type="dxa"/>
            <w:vAlign w:val="center"/>
          </w:tcPr>
          <w:p w14:paraId="4D503193" w14:textId="77777777" w:rsidR="002B4207" w:rsidRPr="001B3BA5" w:rsidRDefault="002B4207" w:rsidP="00435299">
            <w:pPr>
              <w:pStyle w:val="Table"/>
              <w:tabs>
                <w:tab w:val="decimal" w:pos="498"/>
              </w:tabs>
              <w:jc w:val="left"/>
              <w:rPr>
                <w:color w:val="FF0000"/>
                <w:lang w:val="en-GB"/>
              </w:rPr>
            </w:pPr>
          </w:p>
        </w:tc>
        <w:tc>
          <w:tcPr>
            <w:tcW w:w="993" w:type="dxa"/>
            <w:vAlign w:val="center"/>
          </w:tcPr>
          <w:p w14:paraId="188AA866" w14:textId="77777777" w:rsidR="002B4207" w:rsidRPr="001B3BA5" w:rsidRDefault="002B4207" w:rsidP="00435299">
            <w:pPr>
              <w:pStyle w:val="Table"/>
              <w:jc w:val="left"/>
              <w:rPr>
                <w:color w:val="FF0000"/>
                <w:lang w:val="en-GB"/>
              </w:rPr>
            </w:pPr>
          </w:p>
        </w:tc>
        <w:tc>
          <w:tcPr>
            <w:tcW w:w="994" w:type="dxa"/>
            <w:vAlign w:val="center"/>
          </w:tcPr>
          <w:p w14:paraId="1A6B1C49" w14:textId="77777777" w:rsidR="002B4207" w:rsidRPr="001B3BA5" w:rsidRDefault="002B4207" w:rsidP="00435299">
            <w:pPr>
              <w:pStyle w:val="Table"/>
              <w:jc w:val="left"/>
              <w:rPr>
                <w:color w:val="FF0000"/>
                <w:lang w:val="en-GB"/>
              </w:rPr>
            </w:pPr>
          </w:p>
        </w:tc>
        <w:tc>
          <w:tcPr>
            <w:tcW w:w="993" w:type="dxa"/>
            <w:gridSpan w:val="2"/>
            <w:vAlign w:val="center"/>
          </w:tcPr>
          <w:p w14:paraId="1A28DE16" w14:textId="77777777" w:rsidR="002B4207" w:rsidRPr="001B3BA5" w:rsidRDefault="002B4207" w:rsidP="00435299">
            <w:pPr>
              <w:pStyle w:val="Table"/>
              <w:jc w:val="left"/>
              <w:rPr>
                <w:color w:val="FF0000"/>
                <w:lang w:val="en-GB"/>
              </w:rPr>
            </w:pPr>
          </w:p>
        </w:tc>
      </w:tr>
      <w:tr w:rsidR="002B4207" w:rsidRPr="001B3BA5" w14:paraId="7C1C7F17" w14:textId="77777777" w:rsidTr="00435299">
        <w:trPr>
          <w:trHeight w:val="300"/>
        </w:trPr>
        <w:tc>
          <w:tcPr>
            <w:tcW w:w="3290" w:type="dxa"/>
            <w:shd w:val="clear" w:color="auto" w:fill="auto"/>
            <w:noWrap/>
            <w:vAlign w:val="center"/>
          </w:tcPr>
          <w:p w14:paraId="2765E289" w14:textId="77777777" w:rsidR="002B4207" w:rsidRPr="001B3BA5" w:rsidRDefault="002B4207" w:rsidP="00435299">
            <w:pPr>
              <w:pStyle w:val="Table"/>
              <w:jc w:val="left"/>
              <w:rPr>
                <w:color w:val="auto"/>
                <w:lang w:val="en-GB"/>
              </w:rPr>
            </w:pPr>
            <w:r w:rsidRPr="001B3BA5">
              <w:rPr>
                <w:color w:val="auto"/>
                <w:lang w:val="en-GB"/>
              </w:rPr>
              <w:t>9. Education level</w:t>
            </w:r>
          </w:p>
        </w:tc>
        <w:tc>
          <w:tcPr>
            <w:tcW w:w="725" w:type="dxa"/>
            <w:shd w:val="clear" w:color="auto" w:fill="auto"/>
            <w:noWrap/>
            <w:vAlign w:val="center"/>
          </w:tcPr>
          <w:p w14:paraId="0AB069B4" w14:textId="77777777" w:rsidR="002B4207" w:rsidRPr="001B3BA5" w:rsidRDefault="002B4207" w:rsidP="00435299">
            <w:pPr>
              <w:pStyle w:val="Table"/>
              <w:jc w:val="center"/>
              <w:rPr>
                <w:color w:val="FF0000"/>
                <w:lang w:val="en-GB"/>
              </w:rPr>
            </w:pPr>
          </w:p>
        </w:tc>
        <w:tc>
          <w:tcPr>
            <w:tcW w:w="664" w:type="dxa"/>
            <w:shd w:val="clear" w:color="auto" w:fill="auto"/>
            <w:noWrap/>
            <w:vAlign w:val="center"/>
          </w:tcPr>
          <w:p w14:paraId="2CD3E041" w14:textId="77777777" w:rsidR="002B4207" w:rsidRPr="001B3BA5" w:rsidRDefault="002B4207" w:rsidP="00435299">
            <w:pPr>
              <w:pStyle w:val="Table"/>
              <w:tabs>
                <w:tab w:val="decimal" w:pos="238"/>
              </w:tabs>
              <w:jc w:val="left"/>
              <w:rPr>
                <w:color w:val="auto"/>
                <w:lang w:val="en-GB"/>
              </w:rPr>
            </w:pPr>
            <w:r w:rsidRPr="001B3BA5">
              <w:rPr>
                <w:color w:val="auto"/>
                <w:lang w:val="en-GB"/>
              </w:rPr>
              <w:t>1-8</w:t>
            </w:r>
          </w:p>
        </w:tc>
        <w:tc>
          <w:tcPr>
            <w:tcW w:w="1007" w:type="dxa"/>
            <w:shd w:val="clear" w:color="auto" w:fill="auto"/>
            <w:noWrap/>
            <w:vAlign w:val="center"/>
          </w:tcPr>
          <w:p w14:paraId="574EEA7D" w14:textId="77777777" w:rsidR="002B4207" w:rsidRPr="001B3BA5" w:rsidRDefault="002B4207" w:rsidP="00435299">
            <w:pPr>
              <w:pStyle w:val="Table"/>
              <w:tabs>
                <w:tab w:val="decimal" w:pos="641"/>
              </w:tabs>
              <w:jc w:val="left"/>
              <w:rPr>
                <w:color w:val="auto"/>
                <w:lang w:val="en-GB"/>
              </w:rPr>
            </w:pPr>
            <w:r w:rsidRPr="001B3BA5">
              <w:rPr>
                <w:color w:val="auto"/>
                <w:lang w:val="en-GB"/>
              </w:rPr>
              <w:t>5.22</w:t>
            </w:r>
          </w:p>
        </w:tc>
        <w:tc>
          <w:tcPr>
            <w:tcW w:w="620" w:type="dxa"/>
            <w:shd w:val="clear" w:color="auto" w:fill="auto"/>
            <w:noWrap/>
            <w:vAlign w:val="center"/>
          </w:tcPr>
          <w:p w14:paraId="0986A531" w14:textId="77777777" w:rsidR="002B4207" w:rsidRPr="001B3BA5" w:rsidRDefault="002B4207" w:rsidP="00435299">
            <w:pPr>
              <w:pStyle w:val="Table"/>
              <w:jc w:val="center"/>
              <w:rPr>
                <w:color w:val="auto"/>
                <w:lang w:val="en-GB"/>
              </w:rPr>
            </w:pPr>
            <w:r w:rsidRPr="001B3BA5">
              <w:rPr>
                <w:color w:val="auto"/>
                <w:lang w:val="en-GB"/>
              </w:rPr>
              <w:t>1.90</w:t>
            </w:r>
          </w:p>
        </w:tc>
        <w:tc>
          <w:tcPr>
            <w:tcW w:w="568" w:type="dxa"/>
            <w:vAlign w:val="center"/>
          </w:tcPr>
          <w:p w14:paraId="0D7BEBDF" w14:textId="77777777" w:rsidR="002B4207" w:rsidRPr="001B3BA5" w:rsidRDefault="002B4207" w:rsidP="00435299">
            <w:pPr>
              <w:pStyle w:val="Table"/>
              <w:jc w:val="center"/>
              <w:rPr>
                <w:color w:val="auto"/>
                <w:lang w:val="en-GB"/>
              </w:rPr>
            </w:pPr>
            <w:r w:rsidRPr="001B3BA5">
              <w:rPr>
                <w:color w:val="auto"/>
                <w:lang w:val="en-GB"/>
              </w:rPr>
              <w:t>-</w:t>
            </w:r>
          </w:p>
        </w:tc>
        <w:tc>
          <w:tcPr>
            <w:tcW w:w="934" w:type="dxa"/>
          </w:tcPr>
          <w:p w14:paraId="66147DC9" w14:textId="77777777" w:rsidR="002B4207" w:rsidRPr="001B3BA5" w:rsidRDefault="002B4207" w:rsidP="00435299">
            <w:pPr>
              <w:pStyle w:val="Table"/>
              <w:tabs>
                <w:tab w:val="decimal" w:pos="354"/>
              </w:tabs>
              <w:jc w:val="left"/>
              <w:rPr>
                <w:color w:val="auto"/>
                <w:lang w:val="en-GB"/>
              </w:rPr>
            </w:pPr>
          </w:p>
        </w:tc>
        <w:tc>
          <w:tcPr>
            <w:tcW w:w="992" w:type="dxa"/>
            <w:vAlign w:val="center"/>
          </w:tcPr>
          <w:p w14:paraId="3B2A7591" w14:textId="77777777" w:rsidR="002B4207" w:rsidRPr="001B3BA5" w:rsidRDefault="002B4207" w:rsidP="00435299">
            <w:pPr>
              <w:pStyle w:val="Table"/>
              <w:tabs>
                <w:tab w:val="decimal" w:pos="354"/>
              </w:tabs>
              <w:jc w:val="left"/>
              <w:rPr>
                <w:color w:val="FF0000"/>
                <w:lang w:val="en-GB"/>
              </w:rPr>
            </w:pPr>
          </w:p>
        </w:tc>
        <w:tc>
          <w:tcPr>
            <w:tcW w:w="993" w:type="dxa"/>
            <w:vAlign w:val="center"/>
          </w:tcPr>
          <w:p w14:paraId="66ED0494" w14:textId="77777777" w:rsidR="002B4207" w:rsidRPr="001B3BA5" w:rsidRDefault="002B4207" w:rsidP="00435299">
            <w:pPr>
              <w:pStyle w:val="Table"/>
              <w:jc w:val="left"/>
              <w:rPr>
                <w:color w:val="FF0000"/>
                <w:lang w:val="en-GB"/>
              </w:rPr>
            </w:pPr>
          </w:p>
        </w:tc>
        <w:tc>
          <w:tcPr>
            <w:tcW w:w="993" w:type="dxa"/>
            <w:vAlign w:val="center"/>
          </w:tcPr>
          <w:p w14:paraId="2DD597DB" w14:textId="77777777" w:rsidR="002B4207" w:rsidRPr="001B3BA5" w:rsidRDefault="002B4207" w:rsidP="00435299">
            <w:pPr>
              <w:pStyle w:val="Table"/>
              <w:tabs>
                <w:tab w:val="decimal" w:pos="498"/>
              </w:tabs>
              <w:jc w:val="left"/>
              <w:rPr>
                <w:color w:val="FF0000"/>
                <w:lang w:val="en-GB"/>
              </w:rPr>
            </w:pPr>
          </w:p>
        </w:tc>
        <w:tc>
          <w:tcPr>
            <w:tcW w:w="993" w:type="dxa"/>
            <w:vAlign w:val="center"/>
          </w:tcPr>
          <w:p w14:paraId="762F6A39" w14:textId="77777777" w:rsidR="002B4207" w:rsidRPr="001B3BA5" w:rsidRDefault="002B4207" w:rsidP="00435299">
            <w:pPr>
              <w:pStyle w:val="Table"/>
              <w:jc w:val="left"/>
              <w:rPr>
                <w:color w:val="FF0000"/>
                <w:lang w:val="en-GB"/>
              </w:rPr>
            </w:pPr>
          </w:p>
        </w:tc>
        <w:tc>
          <w:tcPr>
            <w:tcW w:w="994" w:type="dxa"/>
            <w:vAlign w:val="center"/>
          </w:tcPr>
          <w:p w14:paraId="140AF95B" w14:textId="77777777" w:rsidR="002B4207" w:rsidRPr="001B3BA5" w:rsidRDefault="002B4207" w:rsidP="00435299">
            <w:pPr>
              <w:pStyle w:val="Table"/>
              <w:jc w:val="left"/>
              <w:rPr>
                <w:color w:val="FF0000"/>
                <w:lang w:val="en-GB"/>
              </w:rPr>
            </w:pPr>
          </w:p>
        </w:tc>
        <w:tc>
          <w:tcPr>
            <w:tcW w:w="993" w:type="dxa"/>
            <w:gridSpan w:val="2"/>
            <w:vAlign w:val="center"/>
          </w:tcPr>
          <w:p w14:paraId="040CDA39" w14:textId="77777777" w:rsidR="002B4207" w:rsidRPr="001B3BA5" w:rsidRDefault="002B4207" w:rsidP="00435299">
            <w:pPr>
              <w:pStyle w:val="Table"/>
              <w:jc w:val="left"/>
              <w:rPr>
                <w:color w:val="FF0000"/>
                <w:lang w:val="en-GB"/>
              </w:rPr>
            </w:pPr>
          </w:p>
        </w:tc>
      </w:tr>
      <w:tr w:rsidR="002B4207" w:rsidRPr="001B3BA5" w14:paraId="3613B343" w14:textId="77777777" w:rsidTr="00435299">
        <w:trPr>
          <w:trHeight w:val="300"/>
        </w:trPr>
        <w:tc>
          <w:tcPr>
            <w:tcW w:w="3290" w:type="dxa"/>
            <w:shd w:val="clear" w:color="auto" w:fill="auto"/>
            <w:noWrap/>
            <w:vAlign w:val="center"/>
          </w:tcPr>
          <w:p w14:paraId="6C449302" w14:textId="77777777" w:rsidR="002B4207" w:rsidRPr="001B3BA5" w:rsidRDefault="002B4207" w:rsidP="00435299">
            <w:pPr>
              <w:pStyle w:val="Table"/>
              <w:jc w:val="left"/>
              <w:rPr>
                <w:color w:val="auto"/>
                <w:lang w:val="en-GB"/>
              </w:rPr>
            </w:pPr>
            <w:r w:rsidRPr="001B3BA5">
              <w:rPr>
                <w:color w:val="auto"/>
                <w:lang w:val="en-GB"/>
              </w:rPr>
              <w:t>10. Age</w:t>
            </w:r>
          </w:p>
        </w:tc>
        <w:tc>
          <w:tcPr>
            <w:tcW w:w="725" w:type="dxa"/>
            <w:shd w:val="clear" w:color="auto" w:fill="auto"/>
            <w:noWrap/>
            <w:vAlign w:val="center"/>
          </w:tcPr>
          <w:p w14:paraId="1DC8A518" w14:textId="77777777" w:rsidR="002B4207" w:rsidRPr="001B3BA5" w:rsidRDefault="002B4207" w:rsidP="00435299">
            <w:pPr>
              <w:pStyle w:val="Table"/>
              <w:jc w:val="center"/>
              <w:rPr>
                <w:color w:val="auto"/>
                <w:lang w:val="en-GB"/>
              </w:rPr>
            </w:pPr>
            <w:r w:rsidRPr="001B3BA5">
              <w:rPr>
                <w:color w:val="auto"/>
                <w:lang w:val="en-GB"/>
              </w:rPr>
              <w:t>572</w:t>
            </w:r>
          </w:p>
        </w:tc>
        <w:tc>
          <w:tcPr>
            <w:tcW w:w="664" w:type="dxa"/>
            <w:shd w:val="clear" w:color="auto" w:fill="auto"/>
            <w:noWrap/>
            <w:vAlign w:val="center"/>
          </w:tcPr>
          <w:p w14:paraId="35725CD1" w14:textId="77777777" w:rsidR="002B4207" w:rsidRPr="001B3BA5" w:rsidRDefault="002B4207" w:rsidP="00435299">
            <w:pPr>
              <w:pStyle w:val="Table"/>
              <w:tabs>
                <w:tab w:val="decimal" w:pos="238"/>
              </w:tabs>
              <w:jc w:val="left"/>
              <w:rPr>
                <w:color w:val="auto"/>
                <w:lang w:val="en-GB"/>
              </w:rPr>
            </w:pPr>
            <w:r w:rsidRPr="001B3BA5">
              <w:rPr>
                <w:color w:val="auto"/>
                <w:lang w:val="en-GB"/>
              </w:rPr>
              <w:t>19-87</w:t>
            </w:r>
          </w:p>
        </w:tc>
        <w:tc>
          <w:tcPr>
            <w:tcW w:w="1007" w:type="dxa"/>
            <w:shd w:val="clear" w:color="auto" w:fill="auto"/>
            <w:noWrap/>
            <w:vAlign w:val="center"/>
          </w:tcPr>
          <w:p w14:paraId="7F5F8242" w14:textId="77777777" w:rsidR="002B4207" w:rsidRPr="001B3BA5" w:rsidRDefault="002B4207" w:rsidP="00435299">
            <w:pPr>
              <w:pStyle w:val="Table"/>
              <w:tabs>
                <w:tab w:val="decimal" w:pos="641"/>
              </w:tabs>
              <w:jc w:val="left"/>
              <w:rPr>
                <w:color w:val="auto"/>
                <w:lang w:val="en-GB"/>
              </w:rPr>
            </w:pPr>
            <w:r w:rsidRPr="001B3BA5">
              <w:rPr>
                <w:color w:val="auto"/>
                <w:lang w:val="en-GB"/>
              </w:rPr>
              <w:t>60.17</w:t>
            </w:r>
          </w:p>
        </w:tc>
        <w:tc>
          <w:tcPr>
            <w:tcW w:w="620" w:type="dxa"/>
            <w:shd w:val="clear" w:color="auto" w:fill="auto"/>
            <w:noWrap/>
            <w:vAlign w:val="center"/>
          </w:tcPr>
          <w:p w14:paraId="0E1510FF" w14:textId="77777777" w:rsidR="002B4207" w:rsidRPr="001B3BA5" w:rsidRDefault="002B4207" w:rsidP="00435299">
            <w:pPr>
              <w:pStyle w:val="Table"/>
              <w:jc w:val="center"/>
              <w:rPr>
                <w:color w:val="auto"/>
                <w:lang w:val="en-GB"/>
              </w:rPr>
            </w:pPr>
            <w:r w:rsidRPr="001B3BA5">
              <w:rPr>
                <w:color w:val="auto"/>
                <w:lang w:val="en-GB"/>
              </w:rPr>
              <w:t>13.00</w:t>
            </w:r>
          </w:p>
        </w:tc>
        <w:tc>
          <w:tcPr>
            <w:tcW w:w="568" w:type="dxa"/>
            <w:vAlign w:val="center"/>
          </w:tcPr>
          <w:p w14:paraId="5939B338" w14:textId="77777777" w:rsidR="002B4207" w:rsidRPr="001B3BA5" w:rsidRDefault="002B4207" w:rsidP="00435299">
            <w:pPr>
              <w:pStyle w:val="Table"/>
              <w:jc w:val="center"/>
              <w:rPr>
                <w:color w:val="auto"/>
                <w:lang w:val="en-GB"/>
              </w:rPr>
            </w:pPr>
            <w:r w:rsidRPr="001B3BA5">
              <w:rPr>
                <w:color w:val="auto"/>
                <w:lang w:val="en-GB"/>
              </w:rPr>
              <w:t>-</w:t>
            </w:r>
          </w:p>
        </w:tc>
        <w:tc>
          <w:tcPr>
            <w:tcW w:w="934" w:type="dxa"/>
          </w:tcPr>
          <w:p w14:paraId="159D481C" w14:textId="77777777" w:rsidR="002B4207" w:rsidRPr="001B3BA5" w:rsidRDefault="002B4207" w:rsidP="00435299">
            <w:pPr>
              <w:pStyle w:val="Table"/>
              <w:tabs>
                <w:tab w:val="decimal" w:pos="354"/>
              </w:tabs>
              <w:jc w:val="left"/>
              <w:rPr>
                <w:color w:val="auto"/>
                <w:lang w:val="en-GB"/>
              </w:rPr>
            </w:pPr>
          </w:p>
        </w:tc>
        <w:tc>
          <w:tcPr>
            <w:tcW w:w="992" w:type="dxa"/>
            <w:vAlign w:val="center"/>
          </w:tcPr>
          <w:p w14:paraId="4DE408B4" w14:textId="77777777" w:rsidR="002B4207" w:rsidRPr="001B3BA5" w:rsidRDefault="002B4207" w:rsidP="00435299">
            <w:pPr>
              <w:pStyle w:val="Table"/>
              <w:tabs>
                <w:tab w:val="decimal" w:pos="354"/>
              </w:tabs>
              <w:jc w:val="left"/>
              <w:rPr>
                <w:color w:val="auto"/>
                <w:lang w:val="en-GB"/>
              </w:rPr>
            </w:pPr>
          </w:p>
        </w:tc>
        <w:tc>
          <w:tcPr>
            <w:tcW w:w="993" w:type="dxa"/>
            <w:vAlign w:val="center"/>
          </w:tcPr>
          <w:p w14:paraId="402EB383" w14:textId="77777777" w:rsidR="002B4207" w:rsidRPr="001B3BA5" w:rsidRDefault="002B4207" w:rsidP="00435299">
            <w:pPr>
              <w:pStyle w:val="Table"/>
              <w:jc w:val="left"/>
              <w:rPr>
                <w:color w:val="FF0000"/>
                <w:lang w:val="en-GB"/>
              </w:rPr>
            </w:pPr>
          </w:p>
        </w:tc>
        <w:tc>
          <w:tcPr>
            <w:tcW w:w="993" w:type="dxa"/>
            <w:vAlign w:val="center"/>
          </w:tcPr>
          <w:p w14:paraId="5AA9856D" w14:textId="77777777" w:rsidR="002B4207" w:rsidRPr="001B3BA5" w:rsidRDefault="002B4207" w:rsidP="00435299">
            <w:pPr>
              <w:pStyle w:val="Table"/>
              <w:tabs>
                <w:tab w:val="decimal" w:pos="498"/>
              </w:tabs>
              <w:jc w:val="left"/>
              <w:rPr>
                <w:color w:val="FF0000"/>
                <w:lang w:val="en-GB"/>
              </w:rPr>
            </w:pPr>
          </w:p>
        </w:tc>
        <w:tc>
          <w:tcPr>
            <w:tcW w:w="993" w:type="dxa"/>
            <w:vAlign w:val="center"/>
          </w:tcPr>
          <w:p w14:paraId="34708276" w14:textId="77777777" w:rsidR="002B4207" w:rsidRPr="001B3BA5" w:rsidRDefault="002B4207" w:rsidP="00435299">
            <w:pPr>
              <w:pStyle w:val="Table"/>
              <w:jc w:val="left"/>
              <w:rPr>
                <w:color w:val="FF0000"/>
                <w:lang w:val="en-GB"/>
              </w:rPr>
            </w:pPr>
          </w:p>
        </w:tc>
        <w:tc>
          <w:tcPr>
            <w:tcW w:w="994" w:type="dxa"/>
            <w:vAlign w:val="center"/>
          </w:tcPr>
          <w:p w14:paraId="5B49B6DE" w14:textId="77777777" w:rsidR="002B4207" w:rsidRPr="001B3BA5" w:rsidRDefault="002B4207" w:rsidP="00435299">
            <w:pPr>
              <w:pStyle w:val="Table"/>
              <w:jc w:val="left"/>
              <w:rPr>
                <w:color w:val="FF0000"/>
                <w:lang w:val="en-GB"/>
              </w:rPr>
            </w:pPr>
          </w:p>
        </w:tc>
        <w:tc>
          <w:tcPr>
            <w:tcW w:w="993" w:type="dxa"/>
            <w:gridSpan w:val="2"/>
            <w:vAlign w:val="center"/>
          </w:tcPr>
          <w:p w14:paraId="35F93FDC" w14:textId="77777777" w:rsidR="002B4207" w:rsidRPr="001B3BA5" w:rsidRDefault="002B4207" w:rsidP="00435299">
            <w:pPr>
              <w:pStyle w:val="Table"/>
              <w:jc w:val="left"/>
              <w:rPr>
                <w:color w:val="FF0000"/>
                <w:lang w:val="en-GB"/>
              </w:rPr>
            </w:pPr>
          </w:p>
        </w:tc>
      </w:tr>
      <w:tr w:rsidR="002B4207" w:rsidRPr="001B3BA5" w14:paraId="66BE2B2A" w14:textId="77777777" w:rsidTr="00435299">
        <w:trPr>
          <w:gridAfter w:val="1"/>
          <w:wAfter w:w="8" w:type="dxa"/>
          <w:trHeight w:val="77"/>
        </w:trPr>
        <w:tc>
          <w:tcPr>
            <w:tcW w:w="13758" w:type="dxa"/>
            <w:gridSpan w:val="13"/>
            <w:tcBorders>
              <w:top w:val="single" w:sz="24" w:space="0" w:color="000000" w:themeColor="text1"/>
              <w:bottom w:val="nil"/>
            </w:tcBorders>
          </w:tcPr>
          <w:p w14:paraId="2CD0F11A" w14:textId="1402688B" w:rsidR="002B4207" w:rsidRPr="001B3BA5" w:rsidRDefault="002B4207" w:rsidP="00584266">
            <w:pPr>
              <w:pStyle w:val="Table"/>
              <w:rPr>
                <w:i/>
                <w:color w:val="auto"/>
                <w:szCs w:val="20"/>
                <w:lang w:val="en-GB"/>
              </w:rPr>
            </w:pPr>
            <w:r w:rsidRPr="001B3BA5">
              <w:rPr>
                <w:i/>
                <w:color w:val="auto"/>
                <w:szCs w:val="20"/>
                <w:lang w:val="en-GB"/>
              </w:rPr>
              <w:t>Note:</w:t>
            </w:r>
            <w:r w:rsidRPr="001B3BA5">
              <w:rPr>
                <w:color w:val="auto"/>
                <w:szCs w:val="20"/>
                <w:lang w:val="en-GB"/>
              </w:rPr>
              <w:t xml:space="preserve"> Descriptive statistics were based on manifest mean scores. Correlations were between latent factors and manifest single-items. </w:t>
            </w:r>
            <w:r w:rsidRPr="001B3BA5">
              <w:rPr>
                <w:i/>
                <w:color w:val="auto"/>
                <w:lang w:val="en-GB"/>
              </w:rPr>
              <w:t>α</w:t>
            </w:r>
            <w:r w:rsidRPr="001B3BA5">
              <w:rPr>
                <w:i/>
                <w:color w:val="auto"/>
                <w:szCs w:val="20"/>
                <w:lang w:val="en-GB"/>
              </w:rPr>
              <w:t xml:space="preserve"> </w:t>
            </w:r>
            <w:r w:rsidRPr="001B3BA5">
              <w:rPr>
                <w:color w:val="auto"/>
                <w:szCs w:val="20"/>
                <w:lang w:val="en-GB"/>
              </w:rPr>
              <w:t>is Cronbach’s alpha</w:t>
            </w:r>
            <w:r w:rsidRPr="001B3BA5">
              <w:rPr>
                <w:i/>
                <w:color w:val="auto"/>
                <w:szCs w:val="20"/>
                <w:lang w:val="en-GB"/>
              </w:rPr>
              <w:t xml:space="preserve">. t </w:t>
            </w:r>
            <w:r w:rsidRPr="001B3BA5">
              <w:rPr>
                <w:color w:val="auto"/>
                <w:szCs w:val="20"/>
                <w:lang w:val="en-GB"/>
              </w:rPr>
              <w:t>is the t-statistic of difference from the midpoint of the scale. *</w:t>
            </w:r>
            <w:r w:rsidRPr="001B3BA5">
              <w:rPr>
                <w:i/>
                <w:iCs/>
                <w:color w:val="auto"/>
                <w:szCs w:val="20"/>
                <w:lang w:val="en-GB"/>
              </w:rPr>
              <w:t>p</w:t>
            </w:r>
            <w:r w:rsidR="00584266" w:rsidRPr="001B3BA5">
              <w:rPr>
                <w:i/>
                <w:iCs/>
                <w:color w:val="auto"/>
                <w:szCs w:val="20"/>
                <w:lang w:val="en-GB"/>
              </w:rPr>
              <w:t xml:space="preserve"> </w:t>
            </w:r>
            <w:r w:rsidR="00955643" w:rsidRPr="001B3BA5">
              <w:rPr>
                <w:color w:val="auto"/>
                <w:szCs w:val="20"/>
                <w:lang w:val="en-GB"/>
              </w:rPr>
              <w:t>&lt;</w:t>
            </w:r>
            <w:r w:rsidR="00584266" w:rsidRPr="001B3BA5">
              <w:rPr>
                <w:color w:val="auto"/>
                <w:szCs w:val="20"/>
                <w:lang w:val="en-GB"/>
              </w:rPr>
              <w:t xml:space="preserve"> </w:t>
            </w:r>
            <w:r w:rsidRPr="001B3BA5">
              <w:rPr>
                <w:color w:val="auto"/>
                <w:szCs w:val="20"/>
                <w:lang w:val="en-GB"/>
              </w:rPr>
              <w:t>.05</w:t>
            </w:r>
            <w:r w:rsidR="00584266" w:rsidRPr="001B3BA5">
              <w:rPr>
                <w:color w:val="auto"/>
                <w:szCs w:val="20"/>
                <w:lang w:val="en-GB"/>
              </w:rPr>
              <w:t>,</w:t>
            </w:r>
            <w:r w:rsidRPr="001B3BA5">
              <w:rPr>
                <w:color w:val="auto"/>
                <w:szCs w:val="20"/>
                <w:lang w:val="en-GB"/>
              </w:rPr>
              <w:t xml:space="preserve"> **</w:t>
            </w:r>
            <w:r w:rsidRPr="001B3BA5">
              <w:rPr>
                <w:i/>
                <w:color w:val="auto"/>
                <w:szCs w:val="20"/>
                <w:lang w:val="en-GB"/>
              </w:rPr>
              <w:t>p</w:t>
            </w:r>
            <w:r w:rsidR="00584266" w:rsidRPr="001B3BA5">
              <w:rPr>
                <w:i/>
                <w:color w:val="auto"/>
                <w:szCs w:val="20"/>
                <w:lang w:val="en-GB"/>
              </w:rPr>
              <w:t xml:space="preserve"> </w:t>
            </w:r>
            <w:r w:rsidR="00955643" w:rsidRPr="001B3BA5">
              <w:rPr>
                <w:i/>
                <w:color w:val="auto"/>
                <w:szCs w:val="20"/>
                <w:lang w:val="en-GB"/>
              </w:rPr>
              <w:t>&lt;</w:t>
            </w:r>
            <w:r w:rsidR="00584266" w:rsidRPr="001B3BA5">
              <w:rPr>
                <w:i/>
                <w:color w:val="auto"/>
                <w:szCs w:val="20"/>
                <w:lang w:val="en-GB"/>
              </w:rPr>
              <w:t xml:space="preserve"> </w:t>
            </w:r>
            <w:r w:rsidRPr="001B3BA5">
              <w:rPr>
                <w:color w:val="auto"/>
                <w:szCs w:val="20"/>
                <w:lang w:val="en-GB"/>
              </w:rPr>
              <w:t>.01</w:t>
            </w:r>
            <w:r w:rsidR="00584266" w:rsidRPr="001B3BA5">
              <w:rPr>
                <w:color w:val="auto"/>
                <w:szCs w:val="20"/>
                <w:lang w:val="en-GB"/>
              </w:rPr>
              <w:t>,</w:t>
            </w:r>
            <w:r w:rsidRPr="001B3BA5">
              <w:rPr>
                <w:color w:val="auto"/>
                <w:szCs w:val="20"/>
                <w:lang w:val="en-GB"/>
              </w:rPr>
              <w:t xml:space="preserve"> ***</w:t>
            </w:r>
            <w:r w:rsidRPr="001B3BA5">
              <w:rPr>
                <w:i/>
                <w:color w:val="auto"/>
                <w:szCs w:val="20"/>
                <w:lang w:val="en-GB"/>
              </w:rPr>
              <w:t>p</w:t>
            </w:r>
            <w:r w:rsidR="00584266" w:rsidRPr="001B3BA5">
              <w:rPr>
                <w:i/>
                <w:color w:val="auto"/>
                <w:szCs w:val="20"/>
                <w:lang w:val="en-GB"/>
              </w:rPr>
              <w:t xml:space="preserve"> </w:t>
            </w:r>
            <w:r w:rsidR="00955643" w:rsidRPr="001B3BA5">
              <w:rPr>
                <w:color w:val="auto"/>
                <w:szCs w:val="20"/>
                <w:lang w:val="en-GB"/>
              </w:rPr>
              <w:t>&lt;</w:t>
            </w:r>
            <w:r w:rsidR="00584266" w:rsidRPr="001B3BA5">
              <w:rPr>
                <w:color w:val="auto"/>
                <w:szCs w:val="20"/>
                <w:lang w:val="en-GB"/>
              </w:rPr>
              <w:t xml:space="preserve"> </w:t>
            </w:r>
            <w:r w:rsidRPr="001B3BA5">
              <w:rPr>
                <w:color w:val="auto"/>
                <w:szCs w:val="20"/>
                <w:lang w:val="en-GB"/>
              </w:rPr>
              <w:t>.001.</w:t>
            </w:r>
          </w:p>
        </w:tc>
      </w:tr>
      <w:bookmarkEnd w:id="50"/>
    </w:tbl>
    <w:p w14:paraId="63376A6F" w14:textId="77777777" w:rsidR="0051771C" w:rsidRPr="001B3BA5" w:rsidRDefault="0051771C">
      <w:pPr>
        <w:rPr>
          <w:lang w:val="en-GB"/>
        </w:rPr>
      </w:pPr>
      <w:r w:rsidRPr="001B3BA5">
        <w:rPr>
          <w:lang w:val="en-GB"/>
        </w:rPr>
        <w:br w:type="page"/>
      </w:r>
    </w:p>
    <w:p w14:paraId="5B273FB6" w14:textId="1F5C1A3C" w:rsidR="0051771C" w:rsidRPr="001B3BA5" w:rsidRDefault="0051771C">
      <w:pPr>
        <w:rPr>
          <w:sz w:val="16"/>
          <w:szCs w:val="16"/>
          <w:lang w:val="en-GB"/>
        </w:rPr>
      </w:pPr>
    </w:p>
    <w:tbl>
      <w:tblPr>
        <w:tblpPr w:leftFromText="141" w:rightFromText="141" w:vertAnchor="text" w:horzAnchor="margin" w:tblpX="-706" w:tblpY="103"/>
        <w:tblW w:w="15458" w:type="dxa"/>
        <w:tblBorders>
          <w:bottom w:val="single" w:sz="4" w:space="0" w:color="auto"/>
        </w:tblBorders>
        <w:tblLayout w:type="fixed"/>
        <w:tblCellMar>
          <w:left w:w="70" w:type="dxa"/>
          <w:right w:w="70" w:type="dxa"/>
        </w:tblCellMar>
        <w:tblLook w:val="04A0" w:firstRow="1" w:lastRow="0" w:firstColumn="1" w:lastColumn="0" w:noHBand="0" w:noVBand="1"/>
      </w:tblPr>
      <w:tblGrid>
        <w:gridCol w:w="3290"/>
        <w:gridCol w:w="725"/>
        <w:gridCol w:w="664"/>
        <w:gridCol w:w="1007"/>
        <w:gridCol w:w="692"/>
        <w:gridCol w:w="638"/>
        <w:gridCol w:w="992"/>
        <w:gridCol w:w="931"/>
        <w:gridCol w:w="931"/>
        <w:gridCol w:w="931"/>
        <w:gridCol w:w="932"/>
        <w:gridCol w:w="931"/>
        <w:gridCol w:w="931"/>
        <w:gridCol w:w="931"/>
        <w:gridCol w:w="932"/>
      </w:tblGrid>
      <w:tr w:rsidR="002B4207" w:rsidRPr="001B3BA5" w14:paraId="193563B4" w14:textId="77777777" w:rsidTr="002B4207">
        <w:trPr>
          <w:trHeight w:val="121"/>
        </w:trPr>
        <w:tc>
          <w:tcPr>
            <w:tcW w:w="15458" w:type="dxa"/>
            <w:gridSpan w:val="15"/>
            <w:tcBorders>
              <w:bottom w:val="single" w:sz="24" w:space="0" w:color="000000" w:themeColor="text1"/>
            </w:tcBorders>
          </w:tcPr>
          <w:p w14:paraId="2C10BD28" w14:textId="2B67363B" w:rsidR="002B4207" w:rsidRPr="001B3BA5" w:rsidRDefault="002B4207" w:rsidP="002B4207">
            <w:pPr>
              <w:pStyle w:val="Table"/>
              <w:rPr>
                <w:b/>
                <w:color w:val="auto"/>
                <w:sz w:val="24"/>
                <w:szCs w:val="24"/>
                <w:lang w:val="en-GB"/>
              </w:rPr>
            </w:pPr>
            <w:r w:rsidRPr="001B3BA5">
              <w:rPr>
                <w:b/>
                <w:color w:val="auto"/>
                <w:sz w:val="24"/>
                <w:szCs w:val="24"/>
                <w:lang w:val="en-GB"/>
              </w:rPr>
              <w:t xml:space="preserve">Table </w:t>
            </w:r>
            <w:r w:rsidR="00240BD2" w:rsidRPr="001B3BA5">
              <w:rPr>
                <w:b/>
                <w:color w:val="auto"/>
                <w:sz w:val="24"/>
                <w:szCs w:val="24"/>
                <w:lang w:val="en-GB"/>
              </w:rPr>
              <w:t>2</w:t>
            </w:r>
            <w:r w:rsidRPr="001B3BA5">
              <w:rPr>
                <w:b/>
                <w:color w:val="auto"/>
                <w:sz w:val="24"/>
                <w:szCs w:val="24"/>
                <w:lang w:val="en-GB"/>
              </w:rPr>
              <w:t xml:space="preserve">. </w:t>
            </w:r>
            <w:r w:rsidRPr="001B3BA5">
              <w:rPr>
                <w:color w:val="auto"/>
                <w:sz w:val="24"/>
                <w:szCs w:val="24"/>
                <w:lang w:val="en-GB"/>
              </w:rPr>
              <w:t>Descriptive Statistics in Study 2</w:t>
            </w:r>
          </w:p>
        </w:tc>
      </w:tr>
      <w:tr w:rsidR="002B4207" w:rsidRPr="001B3BA5" w14:paraId="07639BCE" w14:textId="77777777" w:rsidTr="002B4207">
        <w:trPr>
          <w:trHeight w:val="308"/>
        </w:trPr>
        <w:tc>
          <w:tcPr>
            <w:tcW w:w="3290" w:type="dxa"/>
            <w:vMerge w:val="restart"/>
            <w:tcBorders>
              <w:top w:val="single" w:sz="24" w:space="0" w:color="000000" w:themeColor="text1"/>
            </w:tcBorders>
            <w:shd w:val="clear" w:color="auto" w:fill="auto"/>
            <w:noWrap/>
            <w:vAlign w:val="center"/>
            <w:hideMark/>
          </w:tcPr>
          <w:p w14:paraId="303E9E66" w14:textId="77777777" w:rsidR="002B4207" w:rsidRPr="001B3BA5" w:rsidRDefault="002B4207" w:rsidP="002B4207">
            <w:pPr>
              <w:pStyle w:val="Table"/>
              <w:rPr>
                <w:color w:val="auto"/>
                <w:lang w:val="en-GB"/>
              </w:rPr>
            </w:pPr>
            <w:bookmarkStart w:id="52" w:name="_Hlk18395155"/>
            <w:bookmarkStart w:id="53" w:name="_Hlk13647103"/>
          </w:p>
        </w:tc>
        <w:tc>
          <w:tcPr>
            <w:tcW w:w="725" w:type="dxa"/>
            <w:vMerge w:val="restart"/>
            <w:tcBorders>
              <w:top w:val="single" w:sz="24" w:space="0" w:color="000000" w:themeColor="text1"/>
            </w:tcBorders>
            <w:shd w:val="clear" w:color="auto" w:fill="auto"/>
            <w:noWrap/>
            <w:vAlign w:val="bottom"/>
          </w:tcPr>
          <w:p w14:paraId="6D4F76C2" w14:textId="77777777" w:rsidR="002B4207" w:rsidRPr="001B3BA5" w:rsidRDefault="002B4207" w:rsidP="002B4207">
            <w:pPr>
              <w:pStyle w:val="Table"/>
              <w:jc w:val="center"/>
              <w:rPr>
                <w:color w:val="auto"/>
                <w:lang w:val="en-GB"/>
              </w:rPr>
            </w:pPr>
            <w:r w:rsidRPr="001B3BA5">
              <w:rPr>
                <w:i/>
                <w:color w:val="auto"/>
                <w:lang w:val="en-GB"/>
              </w:rPr>
              <w:t>Valid n</w:t>
            </w:r>
          </w:p>
        </w:tc>
        <w:tc>
          <w:tcPr>
            <w:tcW w:w="664" w:type="dxa"/>
            <w:vMerge w:val="restart"/>
            <w:tcBorders>
              <w:top w:val="single" w:sz="24" w:space="0" w:color="000000" w:themeColor="text1"/>
            </w:tcBorders>
            <w:shd w:val="clear" w:color="auto" w:fill="auto"/>
            <w:noWrap/>
            <w:vAlign w:val="bottom"/>
          </w:tcPr>
          <w:p w14:paraId="1C8BEA2A" w14:textId="77777777" w:rsidR="002B4207" w:rsidRPr="001B3BA5" w:rsidRDefault="002B4207" w:rsidP="002B4207">
            <w:pPr>
              <w:pStyle w:val="Table"/>
              <w:jc w:val="center"/>
              <w:rPr>
                <w:color w:val="auto"/>
                <w:lang w:val="en-GB"/>
              </w:rPr>
            </w:pPr>
            <w:r w:rsidRPr="001B3BA5">
              <w:rPr>
                <w:i/>
                <w:color w:val="auto"/>
                <w:lang w:val="en-GB"/>
              </w:rPr>
              <w:t>Range</w:t>
            </w:r>
          </w:p>
        </w:tc>
        <w:tc>
          <w:tcPr>
            <w:tcW w:w="1007" w:type="dxa"/>
            <w:vMerge w:val="restart"/>
            <w:tcBorders>
              <w:top w:val="single" w:sz="24" w:space="0" w:color="000000" w:themeColor="text1"/>
            </w:tcBorders>
            <w:shd w:val="clear" w:color="auto" w:fill="auto"/>
            <w:noWrap/>
            <w:vAlign w:val="bottom"/>
          </w:tcPr>
          <w:p w14:paraId="3EA30022" w14:textId="77777777" w:rsidR="002B4207" w:rsidRPr="001B3BA5" w:rsidRDefault="002B4207" w:rsidP="002B4207">
            <w:pPr>
              <w:pStyle w:val="Table"/>
              <w:jc w:val="center"/>
              <w:rPr>
                <w:color w:val="auto"/>
                <w:lang w:val="en-GB"/>
              </w:rPr>
            </w:pPr>
            <w:r w:rsidRPr="001B3BA5">
              <w:rPr>
                <w:i/>
                <w:color w:val="auto"/>
                <w:lang w:val="en-GB"/>
              </w:rPr>
              <w:t>Mean/ proportion</w:t>
            </w:r>
          </w:p>
        </w:tc>
        <w:tc>
          <w:tcPr>
            <w:tcW w:w="692" w:type="dxa"/>
            <w:vMerge w:val="restart"/>
            <w:tcBorders>
              <w:top w:val="single" w:sz="24" w:space="0" w:color="000000" w:themeColor="text1"/>
            </w:tcBorders>
            <w:shd w:val="clear" w:color="auto" w:fill="auto"/>
            <w:noWrap/>
            <w:vAlign w:val="bottom"/>
          </w:tcPr>
          <w:p w14:paraId="0E48FF02" w14:textId="77777777" w:rsidR="002B4207" w:rsidRPr="001B3BA5" w:rsidRDefault="002B4207" w:rsidP="002B4207">
            <w:pPr>
              <w:pStyle w:val="Table"/>
              <w:jc w:val="center"/>
              <w:rPr>
                <w:color w:val="auto"/>
                <w:lang w:val="en-GB"/>
              </w:rPr>
            </w:pPr>
            <w:r w:rsidRPr="001B3BA5">
              <w:rPr>
                <w:i/>
                <w:color w:val="auto"/>
                <w:lang w:val="en-GB"/>
              </w:rPr>
              <w:t>SD</w:t>
            </w:r>
          </w:p>
        </w:tc>
        <w:tc>
          <w:tcPr>
            <w:tcW w:w="638" w:type="dxa"/>
            <w:vMerge w:val="restart"/>
            <w:tcBorders>
              <w:top w:val="single" w:sz="24" w:space="0" w:color="000000" w:themeColor="text1"/>
            </w:tcBorders>
            <w:vAlign w:val="bottom"/>
          </w:tcPr>
          <w:p w14:paraId="216B9D5C" w14:textId="77777777" w:rsidR="002B4207" w:rsidRPr="001B3BA5" w:rsidRDefault="002B4207" w:rsidP="002B4207">
            <w:pPr>
              <w:pStyle w:val="Table"/>
              <w:jc w:val="center"/>
              <w:rPr>
                <w:i/>
                <w:color w:val="auto"/>
                <w:lang w:val="en-GB"/>
              </w:rPr>
            </w:pPr>
            <w:r w:rsidRPr="001B3BA5">
              <w:rPr>
                <w:i/>
                <w:color w:val="auto"/>
                <w:lang w:val="en-GB"/>
              </w:rPr>
              <w:t>α</w:t>
            </w:r>
          </w:p>
        </w:tc>
        <w:tc>
          <w:tcPr>
            <w:tcW w:w="992" w:type="dxa"/>
            <w:vMerge w:val="restart"/>
            <w:tcBorders>
              <w:top w:val="single" w:sz="24" w:space="0" w:color="000000" w:themeColor="text1"/>
            </w:tcBorders>
            <w:vAlign w:val="bottom"/>
          </w:tcPr>
          <w:p w14:paraId="38809DA7" w14:textId="77777777" w:rsidR="002B4207" w:rsidRPr="001B3BA5" w:rsidRDefault="002B4207" w:rsidP="002B4207">
            <w:pPr>
              <w:pStyle w:val="Table"/>
              <w:jc w:val="center"/>
              <w:rPr>
                <w:i/>
                <w:color w:val="auto"/>
                <w:lang w:val="en-GB"/>
              </w:rPr>
            </w:pPr>
            <w:r w:rsidRPr="001B3BA5">
              <w:rPr>
                <w:i/>
                <w:color w:val="auto"/>
                <w:lang w:val="en-GB"/>
              </w:rPr>
              <w:t>t</w:t>
            </w:r>
          </w:p>
        </w:tc>
        <w:tc>
          <w:tcPr>
            <w:tcW w:w="7450" w:type="dxa"/>
            <w:gridSpan w:val="8"/>
            <w:tcBorders>
              <w:top w:val="single" w:sz="24" w:space="0" w:color="000000" w:themeColor="text1"/>
            </w:tcBorders>
          </w:tcPr>
          <w:p w14:paraId="392CD13B" w14:textId="77777777" w:rsidR="002B4207" w:rsidRPr="001B3BA5" w:rsidRDefault="002B4207" w:rsidP="002B4207">
            <w:pPr>
              <w:pStyle w:val="Table"/>
              <w:jc w:val="center"/>
              <w:rPr>
                <w:i/>
                <w:color w:val="auto"/>
                <w:lang w:val="en-GB"/>
              </w:rPr>
            </w:pPr>
            <w:r w:rsidRPr="001B3BA5">
              <w:rPr>
                <w:i/>
                <w:color w:val="auto"/>
                <w:lang w:val="en-GB"/>
              </w:rPr>
              <w:t>Correlations Among Main Variables</w:t>
            </w:r>
          </w:p>
        </w:tc>
      </w:tr>
      <w:tr w:rsidR="002B4207" w:rsidRPr="001B3BA5" w14:paraId="54564003" w14:textId="77777777" w:rsidTr="002B4207">
        <w:trPr>
          <w:trHeight w:val="307"/>
        </w:trPr>
        <w:tc>
          <w:tcPr>
            <w:tcW w:w="3290" w:type="dxa"/>
            <w:vMerge/>
            <w:tcBorders>
              <w:bottom w:val="single" w:sz="12" w:space="0" w:color="000000" w:themeColor="text1"/>
            </w:tcBorders>
            <w:shd w:val="clear" w:color="auto" w:fill="auto"/>
            <w:noWrap/>
            <w:vAlign w:val="center"/>
          </w:tcPr>
          <w:p w14:paraId="135CD95F" w14:textId="77777777" w:rsidR="002B4207" w:rsidRPr="001B3BA5" w:rsidRDefault="002B4207" w:rsidP="002B4207">
            <w:pPr>
              <w:pStyle w:val="Table"/>
              <w:rPr>
                <w:color w:val="auto"/>
                <w:lang w:val="en-GB"/>
              </w:rPr>
            </w:pPr>
          </w:p>
        </w:tc>
        <w:tc>
          <w:tcPr>
            <w:tcW w:w="725" w:type="dxa"/>
            <w:vMerge/>
            <w:tcBorders>
              <w:bottom w:val="single" w:sz="12" w:space="0" w:color="000000" w:themeColor="text1"/>
            </w:tcBorders>
            <w:shd w:val="clear" w:color="auto" w:fill="auto"/>
            <w:noWrap/>
            <w:vAlign w:val="bottom"/>
          </w:tcPr>
          <w:p w14:paraId="6C0BD971" w14:textId="77777777" w:rsidR="002B4207" w:rsidRPr="001B3BA5" w:rsidRDefault="002B4207" w:rsidP="002B4207">
            <w:pPr>
              <w:pStyle w:val="Table"/>
              <w:jc w:val="center"/>
              <w:rPr>
                <w:i/>
                <w:color w:val="auto"/>
                <w:lang w:val="en-GB"/>
              </w:rPr>
            </w:pPr>
          </w:p>
        </w:tc>
        <w:tc>
          <w:tcPr>
            <w:tcW w:w="664" w:type="dxa"/>
            <w:vMerge/>
            <w:tcBorders>
              <w:bottom w:val="single" w:sz="12" w:space="0" w:color="000000" w:themeColor="text1"/>
            </w:tcBorders>
            <w:shd w:val="clear" w:color="auto" w:fill="auto"/>
            <w:noWrap/>
            <w:vAlign w:val="bottom"/>
          </w:tcPr>
          <w:p w14:paraId="1DA1AC47" w14:textId="77777777" w:rsidR="002B4207" w:rsidRPr="001B3BA5" w:rsidRDefault="002B4207" w:rsidP="002B4207">
            <w:pPr>
              <w:pStyle w:val="Table"/>
              <w:jc w:val="center"/>
              <w:rPr>
                <w:i/>
                <w:color w:val="auto"/>
                <w:lang w:val="en-GB"/>
              </w:rPr>
            </w:pPr>
          </w:p>
        </w:tc>
        <w:tc>
          <w:tcPr>
            <w:tcW w:w="1007" w:type="dxa"/>
            <w:vMerge/>
            <w:tcBorders>
              <w:bottom w:val="single" w:sz="12" w:space="0" w:color="000000" w:themeColor="text1"/>
            </w:tcBorders>
            <w:shd w:val="clear" w:color="auto" w:fill="auto"/>
            <w:noWrap/>
            <w:vAlign w:val="bottom"/>
          </w:tcPr>
          <w:p w14:paraId="5E5AECBE" w14:textId="77777777" w:rsidR="002B4207" w:rsidRPr="001B3BA5" w:rsidRDefault="002B4207" w:rsidP="002B4207">
            <w:pPr>
              <w:pStyle w:val="Table"/>
              <w:jc w:val="center"/>
              <w:rPr>
                <w:i/>
                <w:color w:val="auto"/>
                <w:lang w:val="en-GB"/>
              </w:rPr>
            </w:pPr>
          </w:p>
        </w:tc>
        <w:tc>
          <w:tcPr>
            <w:tcW w:w="692" w:type="dxa"/>
            <w:vMerge/>
            <w:tcBorders>
              <w:bottom w:val="single" w:sz="12" w:space="0" w:color="000000" w:themeColor="text1"/>
            </w:tcBorders>
            <w:shd w:val="clear" w:color="auto" w:fill="auto"/>
            <w:noWrap/>
            <w:vAlign w:val="bottom"/>
          </w:tcPr>
          <w:p w14:paraId="613923C4" w14:textId="77777777" w:rsidR="002B4207" w:rsidRPr="001B3BA5" w:rsidRDefault="002B4207" w:rsidP="002B4207">
            <w:pPr>
              <w:pStyle w:val="Table"/>
              <w:jc w:val="center"/>
              <w:rPr>
                <w:i/>
                <w:color w:val="auto"/>
                <w:lang w:val="en-GB"/>
              </w:rPr>
            </w:pPr>
          </w:p>
        </w:tc>
        <w:tc>
          <w:tcPr>
            <w:tcW w:w="638" w:type="dxa"/>
            <w:vMerge/>
            <w:tcBorders>
              <w:bottom w:val="single" w:sz="12" w:space="0" w:color="000000" w:themeColor="text1"/>
            </w:tcBorders>
            <w:vAlign w:val="bottom"/>
          </w:tcPr>
          <w:p w14:paraId="681E01DF" w14:textId="77777777" w:rsidR="002B4207" w:rsidRPr="001B3BA5" w:rsidRDefault="002B4207" w:rsidP="002B4207">
            <w:pPr>
              <w:pStyle w:val="Table"/>
              <w:jc w:val="center"/>
              <w:rPr>
                <w:color w:val="auto"/>
                <w:lang w:val="en-GB"/>
              </w:rPr>
            </w:pPr>
          </w:p>
        </w:tc>
        <w:tc>
          <w:tcPr>
            <w:tcW w:w="992" w:type="dxa"/>
            <w:vMerge/>
            <w:tcBorders>
              <w:bottom w:val="single" w:sz="12" w:space="0" w:color="000000" w:themeColor="text1"/>
            </w:tcBorders>
          </w:tcPr>
          <w:p w14:paraId="623AC8E3" w14:textId="77777777" w:rsidR="002B4207" w:rsidRPr="001B3BA5" w:rsidRDefault="002B4207" w:rsidP="002B4207">
            <w:pPr>
              <w:pStyle w:val="Table"/>
              <w:jc w:val="center"/>
              <w:rPr>
                <w:color w:val="auto"/>
                <w:lang w:val="en-GB"/>
              </w:rPr>
            </w:pPr>
          </w:p>
        </w:tc>
        <w:tc>
          <w:tcPr>
            <w:tcW w:w="931" w:type="dxa"/>
            <w:tcBorders>
              <w:top w:val="single" w:sz="12" w:space="0" w:color="000000" w:themeColor="text1"/>
              <w:bottom w:val="single" w:sz="12" w:space="0" w:color="000000" w:themeColor="text1"/>
            </w:tcBorders>
            <w:vAlign w:val="center"/>
          </w:tcPr>
          <w:p w14:paraId="0439967E" w14:textId="77777777" w:rsidR="002B4207" w:rsidRPr="001B3BA5" w:rsidRDefault="002B4207" w:rsidP="002B4207">
            <w:pPr>
              <w:pStyle w:val="Table"/>
              <w:jc w:val="center"/>
              <w:rPr>
                <w:color w:val="auto"/>
                <w:lang w:val="en-GB"/>
              </w:rPr>
            </w:pPr>
            <w:r w:rsidRPr="001B3BA5">
              <w:rPr>
                <w:color w:val="auto"/>
                <w:lang w:val="en-GB"/>
              </w:rPr>
              <w:t>2.</w:t>
            </w:r>
          </w:p>
        </w:tc>
        <w:tc>
          <w:tcPr>
            <w:tcW w:w="931" w:type="dxa"/>
            <w:tcBorders>
              <w:top w:val="single" w:sz="12" w:space="0" w:color="000000" w:themeColor="text1"/>
              <w:bottom w:val="single" w:sz="12" w:space="0" w:color="000000" w:themeColor="text1"/>
            </w:tcBorders>
            <w:vAlign w:val="center"/>
          </w:tcPr>
          <w:p w14:paraId="304F1413" w14:textId="77777777" w:rsidR="002B4207" w:rsidRPr="001B3BA5" w:rsidRDefault="002B4207" w:rsidP="002B4207">
            <w:pPr>
              <w:pStyle w:val="Table"/>
              <w:jc w:val="center"/>
              <w:rPr>
                <w:color w:val="auto"/>
                <w:lang w:val="en-GB"/>
              </w:rPr>
            </w:pPr>
            <w:r w:rsidRPr="001B3BA5">
              <w:rPr>
                <w:color w:val="auto"/>
                <w:lang w:val="en-GB"/>
              </w:rPr>
              <w:t>3.</w:t>
            </w:r>
          </w:p>
        </w:tc>
        <w:tc>
          <w:tcPr>
            <w:tcW w:w="931" w:type="dxa"/>
            <w:tcBorders>
              <w:top w:val="single" w:sz="12" w:space="0" w:color="000000" w:themeColor="text1"/>
              <w:bottom w:val="single" w:sz="12" w:space="0" w:color="000000" w:themeColor="text1"/>
            </w:tcBorders>
            <w:vAlign w:val="center"/>
          </w:tcPr>
          <w:p w14:paraId="64C1EE7F" w14:textId="77777777" w:rsidR="002B4207" w:rsidRPr="001B3BA5" w:rsidRDefault="002B4207" w:rsidP="002B4207">
            <w:pPr>
              <w:pStyle w:val="Table"/>
              <w:jc w:val="center"/>
              <w:rPr>
                <w:color w:val="auto"/>
                <w:lang w:val="en-GB"/>
              </w:rPr>
            </w:pPr>
            <w:r w:rsidRPr="001B3BA5">
              <w:rPr>
                <w:color w:val="auto"/>
                <w:lang w:val="en-GB"/>
              </w:rPr>
              <w:t>4.</w:t>
            </w:r>
          </w:p>
        </w:tc>
        <w:tc>
          <w:tcPr>
            <w:tcW w:w="932" w:type="dxa"/>
            <w:tcBorders>
              <w:top w:val="single" w:sz="12" w:space="0" w:color="000000" w:themeColor="text1"/>
              <w:bottom w:val="single" w:sz="12" w:space="0" w:color="000000" w:themeColor="text1"/>
            </w:tcBorders>
            <w:vAlign w:val="center"/>
          </w:tcPr>
          <w:p w14:paraId="7EE776EB" w14:textId="77777777" w:rsidR="002B4207" w:rsidRPr="001B3BA5" w:rsidRDefault="002B4207" w:rsidP="002B4207">
            <w:pPr>
              <w:pStyle w:val="Table"/>
              <w:jc w:val="center"/>
              <w:rPr>
                <w:color w:val="auto"/>
                <w:lang w:val="en-GB"/>
              </w:rPr>
            </w:pPr>
            <w:r w:rsidRPr="001B3BA5">
              <w:rPr>
                <w:color w:val="auto"/>
                <w:lang w:val="en-GB"/>
              </w:rPr>
              <w:t>5.</w:t>
            </w:r>
          </w:p>
        </w:tc>
        <w:tc>
          <w:tcPr>
            <w:tcW w:w="931" w:type="dxa"/>
            <w:tcBorders>
              <w:top w:val="single" w:sz="12" w:space="0" w:color="000000" w:themeColor="text1"/>
              <w:bottom w:val="single" w:sz="12" w:space="0" w:color="000000" w:themeColor="text1"/>
            </w:tcBorders>
            <w:vAlign w:val="center"/>
          </w:tcPr>
          <w:p w14:paraId="10CA0E15" w14:textId="77777777" w:rsidR="002B4207" w:rsidRPr="001B3BA5" w:rsidRDefault="002B4207" w:rsidP="002B4207">
            <w:pPr>
              <w:pStyle w:val="Table"/>
              <w:jc w:val="center"/>
              <w:rPr>
                <w:color w:val="auto"/>
                <w:lang w:val="en-GB"/>
              </w:rPr>
            </w:pPr>
            <w:r w:rsidRPr="001B3BA5">
              <w:rPr>
                <w:color w:val="auto"/>
                <w:lang w:val="en-GB"/>
              </w:rPr>
              <w:t>6.</w:t>
            </w:r>
          </w:p>
        </w:tc>
        <w:tc>
          <w:tcPr>
            <w:tcW w:w="931" w:type="dxa"/>
            <w:tcBorders>
              <w:top w:val="single" w:sz="12" w:space="0" w:color="000000" w:themeColor="text1"/>
              <w:bottom w:val="single" w:sz="12" w:space="0" w:color="000000" w:themeColor="text1"/>
            </w:tcBorders>
            <w:vAlign w:val="center"/>
          </w:tcPr>
          <w:p w14:paraId="328B0715" w14:textId="77777777" w:rsidR="002B4207" w:rsidRPr="001B3BA5" w:rsidRDefault="002B4207" w:rsidP="002B4207">
            <w:pPr>
              <w:pStyle w:val="Table"/>
              <w:jc w:val="center"/>
              <w:rPr>
                <w:color w:val="auto"/>
                <w:lang w:val="en-GB"/>
              </w:rPr>
            </w:pPr>
            <w:r w:rsidRPr="001B3BA5">
              <w:rPr>
                <w:color w:val="auto"/>
                <w:lang w:val="en-GB"/>
              </w:rPr>
              <w:t>7.</w:t>
            </w:r>
          </w:p>
        </w:tc>
        <w:tc>
          <w:tcPr>
            <w:tcW w:w="931" w:type="dxa"/>
            <w:tcBorders>
              <w:top w:val="single" w:sz="12" w:space="0" w:color="000000" w:themeColor="text1"/>
              <w:bottom w:val="single" w:sz="12" w:space="0" w:color="000000" w:themeColor="text1"/>
            </w:tcBorders>
            <w:vAlign w:val="center"/>
          </w:tcPr>
          <w:p w14:paraId="1A9B8719" w14:textId="77777777" w:rsidR="002B4207" w:rsidRPr="001B3BA5" w:rsidRDefault="002B4207" w:rsidP="002B4207">
            <w:pPr>
              <w:pStyle w:val="Table"/>
              <w:jc w:val="center"/>
              <w:rPr>
                <w:color w:val="auto"/>
                <w:lang w:val="en-GB"/>
              </w:rPr>
            </w:pPr>
            <w:r w:rsidRPr="001B3BA5">
              <w:rPr>
                <w:color w:val="auto"/>
                <w:lang w:val="en-GB"/>
              </w:rPr>
              <w:t>8.</w:t>
            </w:r>
          </w:p>
        </w:tc>
        <w:tc>
          <w:tcPr>
            <w:tcW w:w="932" w:type="dxa"/>
            <w:tcBorders>
              <w:top w:val="single" w:sz="12" w:space="0" w:color="000000" w:themeColor="text1"/>
              <w:bottom w:val="single" w:sz="12" w:space="0" w:color="000000" w:themeColor="text1"/>
            </w:tcBorders>
            <w:vAlign w:val="center"/>
          </w:tcPr>
          <w:p w14:paraId="5B9A9515" w14:textId="77777777" w:rsidR="002B4207" w:rsidRPr="001B3BA5" w:rsidRDefault="002B4207" w:rsidP="002B4207">
            <w:pPr>
              <w:pStyle w:val="Table"/>
              <w:jc w:val="center"/>
              <w:rPr>
                <w:color w:val="auto"/>
                <w:lang w:val="en-GB"/>
              </w:rPr>
            </w:pPr>
            <w:r w:rsidRPr="001B3BA5">
              <w:rPr>
                <w:color w:val="auto"/>
                <w:lang w:val="en-GB"/>
              </w:rPr>
              <w:t>9.</w:t>
            </w:r>
          </w:p>
        </w:tc>
      </w:tr>
      <w:tr w:rsidR="002B4207" w:rsidRPr="001B3BA5" w14:paraId="1B687453" w14:textId="77777777" w:rsidTr="002B4207">
        <w:trPr>
          <w:trHeight w:val="300"/>
        </w:trPr>
        <w:tc>
          <w:tcPr>
            <w:tcW w:w="3290" w:type="dxa"/>
            <w:tcBorders>
              <w:top w:val="nil"/>
            </w:tcBorders>
            <w:shd w:val="clear" w:color="auto" w:fill="auto"/>
            <w:noWrap/>
            <w:vAlign w:val="center"/>
          </w:tcPr>
          <w:p w14:paraId="0BE296D3" w14:textId="77777777" w:rsidR="002B4207" w:rsidRPr="001B3BA5" w:rsidRDefault="002B4207" w:rsidP="002B4207">
            <w:pPr>
              <w:pStyle w:val="Table"/>
              <w:jc w:val="left"/>
              <w:rPr>
                <w:color w:val="auto"/>
                <w:lang w:val="en-GB"/>
              </w:rPr>
            </w:pPr>
            <w:r w:rsidRPr="001B3BA5">
              <w:rPr>
                <w:color w:val="auto"/>
                <w:lang w:val="en-GB"/>
              </w:rPr>
              <w:t>1. Collective psychological ownership</w:t>
            </w:r>
          </w:p>
        </w:tc>
        <w:tc>
          <w:tcPr>
            <w:tcW w:w="725" w:type="dxa"/>
            <w:tcBorders>
              <w:top w:val="nil"/>
            </w:tcBorders>
            <w:shd w:val="clear" w:color="auto" w:fill="auto"/>
            <w:noWrap/>
            <w:vAlign w:val="center"/>
          </w:tcPr>
          <w:p w14:paraId="0EC0C711"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tcBorders>
              <w:top w:val="nil"/>
            </w:tcBorders>
            <w:shd w:val="clear" w:color="auto" w:fill="auto"/>
            <w:noWrap/>
            <w:vAlign w:val="center"/>
          </w:tcPr>
          <w:p w14:paraId="14A18350" w14:textId="77777777" w:rsidR="002B4207" w:rsidRPr="001B3BA5" w:rsidRDefault="002B4207" w:rsidP="002B4207">
            <w:pPr>
              <w:pStyle w:val="Table"/>
              <w:tabs>
                <w:tab w:val="decimal" w:pos="163"/>
              </w:tabs>
              <w:jc w:val="center"/>
              <w:rPr>
                <w:color w:val="auto"/>
                <w:lang w:val="en-GB"/>
              </w:rPr>
            </w:pPr>
            <w:r w:rsidRPr="001B3BA5">
              <w:rPr>
                <w:color w:val="auto"/>
                <w:lang w:val="en-GB"/>
              </w:rPr>
              <w:t>1-7</w:t>
            </w:r>
          </w:p>
        </w:tc>
        <w:tc>
          <w:tcPr>
            <w:tcW w:w="1007" w:type="dxa"/>
            <w:tcBorders>
              <w:top w:val="nil"/>
            </w:tcBorders>
            <w:shd w:val="clear" w:color="auto" w:fill="auto"/>
            <w:noWrap/>
            <w:vAlign w:val="center"/>
          </w:tcPr>
          <w:p w14:paraId="13374704" w14:textId="77777777" w:rsidR="002B4207" w:rsidRPr="001B3BA5" w:rsidRDefault="002B4207" w:rsidP="002B4207">
            <w:pPr>
              <w:pStyle w:val="Table"/>
              <w:tabs>
                <w:tab w:val="decimal" w:pos="632"/>
              </w:tabs>
              <w:jc w:val="center"/>
              <w:rPr>
                <w:color w:val="auto"/>
                <w:lang w:val="en-GB"/>
              </w:rPr>
            </w:pPr>
            <w:r w:rsidRPr="001B3BA5">
              <w:rPr>
                <w:color w:val="auto"/>
                <w:lang w:val="en-GB"/>
              </w:rPr>
              <w:t>5.05</w:t>
            </w:r>
          </w:p>
        </w:tc>
        <w:tc>
          <w:tcPr>
            <w:tcW w:w="692" w:type="dxa"/>
            <w:tcBorders>
              <w:top w:val="nil"/>
            </w:tcBorders>
            <w:shd w:val="clear" w:color="auto" w:fill="auto"/>
            <w:noWrap/>
            <w:vAlign w:val="center"/>
          </w:tcPr>
          <w:p w14:paraId="4AAC2BB6" w14:textId="77777777" w:rsidR="002B4207" w:rsidRPr="001B3BA5" w:rsidRDefault="002B4207" w:rsidP="002B4207">
            <w:pPr>
              <w:pStyle w:val="Table"/>
              <w:tabs>
                <w:tab w:val="decimal" w:pos="475"/>
              </w:tabs>
              <w:jc w:val="center"/>
              <w:rPr>
                <w:color w:val="auto"/>
                <w:lang w:val="en-GB"/>
              </w:rPr>
            </w:pPr>
            <w:r w:rsidRPr="001B3BA5">
              <w:rPr>
                <w:color w:val="auto"/>
                <w:lang w:val="en-GB"/>
              </w:rPr>
              <w:t>1.58</w:t>
            </w:r>
          </w:p>
        </w:tc>
        <w:tc>
          <w:tcPr>
            <w:tcW w:w="638" w:type="dxa"/>
            <w:vAlign w:val="center"/>
          </w:tcPr>
          <w:p w14:paraId="4A15B4FE" w14:textId="77777777" w:rsidR="002B4207" w:rsidRPr="001B3BA5" w:rsidRDefault="002B4207" w:rsidP="002B4207">
            <w:pPr>
              <w:pStyle w:val="Table"/>
              <w:jc w:val="center"/>
              <w:rPr>
                <w:color w:val="auto"/>
                <w:lang w:val="en-GB"/>
              </w:rPr>
            </w:pPr>
            <w:r w:rsidRPr="001B3BA5">
              <w:rPr>
                <w:color w:val="auto"/>
                <w:lang w:val="en-GB"/>
              </w:rPr>
              <w:t>.958</w:t>
            </w:r>
          </w:p>
        </w:tc>
        <w:tc>
          <w:tcPr>
            <w:tcW w:w="992" w:type="dxa"/>
            <w:vAlign w:val="center"/>
          </w:tcPr>
          <w:p w14:paraId="3DCD3FE0" w14:textId="3BDF32D5" w:rsidR="002B4207" w:rsidRPr="001B3BA5" w:rsidRDefault="002B4207" w:rsidP="009D45ED">
            <w:pPr>
              <w:pStyle w:val="Table"/>
              <w:tabs>
                <w:tab w:val="decimal" w:pos="0"/>
              </w:tabs>
              <w:jc w:val="left"/>
              <w:rPr>
                <w:color w:val="auto"/>
                <w:lang w:val="en-GB"/>
              </w:rPr>
            </w:pPr>
            <w:r w:rsidRPr="001B3BA5">
              <w:rPr>
                <w:color w:val="auto"/>
                <w:lang w:val="en-GB"/>
              </w:rPr>
              <w:t>14.</w:t>
            </w:r>
            <w:r w:rsidR="00943C26" w:rsidRPr="001B3BA5">
              <w:rPr>
                <w:color w:val="auto"/>
                <w:lang w:val="en-GB"/>
              </w:rPr>
              <w:t>71</w:t>
            </w:r>
            <w:r w:rsidRPr="001B3BA5">
              <w:rPr>
                <w:color w:val="auto"/>
                <w:lang w:val="en-GB"/>
              </w:rPr>
              <w:t>***</w:t>
            </w:r>
          </w:p>
        </w:tc>
        <w:tc>
          <w:tcPr>
            <w:tcW w:w="931" w:type="dxa"/>
            <w:vAlign w:val="center"/>
          </w:tcPr>
          <w:p w14:paraId="061858C8" w14:textId="77777777" w:rsidR="002B4207" w:rsidRPr="001B3BA5" w:rsidRDefault="002B4207" w:rsidP="002B4207">
            <w:pPr>
              <w:pStyle w:val="Table"/>
              <w:tabs>
                <w:tab w:val="decimal" w:pos="424"/>
              </w:tabs>
              <w:jc w:val="center"/>
              <w:rPr>
                <w:color w:val="auto"/>
                <w:lang w:val="en-GB"/>
              </w:rPr>
            </w:pPr>
            <w:r w:rsidRPr="001B3BA5">
              <w:rPr>
                <w:color w:val="auto"/>
                <w:lang w:val="en-GB"/>
              </w:rPr>
              <w:t>.810***</w:t>
            </w:r>
          </w:p>
        </w:tc>
        <w:tc>
          <w:tcPr>
            <w:tcW w:w="931" w:type="dxa"/>
            <w:vAlign w:val="center"/>
          </w:tcPr>
          <w:p w14:paraId="6F12B36A" w14:textId="77777777" w:rsidR="002B4207" w:rsidRPr="001B3BA5" w:rsidRDefault="002B4207" w:rsidP="002B4207">
            <w:pPr>
              <w:pStyle w:val="Table"/>
              <w:tabs>
                <w:tab w:val="decimal" w:pos="434"/>
              </w:tabs>
              <w:jc w:val="center"/>
              <w:rPr>
                <w:color w:val="auto"/>
                <w:lang w:val="en-GB"/>
              </w:rPr>
            </w:pPr>
            <w:r w:rsidRPr="001B3BA5">
              <w:rPr>
                <w:sz w:val="16"/>
                <w:szCs w:val="16"/>
                <w:lang w:val="en-GB"/>
              </w:rPr>
              <w:t>–</w:t>
            </w:r>
            <w:r w:rsidRPr="001B3BA5">
              <w:rPr>
                <w:color w:val="auto"/>
                <w:lang w:val="en-GB"/>
              </w:rPr>
              <w:t>.334***</w:t>
            </w:r>
          </w:p>
        </w:tc>
        <w:tc>
          <w:tcPr>
            <w:tcW w:w="931" w:type="dxa"/>
            <w:vAlign w:val="center"/>
          </w:tcPr>
          <w:p w14:paraId="3B79E3A4" w14:textId="77777777" w:rsidR="002B4207" w:rsidRPr="001B3BA5" w:rsidRDefault="002B4207" w:rsidP="002B4207">
            <w:pPr>
              <w:pStyle w:val="Table"/>
              <w:tabs>
                <w:tab w:val="decimal" w:pos="425"/>
              </w:tabs>
              <w:jc w:val="center"/>
              <w:rPr>
                <w:color w:val="auto"/>
                <w:lang w:val="en-GB"/>
              </w:rPr>
            </w:pPr>
            <w:r w:rsidRPr="001B3BA5">
              <w:rPr>
                <w:sz w:val="16"/>
                <w:szCs w:val="16"/>
                <w:lang w:val="en-GB"/>
              </w:rPr>
              <w:t>–</w:t>
            </w:r>
            <w:r w:rsidRPr="001B3BA5">
              <w:rPr>
                <w:color w:val="auto"/>
                <w:lang w:val="en-GB"/>
              </w:rPr>
              <w:t>.328***</w:t>
            </w:r>
          </w:p>
        </w:tc>
        <w:tc>
          <w:tcPr>
            <w:tcW w:w="932" w:type="dxa"/>
            <w:vAlign w:val="center"/>
          </w:tcPr>
          <w:p w14:paraId="4E1EE76A" w14:textId="77777777" w:rsidR="002B4207" w:rsidRPr="001B3BA5" w:rsidRDefault="002B4207" w:rsidP="002B4207">
            <w:pPr>
              <w:pStyle w:val="Table"/>
              <w:tabs>
                <w:tab w:val="decimal" w:pos="425"/>
              </w:tabs>
              <w:jc w:val="center"/>
              <w:rPr>
                <w:color w:val="auto"/>
                <w:lang w:val="en-GB"/>
              </w:rPr>
            </w:pPr>
            <w:r w:rsidRPr="001B3BA5">
              <w:rPr>
                <w:color w:val="auto"/>
                <w:lang w:val="en-GB"/>
              </w:rPr>
              <w:t>.311***</w:t>
            </w:r>
          </w:p>
        </w:tc>
        <w:tc>
          <w:tcPr>
            <w:tcW w:w="931" w:type="dxa"/>
            <w:vAlign w:val="center"/>
          </w:tcPr>
          <w:p w14:paraId="12A0A95F" w14:textId="77777777" w:rsidR="002B4207" w:rsidRPr="001B3BA5" w:rsidRDefault="002B4207" w:rsidP="002B4207">
            <w:pPr>
              <w:pStyle w:val="Table"/>
              <w:tabs>
                <w:tab w:val="decimal" w:pos="425"/>
              </w:tabs>
              <w:jc w:val="center"/>
              <w:rPr>
                <w:color w:val="auto"/>
                <w:lang w:val="en-GB"/>
              </w:rPr>
            </w:pPr>
            <w:r w:rsidRPr="001B3BA5">
              <w:rPr>
                <w:color w:val="auto"/>
                <w:lang w:val="en-GB"/>
              </w:rPr>
              <w:t>.257***</w:t>
            </w:r>
          </w:p>
        </w:tc>
        <w:tc>
          <w:tcPr>
            <w:tcW w:w="931" w:type="dxa"/>
            <w:vAlign w:val="center"/>
          </w:tcPr>
          <w:p w14:paraId="388E6F83" w14:textId="77777777" w:rsidR="002B4207" w:rsidRPr="001B3BA5" w:rsidRDefault="002B4207" w:rsidP="002B4207">
            <w:pPr>
              <w:pStyle w:val="Table"/>
              <w:tabs>
                <w:tab w:val="decimal" w:pos="426"/>
              </w:tabs>
              <w:jc w:val="center"/>
              <w:rPr>
                <w:color w:val="auto"/>
                <w:lang w:val="en-GB"/>
              </w:rPr>
            </w:pPr>
            <w:r w:rsidRPr="001B3BA5">
              <w:rPr>
                <w:color w:val="auto"/>
                <w:lang w:val="en-GB"/>
              </w:rPr>
              <w:t>.589***</w:t>
            </w:r>
          </w:p>
        </w:tc>
        <w:tc>
          <w:tcPr>
            <w:tcW w:w="931" w:type="dxa"/>
            <w:vAlign w:val="center"/>
          </w:tcPr>
          <w:p w14:paraId="4B58D1CD" w14:textId="77777777" w:rsidR="002B4207" w:rsidRPr="001B3BA5" w:rsidRDefault="002B4207" w:rsidP="002B4207">
            <w:pPr>
              <w:pStyle w:val="Table"/>
              <w:tabs>
                <w:tab w:val="decimal" w:pos="426"/>
              </w:tabs>
              <w:jc w:val="center"/>
              <w:rPr>
                <w:color w:val="auto"/>
                <w:lang w:val="en-GB"/>
              </w:rPr>
            </w:pPr>
            <w:r w:rsidRPr="001B3BA5">
              <w:rPr>
                <w:color w:val="auto"/>
                <w:lang w:val="en-GB"/>
              </w:rPr>
              <w:t>.559***</w:t>
            </w:r>
          </w:p>
        </w:tc>
        <w:tc>
          <w:tcPr>
            <w:tcW w:w="932" w:type="dxa"/>
            <w:vAlign w:val="center"/>
          </w:tcPr>
          <w:p w14:paraId="29757DD1" w14:textId="77777777" w:rsidR="002B4207" w:rsidRPr="001B3BA5" w:rsidRDefault="002B4207" w:rsidP="002B4207">
            <w:pPr>
              <w:pStyle w:val="Table"/>
              <w:tabs>
                <w:tab w:val="decimal" w:pos="427"/>
              </w:tabs>
              <w:jc w:val="center"/>
              <w:rPr>
                <w:color w:val="auto"/>
                <w:lang w:val="en-GB"/>
              </w:rPr>
            </w:pPr>
            <w:r w:rsidRPr="001B3BA5">
              <w:rPr>
                <w:color w:val="auto"/>
                <w:lang w:val="en-GB"/>
              </w:rPr>
              <w:t>.486***</w:t>
            </w:r>
          </w:p>
        </w:tc>
      </w:tr>
      <w:tr w:rsidR="002B4207" w:rsidRPr="001B3BA5" w14:paraId="0114DF3F" w14:textId="77777777" w:rsidTr="002B4207">
        <w:trPr>
          <w:trHeight w:val="300"/>
        </w:trPr>
        <w:tc>
          <w:tcPr>
            <w:tcW w:w="3290" w:type="dxa"/>
            <w:shd w:val="clear" w:color="auto" w:fill="auto"/>
            <w:noWrap/>
            <w:vAlign w:val="center"/>
          </w:tcPr>
          <w:p w14:paraId="11434CE0" w14:textId="77777777" w:rsidR="002B4207" w:rsidRPr="001B3BA5" w:rsidRDefault="002B4207" w:rsidP="002B4207">
            <w:pPr>
              <w:pStyle w:val="Table"/>
              <w:jc w:val="left"/>
              <w:rPr>
                <w:color w:val="auto"/>
                <w:lang w:val="en-GB"/>
              </w:rPr>
            </w:pPr>
            <w:r w:rsidRPr="001B3BA5">
              <w:rPr>
                <w:color w:val="auto"/>
                <w:lang w:val="en-GB"/>
              </w:rPr>
              <w:t>2. Exclusive determination right</w:t>
            </w:r>
          </w:p>
        </w:tc>
        <w:tc>
          <w:tcPr>
            <w:tcW w:w="725" w:type="dxa"/>
            <w:shd w:val="clear" w:color="auto" w:fill="auto"/>
            <w:noWrap/>
            <w:vAlign w:val="center"/>
          </w:tcPr>
          <w:p w14:paraId="5DE8F41B"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4CE99BA1" w14:textId="77777777" w:rsidR="002B4207" w:rsidRPr="001B3BA5" w:rsidRDefault="002B4207" w:rsidP="002B4207">
            <w:pPr>
              <w:pStyle w:val="Table"/>
              <w:tabs>
                <w:tab w:val="decimal" w:pos="163"/>
              </w:tabs>
              <w:jc w:val="center"/>
              <w:rPr>
                <w:color w:val="auto"/>
                <w:lang w:val="en-GB"/>
              </w:rPr>
            </w:pPr>
            <w:r w:rsidRPr="001B3BA5">
              <w:rPr>
                <w:color w:val="auto"/>
                <w:lang w:val="en-GB"/>
              </w:rPr>
              <w:t>1-7</w:t>
            </w:r>
          </w:p>
        </w:tc>
        <w:tc>
          <w:tcPr>
            <w:tcW w:w="1007" w:type="dxa"/>
            <w:shd w:val="clear" w:color="auto" w:fill="auto"/>
            <w:noWrap/>
            <w:vAlign w:val="center"/>
          </w:tcPr>
          <w:p w14:paraId="390457F0" w14:textId="77777777" w:rsidR="002B4207" w:rsidRPr="001B3BA5" w:rsidRDefault="002B4207" w:rsidP="002B4207">
            <w:pPr>
              <w:pStyle w:val="Table"/>
              <w:tabs>
                <w:tab w:val="decimal" w:pos="632"/>
              </w:tabs>
              <w:jc w:val="center"/>
              <w:rPr>
                <w:color w:val="auto"/>
                <w:lang w:val="en-GB"/>
              </w:rPr>
            </w:pPr>
            <w:r w:rsidRPr="001B3BA5">
              <w:rPr>
                <w:color w:val="auto"/>
                <w:lang w:val="en-GB"/>
              </w:rPr>
              <w:t>5.16</w:t>
            </w:r>
          </w:p>
        </w:tc>
        <w:tc>
          <w:tcPr>
            <w:tcW w:w="692" w:type="dxa"/>
            <w:shd w:val="clear" w:color="auto" w:fill="auto"/>
            <w:noWrap/>
            <w:vAlign w:val="center"/>
          </w:tcPr>
          <w:p w14:paraId="76AE73F7" w14:textId="77777777" w:rsidR="002B4207" w:rsidRPr="001B3BA5" w:rsidRDefault="002B4207" w:rsidP="002B4207">
            <w:pPr>
              <w:pStyle w:val="Table"/>
              <w:tabs>
                <w:tab w:val="decimal" w:pos="475"/>
              </w:tabs>
              <w:jc w:val="center"/>
              <w:rPr>
                <w:color w:val="auto"/>
                <w:lang w:val="en-GB"/>
              </w:rPr>
            </w:pPr>
            <w:r w:rsidRPr="001B3BA5">
              <w:rPr>
                <w:color w:val="auto"/>
                <w:lang w:val="en-GB"/>
              </w:rPr>
              <w:t>1.56</w:t>
            </w:r>
          </w:p>
        </w:tc>
        <w:tc>
          <w:tcPr>
            <w:tcW w:w="638" w:type="dxa"/>
            <w:vAlign w:val="center"/>
          </w:tcPr>
          <w:p w14:paraId="1DA3CC82" w14:textId="77777777" w:rsidR="002B4207" w:rsidRPr="001B3BA5" w:rsidRDefault="002B4207" w:rsidP="002B4207">
            <w:pPr>
              <w:pStyle w:val="Table"/>
              <w:jc w:val="center"/>
              <w:rPr>
                <w:color w:val="auto"/>
                <w:lang w:val="en-GB"/>
              </w:rPr>
            </w:pPr>
            <w:r w:rsidRPr="001B3BA5">
              <w:rPr>
                <w:color w:val="auto"/>
                <w:lang w:val="en-GB"/>
              </w:rPr>
              <w:t>.963</w:t>
            </w:r>
          </w:p>
        </w:tc>
        <w:tc>
          <w:tcPr>
            <w:tcW w:w="992" w:type="dxa"/>
            <w:vAlign w:val="center"/>
          </w:tcPr>
          <w:p w14:paraId="2FE961C8" w14:textId="01A5A500" w:rsidR="002B4207" w:rsidRPr="001B3BA5" w:rsidRDefault="002B4207" w:rsidP="009D45ED">
            <w:pPr>
              <w:pStyle w:val="Table"/>
              <w:tabs>
                <w:tab w:val="decimal" w:pos="0"/>
              </w:tabs>
              <w:jc w:val="left"/>
              <w:rPr>
                <w:color w:val="auto"/>
                <w:lang w:val="en-GB"/>
              </w:rPr>
            </w:pPr>
            <w:r w:rsidRPr="001B3BA5">
              <w:rPr>
                <w:color w:val="auto"/>
                <w:lang w:val="en-GB"/>
              </w:rPr>
              <w:t>1</w:t>
            </w:r>
            <w:r w:rsidR="00943C26" w:rsidRPr="001B3BA5">
              <w:rPr>
                <w:color w:val="auto"/>
                <w:lang w:val="en-GB"/>
              </w:rPr>
              <w:t>6</w:t>
            </w:r>
            <w:r w:rsidRPr="001B3BA5">
              <w:rPr>
                <w:color w:val="auto"/>
                <w:lang w:val="en-GB"/>
              </w:rPr>
              <w:t>.</w:t>
            </w:r>
            <w:r w:rsidR="00943C26" w:rsidRPr="001B3BA5">
              <w:rPr>
                <w:color w:val="auto"/>
                <w:lang w:val="en-GB"/>
              </w:rPr>
              <w:t>57</w:t>
            </w:r>
            <w:r w:rsidRPr="001B3BA5">
              <w:rPr>
                <w:color w:val="auto"/>
                <w:lang w:val="en-GB"/>
              </w:rPr>
              <w:t>***</w:t>
            </w:r>
          </w:p>
        </w:tc>
        <w:tc>
          <w:tcPr>
            <w:tcW w:w="931" w:type="dxa"/>
            <w:vAlign w:val="center"/>
          </w:tcPr>
          <w:p w14:paraId="2759053B" w14:textId="77777777" w:rsidR="002B4207" w:rsidRPr="001B3BA5" w:rsidRDefault="002B4207" w:rsidP="002B4207">
            <w:pPr>
              <w:pStyle w:val="Table"/>
              <w:tabs>
                <w:tab w:val="decimal" w:pos="424"/>
              </w:tabs>
              <w:jc w:val="center"/>
              <w:rPr>
                <w:color w:val="auto"/>
                <w:lang w:val="en-GB"/>
              </w:rPr>
            </w:pPr>
            <w:r w:rsidRPr="001B3BA5">
              <w:rPr>
                <w:color w:val="auto"/>
                <w:lang w:val="en-GB"/>
              </w:rPr>
              <w:t>1</w:t>
            </w:r>
          </w:p>
        </w:tc>
        <w:tc>
          <w:tcPr>
            <w:tcW w:w="931" w:type="dxa"/>
            <w:vAlign w:val="center"/>
          </w:tcPr>
          <w:p w14:paraId="1D2A7E87" w14:textId="77777777" w:rsidR="002B4207" w:rsidRPr="001B3BA5" w:rsidRDefault="002B4207" w:rsidP="002B4207">
            <w:pPr>
              <w:pStyle w:val="Table"/>
              <w:tabs>
                <w:tab w:val="decimal" w:pos="434"/>
              </w:tabs>
              <w:jc w:val="center"/>
              <w:rPr>
                <w:color w:val="auto"/>
                <w:lang w:val="en-GB"/>
              </w:rPr>
            </w:pPr>
            <w:r w:rsidRPr="001B3BA5">
              <w:rPr>
                <w:sz w:val="16"/>
                <w:szCs w:val="16"/>
                <w:lang w:val="en-GB"/>
              </w:rPr>
              <w:t>–</w:t>
            </w:r>
            <w:r w:rsidRPr="001B3BA5">
              <w:rPr>
                <w:color w:val="auto"/>
                <w:lang w:val="en-GB"/>
              </w:rPr>
              <w:t>.312***</w:t>
            </w:r>
          </w:p>
        </w:tc>
        <w:tc>
          <w:tcPr>
            <w:tcW w:w="931" w:type="dxa"/>
            <w:vAlign w:val="center"/>
          </w:tcPr>
          <w:p w14:paraId="0244CF92" w14:textId="77777777" w:rsidR="002B4207" w:rsidRPr="001B3BA5" w:rsidRDefault="002B4207" w:rsidP="002B4207">
            <w:pPr>
              <w:pStyle w:val="Table"/>
              <w:tabs>
                <w:tab w:val="decimal" w:pos="425"/>
              </w:tabs>
              <w:jc w:val="center"/>
              <w:rPr>
                <w:color w:val="auto"/>
                <w:lang w:val="en-GB"/>
              </w:rPr>
            </w:pPr>
            <w:r w:rsidRPr="001B3BA5">
              <w:rPr>
                <w:sz w:val="16"/>
                <w:szCs w:val="16"/>
                <w:lang w:val="en-GB"/>
              </w:rPr>
              <w:t>–</w:t>
            </w:r>
            <w:r w:rsidRPr="001B3BA5">
              <w:rPr>
                <w:color w:val="auto"/>
                <w:lang w:val="en-GB"/>
              </w:rPr>
              <w:t>.317***</w:t>
            </w:r>
          </w:p>
        </w:tc>
        <w:tc>
          <w:tcPr>
            <w:tcW w:w="932" w:type="dxa"/>
            <w:vAlign w:val="center"/>
          </w:tcPr>
          <w:p w14:paraId="24DBD54E" w14:textId="77777777" w:rsidR="002B4207" w:rsidRPr="001B3BA5" w:rsidRDefault="002B4207" w:rsidP="002B4207">
            <w:pPr>
              <w:pStyle w:val="Table"/>
              <w:tabs>
                <w:tab w:val="decimal" w:pos="425"/>
              </w:tabs>
              <w:jc w:val="center"/>
              <w:rPr>
                <w:color w:val="auto"/>
                <w:lang w:val="en-GB"/>
              </w:rPr>
            </w:pPr>
            <w:r w:rsidRPr="001B3BA5">
              <w:rPr>
                <w:color w:val="auto"/>
                <w:lang w:val="en-GB"/>
              </w:rPr>
              <w:t>.341***</w:t>
            </w:r>
          </w:p>
        </w:tc>
        <w:tc>
          <w:tcPr>
            <w:tcW w:w="931" w:type="dxa"/>
            <w:vAlign w:val="center"/>
          </w:tcPr>
          <w:p w14:paraId="2092CCD5" w14:textId="77777777" w:rsidR="002B4207" w:rsidRPr="001B3BA5" w:rsidRDefault="002B4207" w:rsidP="002B4207">
            <w:pPr>
              <w:pStyle w:val="Table"/>
              <w:tabs>
                <w:tab w:val="decimal" w:pos="425"/>
              </w:tabs>
              <w:jc w:val="center"/>
              <w:rPr>
                <w:color w:val="auto"/>
                <w:lang w:val="en-GB"/>
              </w:rPr>
            </w:pPr>
            <w:r w:rsidRPr="001B3BA5">
              <w:rPr>
                <w:color w:val="auto"/>
                <w:lang w:val="en-GB"/>
              </w:rPr>
              <w:t>.213***</w:t>
            </w:r>
          </w:p>
        </w:tc>
        <w:tc>
          <w:tcPr>
            <w:tcW w:w="931" w:type="dxa"/>
            <w:vAlign w:val="center"/>
          </w:tcPr>
          <w:p w14:paraId="3AC8DA66" w14:textId="77777777" w:rsidR="002B4207" w:rsidRPr="001B3BA5" w:rsidRDefault="002B4207" w:rsidP="002B4207">
            <w:pPr>
              <w:pStyle w:val="Table"/>
              <w:tabs>
                <w:tab w:val="decimal" w:pos="426"/>
              </w:tabs>
              <w:jc w:val="center"/>
              <w:rPr>
                <w:color w:val="auto"/>
                <w:lang w:val="en-GB"/>
              </w:rPr>
            </w:pPr>
            <w:r w:rsidRPr="001B3BA5">
              <w:rPr>
                <w:color w:val="auto"/>
                <w:lang w:val="en-GB"/>
              </w:rPr>
              <w:t>.516***</w:t>
            </w:r>
          </w:p>
        </w:tc>
        <w:tc>
          <w:tcPr>
            <w:tcW w:w="931" w:type="dxa"/>
            <w:vAlign w:val="center"/>
          </w:tcPr>
          <w:p w14:paraId="466F5EC9" w14:textId="77777777" w:rsidR="002B4207" w:rsidRPr="001B3BA5" w:rsidRDefault="002B4207" w:rsidP="002B4207">
            <w:pPr>
              <w:pStyle w:val="Table"/>
              <w:tabs>
                <w:tab w:val="decimal" w:pos="426"/>
              </w:tabs>
              <w:jc w:val="center"/>
              <w:rPr>
                <w:color w:val="auto"/>
                <w:lang w:val="en-GB"/>
              </w:rPr>
            </w:pPr>
            <w:r w:rsidRPr="001B3BA5">
              <w:rPr>
                <w:color w:val="auto"/>
                <w:lang w:val="en-GB"/>
              </w:rPr>
              <w:t>.487***</w:t>
            </w:r>
          </w:p>
        </w:tc>
        <w:tc>
          <w:tcPr>
            <w:tcW w:w="932" w:type="dxa"/>
            <w:vAlign w:val="center"/>
          </w:tcPr>
          <w:p w14:paraId="399415CB" w14:textId="77777777" w:rsidR="002B4207" w:rsidRPr="001B3BA5" w:rsidRDefault="002B4207" w:rsidP="002B4207">
            <w:pPr>
              <w:pStyle w:val="Table"/>
              <w:tabs>
                <w:tab w:val="decimal" w:pos="427"/>
              </w:tabs>
              <w:jc w:val="center"/>
              <w:rPr>
                <w:color w:val="auto"/>
                <w:lang w:val="en-GB"/>
              </w:rPr>
            </w:pPr>
            <w:r w:rsidRPr="001B3BA5">
              <w:rPr>
                <w:color w:val="auto"/>
                <w:lang w:val="en-GB"/>
              </w:rPr>
              <w:t>.550***</w:t>
            </w:r>
          </w:p>
        </w:tc>
      </w:tr>
      <w:tr w:rsidR="002B4207" w:rsidRPr="001B3BA5" w14:paraId="52097D99" w14:textId="77777777" w:rsidTr="002B4207">
        <w:trPr>
          <w:trHeight w:val="300"/>
        </w:trPr>
        <w:tc>
          <w:tcPr>
            <w:tcW w:w="3290" w:type="dxa"/>
            <w:shd w:val="clear" w:color="auto" w:fill="auto"/>
            <w:noWrap/>
            <w:vAlign w:val="center"/>
          </w:tcPr>
          <w:p w14:paraId="18C526D7" w14:textId="77777777" w:rsidR="002B4207" w:rsidRPr="001B3BA5" w:rsidRDefault="002B4207" w:rsidP="002B4207">
            <w:pPr>
              <w:pStyle w:val="Table"/>
              <w:jc w:val="left"/>
              <w:rPr>
                <w:color w:val="auto"/>
                <w:lang w:val="en-GB"/>
              </w:rPr>
            </w:pPr>
            <w:r w:rsidRPr="001B3BA5">
              <w:rPr>
                <w:color w:val="auto"/>
                <w:lang w:val="en-GB"/>
              </w:rPr>
              <w:t>3. Immigrant minority attitudes</w:t>
            </w:r>
          </w:p>
        </w:tc>
        <w:tc>
          <w:tcPr>
            <w:tcW w:w="725" w:type="dxa"/>
            <w:shd w:val="clear" w:color="auto" w:fill="auto"/>
            <w:noWrap/>
            <w:vAlign w:val="center"/>
          </w:tcPr>
          <w:p w14:paraId="5E6FCD5D"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0226442A" w14:textId="77777777" w:rsidR="002B4207" w:rsidRPr="001B3BA5" w:rsidRDefault="002B4207" w:rsidP="002B4207">
            <w:pPr>
              <w:pStyle w:val="Table"/>
              <w:tabs>
                <w:tab w:val="decimal" w:pos="163"/>
              </w:tabs>
              <w:jc w:val="center"/>
              <w:rPr>
                <w:color w:val="auto"/>
                <w:lang w:val="en-GB"/>
              </w:rPr>
            </w:pPr>
            <w:r w:rsidRPr="001B3BA5">
              <w:rPr>
                <w:color w:val="auto"/>
                <w:lang w:val="en-GB"/>
              </w:rPr>
              <w:t>1-11</w:t>
            </w:r>
          </w:p>
        </w:tc>
        <w:tc>
          <w:tcPr>
            <w:tcW w:w="1007" w:type="dxa"/>
            <w:shd w:val="clear" w:color="auto" w:fill="auto"/>
            <w:noWrap/>
            <w:vAlign w:val="center"/>
          </w:tcPr>
          <w:p w14:paraId="1111B31D" w14:textId="77777777" w:rsidR="002B4207" w:rsidRPr="001B3BA5" w:rsidRDefault="002B4207" w:rsidP="002B4207">
            <w:pPr>
              <w:pStyle w:val="Table"/>
              <w:tabs>
                <w:tab w:val="decimal" w:pos="632"/>
              </w:tabs>
              <w:jc w:val="center"/>
              <w:rPr>
                <w:color w:val="auto"/>
                <w:lang w:val="en-GB"/>
              </w:rPr>
            </w:pPr>
            <w:r w:rsidRPr="001B3BA5">
              <w:rPr>
                <w:color w:val="auto"/>
                <w:lang w:val="en-GB"/>
              </w:rPr>
              <w:t>5.34</w:t>
            </w:r>
          </w:p>
        </w:tc>
        <w:tc>
          <w:tcPr>
            <w:tcW w:w="692" w:type="dxa"/>
            <w:shd w:val="clear" w:color="auto" w:fill="auto"/>
            <w:noWrap/>
            <w:vAlign w:val="center"/>
          </w:tcPr>
          <w:p w14:paraId="6F110752" w14:textId="77777777" w:rsidR="002B4207" w:rsidRPr="001B3BA5" w:rsidRDefault="002B4207" w:rsidP="002B4207">
            <w:pPr>
              <w:pStyle w:val="Table"/>
              <w:tabs>
                <w:tab w:val="decimal" w:pos="475"/>
              </w:tabs>
              <w:jc w:val="center"/>
              <w:rPr>
                <w:color w:val="auto"/>
                <w:lang w:val="en-GB"/>
              </w:rPr>
            </w:pPr>
            <w:r w:rsidRPr="001B3BA5">
              <w:rPr>
                <w:color w:val="auto"/>
                <w:lang w:val="en-GB"/>
              </w:rPr>
              <w:t>2.13</w:t>
            </w:r>
          </w:p>
        </w:tc>
        <w:tc>
          <w:tcPr>
            <w:tcW w:w="638" w:type="dxa"/>
            <w:vAlign w:val="center"/>
          </w:tcPr>
          <w:p w14:paraId="7B52D6F0" w14:textId="77777777" w:rsidR="002B4207" w:rsidRPr="001B3BA5" w:rsidRDefault="002B4207" w:rsidP="002B4207">
            <w:pPr>
              <w:pStyle w:val="Table"/>
              <w:jc w:val="center"/>
              <w:rPr>
                <w:color w:val="auto"/>
                <w:lang w:val="en-GB"/>
              </w:rPr>
            </w:pPr>
            <w:r w:rsidRPr="001B3BA5">
              <w:rPr>
                <w:color w:val="auto"/>
                <w:lang w:val="en-GB"/>
              </w:rPr>
              <w:t>.971</w:t>
            </w:r>
          </w:p>
        </w:tc>
        <w:tc>
          <w:tcPr>
            <w:tcW w:w="992" w:type="dxa"/>
            <w:vAlign w:val="center"/>
          </w:tcPr>
          <w:p w14:paraId="340CA2A9" w14:textId="0BA38B8F" w:rsidR="002B4207" w:rsidRPr="001B3BA5" w:rsidRDefault="00943C26" w:rsidP="009D45ED">
            <w:pPr>
              <w:pStyle w:val="Table"/>
              <w:tabs>
                <w:tab w:val="decimal" w:pos="0"/>
              </w:tabs>
              <w:jc w:val="left"/>
              <w:rPr>
                <w:color w:val="auto"/>
                <w:lang w:val="en-GB"/>
              </w:rPr>
            </w:pPr>
            <w:r w:rsidRPr="001B3BA5">
              <w:rPr>
                <w:color w:val="auto"/>
                <w:lang w:val="en-GB"/>
              </w:rPr>
              <w:t>6</w:t>
            </w:r>
            <w:r w:rsidR="002B4207" w:rsidRPr="001B3BA5">
              <w:rPr>
                <w:color w:val="auto"/>
                <w:lang w:val="en-GB"/>
              </w:rPr>
              <w:t>.</w:t>
            </w:r>
            <w:r w:rsidRPr="001B3BA5">
              <w:rPr>
                <w:color w:val="auto"/>
                <w:lang w:val="en-GB"/>
              </w:rPr>
              <w:t>93</w:t>
            </w:r>
            <w:r w:rsidR="002B4207" w:rsidRPr="001B3BA5">
              <w:rPr>
                <w:color w:val="auto"/>
                <w:lang w:val="en-GB"/>
              </w:rPr>
              <w:t>***</w:t>
            </w:r>
          </w:p>
        </w:tc>
        <w:tc>
          <w:tcPr>
            <w:tcW w:w="931" w:type="dxa"/>
            <w:vAlign w:val="center"/>
          </w:tcPr>
          <w:p w14:paraId="63C8EF68" w14:textId="77777777" w:rsidR="002B4207" w:rsidRPr="001B3BA5" w:rsidRDefault="002B4207" w:rsidP="002B4207">
            <w:pPr>
              <w:pStyle w:val="Table"/>
              <w:tabs>
                <w:tab w:val="decimal" w:pos="424"/>
              </w:tabs>
              <w:jc w:val="center"/>
              <w:rPr>
                <w:color w:val="auto"/>
                <w:lang w:val="en-GB"/>
              </w:rPr>
            </w:pPr>
          </w:p>
        </w:tc>
        <w:tc>
          <w:tcPr>
            <w:tcW w:w="931" w:type="dxa"/>
            <w:shd w:val="clear" w:color="auto" w:fill="auto"/>
            <w:vAlign w:val="center"/>
          </w:tcPr>
          <w:p w14:paraId="2E954399" w14:textId="77777777" w:rsidR="002B4207" w:rsidRPr="001B3BA5" w:rsidRDefault="002B4207" w:rsidP="002B4207">
            <w:pPr>
              <w:pStyle w:val="Table"/>
              <w:jc w:val="center"/>
              <w:rPr>
                <w:color w:val="auto"/>
                <w:lang w:val="en-GB"/>
              </w:rPr>
            </w:pPr>
            <w:r w:rsidRPr="001B3BA5">
              <w:rPr>
                <w:color w:val="auto"/>
                <w:lang w:val="en-GB"/>
              </w:rPr>
              <w:t>1</w:t>
            </w:r>
          </w:p>
        </w:tc>
        <w:tc>
          <w:tcPr>
            <w:tcW w:w="931" w:type="dxa"/>
            <w:vAlign w:val="center"/>
          </w:tcPr>
          <w:p w14:paraId="2F4EFDC1" w14:textId="77777777" w:rsidR="002B4207" w:rsidRPr="001B3BA5" w:rsidRDefault="002B4207" w:rsidP="002B4207">
            <w:pPr>
              <w:pStyle w:val="Table"/>
              <w:tabs>
                <w:tab w:val="decimal" w:pos="425"/>
              </w:tabs>
              <w:jc w:val="center"/>
              <w:rPr>
                <w:color w:val="auto"/>
                <w:lang w:val="en-GB"/>
              </w:rPr>
            </w:pPr>
            <w:r w:rsidRPr="001B3BA5">
              <w:rPr>
                <w:color w:val="auto"/>
                <w:lang w:val="en-GB"/>
              </w:rPr>
              <w:t>.307***</w:t>
            </w:r>
          </w:p>
        </w:tc>
        <w:tc>
          <w:tcPr>
            <w:tcW w:w="932" w:type="dxa"/>
            <w:vAlign w:val="center"/>
          </w:tcPr>
          <w:p w14:paraId="04699F4C" w14:textId="77777777" w:rsidR="002B4207" w:rsidRPr="001B3BA5" w:rsidRDefault="002B4207" w:rsidP="002B4207">
            <w:pPr>
              <w:pStyle w:val="Table"/>
              <w:tabs>
                <w:tab w:val="decimal" w:pos="425"/>
              </w:tabs>
              <w:jc w:val="center"/>
              <w:rPr>
                <w:color w:val="auto"/>
                <w:lang w:val="en-GB"/>
              </w:rPr>
            </w:pPr>
            <w:r w:rsidRPr="001B3BA5">
              <w:rPr>
                <w:sz w:val="16"/>
                <w:szCs w:val="16"/>
                <w:lang w:val="en-GB"/>
              </w:rPr>
              <w:t>–</w:t>
            </w:r>
            <w:r w:rsidRPr="001B3BA5">
              <w:rPr>
                <w:color w:val="auto"/>
                <w:lang w:val="en-GB"/>
              </w:rPr>
              <w:t>.340***</w:t>
            </w:r>
          </w:p>
        </w:tc>
        <w:tc>
          <w:tcPr>
            <w:tcW w:w="931" w:type="dxa"/>
            <w:shd w:val="clear" w:color="auto" w:fill="auto"/>
            <w:vAlign w:val="center"/>
          </w:tcPr>
          <w:p w14:paraId="6310D357" w14:textId="77777777" w:rsidR="002B4207" w:rsidRPr="001B3BA5" w:rsidRDefault="002B4207" w:rsidP="002B4207">
            <w:pPr>
              <w:pStyle w:val="Table"/>
              <w:tabs>
                <w:tab w:val="decimal" w:pos="425"/>
              </w:tabs>
              <w:jc w:val="center"/>
              <w:rPr>
                <w:color w:val="auto"/>
                <w:lang w:val="en-GB"/>
              </w:rPr>
            </w:pPr>
            <w:r w:rsidRPr="001B3BA5">
              <w:rPr>
                <w:sz w:val="16"/>
                <w:szCs w:val="16"/>
                <w:lang w:val="en-GB"/>
              </w:rPr>
              <w:t>–</w:t>
            </w:r>
            <w:r w:rsidRPr="001B3BA5">
              <w:rPr>
                <w:color w:val="auto"/>
                <w:lang w:val="en-GB"/>
              </w:rPr>
              <w:t>.158**</w:t>
            </w:r>
          </w:p>
        </w:tc>
        <w:tc>
          <w:tcPr>
            <w:tcW w:w="931" w:type="dxa"/>
            <w:shd w:val="clear" w:color="auto" w:fill="auto"/>
            <w:vAlign w:val="center"/>
          </w:tcPr>
          <w:p w14:paraId="17889B4E" w14:textId="77777777" w:rsidR="002B4207" w:rsidRPr="001B3BA5" w:rsidRDefault="002B4207" w:rsidP="002B4207">
            <w:pPr>
              <w:pStyle w:val="Table"/>
              <w:tabs>
                <w:tab w:val="decimal" w:pos="426"/>
              </w:tabs>
              <w:jc w:val="center"/>
              <w:rPr>
                <w:color w:val="auto"/>
                <w:lang w:val="en-GB"/>
              </w:rPr>
            </w:pPr>
            <w:r w:rsidRPr="001B3BA5">
              <w:rPr>
                <w:sz w:val="16"/>
                <w:szCs w:val="16"/>
                <w:lang w:val="en-GB"/>
              </w:rPr>
              <w:t>–</w:t>
            </w:r>
            <w:r w:rsidRPr="001B3BA5">
              <w:rPr>
                <w:color w:val="auto"/>
                <w:lang w:val="en-GB"/>
              </w:rPr>
              <w:t>.118*</w:t>
            </w:r>
          </w:p>
        </w:tc>
        <w:tc>
          <w:tcPr>
            <w:tcW w:w="931" w:type="dxa"/>
            <w:shd w:val="clear" w:color="auto" w:fill="auto"/>
            <w:vAlign w:val="center"/>
          </w:tcPr>
          <w:p w14:paraId="6EBACBFC" w14:textId="77777777" w:rsidR="002B4207" w:rsidRPr="001B3BA5" w:rsidRDefault="002B4207" w:rsidP="002B4207">
            <w:pPr>
              <w:pStyle w:val="Table"/>
              <w:tabs>
                <w:tab w:val="decimal" w:pos="426"/>
              </w:tabs>
              <w:jc w:val="center"/>
              <w:rPr>
                <w:color w:val="auto"/>
                <w:lang w:val="en-GB"/>
              </w:rPr>
            </w:pPr>
            <w:r w:rsidRPr="001B3BA5">
              <w:rPr>
                <w:sz w:val="16"/>
                <w:szCs w:val="16"/>
                <w:lang w:val="en-GB"/>
              </w:rPr>
              <w:t>–</w:t>
            </w:r>
            <w:r w:rsidRPr="001B3BA5">
              <w:rPr>
                <w:color w:val="auto"/>
                <w:lang w:val="en-GB"/>
              </w:rPr>
              <w:t>.063</w:t>
            </w:r>
          </w:p>
        </w:tc>
        <w:tc>
          <w:tcPr>
            <w:tcW w:w="932" w:type="dxa"/>
            <w:vAlign w:val="center"/>
          </w:tcPr>
          <w:p w14:paraId="0F307BC9" w14:textId="77777777" w:rsidR="002B4207" w:rsidRPr="001B3BA5" w:rsidRDefault="002B4207" w:rsidP="002B4207">
            <w:pPr>
              <w:pStyle w:val="Table"/>
              <w:tabs>
                <w:tab w:val="decimal" w:pos="427"/>
              </w:tabs>
              <w:jc w:val="center"/>
              <w:rPr>
                <w:color w:val="auto"/>
                <w:lang w:val="en-GB"/>
              </w:rPr>
            </w:pPr>
            <w:r w:rsidRPr="001B3BA5">
              <w:rPr>
                <w:sz w:val="16"/>
                <w:szCs w:val="16"/>
                <w:lang w:val="en-GB"/>
              </w:rPr>
              <w:t>–</w:t>
            </w:r>
            <w:r w:rsidRPr="001B3BA5">
              <w:rPr>
                <w:color w:val="auto"/>
                <w:lang w:val="en-GB"/>
              </w:rPr>
              <w:t>.290***</w:t>
            </w:r>
          </w:p>
        </w:tc>
      </w:tr>
      <w:tr w:rsidR="002B4207" w:rsidRPr="001B3BA5" w14:paraId="09E79E65" w14:textId="77777777" w:rsidTr="002B4207">
        <w:trPr>
          <w:trHeight w:val="300"/>
        </w:trPr>
        <w:tc>
          <w:tcPr>
            <w:tcW w:w="3290" w:type="dxa"/>
            <w:shd w:val="clear" w:color="auto" w:fill="auto"/>
            <w:noWrap/>
            <w:vAlign w:val="center"/>
          </w:tcPr>
          <w:p w14:paraId="51243D88" w14:textId="77777777" w:rsidR="002B4207" w:rsidRPr="001B3BA5" w:rsidRDefault="002B4207" w:rsidP="002B4207">
            <w:pPr>
              <w:pStyle w:val="Table"/>
              <w:jc w:val="left"/>
              <w:rPr>
                <w:color w:val="auto"/>
                <w:lang w:val="en-GB"/>
              </w:rPr>
            </w:pPr>
            <w:r w:rsidRPr="001B3BA5">
              <w:rPr>
                <w:color w:val="auto"/>
                <w:lang w:val="en-GB"/>
              </w:rPr>
              <w:t>4. European integration attitudes</w:t>
            </w:r>
          </w:p>
        </w:tc>
        <w:tc>
          <w:tcPr>
            <w:tcW w:w="725" w:type="dxa"/>
            <w:shd w:val="clear" w:color="auto" w:fill="auto"/>
            <w:noWrap/>
            <w:vAlign w:val="center"/>
          </w:tcPr>
          <w:p w14:paraId="76597A45"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61B4B089" w14:textId="77777777" w:rsidR="002B4207" w:rsidRPr="001B3BA5" w:rsidRDefault="002B4207" w:rsidP="002B4207">
            <w:pPr>
              <w:pStyle w:val="Table"/>
              <w:tabs>
                <w:tab w:val="decimal" w:pos="163"/>
              </w:tabs>
              <w:jc w:val="center"/>
              <w:rPr>
                <w:color w:val="auto"/>
                <w:lang w:val="en-GB"/>
              </w:rPr>
            </w:pPr>
            <w:r w:rsidRPr="001B3BA5">
              <w:rPr>
                <w:color w:val="auto"/>
                <w:lang w:val="en-GB"/>
              </w:rPr>
              <w:t>1-7</w:t>
            </w:r>
          </w:p>
        </w:tc>
        <w:tc>
          <w:tcPr>
            <w:tcW w:w="1007" w:type="dxa"/>
            <w:shd w:val="clear" w:color="auto" w:fill="auto"/>
            <w:noWrap/>
            <w:vAlign w:val="center"/>
          </w:tcPr>
          <w:p w14:paraId="6BE56131" w14:textId="77777777" w:rsidR="002B4207" w:rsidRPr="001B3BA5" w:rsidRDefault="002B4207" w:rsidP="002B4207">
            <w:pPr>
              <w:pStyle w:val="Table"/>
              <w:tabs>
                <w:tab w:val="decimal" w:pos="632"/>
              </w:tabs>
              <w:jc w:val="center"/>
              <w:rPr>
                <w:color w:val="auto"/>
                <w:lang w:val="en-GB"/>
              </w:rPr>
            </w:pPr>
            <w:r w:rsidRPr="001B3BA5">
              <w:rPr>
                <w:color w:val="auto"/>
                <w:lang w:val="en-GB"/>
              </w:rPr>
              <w:t>2.80</w:t>
            </w:r>
          </w:p>
        </w:tc>
        <w:tc>
          <w:tcPr>
            <w:tcW w:w="692" w:type="dxa"/>
            <w:shd w:val="clear" w:color="auto" w:fill="auto"/>
            <w:noWrap/>
            <w:vAlign w:val="center"/>
          </w:tcPr>
          <w:p w14:paraId="59CE8471" w14:textId="77777777" w:rsidR="002B4207" w:rsidRPr="001B3BA5" w:rsidRDefault="002B4207" w:rsidP="002B4207">
            <w:pPr>
              <w:pStyle w:val="Table"/>
              <w:tabs>
                <w:tab w:val="decimal" w:pos="475"/>
              </w:tabs>
              <w:jc w:val="center"/>
              <w:rPr>
                <w:color w:val="auto"/>
                <w:lang w:val="en-GB"/>
              </w:rPr>
            </w:pPr>
            <w:r w:rsidRPr="001B3BA5">
              <w:rPr>
                <w:color w:val="auto"/>
                <w:lang w:val="en-GB"/>
              </w:rPr>
              <w:t>1.59</w:t>
            </w:r>
          </w:p>
        </w:tc>
        <w:tc>
          <w:tcPr>
            <w:tcW w:w="638" w:type="dxa"/>
            <w:vAlign w:val="center"/>
          </w:tcPr>
          <w:p w14:paraId="62BBD5C4" w14:textId="77777777" w:rsidR="002B4207" w:rsidRPr="001B3BA5" w:rsidRDefault="002B4207" w:rsidP="002B4207">
            <w:pPr>
              <w:pStyle w:val="Table"/>
              <w:jc w:val="center"/>
              <w:rPr>
                <w:color w:val="auto"/>
                <w:lang w:val="en-GB"/>
              </w:rPr>
            </w:pPr>
            <w:r w:rsidRPr="001B3BA5">
              <w:rPr>
                <w:color w:val="auto"/>
                <w:lang w:val="en-GB"/>
              </w:rPr>
              <w:t>-</w:t>
            </w:r>
          </w:p>
        </w:tc>
        <w:tc>
          <w:tcPr>
            <w:tcW w:w="992" w:type="dxa"/>
            <w:vAlign w:val="center"/>
          </w:tcPr>
          <w:p w14:paraId="5B049D90" w14:textId="52D89CEF" w:rsidR="002B4207" w:rsidRPr="001B3BA5" w:rsidRDefault="002B4207" w:rsidP="009D45ED">
            <w:pPr>
              <w:pStyle w:val="Table"/>
              <w:tabs>
                <w:tab w:val="decimal" w:pos="0"/>
              </w:tabs>
              <w:jc w:val="left"/>
              <w:rPr>
                <w:color w:val="auto"/>
                <w:lang w:val="en-GB"/>
              </w:rPr>
            </w:pPr>
            <w:r w:rsidRPr="001B3BA5">
              <w:rPr>
                <w:color w:val="auto"/>
                <w:lang w:val="en-GB"/>
              </w:rPr>
              <w:t>1</w:t>
            </w:r>
            <w:r w:rsidR="00943C26" w:rsidRPr="001B3BA5">
              <w:rPr>
                <w:color w:val="auto"/>
                <w:lang w:val="en-GB"/>
              </w:rPr>
              <w:t>6</w:t>
            </w:r>
            <w:r w:rsidRPr="001B3BA5">
              <w:rPr>
                <w:color w:val="auto"/>
                <w:lang w:val="en-GB"/>
              </w:rPr>
              <w:t>.</w:t>
            </w:r>
            <w:r w:rsidR="00943C26" w:rsidRPr="001B3BA5">
              <w:rPr>
                <w:color w:val="auto"/>
                <w:lang w:val="en-GB"/>
              </w:rPr>
              <w:t>81</w:t>
            </w:r>
            <w:r w:rsidRPr="001B3BA5">
              <w:rPr>
                <w:color w:val="auto"/>
                <w:lang w:val="en-GB"/>
              </w:rPr>
              <w:t>***</w:t>
            </w:r>
          </w:p>
        </w:tc>
        <w:tc>
          <w:tcPr>
            <w:tcW w:w="931" w:type="dxa"/>
            <w:vAlign w:val="center"/>
          </w:tcPr>
          <w:p w14:paraId="5B1D8397" w14:textId="77777777" w:rsidR="002B4207" w:rsidRPr="001B3BA5" w:rsidRDefault="002B4207" w:rsidP="002B4207">
            <w:pPr>
              <w:pStyle w:val="Table"/>
              <w:tabs>
                <w:tab w:val="decimal" w:pos="424"/>
              </w:tabs>
              <w:jc w:val="center"/>
              <w:rPr>
                <w:color w:val="auto"/>
                <w:lang w:val="en-GB"/>
              </w:rPr>
            </w:pPr>
          </w:p>
        </w:tc>
        <w:tc>
          <w:tcPr>
            <w:tcW w:w="931" w:type="dxa"/>
            <w:shd w:val="clear" w:color="auto" w:fill="auto"/>
            <w:vAlign w:val="center"/>
          </w:tcPr>
          <w:p w14:paraId="164E0F60" w14:textId="77777777" w:rsidR="002B4207" w:rsidRPr="001B3BA5" w:rsidRDefault="002B4207" w:rsidP="002B4207">
            <w:pPr>
              <w:pStyle w:val="Table"/>
              <w:jc w:val="center"/>
              <w:rPr>
                <w:color w:val="auto"/>
                <w:lang w:val="en-GB"/>
              </w:rPr>
            </w:pPr>
          </w:p>
        </w:tc>
        <w:tc>
          <w:tcPr>
            <w:tcW w:w="931" w:type="dxa"/>
            <w:vAlign w:val="center"/>
          </w:tcPr>
          <w:p w14:paraId="4BB08F58" w14:textId="77777777" w:rsidR="002B4207" w:rsidRPr="001B3BA5" w:rsidRDefault="002B4207" w:rsidP="002B4207">
            <w:pPr>
              <w:pStyle w:val="Table"/>
              <w:tabs>
                <w:tab w:val="decimal" w:pos="425"/>
              </w:tabs>
              <w:jc w:val="center"/>
              <w:rPr>
                <w:color w:val="auto"/>
                <w:lang w:val="en-GB"/>
              </w:rPr>
            </w:pPr>
            <w:r w:rsidRPr="001B3BA5">
              <w:rPr>
                <w:color w:val="auto"/>
                <w:lang w:val="en-GB"/>
              </w:rPr>
              <w:t>1</w:t>
            </w:r>
          </w:p>
        </w:tc>
        <w:tc>
          <w:tcPr>
            <w:tcW w:w="932" w:type="dxa"/>
            <w:vAlign w:val="center"/>
          </w:tcPr>
          <w:p w14:paraId="4F780905" w14:textId="77777777" w:rsidR="002B4207" w:rsidRPr="001B3BA5" w:rsidRDefault="002B4207" w:rsidP="002B4207">
            <w:pPr>
              <w:pStyle w:val="Table"/>
              <w:tabs>
                <w:tab w:val="decimal" w:pos="425"/>
              </w:tabs>
              <w:jc w:val="center"/>
              <w:rPr>
                <w:color w:val="auto"/>
                <w:lang w:val="en-GB"/>
              </w:rPr>
            </w:pPr>
            <w:r w:rsidRPr="001B3BA5">
              <w:rPr>
                <w:sz w:val="16"/>
                <w:szCs w:val="16"/>
                <w:lang w:val="en-GB"/>
              </w:rPr>
              <w:t>–</w:t>
            </w:r>
            <w:r w:rsidRPr="001B3BA5">
              <w:rPr>
                <w:color w:val="auto"/>
                <w:lang w:val="en-GB"/>
              </w:rPr>
              <w:t>.518***</w:t>
            </w:r>
          </w:p>
        </w:tc>
        <w:tc>
          <w:tcPr>
            <w:tcW w:w="931" w:type="dxa"/>
            <w:shd w:val="clear" w:color="auto" w:fill="auto"/>
            <w:vAlign w:val="center"/>
          </w:tcPr>
          <w:p w14:paraId="4AFEEDCA" w14:textId="77777777" w:rsidR="002B4207" w:rsidRPr="001B3BA5" w:rsidRDefault="002B4207" w:rsidP="002B4207">
            <w:pPr>
              <w:pStyle w:val="Table"/>
              <w:tabs>
                <w:tab w:val="decimal" w:pos="425"/>
              </w:tabs>
              <w:jc w:val="center"/>
              <w:rPr>
                <w:color w:val="auto"/>
                <w:lang w:val="en-GB"/>
              </w:rPr>
            </w:pPr>
            <w:r w:rsidRPr="001B3BA5">
              <w:rPr>
                <w:sz w:val="16"/>
                <w:szCs w:val="16"/>
                <w:lang w:val="en-GB"/>
              </w:rPr>
              <w:t>–</w:t>
            </w:r>
            <w:r w:rsidRPr="001B3BA5">
              <w:rPr>
                <w:color w:val="auto"/>
                <w:lang w:val="en-GB"/>
              </w:rPr>
              <w:t>.297***</w:t>
            </w:r>
          </w:p>
        </w:tc>
        <w:tc>
          <w:tcPr>
            <w:tcW w:w="931" w:type="dxa"/>
            <w:shd w:val="clear" w:color="auto" w:fill="auto"/>
            <w:vAlign w:val="center"/>
          </w:tcPr>
          <w:p w14:paraId="30F54A95" w14:textId="77777777" w:rsidR="002B4207" w:rsidRPr="001B3BA5" w:rsidRDefault="002B4207" w:rsidP="002B4207">
            <w:pPr>
              <w:pStyle w:val="Table"/>
              <w:tabs>
                <w:tab w:val="decimal" w:pos="426"/>
              </w:tabs>
              <w:jc w:val="center"/>
              <w:rPr>
                <w:color w:val="auto"/>
                <w:lang w:val="en-GB"/>
              </w:rPr>
            </w:pPr>
            <w:r w:rsidRPr="001B3BA5">
              <w:rPr>
                <w:sz w:val="16"/>
                <w:szCs w:val="16"/>
                <w:lang w:val="en-GB"/>
              </w:rPr>
              <w:t>–</w:t>
            </w:r>
            <w:r w:rsidRPr="001B3BA5">
              <w:rPr>
                <w:color w:val="auto"/>
                <w:lang w:val="en-GB"/>
              </w:rPr>
              <w:t>.203***</w:t>
            </w:r>
          </w:p>
        </w:tc>
        <w:tc>
          <w:tcPr>
            <w:tcW w:w="931" w:type="dxa"/>
            <w:shd w:val="clear" w:color="auto" w:fill="auto"/>
            <w:vAlign w:val="center"/>
          </w:tcPr>
          <w:p w14:paraId="4D3AF4B2" w14:textId="77777777" w:rsidR="002B4207" w:rsidRPr="001B3BA5" w:rsidRDefault="002B4207" w:rsidP="002B4207">
            <w:pPr>
              <w:pStyle w:val="Table"/>
              <w:tabs>
                <w:tab w:val="decimal" w:pos="426"/>
              </w:tabs>
              <w:jc w:val="center"/>
              <w:rPr>
                <w:color w:val="auto"/>
                <w:lang w:val="en-GB"/>
              </w:rPr>
            </w:pPr>
            <w:r w:rsidRPr="001B3BA5">
              <w:rPr>
                <w:sz w:val="16"/>
                <w:szCs w:val="16"/>
                <w:lang w:val="en-GB"/>
              </w:rPr>
              <w:t>–</w:t>
            </w:r>
            <w:r w:rsidRPr="001B3BA5">
              <w:rPr>
                <w:color w:val="auto"/>
                <w:lang w:val="en-GB"/>
              </w:rPr>
              <w:t>.151**</w:t>
            </w:r>
          </w:p>
        </w:tc>
        <w:tc>
          <w:tcPr>
            <w:tcW w:w="932" w:type="dxa"/>
            <w:vAlign w:val="center"/>
          </w:tcPr>
          <w:p w14:paraId="69CA1DD7" w14:textId="77777777" w:rsidR="002B4207" w:rsidRPr="001B3BA5" w:rsidRDefault="002B4207" w:rsidP="002B4207">
            <w:pPr>
              <w:pStyle w:val="Table"/>
              <w:tabs>
                <w:tab w:val="decimal" w:pos="427"/>
              </w:tabs>
              <w:jc w:val="center"/>
              <w:rPr>
                <w:color w:val="auto"/>
                <w:lang w:val="en-GB"/>
              </w:rPr>
            </w:pPr>
            <w:r w:rsidRPr="001B3BA5">
              <w:rPr>
                <w:sz w:val="16"/>
                <w:szCs w:val="16"/>
                <w:lang w:val="en-GB"/>
              </w:rPr>
              <w:t>–</w:t>
            </w:r>
            <w:r w:rsidRPr="001B3BA5">
              <w:rPr>
                <w:color w:val="auto"/>
                <w:lang w:val="en-GB"/>
              </w:rPr>
              <w:t>.361***</w:t>
            </w:r>
          </w:p>
        </w:tc>
      </w:tr>
      <w:tr w:rsidR="002B4207" w:rsidRPr="001B3BA5" w14:paraId="603E0CF7" w14:textId="77777777" w:rsidTr="002B4207">
        <w:trPr>
          <w:trHeight w:val="300"/>
        </w:trPr>
        <w:tc>
          <w:tcPr>
            <w:tcW w:w="3290" w:type="dxa"/>
            <w:shd w:val="clear" w:color="auto" w:fill="auto"/>
            <w:noWrap/>
            <w:vAlign w:val="center"/>
          </w:tcPr>
          <w:p w14:paraId="15B441A4" w14:textId="77777777" w:rsidR="002B4207" w:rsidRPr="001B3BA5" w:rsidRDefault="002B4207" w:rsidP="002B4207">
            <w:pPr>
              <w:pStyle w:val="Table"/>
              <w:jc w:val="left"/>
              <w:rPr>
                <w:color w:val="auto"/>
                <w:lang w:val="en-GB"/>
              </w:rPr>
            </w:pPr>
            <w:r w:rsidRPr="001B3BA5">
              <w:rPr>
                <w:color w:val="auto"/>
                <w:lang w:val="en-GB"/>
              </w:rPr>
              <w:t>5. Brexit vote</w:t>
            </w:r>
          </w:p>
        </w:tc>
        <w:tc>
          <w:tcPr>
            <w:tcW w:w="725" w:type="dxa"/>
            <w:shd w:val="clear" w:color="auto" w:fill="auto"/>
            <w:noWrap/>
            <w:vAlign w:val="center"/>
          </w:tcPr>
          <w:p w14:paraId="3F46E5DA" w14:textId="76F2CA19" w:rsidR="002B4207" w:rsidRPr="001B3BA5" w:rsidRDefault="002B4207" w:rsidP="002B4207">
            <w:pPr>
              <w:pStyle w:val="Table"/>
              <w:jc w:val="center"/>
              <w:rPr>
                <w:color w:val="auto"/>
                <w:lang w:val="en-GB"/>
              </w:rPr>
            </w:pPr>
            <w:r w:rsidRPr="001B3BA5">
              <w:rPr>
                <w:color w:val="auto"/>
                <w:lang w:val="en-GB"/>
              </w:rPr>
              <w:t>4</w:t>
            </w:r>
            <w:r w:rsidR="00FB76C5">
              <w:rPr>
                <w:color w:val="auto"/>
                <w:lang w:val="en-GB"/>
              </w:rPr>
              <w:t>35</w:t>
            </w:r>
          </w:p>
        </w:tc>
        <w:tc>
          <w:tcPr>
            <w:tcW w:w="664" w:type="dxa"/>
            <w:shd w:val="clear" w:color="auto" w:fill="auto"/>
            <w:noWrap/>
            <w:vAlign w:val="center"/>
          </w:tcPr>
          <w:p w14:paraId="1DECBBA8" w14:textId="77777777" w:rsidR="002B4207" w:rsidRPr="001B3BA5" w:rsidRDefault="002B4207" w:rsidP="002B4207">
            <w:pPr>
              <w:pStyle w:val="Table"/>
              <w:tabs>
                <w:tab w:val="decimal" w:pos="163"/>
              </w:tabs>
              <w:jc w:val="center"/>
              <w:rPr>
                <w:color w:val="auto"/>
                <w:lang w:val="en-GB"/>
              </w:rPr>
            </w:pPr>
            <w:r w:rsidRPr="001B3BA5">
              <w:rPr>
                <w:color w:val="auto"/>
                <w:lang w:val="en-GB"/>
              </w:rPr>
              <w:t>0/1</w:t>
            </w:r>
          </w:p>
        </w:tc>
        <w:tc>
          <w:tcPr>
            <w:tcW w:w="1007" w:type="dxa"/>
            <w:shd w:val="clear" w:color="auto" w:fill="auto"/>
            <w:noWrap/>
            <w:vAlign w:val="center"/>
          </w:tcPr>
          <w:p w14:paraId="1DE7DF3F" w14:textId="77777777" w:rsidR="002B4207" w:rsidRPr="001B3BA5" w:rsidRDefault="002B4207" w:rsidP="002B4207">
            <w:pPr>
              <w:pStyle w:val="Table"/>
              <w:tabs>
                <w:tab w:val="decimal" w:pos="632"/>
              </w:tabs>
              <w:jc w:val="center"/>
              <w:rPr>
                <w:color w:val="auto"/>
                <w:lang w:val="en-GB"/>
              </w:rPr>
            </w:pPr>
            <w:r w:rsidRPr="001B3BA5">
              <w:rPr>
                <w:color w:val="auto"/>
                <w:lang w:val="en-GB"/>
              </w:rPr>
              <w:t>.51</w:t>
            </w:r>
          </w:p>
        </w:tc>
        <w:tc>
          <w:tcPr>
            <w:tcW w:w="692" w:type="dxa"/>
            <w:shd w:val="clear" w:color="auto" w:fill="auto"/>
            <w:noWrap/>
            <w:vAlign w:val="center"/>
          </w:tcPr>
          <w:p w14:paraId="636C24BD" w14:textId="77777777" w:rsidR="002B4207" w:rsidRPr="001B3BA5" w:rsidRDefault="002B4207" w:rsidP="002B4207">
            <w:pPr>
              <w:pStyle w:val="Table"/>
              <w:tabs>
                <w:tab w:val="decimal" w:pos="475"/>
              </w:tabs>
              <w:jc w:val="center"/>
              <w:rPr>
                <w:color w:val="auto"/>
                <w:lang w:val="en-GB"/>
              </w:rPr>
            </w:pPr>
            <w:r w:rsidRPr="001B3BA5">
              <w:rPr>
                <w:color w:val="auto"/>
                <w:lang w:val="en-GB"/>
              </w:rPr>
              <w:t>-</w:t>
            </w:r>
          </w:p>
        </w:tc>
        <w:tc>
          <w:tcPr>
            <w:tcW w:w="638" w:type="dxa"/>
            <w:vAlign w:val="center"/>
          </w:tcPr>
          <w:p w14:paraId="46CA50FC" w14:textId="77777777" w:rsidR="002B4207" w:rsidRPr="001B3BA5" w:rsidRDefault="002B4207" w:rsidP="002B4207">
            <w:pPr>
              <w:pStyle w:val="Table"/>
              <w:jc w:val="center"/>
              <w:rPr>
                <w:color w:val="auto"/>
                <w:lang w:val="en-GB"/>
              </w:rPr>
            </w:pPr>
            <w:r w:rsidRPr="001B3BA5">
              <w:rPr>
                <w:color w:val="auto"/>
                <w:lang w:val="en-GB"/>
              </w:rPr>
              <w:t>-</w:t>
            </w:r>
          </w:p>
        </w:tc>
        <w:tc>
          <w:tcPr>
            <w:tcW w:w="992" w:type="dxa"/>
            <w:vAlign w:val="center"/>
          </w:tcPr>
          <w:p w14:paraId="5A91A3B8" w14:textId="77777777" w:rsidR="002B4207" w:rsidRPr="001B3BA5" w:rsidRDefault="002B4207" w:rsidP="009D45ED">
            <w:pPr>
              <w:pStyle w:val="Table"/>
              <w:tabs>
                <w:tab w:val="decimal" w:pos="0"/>
              </w:tabs>
              <w:jc w:val="left"/>
              <w:rPr>
                <w:color w:val="auto"/>
                <w:lang w:val="en-GB"/>
              </w:rPr>
            </w:pPr>
          </w:p>
        </w:tc>
        <w:tc>
          <w:tcPr>
            <w:tcW w:w="931" w:type="dxa"/>
            <w:vAlign w:val="center"/>
          </w:tcPr>
          <w:p w14:paraId="2042B152" w14:textId="77777777" w:rsidR="002B4207" w:rsidRPr="001B3BA5" w:rsidRDefault="002B4207" w:rsidP="002B4207">
            <w:pPr>
              <w:pStyle w:val="Table"/>
              <w:tabs>
                <w:tab w:val="decimal" w:pos="424"/>
              </w:tabs>
              <w:jc w:val="center"/>
              <w:rPr>
                <w:color w:val="auto"/>
                <w:lang w:val="en-GB"/>
              </w:rPr>
            </w:pPr>
          </w:p>
        </w:tc>
        <w:tc>
          <w:tcPr>
            <w:tcW w:w="931" w:type="dxa"/>
            <w:shd w:val="clear" w:color="auto" w:fill="auto"/>
            <w:vAlign w:val="center"/>
          </w:tcPr>
          <w:p w14:paraId="39996AB6" w14:textId="77777777" w:rsidR="002B4207" w:rsidRPr="001B3BA5" w:rsidRDefault="002B4207" w:rsidP="002B4207">
            <w:pPr>
              <w:pStyle w:val="Table"/>
              <w:jc w:val="center"/>
              <w:rPr>
                <w:color w:val="auto"/>
                <w:lang w:val="en-GB"/>
              </w:rPr>
            </w:pPr>
          </w:p>
        </w:tc>
        <w:tc>
          <w:tcPr>
            <w:tcW w:w="931" w:type="dxa"/>
            <w:vAlign w:val="center"/>
          </w:tcPr>
          <w:p w14:paraId="4D9F8C60" w14:textId="77777777" w:rsidR="002B4207" w:rsidRPr="001B3BA5" w:rsidRDefault="002B4207" w:rsidP="002B4207">
            <w:pPr>
              <w:pStyle w:val="Table"/>
              <w:tabs>
                <w:tab w:val="decimal" w:pos="425"/>
              </w:tabs>
              <w:jc w:val="center"/>
              <w:rPr>
                <w:color w:val="auto"/>
                <w:lang w:val="en-GB"/>
              </w:rPr>
            </w:pPr>
          </w:p>
        </w:tc>
        <w:tc>
          <w:tcPr>
            <w:tcW w:w="932" w:type="dxa"/>
            <w:vAlign w:val="center"/>
          </w:tcPr>
          <w:p w14:paraId="7CD92AEB" w14:textId="77777777" w:rsidR="002B4207" w:rsidRPr="001B3BA5" w:rsidRDefault="002B4207" w:rsidP="002B4207">
            <w:pPr>
              <w:pStyle w:val="Table"/>
              <w:tabs>
                <w:tab w:val="decimal" w:pos="425"/>
              </w:tabs>
              <w:jc w:val="center"/>
              <w:rPr>
                <w:color w:val="auto"/>
                <w:lang w:val="en-GB"/>
              </w:rPr>
            </w:pPr>
            <w:r w:rsidRPr="001B3BA5">
              <w:rPr>
                <w:color w:val="auto"/>
                <w:lang w:val="en-GB"/>
              </w:rPr>
              <w:t>1</w:t>
            </w:r>
          </w:p>
        </w:tc>
        <w:tc>
          <w:tcPr>
            <w:tcW w:w="931" w:type="dxa"/>
            <w:shd w:val="clear" w:color="auto" w:fill="auto"/>
            <w:vAlign w:val="center"/>
          </w:tcPr>
          <w:p w14:paraId="325076BA" w14:textId="77777777" w:rsidR="002B4207" w:rsidRPr="001B3BA5" w:rsidRDefault="002B4207" w:rsidP="002B4207">
            <w:pPr>
              <w:pStyle w:val="Table"/>
              <w:tabs>
                <w:tab w:val="decimal" w:pos="425"/>
              </w:tabs>
              <w:jc w:val="center"/>
              <w:rPr>
                <w:color w:val="auto"/>
                <w:lang w:val="en-GB"/>
              </w:rPr>
            </w:pPr>
            <w:r w:rsidRPr="001B3BA5">
              <w:rPr>
                <w:color w:val="auto"/>
                <w:lang w:val="en-GB"/>
              </w:rPr>
              <w:t>.296***</w:t>
            </w:r>
          </w:p>
        </w:tc>
        <w:tc>
          <w:tcPr>
            <w:tcW w:w="931" w:type="dxa"/>
            <w:shd w:val="clear" w:color="auto" w:fill="auto"/>
            <w:vAlign w:val="center"/>
          </w:tcPr>
          <w:p w14:paraId="53E79310" w14:textId="77777777" w:rsidR="002B4207" w:rsidRPr="001B3BA5" w:rsidRDefault="002B4207" w:rsidP="002B4207">
            <w:pPr>
              <w:pStyle w:val="Table"/>
              <w:tabs>
                <w:tab w:val="decimal" w:pos="426"/>
              </w:tabs>
              <w:jc w:val="center"/>
              <w:rPr>
                <w:color w:val="auto"/>
                <w:lang w:val="en-GB"/>
              </w:rPr>
            </w:pPr>
            <w:r w:rsidRPr="001B3BA5">
              <w:rPr>
                <w:color w:val="auto"/>
                <w:lang w:val="en-GB"/>
              </w:rPr>
              <w:t>.211***</w:t>
            </w:r>
          </w:p>
        </w:tc>
        <w:tc>
          <w:tcPr>
            <w:tcW w:w="931" w:type="dxa"/>
            <w:shd w:val="clear" w:color="auto" w:fill="auto"/>
            <w:vAlign w:val="center"/>
          </w:tcPr>
          <w:p w14:paraId="7601B050" w14:textId="77777777" w:rsidR="002B4207" w:rsidRPr="001B3BA5" w:rsidRDefault="002B4207" w:rsidP="002B4207">
            <w:pPr>
              <w:pStyle w:val="Table"/>
              <w:tabs>
                <w:tab w:val="decimal" w:pos="426"/>
              </w:tabs>
              <w:jc w:val="center"/>
              <w:rPr>
                <w:color w:val="auto"/>
                <w:lang w:val="en-GB"/>
              </w:rPr>
            </w:pPr>
            <w:r w:rsidRPr="001B3BA5">
              <w:rPr>
                <w:color w:val="auto"/>
                <w:lang w:val="en-GB"/>
              </w:rPr>
              <w:t>.170***</w:t>
            </w:r>
          </w:p>
        </w:tc>
        <w:tc>
          <w:tcPr>
            <w:tcW w:w="932" w:type="dxa"/>
            <w:vAlign w:val="center"/>
          </w:tcPr>
          <w:p w14:paraId="39D5F5A8" w14:textId="77777777" w:rsidR="002B4207" w:rsidRPr="001B3BA5" w:rsidRDefault="002B4207" w:rsidP="002B4207">
            <w:pPr>
              <w:pStyle w:val="Table"/>
              <w:tabs>
                <w:tab w:val="decimal" w:pos="427"/>
              </w:tabs>
              <w:jc w:val="center"/>
              <w:rPr>
                <w:color w:val="auto"/>
                <w:lang w:val="en-GB"/>
              </w:rPr>
            </w:pPr>
            <w:r w:rsidRPr="001B3BA5">
              <w:rPr>
                <w:color w:val="auto"/>
                <w:lang w:val="en-GB"/>
              </w:rPr>
              <w:t>.401***</w:t>
            </w:r>
          </w:p>
        </w:tc>
      </w:tr>
      <w:tr w:rsidR="002B4207" w:rsidRPr="001B3BA5" w14:paraId="49C82E52" w14:textId="77777777" w:rsidTr="002B4207">
        <w:trPr>
          <w:trHeight w:val="300"/>
        </w:trPr>
        <w:tc>
          <w:tcPr>
            <w:tcW w:w="3290" w:type="dxa"/>
            <w:shd w:val="clear" w:color="auto" w:fill="auto"/>
            <w:noWrap/>
            <w:vAlign w:val="center"/>
          </w:tcPr>
          <w:p w14:paraId="47843EE4" w14:textId="77777777" w:rsidR="002B4207" w:rsidRPr="001B3BA5" w:rsidRDefault="002B4207" w:rsidP="002B4207">
            <w:pPr>
              <w:pStyle w:val="Table"/>
              <w:jc w:val="left"/>
              <w:rPr>
                <w:color w:val="auto"/>
                <w:lang w:val="en-GB"/>
              </w:rPr>
            </w:pPr>
            <w:r w:rsidRPr="001B3BA5">
              <w:rPr>
                <w:color w:val="auto"/>
                <w:lang w:val="en-GB"/>
              </w:rPr>
              <w:t>6. Political ideology</w:t>
            </w:r>
          </w:p>
        </w:tc>
        <w:tc>
          <w:tcPr>
            <w:tcW w:w="725" w:type="dxa"/>
            <w:shd w:val="clear" w:color="auto" w:fill="auto"/>
            <w:noWrap/>
            <w:vAlign w:val="center"/>
          </w:tcPr>
          <w:p w14:paraId="376D7E88"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7E9BE8BD" w14:textId="77777777" w:rsidR="002B4207" w:rsidRPr="001B3BA5" w:rsidRDefault="002B4207" w:rsidP="002B4207">
            <w:pPr>
              <w:pStyle w:val="Table"/>
              <w:tabs>
                <w:tab w:val="decimal" w:pos="163"/>
              </w:tabs>
              <w:jc w:val="center"/>
              <w:rPr>
                <w:color w:val="auto"/>
                <w:lang w:val="en-GB"/>
              </w:rPr>
            </w:pPr>
            <w:r w:rsidRPr="001B3BA5">
              <w:rPr>
                <w:color w:val="auto"/>
                <w:lang w:val="en-GB"/>
              </w:rPr>
              <w:t>1-5</w:t>
            </w:r>
          </w:p>
        </w:tc>
        <w:tc>
          <w:tcPr>
            <w:tcW w:w="1007" w:type="dxa"/>
            <w:shd w:val="clear" w:color="auto" w:fill="auto"/>
            <w:noWrap/>
            <w:vAlign w:val="center"/>
          </w:tcPr>
          <w:p w14:paraId="3E3CA9D9" w14:textId="77777777" w:rsidR="002B4207" w:rsidRPr="001B3BA5" w:rsidRDefault="002B4207" w:rsidP="002B4207">
            <w:pPr>
              <w:pStyle w:val="Table"/>
              <w:tabs>
                <w:tab w:val="decimal" w:pos="632"/>
              </w:tabs>
              <w:jc w:val="center"/>
              <w:rPr>
                <w:color w:val="auto"/>
                <w:lang w:val="en-GB"/>
              </w:rPr>
            </w:pPr>
            <w:r w:rsidRPr="001B3BA5">
              <w:rPr>
                <w:color w:val="auto"/>
                <w:lang w:val="en-GB"/>
              </w:rPr>
              <w:t>2.98</w:t>
            </w:r>
          </w:p>
        </w:tc>
        <w:tc>
          <w:tcPr>
            <w:tcW w:w="692" w:type="dxa"/>
            <w:shd w:val="clear" w:color="auto" w:fill="auto"/>
            <w:noWrap/>
            <w:vAlign w:val="center"/>
          </w:tcPr>
          <w:p w14:paraId="384CC82B" w14:textId="77777777" w:rsidR="002B4207" w:rsidRPr="001B3BA5" w:rsidRDefault="002B4207" w:rsidP="002B4207">
            <w:pPr>
              <w:pStyle w:val="Table"/>
              <w:tabs>
                <w:tab w:val="decimal" w:pos="475"/>
              </w:tabs>
              <w:jc w:val="center"/>
              <w:rPr>
                <w:color w:val="auto"/>
                <w:lang w:val="en-GB"/>
              </w:rPr>
            </w:pPr>
            <w:r w:rsidRPr="001B3BA5">
              <w:rPr>
                <w:color w:val="auto"/>
                <w:lang w:val="en-GB"/>
              </w:rPr>
              <w:t>1.06</w:t>
            </w:r>
          </w:p>
        </w:tc>
        <w:tc>
          <w:tcPr>
            <w:tcW w:w="638" w:type="dxa"/>
            <w:vAlign w:val="center"/>
          </w:tcPr>
          <w:p w14:paraId="74A7E765" w14:textId="77777777" w:rsidR="002B4207" w:rsidRPr="001B3BA5" w:rsidRDefault="002B4207" w:rsidP="002B4207">
            <w:pPr>
              <w:pStyle w:val="Table"/>
              <w:jc w:val="center"/>
              <w:rPr>
                <w:color w:val="auto"/>
                <w:lang w:val="en-GB"/>
              </w:rPr>
            </w:pPr>
            <w:r w:rsidRPr="001B3BA5">
              <w:rPr>
                <w:color w:val="auto"/>
                <w:lang w:val="en-GB"/>
              </w:rPr>
              <w:t>-</w:t>
            </w:r>
          </w:p>
        </w:tc>
        <w:tc>
          <w:tcPr>
            <w:tcW w:w="992" w:type="dxa"/>
            <w:vAlign w:val="center"/>
          </w:tcPr>
          <w:p w14:paraId="6864FC5C" w14:textId="6CCDEE50" w:rsidR="002B4207" w:rsidRPr="001B3BA5" w:rsidRDefault="002B4207" w:rsidP="009D45ED">
            <w:pPr>
              <w:pStyle w:val="Table"/>
              <w:tabs>
                <w:tab w:val="decimal" w:pos="0"/>
              </w:tabs>
              <w:jc w:val="left"/>
              <w:rPr>
                <w:color w:val="auto"/>
                <w:lang w:val="en-GB"/>
              </w:rPr>
            </w:pPr>
            <w:r w:rsidRPr="001B3BA5">
              <w:rPr>
                <w:color w:val="auto"/>
                <w:lang w:val="en-GB"/>
              </w:rPr>
              <w:t>.</w:t>
            </w:r>
            <w:r w:rsidR="00943C26" w:rsidRPr="001B3BA5">
              <w:rPr>
                <w:color w:val="auto"/>
                <w:lang w:val="en-GB"/>
              </w:rPr>
              <w:t>48</w:t>
            </w:r>
          </w:p>
        </w:tc>
        <w:tc>
          <w:tcPr>
            <w:tcW w:w="931" w:type="dxa"/>
            <w:vAlign w:val="center"/>
          </w:tcPr>
          <w:p w14:paraId="05323A34" w14:textId="77777777" w:rsidR="002B4207" w:rsidRPr="001B3BA5" w:rsidRDefault="002B4207" w:rsidP="002B4207">
            <w:pPr>
              <w:pStyle w:val="Table"/>
              <w:tabs>
                <w:tab w:val="decimal" w:pos="424"/>
              </w:tabs>
              <w:jc w:val="center"/>
              <w:rPr>
                <w:color w:val="auto"/>
                <w:lang w:val="en-GB"/>
              </w:rPr>
            </w:pPr>
          </w:p>
        </w:tc>
        <w:tc>
          <w:tcPr>
            <w:tcW w:w="931" w:type="dxa"/>
            <w:shd w:val="clear" w:color="auto" w:fill="auto"/>
            <w:vAlign w:val="center"/>
          </w:tcPr>
          <w:p w14:paraId="72EF9C21" w14:textId="77777777" w:rsidR="002B4207" w:rsidRPr="001B3BA5" w:rsidRDefault="002B4207" w:rsidP="002B4207">
            <w:pPr>
              <w:pStyle w:val="Table"/>
              <w:jc w:val="center"/>
              <w:rPr>
                <w:color w:val="auto"/>
                <w:lang w:val="en-GB"/>
              </w:rPr>
            </w:pPr>
          </w:p>
        </w:tc>
        <w:tc>
          <w:tcPr>
            <w:tcW w:w="931" w:type="dxa"/>
            <w:vAlign w:val="center"/>
          </w:tcPr>
          <w:p w14:paraId="6D458384" w14:textId="77777777" w:rsidR="002B4207" w:rsidRPr="001B3BA5" w:rsidRDefault="002B4207" w:rsidP="002B4207">
            <w:pPr>
              <w:pStyle w:val="Table"/>
              <w:tabs>
                <w:tab w:val="decimal" w:pos="425"/>
              </w:tabs>
              <w:jc w:val="center"/>
              <w:rPr>
                <w:color w:val="auto"/>
                <w:lang w:val="en-GB"/>
              </w:rPr>
            </w:pPr>
          </w:p>
        </w:tc>
        <w:tc>
          <w:tcPr>
            <w:tcW w:w="932" w:type="dxa"/>
            <w:vAlign w:val="center"/>
          </w:tcPr>
          <w:p w14:paraId="1ED33D97" w14:textId="77777777" w:rsidR="002B4207" w:rsidRPr="001B3BA5" w:rsidRDefault="002B4207" w:rsidP="002B4207">
            <w:pPr>
              <w:pStyle w:val="Table"/>
              <w:tabs>
                <w:tab w:val="decimal" w:pos="425"/>
              </w:tabs>
              <w:jc w:val="center"/>
              <w:rPr>
                <w:color w:val="auto"/>
                <w:lang w:val="en-GB"/>
              </w:rPr>
            </w:pPr>
          </w:p>
        </w:tc>
        <w:tc>
          <w:tcPr>
            <w:tcW w:w="931" w:type="dxa"/>
            <w:shd w:val="clear" w:color="auto" w:fill="auto"/>
            <w:vAlign w:val="center"/>
          </w:tcPr>
          <w:p w14:paraId="28EE8D38" w14:textId="77777777" w:rsidR="002B4207" w:rsidRPr="001B3BA5" w:rsidRDefault="002B4207" w:rsidP="002B4207">
            <w:pPr>
              <w:pStyle w:val="Table"/>
              <w:tabs>
                <w:tab w:val="decimal" w:pos="425"/>
              </w:tabs>
              <w:jc w:val="center"/>
              <w:rPr>
                <w:color w:val="auto"/>
                <w:lang w:val="en-GB"/>
              </w:rPr>
            </w:pPr>
            <w:r w:rsidRPr="001B3BA5">
              <w:rPr>
                <w:color w:val="auto"/>
                <w:lang w:val="en-GB"/>
              </w:rPr>
              <w:t>1</w:t>
            </w:r>
          </w:p>
        </w:tc>
        <w:tc>
          <w:tcPr>
            <w:tcW w:w="931" w:type="dxa"/>
            <w:shd w:val="clear" w:color="auto" w:fill="auto"/>
            <w:vAlign w:val="center"/>
          </w:tcPr>
          <w:p w14:paraId="62AC5C22" w14:textId="77777777" w:rsidR="002B4207" w:rsidRPr="001B3BA5" w:rsidRDefault="002B4207" w:rsidP="002B4207">
            <w:pPr>
              <w:pStyle w:val="Table"/>
              <w:tabs>
                <w:tab w:val="decimal" w:pos="426"/>
              </w:tabs>
              <w:jc w:val="center"/>
              <w:rPr>
                <w:color w:val="auto"/>
                <w:lang w:val="en-GB"/>
              </w:rPr>
            </w:pPr>
            <w:r w:rsidRPr="001B3BA5">
              <w:rPr>
                <w:color w:val="auto"/>
                <w:lang w:val="en-GB"/>
              </w:rPr>
              <w:t>.219***</w:t>
            </w:r>
          </w:p>
        </w:tc>
        <w:tc>
          <w:tcPr>
            <w:tcW w:w="931" w:type="dxa"/>
            <w:shd w:val="clear" w:color="auto" w:fill="auto"/>
            <w:vAlign w:val="center"/>
          </w:tcPr>
          <w:p w14:paraId="09576670" w14:textId="77777777" w:rsidR="002B4207" w:rsidRPr="001B3BA5" w:rsidRDefault="002B4207" w:rsidP="002B4207">
            <w:pPr>
              <w:pStyle w:val="Table"/>
              <w:tabs>
                <w:tab w:val="decimal" w:pos="426"/>
              </w:tabs>
              <w:jc w:val="center"/>
              <w:rPr>
                <w:color w:val="auto"/>
                <w:lang w:val="en-GB"/>
              </w:rPr>
            </w:pPr>
            <w:r w:rsidRPr="001B3BA5">
              <w:rPr>
                <w:color w:val="auto"/>
                <w:lang w:val="en-GB"/>
              </w:rPr>
              <w:t>.172***</w:t>
            </w:r>
          </w:p>
        </w:tc>
        <w:tc>
          <w:tcPr>
            <w:tcW w:w="932" w:type="dxa"/>
            <w:vAlign w:val="center"/>
          </w:tcPr>
          <w:p w14:paraId="7901813E" w14:textId="77777777" w:rsidR="002B4207" w:rsidRPr="001B3BA5" w:rsidRDefault="002B4207" w:rsidP="002B4207">
            <w:pPr>
              <w:pStyle w:val="Table"/>
              <w:tabs>
                <w:tab w:val="decimal" w:pos="427"/>
              </w:tabs>
              <w:jc w:val="center"/>
              <w:rPr>
                <w:color w:val="auto"/>
                <w:lang w:val="en-GB"/>
              </w:rPr>
            </w:pPr>
            <w:r w:rsidRPr="001B3BA5">
              <w:rPr>
                <w:color w:val="auto"/>
                <w:lang w:val="en-GB"/>
              </w:rPr>
              <w:t>.232***</w:t>
            </w:r>
          </w:p>
        </w:tc>
      </w:tr>
      <w:tr w:rsidR="002B4207" w:rsidRPr="001B3BA5" w14:paraId="17A1E1CF" w14:textId="77777777" w:rsidTr="002B4207">
        <w:trPr>
          <w:trHeight w:val="300"/>
        </w:trPr>
        <w:tc>
          <w:tcPr>
            <w:tcW w:w="3290" w:type="dxa"/>
            <w:shd w:val="clear" w:color="auto" w:fill="auto"/>
            <w:noWrap/>
            <w:vAlign w:val="center"/>
          </w:tcPr>
          <w:p w14:paraId="1FA5D0F0" w14:textId="77777777" w:rsidR="002B4207" w:rsidRPr="001B3BA5" w:rsidRDefault="002B4207" w:rsidP="002B4207">
            <w:pPr>
              <w:pStyle w:val="Table"/>
              <w:jc w:val="left"/>
              <w:rPr>
                <w:color w:val="auto"/>
                <w:lang w:val="en-GB"/>
              </w:rPr>
            </w:pPr>
            <w:r w:rsidRPr="001B3BA5">
              <w:rPr>
                <w:color w:val="auto"/>
                <w:lang w:val="en-GB"/>
              </w:rPr>
              <w:t>7. National identification</w:t>
            </w:r>
          </w:p>
        </w:tc>
        <w:tc>
          <w:tcPr>
            <w:tcW w:w="725" w:type="dxa"/>
            <w:shd w:val="clear" w:color="auto" w:fill="auto"/>
            <w:noWrap/>
            <w:vAlign w:val="center"/>
          </w:tcPr>
          <w:p w14:paraId="374D562A"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2CEF4DF8" w14:textId="77777777" w:rsidR="002B4207" w:rsidRPr="001B3BA5" w:rsidRDefault="002B4207" w:rsidP="002B4207">
            <w:pPr>
              <w:pStyle w:val="Table"/>
              <w:tabs>
                <w:tab w:val="decimal" w:pos="163"/>
              </w:tabs>
              <w:jc w:val="center"/>
              <w:rPr>
                <w:color w:val="auto"/>
                <w:lang w:val="en-GB"/>
              </w:rPr>
            </w:pPr>
            <w:r w:rsidRPr="001B3BA5">
              <w:rPr>
                <w:color w:val="auto"/>
                <w:lang w:val="en-GB"/>
              </w:rPr>
              <w:t>1-7</w:t>
            </w:r>
          </w:p>
        </w:tc>
        <w:tc>
          <w:tcPr>
            <w:tcW w:w="1007" w:type="dxa"/>
            <w:shd w:val="clear" w:color="auto" w:fill="auto"/>
            <w:noWrap/>
            <w:vAlign w:val="center"/>
          </w:tcPr>
          <w:p w14:paraId="738EEC39" w14:textId="77777777" w:rsidR="002B4207" w:rsidRPr="001B3BA5" w:rsidRDefault="002B4207" w:rsidP="002B4207">
            <w:pPr>
              <w:pStyle w:val="Table"/>
              <w:tabs>
                <w:tab w:val="decimal" w:pos="632"/>
              </w:tabs>
              <w:jc w:val="center"/>
              <w:rPr>
                <w:color w:val="auto"/>
                <w:lang w:val="en-GB"/>
              </w:rPr>
            </w:pPr>
            <w:r w:rsidRPr="001B3BA5">
              <w:rPr>
                <w:color w:val="auto"/>
                <w:lang w:val="en-GB"/>
              </w:rPr>
              <w:t>5.44</w:t>
            </w:r>
          </w:p>
        </w:tc>
        <w:tc>
          <w:tcPr>
            <w:tcW w:w="692" w:type="dxa"/>
            <w:shd w:val="clear" w:color="auto" w:fill="auto"/>
            <w:noWrap/>
            <w:vAlign w:val="center"/>
          </w:tcPr>
          <w:p w14:paraId="4D092B56" w14:textId="77777777" w:rsidR="002B4207" w:rsidRPr="001B3BA5" w:rsidRDefault="002B4207" w:rsidP="002B4207">
            <w:pPr>
              <w:pStyle w:val="Table"/>
              <w:tabs>
                <w:tab w:val="decimal" w:pos="475"/>
              </w:tabs>
              <w:jc w:val="center"/>
              <w:rPr>
                <w:color w:val="auto"/>
                <w:lang w:val="en-GB"/>
              </w:rPr>
            </w:pPr>
            <w:r w:rsidRPr="001B3BA5">
              <w:rPr>
                <w:color w:val="auto"/>
                <w:lang w:val="en-GB"/>
              </w:rPr>
              <w:t>1.43</w:t>
            </w:r>
          </w:p>
        </w:tc>
        <w:tc>
          <w:tcPr>
            <w:tcW w:w="638" w:type="dxa"/>
            <w:vAlign w:val="center"/>
          </w:tcPr>
          <w:p w14:paraId="73D059FB" w14:textId="77777777" w:rsidR="002B4207" w:rsidRPr="001B3BA5" w:rsidRDefault="002B4207" w:rsidP="002B4207">
            <w:pPr>
              <w:pStyle w:val="Table"/>
              <w:jc w:val="center"/>
              <w:rPr>
                <w:color w:val="auto"/>
                <w:lang w:val="en-GB"/>
              </w:rPr>
            </w:pPr>
            <w:r w:rsidRPr="001B3BA5">
              <w:rPr>
                <w:color w:val="auto"/>
                <w:lang w:val="en-GB"/>
              </w:rPr>
              <w:t>.910</w:t>
            </w:r>
          </w:p>
        </w:tc>
        <w:tc>
          <w:tcPr>
            <w:tcW w:w="992" w:type="dxa"/>
            <w:vAlign w:val="center"/>
          </w:tcPr>
          <w:p w14:paraId="1B18E6ED" w14:textId="53989766" w:rsidR="002B4207" w:rsidRPr="001B3BA5" w:rsidRDefault="002B4207" w:rsidP="009D45ED">
            <w:pPr>
              <w:pStyle w:val="Table"/>
              <w:tabs>
                <w:tab w:val="decimal" w:pos="0"/>
              </w:tabs>
              <w:jc w:val="left"/>
              <w:rPr>
                <w:color w:val="auto"/>
                <w:lang w:val="en-GB"/>
              </w:rPr>
            </w:pPr>
            <w:r w:rsidRPr="001B3BA5">
              <w:rPr>
                <w:color w:val="auto"/>
                <w:lang w:val="en-GB"/>
              </w:rPr>
              <w:t>2</w:t>
            </w:r>
            <w:r w:rsidR="00AD1F93" w:rsidRPr="001B3BA5">
              <w:rPr>
                <w:color w:val="auto"/>
                <w:lang w:val="en-GB"/>
              </w:rPr>
              <w:t>2</w:t>
            </w:r>
            <w:r w:rsidRPr="001B3BA5">
              <w:rPr>
                <w:color w:val="auto"/>
                <w:lang w:val="en-GB"/>
              </w:rPr>
              <w:t>.</w:t>
            </w:r>
            <w:r w:rsidR="00AD1F93" w:rsidRPr="001B3BA5">
              <w:rPr>
                <w:color w:val="auto"/>
                <w:lang w:val="en-GB"/>
              </w:rPr>
              <w:t>40</w:t>
            </w:r>
            <w:r w:rsidRPr="001B3BA5">
              <w:rPr>
                <w:color w:val="auto"/>
                <w:lang w:val="en-GB"/>
              </w:rPr>
              <w:t>***</w:t>
            </w:r>
          </w:p>
        </w:tc>
        <w:tc>
          <w:tcPr>
            <w:tcW w:w="931" w:type="dxa"/>
            <w:vAlign w:val="center"/>
          </w:tcPr>
          <w:p w14:paraId="255FC593" w14:textId="77777777" w:rsidR="002B4207" w:rsidRPr="001B3BA5" w:rsidRDefault="002B4207" w:rsidP="002B4207">
            <w:pPr>
              <w:pStyle w:val="Table"/>
              <w:tabs>
                <w:tab w:val="decimal" w:pos="424"/>
              </w:tabs>
              <w:jc w:val="center"/>
              <w:rPr>
                <w:color w:val="auto"/>
                <w:lang w:val="en-GB"/>
              </w:rPr>
            </w:pPr>
          </w:p>
        </w:tc>
        <w:tc>
          <w:tcPr>
            <w:tcW w:w="931" w:type="dxa"/>
            <w:vAlign w:val="center"/>
          </w:tcPr>
          <w:p w14:paraId="662B6A12" w14:textId="77777777" w:rsidR="002B4207" w:rsidRPr="001B3BA5" w:rsidRDefault="002B4207" w:rsidP="002B4207">
            <w:pPr>
              <w:pStyle w:val="Table"/>
              <w:jc w:val="center"/>
              <w:rPr>
                <w:color w:val="auto"/>
                <w:lang w:val="en-GB"/>
              </w:rPr>
            </w:pPr>
          </w:p>
        </w:tc>
        <w:tc>
          <w:tcPr>
            <w:tcW w:w="931" w:type="dxa"/>
            <w:vAlign w:val="center"/>
          </w:tcPr>
          <w:p w14:paraId="2A91344B" w14:textId="77777777" w:rsidR="002B4207" w:rsidRPr="001B3BA5" w:rsidRDefault="002B4207" w:rsidP="002B4207">
            <w:pPr>
              <w:pStyle w:val="Table"/>
              <w:jc w:val="center"/>
              <w:rPr>
                <w:color w:val="auto"/>
                <w:lang w:val="en-GB"/>
              </w:rPr>
            </w:pPr>
          </w:p>
        </w:tc>
        <w:tc>
          <w:tcPr>
            <w:tcW w:w="932" w:type="dxa"/>
            <w:vAlign w:val="center"/>
          </w:tcPr>
          <w:p w14:paraId="1F8FEF79" w14:textId="77777777" w:rsidR="002B4207" w:rsidRPr="001B3BA5" w:rsidRDefault="002B4207" w:rsidP="002B4207">
            <w:pPr>
              <w:pStyle w:val="Table"/>
              <w:jc w:val="center"/>
              <w:rPr>
                <w:color w:val="auto"/>
                <w:lang w:val="en-GB"/>
              </w:rPr>
            </w:pPr>
          </w:p>
        </w:tc>
        <w:tc>
          <w:tcPr>
            <w:tcW w:w="931" w:type="dxa"/>
            <w:vAlign w:val="center"/>
          </w:tcPr>
          <w:p w14:paraId="6FE2C0B5" w14:textId="77777777" w:rsidR="002B4207" w:rsidRPr="001B3BA5" w:rsidRDefault="002B4207" w:rsidP="002B4207">
            <w:pPr>
              <w:pStyle w:val="Table"/>
              <w:jc w:val="center"/>
              <w:rPr>
                <w:color w:val="auto"/>
                <w:lang w:val="en-GB"/>
              </w:rPr>
            </w:pPr>
          </w:p>
        </w:tc>
        <w:tc>
          <w:tcPr>
            <w:tcW w:w="931" w:type="dxa"/>
            <w:vAlign w:val="center"/>
          </w:tcPr>
          <w:p w14:paraId="6907D218" w14:textId="77777777" w:rsidR="002B4207" w:rsidRPr="001B3BA5" w:rsidRDefault="002B4207" w:rsidP="002B4207">
            <w:pPr>
              <w:pStyle w:val="Table"/>
              <w:tabs>
                <w:tab w:val="decimal" w:pos="426"/>
              </w:tabs>
              <w:jc w:val="center"/>
              <w:rPr>
                <w:color w:val="auto"/>
                <w:lang w:val="en-GB"/>
              </w:rPr>
            </w:pPr>
            <w:r w:rsidRPr="001B3BA5">
              <w:rPr>
                <w:color w:val="auto"/>
                <w:lang w:val="en-GB"/>
              </w:rPr>
              <w:t>1</w:t>
            </w:r>
          </w:p>
        </w:tc>
        <w:tc>
          <w:tcPr>
            <w:tcW w:w="931" w:type="dxa"/>
            <w:vAlign w:val="center"/>
          </w:tcPr>
          <w:p w14:paraId="6C13C3C0" w14:textId="77777777" w:rsidR="002B4207" w:rsidRPr="001B3BA5" w:rsidRDefault="002B4207" w:rsidP="002B4207">
            <w:pPr>
              <w:pStyle w:val="Table"/>
              <w:tabs>
                <w:tab w:val="decimal" w:pos="426"/>
              </w:tabs>
              <w:jc w:val="center"/>
              <w:rPr>
                <w:color w:val="auto"/>
                <w:lang w:val="en-GB"/>
              </w:rPr>
            </w:pPr>
            <w:r w:rsidRPr="001B3BA5">
              <w:rPr>
                <w:color w:val="auto"/>
                <w:lang w:val="en-GB"/>
              </w:rPr>
              <w:t>.760***</w:t>
            </w:r>
          </w:p>
        </w:tc>
        <w:tc>
          <w:tcPr>
            <w:tcW w:w="932" w:type="dxa"/>
            <w:vAlign w:val="center"/>
          </w:tcPr>
          <w:p w14:paraId="4D497F35" w14:textId="77777777" w:rsidR="002B4207" w:rsidRPr="001B3BA5" w:rsidRDefault="002B4207" w:rsidP="002B4207">
            <w:pPr>
              <w:pStyle w:val="Table"/>
              <w:tabs>
                <w:tab w:val="decimal" w:pos="427"/>
              </w:tabs>
              <w:jc w:val="center"/>
              <w:rPr>
                <w:color w:val="auto"/>
                <w:lang w:val="en-GB"/>
              </w:rPr>
            </w:pPr>
            <w:r w:rsidRPr="001B3BA5">
              <w:rPr>
                <w:color w:val="auto"/>
                <w:lang w:val="en-GB"/>
              </w:rPr>
              <w:t>.309***</w:t>
            </w:r>
          </w:p>
        </w:tc>
      </w:tr>
      <w:tr w:rsidR="002B4207" w:rsidRPr="001B3BA5" w14:paraId="6A3BD00A" w14:textId="77777777" w:rsidTr="002B4207">
        <w:trPr>
          <w:trHeight w:val="300"/>
        </w:trPr>
        <w:tc>
          <w:tcPr>
            <w:tcW w:w="3290" w:type="dxa"/>
            <w:shd w:val="clear" w:color="auto" w:fill="auto"/>
            <w:noWrap/>
            <w:vAlign w:val="center"/>
          </w:tcPr>
          <w:p w14:paraId="3860759A" w14:textId="77777777" w:rsidR="002B4207" w:rsidRPr="001B3BA5" w:rsidRDefault="002B4207" w:rsidP="002B4207">
            <w:pPr>
              <w:pStyle w:val="Table"/>
              <w:jc w:val="left"/>
              <w:rPr>
                <w:color w:val="auto"/>
                <w:lang w:val="en-GB"/>
              </w:rPr>
            </w:pPr>
            <w:r w:rsidRPr="001B3BA5">
              <w:rPr>
                <w:color w:val="auto"/>
                <w:lang w:val="en-GB"/>
              </w:rPr>
              <w:t>8. Place attachment</w:t>
            </w:r>
          </w:p>
        </w:tc>
        <w:tc>
          <w:tcPr>
            <w:tcW w:w="725" w:type="dxa"/>
            <w:shd w:val="clear" w:color="auto" w:fill="auto"/>
            <w:noWrap/>
            <w:vAlign w:val="center"/>
          </w:tcPr>
          <w:p w14:paraId="678C5FA6"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0F3E40D2" w14:textId="77777777" w:rsidR="002B4207" w:rsidRPr="001B3BA5" w:rsidRDefault="002B4207" w:rsidP="002B4207">
            <w:pPr>
              <w:pStyle w:val="Table"/>
              <w:tabs>
                <w:tab w:val="decimal" w:pos="163"/>
              </w:tabs>
              <w:jc w:val="center"/>
              <w:rPr>
                <w:color w:val="auto"/>
                <w:lang w:val="en-GB"/>
              </w:rPr>
            </w:pPr>
            <w:r w:rsidRPr="001B3BA5">
              <w:rPr>
                <w:color w:val="auto"/>
                <w:lang w:val="en-GB"/>
              </w:rPr>
              <w:t>1-7</w:t>
            </w:r>
          </w:p>
        </w:tc>
        <w:tc>
          <w:tcPr>
            <w:tcW w:w="1007" w:type="dxa"/>
            <w:shd w:val="clear" w:color="auto" w:fill="auto"/>
            <w:noWrap/>
            <w:vAlign w:val="center"/>
          </w:tcPr>
          <w:p w14:paraId="62495FC6" w14:textId="77777777" w:rsidR="002B4207" w:rsidRPr="001B3BA5" w:rsidRDefault="002B4207" w:rsidP="002B4207">
            <w:pPr>
              <w:pStyle w:val="Table"/>
              <w:tabs>
                <w:tab w:val="decimal" w:pos="632"/>
              </w:tabs>
              <w:jc w:val="center"/>
              <w:rPr>
                <w:color w:val="auto"/>
                <w:lang w:val="en-GB"/>
              </w:rPr>
            </w:pPr>
            <w:r w:rsidRPr="001B3BA5">
              <w:rPr>
                <w:color w:val="auto"/>
                <w:lang w:val="en-GB"/>
              </w:rPr>
              <w:t>5.47</w:t>
            </w:r>
          </w:p>
        </w:tc>
        <w:tc>
          <w:tcPr>
            <w:tcW w:w="692" w:type="dxa"/>
            <w:shd w:val="clear" w:color="auto" w:fill="auto"/>
            <w:noWrap/>
            <w:vAlign w:val="center"/>
          </w:tcPr>
          <w:p w14:paraId="33EC2491" w14:textId="77777777" w:rsidR="002B4207" w:rsidRPr="001B3BA5" w:rsidRDefault="002B4207" w:rsidP="002B4207">
            <w:pPr>
              <w:pStyle w:val="Table"/>
              <w:tabs>
                <w:tab w:val="decimal" w:pos="475"/>
              </w:tabs>
              <w:jc w:val="center"/>
              <w:rPr>
                <w:color w:val="auto"/>
                <w:lang w:val="en-GB"/>
              </w:rPr>
            </w:pPr>
            <w:r w:rsidRPr="001B3BA5">
              <w:rPr>
                <w:color w:val="auto"/>
                <w:lang w:val="en-GB"/>
              </w:rPr>
              <w:t>1.37</w:t>
            </w:r>
          </w:p>
        </w:tc>
        <w:tc>
          <w:tcPr>
            <w:tcW w:w="638" w:type="dxa"/>
            <w:vAlign w:val="center"/>
          </w:tcPr>
          <w:p w14:paraId="0543AF43" w14:textId="77777777" w:rsidR="002B4207" w:rsidRPr="001B3BA5" w:rsidRDefault="002B4207" w:rsidP="002B4207">
            <w:pPr>
              <w:pStyle w:val="Table"/>
              <w:jc w:val="center"/>
              <w:rPr>
                <w:color w:val="auto"/>
                <w:lang w:val="en-GB"/>
              </w:rPr>
            </w:pPr>
            <w:r w:rsidRPr="001B3BA5">
              <w:rPr>
                <w:color w:val="auto"/>
                <w:lang w:val="en-GB"/>
              </w:rPr>
              <w:t>.847</w:t>
            </w:r>
          </w:p>
        </w:tc>
        <w:tc>
          <w:tcPr>
            <w:tcW w:w="992" w:type="dxa"/>
            <w:vAlign w:val="center"/>
          </w:tcPr>
          <w:p w14:paraId="10A755FD" w14:textId="0D877766" w:rsidR="002B4207" w:rsidRPr="001B3BA5" w:rsidRDefault="002B4207" w:rsidP="009D45ED">
            <w:pPr>
              <w:pStyle w:val="Table"/>
              <w:tabs>
                <w:tab w:val="decimal" w:pos="0"/>
                <w:tab w:val="decimal" w:pos="424"/>
              </w:tabs>
              <w:jc w:val="left"/>
              <w:rPr>
                <w:color w:val="auto"/>
                <w:lang w:val="en-GB"/>
              </w:rPr>
            </w:pPr>
            <w:r w:rsidRPr="001B3BA5">
              <w:rPr>
                <w:color w:val="auto"/>
                <w:lang w:val="en-GB"/>
              </w:rPr>
              <w:t>2</w:t>
            </w:r>
            <w:r w:rsidR="00AD1F93" w:rsidRPr="001B3BA5">
              <w:rPr>
                <w:color w:val="auto"/>
                <w:lang w:val="en-GB"/>
              </w:rPr>
              <w:t>3</w:t>
            </w:r>
            <w:r w:rsidRPr="001B3BA5">
              <w:rPr>
                <w:color w:val="auto"/>
                <w:lang w:val="en-GB"/>
              </w:rPr>
              <w:t>.</w:t>
            </w:r>
            <w:r w:rsidR="00AD1F93" w:rsidRPr="001B3BA5">
              <w:rPr>
                <w:color w:val="auto"/>
                <w:lang w:val="en-GB"/>
              </w:rPr>
              <w:t>97</w:t>
            </w:r>
            <w:r w:rsidRPr="001B3BA5">
              <w:rPr>
                <w:color w:val="auto"/>
                <w:lang w:val="en-GB"/>
              </w:rPr>
              <w:t>***</w:t>
            </w:r>
          </w:p>
        </w:tc>
        <w:tc>
          <w:tcPr>
            <w:tcW w:w="931" w:type="dxa"/>
            <w:vAlign w:val="center"/>
          </w:tcPr>
          <w:p w14:paraId="7E9A8AAC" w14:textId="77777777" w:rsidR="002B4207" w:rsidRPr="001B3BA5" w:rsidRDefault="002B4207" w:rsidP="002B4207">
            <w:pPr>
              <w:pStyle w:val="Table"/>
              <w:tabs>
                <w:tab w:val="decimal" w:pos="424"/>
              </w:tabs>
              <w:jc w:val="center"/>
              <w:rPr>
                <w:color w:val="auto"/>
                <w:lang w:val="en-GB"/>
              </w:rPr>
            </w:pPr>
          </w:p>
        </w:tc>
        <w:tc>
          <w:tcPr>
            <w:tcW w:w="931" w:type="dxa"/>
            <w:vAlign w:val="center"/>
          </w:tcPr>
          <w:p w14:paraId="09C6D86E" w14:textId="77777777" w:rsidR="002B4207" w:rsidRPr="001B3BA5" w:rsidRDefault="002B4207" w:rsidP="002B4207">
            <w:pPr>
              <w:pStyle w:val="Table"/>
              <w:jc w:val="center"/>
              <w:rPr>
                <w:color w:val="auto"/>
                <w:lang w:val="en-GB"/>
              </w:rPr>
            </w:pPr>
          </w:p>
        </w:tc>
        <w:tc>
          <w:tcPr>
            <w:tcW w:w="931" w:type="dxa"/>
            <w:vAlign w:val="center"/>
          </w:tcPr>
          <w:p w14:paraId="2C69B5D3" w14:textId="77777777" w:rsidR="002B4207" w:rsidRPr="001B3BA5" w:rsidRDefault="002B4207" w:rsidP="002B4207">
            <w:pPr>
              <w:pStyle w:val="Table"/>
              <w:jc w:val="center"/>
              <w:rPr>
                <w:color w:val="auto"/>
                <w:lang w:val="en-GB"/>
              </w:rPr>
            </w:pPr>
          </w:p>
        </w:tc>
        <w:tc>
          <w:tcPr>
            <w:tcW w:w="932" w:type="dxa"/>
            <w:vAlign w:val="center"/>
          </w:tcPr>
          <w:p w14:paraId="6E712C87" w14:textId="77777777" w:rsidR="002B4207" w:rsidRPr="001B3BA5" w:rsidRDefault="002B4207" w:rsidP="002B4207">
            <w:pPr>
              <w:pStyle w:val="Table"/>
              <w:jc w:val="center"/>
              <w:rPr>
                <w:color w:val="auto"/>
                <w:lang w:val="en-GB"/>
              </w:rPr>
            </w:pPr>
          </w:p>
        </w:tc>
        <w:tc>
          <w:tcPr>
            <w:tcW w:w="931" w:type="dxa"/>
            <w:vAlign w:val="center"/>
          </w:tcPr>
          <w:p w14:paraId="06C61ED3" w14:textId="77777777" w:rsidR="002B4207" w:rsidRPr="001B3BA5" w:rsidRDefault="002B4207" w:rsidP="002B4207">
            <w:pPr>
              <w:pStyle w:val="Table"/>
              <w:jc w:val="center"/>
              <w:rPr>
                <w:color w:val="auto"/>
                <w:lang w:val="en-GB"/>
              </w:rPr>
            </w:pPr>
          </w:p>
        </w:tc>
        <w:tc>
          <w:tcPr>
            <w:tcW w:w="931" w:type="dxa"/>
            <w:vAlign w:val="center"/>
          </w:tcPr>
          <w:p w14:paraId="799927CA" w14:textId="77777777" w:rsidR="002B4207" w:rsidRPr="001B3BA5" w:rsidRDefault="002B4207" w:rsidP="002B4207">
            <w:pPr>
              <w:pStyle w:val="Table"/>
              <w:jc w:val="center"/>
              <w:rPr>
                <w:color w:val="auto"/>
                <w:lang w:val="en-GB"/>
              </w:rPr>
            </w:pPr>
          </w:p>
        </w:tc>
        <w:tc>
          <w:tcPr>
            <w:tcW w:w="931" w:type="dxa"/>
            <w:vAlign w:val="center"/>
          </w:tcPr>
          <w:p w14:paraId="039877DB" w14:textId="77777777" w:rsidR="002B4207" w:rsidRPr="001B3BA5" w:rsidRDefault="002B4207" w:rsidP="002B4207">
            <w:pPr>
              <w:pStyle w:val="Table"/>
              <w:tabs>
                <w:tab w:val="decimal" w:pos="426"/>
              </w:tabs>
              <w:jc w:val="center"/>
              <w:rPr>
                <w:color w:val="auto"/>
                <w:lang w:val="en-GB"/>
              </w:rPr>
            </w:pPr>
            <w:r w:rsidRPr="001B3BA5">
              <w:rPr>
                <w:color w:val="auto"/>
                <w:lang w:val="en-GB"/>
              </w:rPr>
              <w:t>1</w:t>
            </w:r>
          </w:p>
        </w:tc>
        <w:tc>
          <w:tcPr>
            <w:tcW w:w="932" w:type="dxa"/>
            <w:vAlign w:val="center"/>
          </w:tcPr>
          <w:p w14:paraId="0B3ACF9F" w14:textId="77777777" w:rsidR="002B4207" w:rsidRPr="001B3BA5" w:rsidRDefault="002B4207" w:rsidP="002B4207">
            <w:pPr>
              <w:pStyle w:val="Table"/>
              <w:tabs>
                <w:tab w:val="decimal" w:pos="427"/>
              </w:tabs>
              <w:jc w:val="center"/>
              <w:rPr>
                <w:color w:val="auto"/>
                <w:lang w:val="en-GB"/>
              </w:rPr>
            </w:pPr>
            <w:r w:rsidRPr="001B3BA5">
              <w:rPr>
                <w:color w:val="auto"/>
                <w:lang w:val="en-GB"/>
              </w:rPr>
              <w:t>.320***</w:t>
            </w:r>
          </w:p>
        </w:tc>
      </w:tr>
      <w:tr w:rsidR="002B4207" w:rsidRPr="001B3BA5" w14:paraId="224EED9E" w14:textId="77777777" w:rsidTr="002B4207">
        <w:trPr>
          <w:trHeight w:val="300"/>
        </w:trPr>
        <w:tc>
          <w:tcPr>
            <w:tcW w:w="3290" w:type="dxa"/>
            <w:shd w:val="clear" w:color="auto" w:fill="auto"/>
            <w:noWrap/>
            <w:vAlign w:val="center"/>
          </w:tcPr>
          <w:p w14:paraId="13A90234" w14:textId="77777777" w:rsidR="002B4207" w:rsidRPr="001B3BA5" w:rsidRDefault="002B4207" w:rsidP="002B4207">
            <w:pPr>
              <w:pStyle w:val="Table"/>
              <w:jc w:val="left"/>
              <w:rPr>
                <w:color w:val="auto"/>
                <w:lang w:val="en-GB"/>
              </w:rPr>
            </w:pPr>
            <w:r w:rsidRPr="001B3BA5">
              <w:rPr>
                <w:color w:val="auto"/>
                <w:lang w:val="en-GB"/>
              </w:rPr>
              <w:t>9. Adherence to sovereignty</w:t>
            </w:r>
          </w:p>
        </w:tc>
        <w:tc>
          <w:tcPr>
            <w:tcW w:w="725" w:type="dxa"/>
            <w:shd w:val="clear" w:color="auto" w:fill="auto"/>
            <w:noWrap/>
            <w:vAlign w:val="center"/>
          </w:tcPr>
          <w:p w14:paraId="55C62DF3"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2EDDB1CC" w14:textId="77777777" w:rsidR="002B4207" w:rsidRPr="001B3BA5" w:rsidRDefault="002B4207" w:rsidP="002B4207">
            <w:pPr>
              <w:pStyle w:val="Table"/>
              <w:tabs>
                <w:tab w:val="decimal" w:pos="163"/>
              </w:tabs>
              <w:jc w:val="center"/>
              <w:rPr>
                <w:color w:val="auto"/>
                <w:lang w:val="en-GB"/>
              </w:rPr>
            </w:pPr>
            <w:r w:rsidRPr="001B3BA5">
              <w:rPr>
                <w:color w:val="auto"/>
                <w:lang w:val="en-GB"/>
              </w:rPr>
              <w:t>1-7</w:t>
            </w:r>
          </w:p>
        </w:tc>
        <w:tc>
          <w:tcPr>
            <w:tcW w:w="1007" w:type="dxa"/>
            <w:shd w:val="clear" w:color="auto" w:fill="auto"/>
            <w:noWrap/>
            <w:vAlign w:val="center"/>
          </w:tcPr>
          <w:p w14:paraId="09FAB5E1" w14:textId="77777777" w:rsidR="002B4207" w:rsidRPr="001B3BA5" w:rsidRDefault="002B4207" w:rsidP="002B4207">
            <w:pPr>
              <w:pStyle w:val="Table"/>
              <w:tabs>
                <w:tab w:val="decimal" w:pos="632"/>
              </w:tabs>
              <w:jc w:val="center"/>
              <w:rPr>
                <w:color w:val="auto"/>
                <w:lang w:val="en-GB"/>
              </w:rPr>
            </w:pPr>
            <w:r w:rsidRPr="001B3BA5">
              <w:rPr>
                <w:color w:val="auto"/>
                <w:lang w:val="en-GB"/>
              </w:rPr>
              <w:t>5.07</w:t>
            </w:r>
          </w:p>
        </w:tc>
        <w:tc>
          <w:tcPr>
            <w:tcW w:w="692" w:type="dxa"/>
            <w:shd w:val="clear" w:color="auto" w:fill="auto"/>
            <w:noWrap/>
            <w:vAlign w:val="center"/>
          </w:tcPr>
          <w:p w14:paraId="72203940" w14:textId="77777777" w:rsidR="002B4207" w:rsidRPr="001B3BA5" w:rsidRDefault="002B4207" w:rsidP="002B4207">
            <w:pPr>
              <w:pStyle w:val="Table"/>
              <w:tabs>
                <w:tab w:val="decimal" w:pos="475"/>
              </w:tabs>
              <w:jc w:val="center"/>
              <w:rPr>
                <w:color w:val="auto"/>
                <w:lang w:val="en-GB"/>
              </w:rPr>
            </w:pPr>
            <w:r w:rsidRPr="001B3BA5">
              <w:rPr>
                <w:color w:val="auto"/>
                <w:lang w:val="en-GB"/>
              </w:rPr>
              <w:t>1.20</w:t>
            </w:r>
          </w:p>
        </w:tc>
        <w:tc>
          <w:tcPr>
            <w:tcW w:w="638" w:type="dxa"/>
            <w:vAlign w:val="center"/>
          </w:tcPr>
          <w:p w14:paraId="59413526" w14:textId="77777777" w:rsidR="002B4207" w:rsidRPr="001B3BA5" w:rsidRDefault="002B4207" w:rsidP="002B4207">
            <w:pPr>
              <w:pStyle w:val="Table"/>
              <w:jc w:val="center"/>
              <w:rPr>
                <w:color w:val="auto"/>
                <w:lang w:val="en-GB"/>
              </w:rPr>
            </w:pPr>
            <w:r w:rsidRPr="001B3BA5">
              <w:rPr>
                <w:color w:val="auto"/>
                <w:lang w:val="en-GB"/>
              </w:rPr>
              <w:t>.861</w:t>
            </w:r>
          </w:p>
        </w:tc>
        <w:tc>
          <w:tcPr>
            <w:tcW w:w="992" w:type="dxa"/>
            <w:vAlign w:val="center"/>
          </w:tcPr>
          <w:p w14:paraId="35A0D809" w14:textId="3DA1E385" w:rsidR="002B4207" w:rsidRPr="001B3BA5" w:rsidRDefault="002B4207" w:rsidP="009D45ED">
            <w:pPr>
              <w:pStyle w:val="Table"/>
              <w:tabs>
                <w:tab w:val="decimal" w:pos="0"/>
                <w:tab w:val="decimal" w:pos="424"/>
              </w:tabs>
              <w:jc w:val="left"/>
              <w:rPr>
                <w:color w:val="auto"/>
                <w:lang w:val="en-GB"/>
              </w:rPr>
            </w:pPr>
            <w:r w:rsidRPr="001B3BA5">
              <w:rPr>
                <w:color w:val="auto"/>
                <w:lang w:val="en-GB"/>
              </w:rPr>
              <w:t>19.</w:t>
            </w:r>
            <w:r w:rsidR="00AD1F93" w:rsidRPr="001B3BA5">
              <w:rPr>
                <w:color w:val="auto"/>
                <w:lang w:val="en-GB"/>
              </w:rPr>
              <w:t>95</w:t>
            </w:r>
            <w:r w:rsidRPr="001B3BA5">
              <w:rPr>
                <w:color w:val="auto"/>
                <w:lang w:val="en-GB"/>
              </w:rPr>
              <w:t>***</w:t>
            </w:r>
          </w:p>
        </w:tc>
        <w:tc>
          <w:tcPr>
            <w:tcW w:w="931" w:type="dxa"/>
            <w:vAlign w:val="center"/>
          </w:tcPr>
          <w:p w14:paraId="768C93F4" w14:textId="77777777" w:rsidR="002B4207" w:rsidRPr="001B3BA5" w:rsidRDefault="002B4207" w:rsidP="002B4207">
            <w:pPr>
              <w:pStyle w:val="Table"/>
              <w:tabs>
                <w:tab w:val="decimal" w:pos="424"/>
              </w:tabs>
              <w:jc w:val="center"/>
              <w:rPr>
                <w:color w:val="auto"/>
                <w:lang w:val="en-GB"/>
              </w:rPr>
            </w:pPr>
          </w:p>
        </w:tc>
        <w:tc>
          <w:tcPr>
            <w:tcW w:w="931" w:type="dxa"/>
            <w:vAlign w:val="center"/>
          </w:tcPr>
          <w:p w14:paraId="0A14EACF" w14:textId="77777777" w:rsidR="002B4207" w:rsidRPr="001B3BA5" w:rsidRDefault="002B4207" w:rsidP="002B4207">
            <w:pPr>
              <w:pStyle w:val="Table"/>
              <w:jc w:val="center"/>
              <w:rPr>
                <w:color w:val="auto"/>
                <w:lang w:val="en-GB"/>
              </w:rPr>
            </w:pPr>
          </w:p>
        </w:tc>
        <w:tc>
          <w:tcPr>
            <w:tcW w:w="931" w:type="dxa"/>
            <w:vAlign w:val="center"/>
          </w:tcPr>
          <w:p w14:paraId="5F80C1B7" w14:textId="77777777" w:rsidR="002B4207" w:rsidRPr="001B3BA5" w:rsidRDefault="002B4207" w:rsidP="002B4207">
            <w:pPr>
              <w:pStyle w:val="Table"/>
              <w:jc w:val="center"/>
              <w:rPr>
                <w:color w:val="auto"/>
                <w:lang w:val="en-GB"/>
              </w:rPr>
            </w:pPr>
          </w:p>
        </w:tc>
        <w:tc>
          <w:tcPr>
            <w:tcW w:w="932" w:type="dxa"/>
            <w:vAlign w:val="center"/>
          </w:tcPr>
          <w:p w14:paraId="6994845C" w14:textId="77777777" w:rsidR="002B4207" w:rsidRPr="001B3BA5" w:rsidRDefault="002B4207" w:rsidP="002B4207">
            <w:pPr>
              <w:pStyle w:val="Table"/>
              <w:jc w:val="center"/>
              <w:rPr>
                <w:color w:val="auto"/>
                <w:lang w:val="en-GB"/>
              </w:rPr>
            </w:pPr>
          </w:p>
        </w:tc>
        <w:tc>
          <w:tcPr>
            <w:tcW w:w="931" w:type="dxa"/>
            <w:vAlign w:val="center"/>
          </w:tcPr>
          <w:p w14:paraId="01A6B96F" w14:textId="77777777" w:rsidR="002B4207" w:rsidRPr="001B3BA5" w:rsidRDefault="002B4207" w:rsidP="002B4207">
            <w:pPr>
              <w:pStyle w:val="Table"/>
              <w:jc w:val="center"/>
              <w:rPr>
                <w:color w:val="auto"/>
                <w:lang w:val="en-GB"/>
              </w:rPr>
            </w:pPr>
          </w:p>
        </w:tc>
        <w:tc>
          <w:tcPr>
            <w:tcW w:w="931" w:type="dxa"/>
            <w:vAlign w:val="center"/>
          </w:tcPr>
          <w:p w14:paraId="74247C09" w14:textId="77777777" w:rsidR="002B4207" w:rsidRPr="001B3BA5" w:rsidRDefault="002B4207" w:rsidP="002B4207">
            <w:pPr>
              <w:pStyle w:val="Table"/>
              <w:jc w:val="center"/>
              <w:rPr>
                <w:color w:val="auto"/>
                <w:lang w:val="en-GB"/>
              </w:rPr>
            </w:pPr>
          </w:p>
        </w:tc>
        <w:tc>
          <w:tcPr>
            <w:tcW w:w="931" w:type="dxa"/>
            <w:vAlign w:val="center"/>
          </w:tcPr>
          <w:p w14:paraId="36B765A0" w14:textId="77777777" w:rsidR="002B4207" w:rsidRPr="001B3BA5" w:rsidRDefault="002B4207" w:rsidP="002B4207">
            <w:pPr>
              <w:pStyle w:val="Table"/>
              <w:jc w:val="center"/>
              <w:rPr>
                <w:color w:val="auto"/>
                <w:lang w:val="en-GB"/>
              </w:rPr>
            </w:pPr>
          </w:p>
        </w:tc>
        <w:tc>
          <w:tcPr>
            <w:tcW w:w="932" w:type="dxa"/>
            <w:vAlign w:val="center"/>
          </w:tcPr>
          <w:p w14:paraId="34C26FFC" w14:textId="77777777" w:rsidR="002B4207" w:rsidRPr="001B3BA5" w:rsidRDefault="002B4207" w:rsidP="002B4207">
            <w:pPr>
              <w:pStyle w:val="Table"/>
              <w:tabs>
                <w:tab w:val="decimal" w:pos="427"/>
              </w:tabs>
              <w:jc w:val="center"/>
              <w:rPr>
                <w:color w:val="auto"/>
                <w:lang w:val="en-GB"/>
              </w:rPr>
            </w:pPr>
            <w:r w:rsidRPr="001B3BA5">
              <w:rPr>
                <w:color w:val="auto"/>
                <w:lang w:val="en-GB"/>
              </w:rPr>
              <w:t>1</w:t>
            </w:r>
          </w:p>
        </w:tc>
      </w:tr>
      <w:tr w:rsidR="002B4207" w:rsidRPr="001B3BA5" w14:paraId="36515A0E" w14:textId="77777777" w:rsidTr="002B4207">
        <w:trPr>
          <w:trHeight w:val="300"/>
        </w:trPr>
        <w:tc>
          <w:tcPr>
            <w:tcW w:w="3290" w:type="dxa"/>
            <w:shd w:val="clear" w:color="auto" w:fill="auto"/>
            <w:noWrap/>
            <w:vAlign w:val="center"/>
          </w:tcPr>
          <w:p w14:paraId="48FE7C6C" w14:textId="77777777" w:rsidR="002B4207" w:rsidRPr="001B3BA5" w:rsidRDefault="002B4207" w:rsidP="002B4207">
            <w:pPr>
              <w:pStyle w:val="Table"/>
              <w:jc w:val="left"/>
              <w:rPr>
                <w:color w:val="auto"/>
                <w:lang w:val="en-GB"/>
              </w:rPr>
            </w:pPr>
            <w:r w:rsidRPr="001B3BA5">
              <w:rPr>
                <w:color w:val="auto"/>
                <w:lang w:val="en-GB"/>
              </w:rPr>
              <w:t>10. Sex (male)</w:t>
            </w:r>
          </w:p>
        </w:tc>
        <w:tc>
          <w:tcPr>
            <w:tcW w:w="725" w:type="dxa"/>
            <w:shd w:val="clear" w:color="auto" w:fill="auto"/>
            <w:noWrap/>
            <w:vAlign w:val="center"/>
          </w:tcPr>
          <w:p w14:paraId="65F813A6"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7916AE07" w14:textId="77777777" w:rsidR="002B4207" w:rsidRPr="001B3BA5" w:rsidRDefault="002B4207" w:rsidP="002B4207">
            <w:pPr>
              <w:pStyle w:val="Table"/>
              <w:tabs>
                <w:tab w:val="decimal" w:pos="163"/>
              </w:tabs>
              <w:jc w:val="center"/>
              <w:rPr>
                <w:color w:val="auto"/>
                <w:lang w:val="en-GB"/>
              </w:rPr>
            </w:pPr>
            <w:r w:rsidRPr="001B3BA5">
              <w:rPr>
                <w:color w:val="auto"/>
                <w:lang w:val="en-GB"/>
              </w:rPr>
              <w:t>0/1</w:t>
            </w:r>
          </w:p>
        </w:tc>
        <w:tc>
          <w:tcPr>
            <w:tcW w:w="1007" w:type="dxa"/>
            <w:shd w:val="clear" w:color="auto" w:fill="auto"/>
            <w:noWrap/>
            <w:vAlign w:val="center"/>
          </w:tcPr>
          <w:p w14:paraId="761F43DE" w14:textId="77777777" w:rsidR="002B4207" w:rsidRPr="001B3BA5" w:rsidRDefault="002B4207" w:rsidP="002B4207">
            <w:pPr>
              <w:pStyle w:val="Table"/>
              <w:tabs>
                <w:tab w:val="decimal" w:pos="632"/>
              </w:tabs>
              <w:jc w:val="center"/>
              <w:rPr>
                <w:color w:val="auto"/>
                <w:lang w:val="en-GB"/>
              </w:rPr>
            </w:pPr>
            <w:r w:rsidRPr="001B3BA5">
              <w:rPr>
                <w:color w:val="auto"/>
                <w:lang w:val="en-GB"/>
              </w:rPr>
              <w:t>.49</w:t>
            </w:r>
          </w:p>
        </w:tc>
        <w:tc>
          <w:tcPr>
            <w:tcW w:w="692" w:type="dxa"/>
            <w:shd w:val="clear" w:color="auto" w:fill="auto"/>
            <w:noWrap/>
            <w:vAlign w:val="center"/>
          </w:tcPr>
          <w:p w14:paraId="287B8945" w14:textId="77777777" w:rsidR="002B4207" w:rsidRPr="001B3BA5" w:rsidRDefault="002B4207" w:rsidP="002B4207">
            <w:pPr>
              <w:pStyle w:val="Table"/>
              <w:tabs>
                <w:tab w:val="decimal" w:pos="475"/>
              </w:tabs>
              <w:jc w:val="center"/>
              <w:rPr>
                <w:color w:val="auto"/>
                <w:lang w:val="en-GB"/>
              </w:rPr>
            </w:pPr>
            <w:r w:rsidRPr="001B3BA5">
              <w:rPr>
                <w:color w:val="auto"/>
                <w:lang w:val="en-GB"/>
              </w:rPr>
              <w:t>-</w:t>
            </w:r>
          </w:p>
        </w:tc>
        <w:tc>
          <w:tcPr>
            <w:tcW w:w="638" w:type="dxa"/>
            <w:vAlign w:val="center"/>
          </w:tcPr>
          <w:p w14:paraId="264DEC04" w14:textId="77777777" w:rsidR="002B4207" w:rsidRPr="001B3BA5" w:rsidRDefault="002B4207" w:rsidP="002B4207">
            <w:pPr>
              <w:pStyle w:val="Table"/>
              <w:jc w:val="center"/>
              <w:rPr>
                <w:color w:val="auto"/>
                <w:lang w:val="en-GB"/>
              </w:rPr>
            </w:pPr>
            <w:r w:rsidRPr="001B3BA5">
              <w:rPr>
                <w:color w:val="auto"/>
                <w:lang w:val="en-GB"/>
              </w:rPr>
              <w:t>-</w:t>
            </w:r>
          </w:p>
        </w:tc>
        <w:tc>
          <w:tcPr>
            <w:tcW w:w="992" w:type="dxa"/>
            <w:vAlign w:val="center"/>
          </w:tcPr>
          <w:p w14:paraId="16642807" w14:textId="77777777" w:rsidR="002B4207" w:rsidRPr="001B3BA5" w:rsidRDefault="002B4207" w:rsidP="009D45ED">
            <w:pPr>
              <w:pStyle w:val="Table"/>
              <w:tabs>
                <w:tab w:val="decimal" w:pos="0"/>
                <w:tab w:val="decimal" w:pos="424"/>
              </w:tabs>
              <w:jc w:val="left"/>
              <w:rPr>
                <w:color w:val="FF0000"/>
                <w:lang w:val="en-GB"/>
              </w:rPr>
            </w:pPr>
          </w:p>
        </w:tc>
        <w:tc>
          <w:tcPr>
            <w:tcW w:w="931" w:type="dxa"/>
            <w:vAlign w:val="center"/>
          </w:tcPr>
          <w:p w14:paraId="1B604E77" w14:textId="77777777" w:rsidR="002B4207" w:rsidRPr="001B3BA5" w:rsidRDefault="002B4207" w:rsidP="002B4207">
            <w:pPr>
              <w:pStyle w:val="Table"/>
              <w:tabs>
                <w:tab w:val="decimal" w:pos="424"/>
              </w:tabs>
              <w:jc w:val="center"/>
              <w:rPr>
                <w:color w:val="FF0000"/>
                <w:lang w:val="en-GB"/>
              </w:rPr>
            </w:pPr>
          </w:p>
        </w:tc>
        <w:tc>
          <w:tcPr>
            <w:tcW w:w="931" w:type="dxa"/>
            <w:vAlign w:val="center"/>
          </w:tcPr>
          <w:p w14:paraId="58AEEE5D" w14:textId="77777777" w:rsidR="002B4207" w:rsidRPr="001B3BA5" w:rsidRDefault="002B4207" w:rsidP="002B4207">
            <w:pPr>
              <w:pStyle w:val="Table"/>
              <w:jc w:val="center"/>
              <w:rPr>
                <w:color w:val="FF0000"/>
                <w:lang w:val="en-GB"/>
              </w:rPr>
            </w:pPr>
          </w:p>
        </w:tc>
        <w:tc>
          <w:tcPr>
            <w:tcW w:w="931" w:type="dxa"/>
            <w:vAlign w:val="center"/>
          </w:tcPr>
          <w:p w14:paraId="49FB5C65" w14:textId="77777777" w:rsidR="002B4207" w:rsidRPr="001B3BA5" w:rsidRDefault="002B4207" w:rsidP="002B4207">
            <w:pPr>
              <w:pStyle w:val="Table"/>
              <w:jc w:val="center"/>
              <w:rPr>
                <w:color w:val="FF0000"/>
                <w:lang w:val="en-GB"/>
              </w:rPr>
            </w:pPr>
          </w:p>
        </w:tc>
        <w:tc>
          <w:tcPr>
            <w:tcW w:w="932" w:type="dxa"/>
            <w:vAlign w:val="center"/>
          </w:tcPr>
          <w:p w14:paraId="4B147D23" w14:textId="77777777" w:rsidR="002B4207" w:rsidRPr="001B3BA5" w:rsidRDefault="002B4207" w:rsidP="002B4207">
            <w:pPr>
              <w:pStyle w:val="Table"/>
              <w:jc w:val="center"/>
              <w:rPr>
                <w:color w:val="FF0000"/>
                <w:lang w:val="en-GB"/>
              </w:rPr>
            </w:pPr>
          </w:p>
        </w:tc>
        <w:tc>
          <w:tcPr>
            <w:tcW w:w="931" w:type="dxa"/>
            <w:vAlign w:val="center"/>
          </w:tcPr>
          <w:p w14:paraId="6C117783" w14:textId="77777777" w:rsidR="002B4207" w:rsidRPr="001B3BA5" w:rsidRDefault="002B4207" w:rsidP="002B4207">
            <w:pPr>
              <w:pStyle w:val="Table"/>
              <w:jc w:val="center"/>
              <w:rPr>
                <w:color w:val="FF0000"/>
                <w:lang w:val="en-GB"/>
              </w:rPr>
            </w:pPr>
          </w:p>
        </w:tc>
        <w:tc>
          <w:tcPr>
            <w:tcW w:w="931" w:type="dxa"/>
            <w:vAlign w:val="center"/>
          </w:tcPr>
          <w:p w14:paraId="7522C796" w14:textId="77777777" w:rsidR="002B4207" w:rsidRPr="001B3BA5" w:rsidRDefault="002B4207" w:rsidP="002B4207">
            <w:pPr>
              <w:pStyle w:val="Table"/>
              <w:jc w:val="center"/>
              <w:rPr>
                <w:color w:val="FF0000"/>
                <w:lang w:val="en-GB"/>
              </w:rPr>
            </w:pPr>
          </w:p>
        </w:tc>
        <w:tc>
          <w:tcPr>
            <w:tcW w:w="931" w:type="dxa"/>
            <w:vAlign w:val="center"/>
          </w:tcPr>
          <w:p w14:paraId="524FAE04" w14:textId="77777777" w:rsidR="002B4207" w:rsidRPr="001B3BA5" w:rsidRDefault="002B4207" w:rsidP="002B4207">
            <w:pPr>
              <w:pStyle w:val="Table"/>
              <w:jc w:val="center"/>
              <w:rPr>
                <w:color w:val="FF0000"/>
                <w:lang w:val="en-GB"/>
              </w:rPr>
            </w:pPr>
          </w:p>
        </w:tc>
        <w:tc>
          <w:tcPr>
            <w:tcW w:w="932" w:type="dxa"/>
            <w:vAlign w:val="center"/>
          </w:tcPr>
          <w:p w14:paraId="55D3B847" w14:textId="77777777" w:rsidR="002B4207" w:rsidRPr="001B3BA5" w:rsidRDefault="002B4207" w:rsidP="002B4207">
            <w:pPr>
              <w:pStyle w:val="Table"/>
              <w:jc w:val="center"/>
              <w:rPr>
                <w:color w:val="FF0000"/>
                <w:lang w:val="en-GB"/>
              </w:rPr>
            </w:pPr>
          </w:p>
        </w:tc>
      </w:tr>
      <w:tr w:rsidR="002B4207" w:rsidRPr="001B3BA5" w14:paraId="219455FD" w14:textId="77777777" w:rsidTr="002B4207">
        <w:trPr>
          <w:trHeight w:val="300"/>
        </w:trPr>
        <w:tc>
          <w:tcPr>
            <w:tcW w:w="3290" w:type="dxa"/>
            <w:shd w:val="clear" w:color="auto" w:fill="auto"/>
            <w:noWrap/>
            <w:vAlign w:val="center"/>
          </w:tcPr>
          <w:p w14:paraId="69F891E4" w14:textId="77777777" w:rsidR="002B4207" w:rsidRPr="001B3BA5" w:rsidRDefault="002B4207" w:rsidP="002B4207">
            <w:pPr>
              <w:pStyle w:val="Table"/>
              <w:jc w:val="left"/>
              <w:rPr>
                <w:color w:val="auto"/>
                <w:lang w:val="en-GB"/>
              </w:rPr>
            </w:pPr>
            <w:r w:rsidRPr="001B3BA5">
              <w:rPr>
                <w:color w:val="auto"/>
                <w:lang w:val="en-GB"/>
              </w:rPr>
              <w:t>11. Education level</w:t>
            </w:r>
          </w:p>
        </w:tc>
        <w:tc>
          <w:tcPr>
            <w:tcW w:w="725" w:type="dxa"/>
            <w:shd w:val="clear" w:color="auto" w:fill="auto"/>
            <w:noWrap/>
            <w:vAlign w:val="center"/>
          </w:tcPr>
          <w:p w14:paraId="0001CA9F" w14:textId="77777777" w:rsidR="002B4207" w:rsidRPr="001B3BA5" w:rsidRDefault="002B4207" w:rsidP="002B4207">
            <w:pPr>
              <w:pStyle w:val="Table"/>
              <w:jc w:val="center"/>
              <w:rPr>
                <w:color w:val="auto"/>
                <w:lang w:val="en-GB"/>
              </w:rPr>
            </w:pPr>
          </w:p>
        </w:tc>
        <w:tc>
          <w:tcPr>
            <w:tcW w:w="664" w:type="dxa"/>
            <w:shd w:val="clear" w:color="auto" w:fill="auto"/>
            <w:noWrap/>
            <w:vAlign w:val="center"/>
          </w:tcPr>
          <w:p w14:paraId="5FC6F3BA" w14:textId="77777777" w:rsidR="002B4207" w:rsidRPr="001B3BA5" w:rsidRDefault="002B4207" w:rsidP="002B4207">
            <w:pPr>
              <w:pStyle w:val="Table"/>
              <w:tabs>
                <w:tab w:val="decimal" w:pos="163"/>
              </w:tabs>
              <w:jc w:val="center"/>
              <w:rPr>
                <w:color w:val="auto"/>
                <w:lang w:val="en-GB"/>
              </w:rPr>
            </w:pPr>
            <w:r w:rsidRPr="001B3BA5">
              <w:rPr>
                <w:color w:val="auto"/>
                <w:lang w:val="en-GB"/>
              </w:rPr>
              <w:t>1-14</w:t>
            </w:r>
          </w:p>
        </w:tc>
        <w:tc>
          <w:tcPr>
            <w:tcW w:w="1007" w:type="dxa"/>
            <w:shd w:val="clear" w:color="auto" w:fill="auto"/>
            <w:noWrap/>
            <w:vAlign w:val="center"/>
          </w:tcPr>
          <w:p w14:paraId="6E8108BA" w14:textId="77777777" w:rsidR="002B4207" w:rsidRPr="001B3BA5" w:rsidRDefault="002B4207" w:rsidP="002B4207">
            <w:pPr>
              <w:pStyle w:val="Table"/>
              <w:tabs>
                <w:tab w:val="decimal" w:pos="632"/>
              </w:tabs>
              <w:jc w:val="center"/>
              <w:rPr>
                <w:color w:val="auto"/>
                <w:lang w:val="en-GB"/>
              </w:rPr>
            </w:pPr>
            <w:r w:rsidRPr="001B3BA5">
              <w:rPr>
                <w:color w:val="auto"/>
                <w:lang w:val="en-GB"/>
              </w:rPr>
              <w:t>8.15</w:t>
            </w:r>
          </w:p>
        </w:tc>
        <w:tc>
          <w:tcPr>
            <w:tcW w:w="692" w:type="dxa"/>
            <w:shd w:val="clear" w:color="auto" w:fill="auto"/>
            <w:noWrap/>
            <w:vAlign w:val="center"/>
          </w:tcPr>
          <w:p w14:paraId="6738AD52" w14:textId="77777777" w:rsidR="002B4207" w:rsidRPr="001B3BA5" w:rsidRDefault="002B4207" w:rsidP="002B4207">
            <w:pPr>
              <w:pStyle w:val="Table"/>
              <w:tabs>
                <w:tab w:val="decimal" w:pos="475"/>
              </w:tabs>
              <w:jc w:val="center"/>
              <w:rPr>
                <w:color w:val="auto"/>
                <w:lang w:val="en-GB"/>
              </w:rPr>
            </w:pPr>
            <w:r w:rsidRPr="001B3BA5">
              <w:rPr>
                <w:color w:val="auto"/>
                <w:lang w:val="en-GB"/>
              </w:rPr>
              <w:t>3.57</w:t>
            </w:r>
          </w:p>
        </w:tc>
        <w:tc>
          <w:tcPr>
            <w:tcW w:w="638" w:type="dxa"/>
            <w:vAlign w:val="center"/>
          </w:tcPr>
          <w:p w14:paraId="045E1668" w14:textId="77777777" w:rsidR="002B4207" w:rsidRPr="001B3BA5" w:rsidRDefault="002B4207" w:rsidP="002B4207">
            <w:pPr>
              <w:pStyle w:val="Table"/>
              <w:jc w:val="center"/>
              <w:rPr>
                <w:color w:val="auto"/>
                <w:lang w:val="en-GB"/>
              </w:rPr>
            </w:pPr>
            <w:r w:rsidRPr="001B3BA5">
              <w:rPr>
                <w:color w:val="auto"/>
                <w:lang w:val="en-GB"/>
              </w:rPr>
              <w:t>-</w:t>
            </w:r>
          </w:p>
        </w:tc>
        <w:tc>
          <w:tcPr>
            <w:tcW w:w="992" w:type="dxa"/>
            <w:vAlign w:val="center"/>
          </w:tcPr>
          <w:p w14:paraId="288E51AC" w14:textId="77777777" w:rsidR="002B4207" w:rsidRPr="001B3BA5" w:rsidRDefault="002B4207" w:rsidP="009D45ED">
            <w:pPr>
              <w:pStyle w:val="Table"/>
              <w:tabs>
                <w:tab w:val="decimal" w:pos="0"/>
                <w:tab w:val="decimal" w:pos="424"/>
              </w:tabs>
              <w:jc w:val="left"/>
              <w:rPr>
                <w:color w:val="FF0000"/>
                <w:lang w:val="en-GB"/>
              </w:rPr>
            </w:pPr>
          </w:p>
        </w:tc>
        <w:tc>
          <w:tcPr>
            <w:tcW w:w="931" w:type="dxa"/>
            <w:vAlign w:val="center"/>
          </w:tcPr>
          <w:p w14:paraId="76E00EAB" w14:textId="77777777" w:rsidR="002B4207" w:rsidRPr="001B3BA5" w:rsidRDefault="002B4207" w:rsidP="002B4207">
            <w:pPr>
              <w:pStyle w:val="Table"/>
              <w:tabs>
                <w:tab w:val="decimal" w:pos="424"/>
              </w:tabs>
              <w:jc w:val="center"/>
              <w:rPr>
                <w:color w:val="FF0000"/>
                <w:lang w:val="en-GB"/>
              </w:rPr>
            </w:pPr>
          </w:p>
        </w:tc>
        <w:tc>
          <w:tcPr>
            <w:tcW w:w="931" w:type="dxa"/>
            <w:vAlign w:val="center"/>
          </w:tcPr>
          <w:p w14:paraId="0C9FB880" w14:textId="77777777" w:rsidR="002B4207" w:rsidRPr="001B3BA5" w:rsidRDefault="002B4207" w:rsidP="002B4207">
            <w:pPr>
              <w:pStyle w:val="Table"/>
              <w:jc w:val="center"/>
              <w:rPr>
                <w:color w:val="FF0000"/>
                <w:lang w:val="en-GB"/>
              </w:rPr>
            </w:pPr>
          </w:p>
        </w:tc>
        <w:tc>
          <w:tcPr>
            <w:tcW w:w="931" w:type="dxa"/>
            <w:vAlign w:val="center"/>
          </w:tcPr>
          <w:p w14:paraId="6675BC12" w14:textId="77777777" w:rsidR="002B4207" w:rsidRPr="001B3BA5" w:rsidRDefault="002B4207" w:rsidP="002B4207">
            <w:pPr>
              <w:pStyle w:val="Table"/>
              <w:jc w:val="center"/>
              <w:rPr>
                <w:color w:val="FF0000"/>
                <w:lang w:val="en-GB"/>
              </w:rPr>
            </w:pPr>
          </w:p>
        </w:tc>
        <w:tc>
          <w:tcPr>
            <w:tcW w:w="932" w:type="dxa"/>
            <w:vAlign w:val="center"/>
          </w:tcPr>
          <w:p w14:paraId="4DBCF9DF" w14:textId="77777777" w:rsidR="002B4207" w:rsidRPr="001B3BA5" w:rsidRDefault="002B4207" w:rsidP="002B4207">
            <w:pPr>
              <w:pStyle w:val="Table"/>
              <w:jc w:val="center"/>
              <w:rPr>
                <w:color w:val="FF0000"/>
                <w:lang w:val="en-GB"/>
              </w:rPr>
            </w:pPr>
          </w:p>
        </w:tc>
        <w:tc>
          <w:tcPr>
            <w:tcW w:w="931" w:type="dxa"/>
            <w:vAlign w:val="center"/>
          </w:tcPr>
          <w:p w14:paraId="65CAB919" w14:textId="77777777" w:rsidR="002B4207" w:rsidRPr="001B3BA5" w:rsidRDefault="002B4207" w:rsidP="002B4207">
            <w:pPr>
              <w:pStyle w:val="Table"/>
              <w:jc w:val="center"/>
              <w:rPr>
                <w:color w:val="FF0000"/>
                <w:lang w:val="en-GB"/>
              </w:rPr>
            </w:pPr>
          </w:p>
        </w:tc>
        <w:tc>
          <w:tcPr>
            <w:tcW w:w="931" w:type="dxa"/>
            <w:vAlign w:val="center"/>
          </w:tcPr>
          <w:p w14:paraId="2D2BF329" w14:textId="77777777" w:rsidR="002B4207" w:rsidRPr="001B3BA5" w:rsidRDefault="002B4207" w:rsidP="002B4207">
            <w:pPr>
              <w:pStyle w:val="Table"/>
              <w:jc w:val="center"/>
              <w:rPr>
                <w:color w:val="FF0000"/>
                <w:lang w:val="en-GB"/>
              </w:rPr>
            </w:pPr>
          </w:p>
        </w:tc>
        <w:tc>
          <w:tcPr>
            <w:tcW w:w="931" w:type="dxa"/>
            <w:vAlign w:val="center"/>
          </w:tcPr>
          <w:p w14:paraId="0A1C4823" w14:textId="77777777" w:rsidR="002B4207" w:rsidRPr="001B3BA5" w:rsidRDefault="002B4207" w:rsidP="002B4207">
            <w:pPr>
              <w:pStyle w:val="Table"/>
              <w:jc w:val="center"/>
              <w:rPr>
                <w:color w:val="FF0000"/>
                <w:lang w:val="en-GB"/>
              </w:rPr>
            </w:pPr>
          </w:p>
        </w:tc>
        <w:tc>
          <w:tcPr>
            <w:tcW w:w="932" w:type="dxa"/>
            <w:vAlign w:val="center"/>
          </w:tcPr>
          <w:p w14:paraId="7A080AD4" w14:textId="77777777" w:rsidR="002B4207" w:rsidRPr="001B3BA5" w:rsidRDefault="002B4207" w:rsidP="002B4207">
            <w:pPr>
              <w:pStyle w:val="Table"/>
              <w:jc w:val="center"/>
              <w:rPr>
                <w:color w:val="FF0000"/>
                <w:lang w:val="en-GB"/>
              </w:rPr>
            </w:pPr>
          </w:p>
        </w:tc>
      </w:tr>
      <w:tr w:rsidR="002B4207" w:rsidRPr="001B3BA5" w14:paraId="04C0924D" w14:textId="77777777" w:rsidTr="002B4207">
        <w:trPr>
          <w:trHeight w:val="300"/>
        </w:trPr>
        <w:tc>
          <w:tcPr>
            <w:tcW w:w="3290" w:type="dxa"/>
            <w:shd w:val="clear" w:color="auto" w:fill="auto"/>
            <w:noWrap/>
            <w:vAlign w:val="center"/>
          </w:tcPr>
          <w:p w14:paraId="52B37ED6" w14:textId="77777777" w:rsidR="002B4207" w:rsidRPr="001B3BA5" w:rsidRDefault="002B4207" w:rsidP="002B4207">
            <w:pPr>
              <w:pStyle w:val="Table"/>
              <w:jc w:val="left"/>
              <w:rPr>
                <w:color w:val="auto"/>
                <w:lang w:val="en-GB"/>
              </w:rPr>
            </w:pPr>
            <w:r w:rsidRPr="001B3BA5">
              <w:rPr>
                <w:color w:val="auto"/>
                <w:lang w:val="en-GB"/>
              </w:rPr>
              <w:t>12. Age</w:t>
            </w:r>
          </w:p>
        </w:tc>
        <w:tc>
          <w:tcPr>
            <w:tcW w:w="725" w:type="dxa"/>
            <w:shd w:val="clear" w:color="auto" w:fill="auto"/>
            <w:noWrap/>
            <w:vAlign w:val="center"/>
          </w:tcPr>
          <w:p w14:paraId="4B15ACDC"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19955AF3" w14:textId="77777777" w:rsidR="002B4207" w:rsidRPr="001B3BA5" w:rsidRDefault="002B4207" w:rsidP="002B4207">
            <w:pPr>
              <w:pStyle w:val="Table"/>
              <w:tabs>
                <w:tab w:val="decimal" w:pos="163"/>
              </w:tabs>
              <w:jc w:val="center"/>
              <w:rPr>
                <w:color w:val="auto"/>
                <w:lang w:val="en-GB"/>
              </w:rPr>
            </w:pPr>
            <w:r w:rsidRPr="001B3BA5">
              <w:rPr>
                <w:color w:val="auto"/>
                <w:lang w:val="en-GB"/>
              </w:rPr>
              <w:t>18-84</w:t>
            </w:r>
          </w:p>
        </w:tc>
        <w:tc>
          <w:tcPr>
            <w:tcW w:w="1007" w:type="dxa"/>
            <w:shd w:val="clear" w:color="auto" w:fill="auto"/>
            <w:noWrap/>
            <w:vAlign w:val="center"/>
          </w:tcPr>
          <w:p w14:paraId="11CEECC1" w14:textId="77777777" w:rsidR="002B4207" w:rsidRPr="001B3BA5" w:rsidRDefault="002B4207" w:rsidP="002B4207">
            <w:pPr>
              <w:pStyle w:val="Table"/>
              <w:tabs>
                <w:tab w:val="decimal" w:pos="632"/>
              </w:tabs>
              <w:jc w:val="center"/>
              <w:rPr>
                <w:color w:val="auto"/>
                <w:lang w:val="en-GB"/>
              </w:rPr>
            </w:pPr>
            <w:r w:rsidRPr="001B3BA5">
              <w:rPr>
                <w:color w:val="auto"/>
                <w:lang w:val="en-GB"/>
              </w:rPr>
              <w:t>46.05</w:t>
            </w:r>
          </w:p>
        </w:tc>
        <w:tc>
          <w:tcPr>
            <w:tcW w:w="692" w:type="dxa"/>
            <w:shd w:val="clear" w:color="auto" w:fill="auto"/>
            <w:noWrap/>
            <w:vAlign w:val="center"/>
          </w:tcPr>
          <w:p w14:paraId="4A5D5EBC" w14:textId="77777777" w:rsidR="002B4207" w:rsidRPr="001B3BA5" w:rsidRDefault="002B4207" w:rsidP="002B4207">
            <w:pPr>
              <w:pStyle w:val="Table"/>
              <w:tabs>
                <w:tab w:val="decimal" w:pos="475"/>
              </w:tabs>
              <w:jc w:val="center"/>
              <w:rPr>
                <w:color w:val="auto"/>
                <w:lang w:val="en-GB"/>
              </w:rPr>
            </w:pPr>
            <w:r w:rsidRPr="001B3BA5">
              <w:rPr>
                <w:color w:val="auto"/>
                <w:lang w:val="en-GB"/>
              </w:rPr>
              <w:t>17.09</w:t>
            </w:r>
          </w:p>
        </w:tc>
        <w:tc>
          <w:tcPr>
            <w:tcW w:w="638" w:type="dxa"/>
            <w:vAlign w:val="center"/>
          </w:tcPr>
          <w:p w14:paraId="7B083C18" w14:textId="77777777" w:rsidR="002B4207" w:rsidRPr="001B3BA5" w:rsidRDefault="002B4207" w:rsidP="002B4207">
            <w:pPr>
              <w:pStyle w:val="Table"/>
              <w:jc w:val="center"/>
              <w:rPr>
                <w:color w:val="auto"/>
                <w:lang w:val="en-GB"/>
              </w:rPr>
            </w:pPr>
            <w:r w:rsidRPr="001B3BA5">
              <w:rPr>
                <w:color w:val="auto"/>
                <w:lang w:val="en-GB"/>
              </w:rPr>
              <w:t>-</w:t>
            </w:r>
          </w:p>
        </w:tc>
        <w:tc>
          <w:tcPr>
            <w:tcW w:w="992" w:type="dxa"/>
            <w:vAlign w:val="center"/>
          </w:tcPr>
          <w:p w14:paraId="05F650D8" w14:textId="77777777" w:rsidR="002B4207" w:rsidRPr="001B3BA5" w:rsidRDefault="002B4207" w:rsidP="009D45ED">
            <w:pPr>
              <w:pStyle w:val="Table"/>
              <w:tabs>
                <w:tab w:val="decimal" w:pos="0"/>
                <w:tab w:val="decimal" w:pos="424"/>
              </w:tabs>
              <w:jc w:val="left"/>
              <w:rPr>
                <w:color w:val="auto"/>
                <w:lang w:val="en-GB"/>
              </w:rPr>
            </w:pPr>
          </w:p>
        </w:tc>
        <w:tc>
          <w:tcPr>
            <w:tcW w:w="931" w:type="dxa"/>
            <w:vAlign w:val="center"/>
          </w:tcPr>
          <w:p w14:paraId="55882624" w14:textId="77777777" w:rsidR="002B4207" w:rsidRPr="001B3BA5" w:rsidRDefault="002B4207" w:rsidP="002B4207">
            <w:pPr>
              <w:pStyle w:val="Table"/>
              <w:tabs>
                <w:tab w:val="decimal" w:pos="424"/>
              </w:tabs>
              <w:jc w:val="center"/>
              <w:rPr>
                <w:color w:val="auto"/>
                <w:lang w:val="en-GB"/>
              </w:rPr>
            </w:pPr>
          </w:p>
        </w:tc>
        <w:tc>
          <w:tcPr>
            <w:tcW w:w="931" w:type="dxa"/>
            <w:vAlign w:val="center"/>
          </w:tcPr>
          <w:p w14:paraId="632C0B58" w14:textId="77777777" w:rsidR="002B4207" w:rsidRPr="001B3BA5" w:rsidRDefault="002B4207" w:rsidP="002B4207">
            <w:pPr>
              <w:pStyle w:val="Table"/>
              <w:jc w:val="center"/>
              <w:rPr>
                <w:color w:val="FF0000"/>
                <w:lang w:val="en-GB"/>
              </w:rPr>
            </w:pPr>
          </w:p>
        </w:tc>
        <w:tc>
          <w:tcPr>
            <w:tcW w:w="931" w:type="dxa"/>
            <w:vAlign w:val="center"/>
          </w:tcPr>
          <w:p w14:paraId="2BBC07C3" w14:textId="77777777" w:rsidR="002B4207" w:rsidRPr="001B3BA5" w:rsidRDefault="002B4207" w:rsidP="002B4207">
            <w:pPr>
              <w:pStyle w:val="Table"/>
              <w:jc w:val="center"/>
              <w:rPr>
                <w:color w:val="FF0000"/>
                <w:lang w:val="en-GB"/>
              </w:rPr>
            </w:pPr>
          </w:p>
        </w:tc>
        <w:tc>
          <w:tcPr>
            <w:tcW w:w="932" w:type="dxa"/>
            <w:vAlign w:val="center"/>
          </w:tcPr>
          <w:p w14:paraId="678280AE" w14:textId="77777777" w:rsidR="002B4207" w:rsidRPr="001B3BA5" w:rsidRDefault="002B4207" w:rsidP="002B4207">
            <w:pPr>
              <w:pStyle w:val="Table"/>
              <w:jc w:val="center"/>
              <w:rPr>
                <w:color w:val="FF0000"/>
                <w:lang w:val="en-GB"/>
              </w:rPr>
            </w:pPr>
          </w:p>
        </w:tc>
        <w:tc>
          <w:tcPr>
            <w:tcW w:w="931" w:type="dxa"/>
            <w:vAlign w:val="center"/>
          </w:tcPr>
          <w:p w14:paraId="148F7FEF" w14:textId="77777777" w:rsidR="002B4207" w:rsidRPr="001B3BA5" w:rsidRDefault="002B4207" w:rsidP="002B4207">
            <w:pPr>
              <w:pStyle w:val="Table"/>
              <w:jc w:val="center"/>
              <w:rPr>
                <w:color w:val="FF0000"/>
                <w:lang w:val="en-GB"/>
              </w:rPr>
            </w:pPr>
          </w:p>
        </w:tc>
        <w:tc>
          <w:tcPr>
            <w:tcW w:w="931" w:type="dxa"/>
            <w:vAlign w:val="center"/>
          </w:tcPr>
          <w:p w14:paraId="602BBCCE" w14:textId="77777777" w:rsidR="002B4207" w:rsidRPr="001B3BA5" w:rsidRDefault="002B4207" w:rsidP="002B4207">
            <w:pPr>
              <w:pStyle w:val="Table"/>
              <w:jc w:val="center"/>
              <w:rPr>
                <w:color w:val="FF0000"/>
                <w:lang w:val="en-GB"/>
              </w:rPr>
            </w:pPr>
          </w:p>
        </w:tc>
        <w:tc>
          <w:tcPr>
            <w:tcW w:w="931" w:type="dxa"/>
            <w:vAlign w:val="center"/>
          </w:tcPr>
          <w:p w14:paraId="08F70188" w14:textId="77777777" w:rsidR="002B4207" w:rsidRPr="001B3BA5" w:rsidRDefault="002B4207" w:rsidP="002B4207">
            <w:pPr>
              <w:pStyle w:val="Table"/>
              <w:jc w:val="center"/>
              <w:rPr>
                <w:color w:val="FF0000"/>
                <w:lang w:val="en-GB"/>
              </w:rPr>
            </w:pPr>
          </w:p>
        </w:tc>
        <w:tc>
          <w:tcPr>
            <w:tcW w:w="932" w:type="dxa"/>
            <w:vAlign w:val="center"/>
          </w:tcPr>
          <w:p w14:paraId="070277F4" w14:textId="77777777" w:rsidR="002B4207" w:rsidRPr="001B3BA5" w:rsidRDefault="002B4207" w:rsidP="002B4207">
            <w:pPr>
              <w:pStyle w:val="Table"/>
              <w:jc w:val="center"/>
              <w:rPr>
                <w:color w:val="FF0000"/>
                <w:lang w:val="en-GB"/>
              </w:rPr>
            </w:pPr>
          </w:p>
        </w:tc>
      </w:tr>
      <w:tr w:rsidR="002B4207" w:rsidRPr="001B3BA5" w14:paraId="63B91372" w14:textId="77777777" w:rsidTr="002B4207">
        <w:trPr>
          <w:trHeight w:val="300"/>
        </w:trPr>
        <w:tc>
          <w:tcPr>
            <w:tcW w:w="3290" w:type="dxa"/>
            <w:shd w:val="clear" w:color="auto" w:fill="auto"/>
            <w:noWrap/>
            <w:vAlign w:val="center"/>
          </w:tcPr>
          <w:p w14:paraId="6AB95276" w14:textId="77777777" w:rsidR="002B4207" w:rsidRPr="001B3BA5" w:rsidRDefault="002B4207" w:rsidP="002B4207">
            <w:pPr>
              <w:pStyle w:val="Table"/>
              <w:jc w:val="left"/>
              <w:rPr>
                <w:color w:val="auto"/>
                <w:lang w:val="en-GB"/>
              </w:rPr>
            </w:pPr>
            <w:r w:rsidRPr="001B3BA5">
              <w:rPr>
                <w:color w:val="auto"/>
                <w:lang w:val="en-GB"/>
              </w:rPr>
              <w:t>13. Country</w:t>
            </w:r>
          </w:p>
        </w:tc>
        <w:tc>
          <w:tcPr>
            <w:tcW w:w="725" w:type="dxa"/>
            <w:shd w:val="clear" w:color="auto" w:fill="auto"/>
            <w:noWrap/>
            <w:vAlign w:val="center"/>
          </w:tcPr>
          <w:p w14:paraId="629D6570" w14:textId="77777777" w:rsidR="002B4207" w:rsidRPr="001B3BA5" w:rsidRDefault="002B4207" w:rsidP="002B4207">
            <w:pPr>
              <w:pStyle w:val="Table"/>
              <w:jc w:val="center"/>
              <w:rPr>
                <w:color w:val="auto"/>
                <w:lang w:val="en-GB"/>
              </w:rPr>
            </w:pPr>
          </w:p>
        </w:tc>
        <w:tc>
          <w:tcPr>
            <w:tcW w:w="664" w:type="dxa"/>
            <w:shd w:val="clear" w:color="auto" w:fill="auto"/>
            <w:noWrap/>
            <w:vAlign w:val="center"/>
          </w:tcPr>
          <w:p w14:paraId="4B495B18" w14:textId="77777777" w:rsidR="002B4207" w:rsidRPr="001B3BA5" w:rsidRDefault="002B4207" w:rsidP="002B4207">
            <w:pPr>
              <w:pStyle w:val="Table"/>
              <w:tabs>
                <w:tab w:val="decimal" w:pos="163"/>
              </w:tabs>
              <w:jc w:val="center"/>
              <w:rPr>
                <w:color w:val="auto"/>
                <w:lang w:val="en-GB"/>
              </w:rPr>
            </w:pPr>
          </w:p>
        </w:tc>
        <w:tc>
          <w:tcPr>
            <w:tcW w:w="1007" w:type="dxa"/>
            <w:shd w:val="clear" w:color="auto" w:fill="auto"/>
            <w:noWrap/>
            <w:vAlign w:val="center"/>
          </w:tcPr>
          <w:p w14:paraId="583886A7" w14:textId="77777777" w:rsidR="002B4207" w:rsidRPr="001B3BA5" w:rsidRDefault="002B4207" w:rsidP="002B4207">
            <w:pPr>
              <w:pStyle w:val="Table"/>
              <w:tabs>
                <w:tab w:val="decimal" w:pos="632"/>
              </w:tabs>
              <w:jc w:val="center"/>
              <w:rPr>
                <w:color w:val="auto"/>
                <w:lang w:val="en-GB"/>
              </w:rPr>
            </w:pPr>
          </w:p>
        </w:tc>
        <w:tc>
          <w:tcPr>
            <w:tcW w:w="692" w:type="dxa"/>
            <w:shd w:val="clear" w:color="auto" w:fill="auto"/>
            <w:noWrap/>
            <w:vAlign w:val="center"/>
          </w:tcPr>
          <w:p w14:paraId="0B9293D5" w14:textId="77777777" w:rsidR="002B4207" w:rsidRPr="001B3BA5" w:rsidRDefault="002B4207" w:rsidP="002B4207">
            <w:pPr>
              <w:pStyle w:val="Table"/>
              <w:tabs>
                <w:tab w:val="decimal" w:pos="475"/>
              </w:tabs>
              <w:jc w:val="center"/>
              <w:rPr>
                <w:color w:val="auto"/>
                <w:lang w:val="en-GB"/>
              </w:rPr>
            </w:pPr>
          </w:p>
        </w:tc>
        <w:tc>
          <w:tcPr>
            <w:tcW w:w="638" w:type="dxa"/>
            <w:vAlign w:val="center"/>
          </w:tcPr>
          <w:p w14:paraId="113DF9B8" w14:textId="77777777" w:rsidR="002B4207" w:rsidRPr="001B3BA5" w:rsidRDefault="002B4207" w:rsidP="002B4207">
            <w:pPr>
              <w:pStyle w:val="Table"/>
              <w:jc w:val="center"/>
              <w:rPr>
                <w:color w:val="auto"/>
                <w:lang w:val="en-GB"/>
              </w:rPr>
            </w:pPr>
            <w:r w:rsidRPr="001B3BA5">
              <w:rPr>
                <w:color w:val="auto"/>
                <w:lang w:val="en-GB"/>
              </w:rPr>
              <w:t>-</w:t>
            </w:r>
          </w:p>
        </w:tc>
        <w:tc>
          <w:tcPr>
            <w:tcW w:w="992" w:type="dxa"/>
            <w:vAlign w:val="center"/>
          </w:tcPr>
          <w:p w14:paraId="11A1C92F" w14:textId="77777777" w:rsidR="002B4207" w:rsidRPr="001B3BA5" w:rsidRDefault="002B4207" w:rsidP="009D45ED">
            <w:pPr>
              <w:pStyle w:val="Table"/>
              <w:tabs>
                <w:tab w:val="decimal" w:pos="0"/>
                <w:tab w:val="decimal" w:pos="424"/>
              </w:tabs>
              <w:jc w:val="left"/>
              <w:rPr>
                <w:color w:val="auto"/>
                <w:lang w:val="en-GB"/>
              </w:rPr>
            </w:pPr>
          </w:p>
        </w:tc>
        <w:tc>
          <w:tcPr>
            <w:tcW w:w="931" w:type="dxa"/>
            <w:vAlign w:val="center"/>
          </w:tcPr>
          <w:p w14:paraId="06AFD28A" w14:textId="77777777" w:rsidR="002B4207" w:rsidRPr="001B3BA5" w:rsidRDefault="002B4207" w:rsidP="002B4207">
            <w:pPr>
              <w:pStyle w:val="Table"/>
              <w:tabs>
                <w:tab w:val="decimal" w:pos="424"/>
              </w:tabs>
              <w:jc w:val="center"/>
              <w:rPr>
                <w:color w:val="auto"/>
                <w:lang w:val="en-GB"/>
              </w:rPr>
            </w:pPr>
          </w:p>
        </w:tc>
        <w:tc>
          <w:tcPr>
            <w:tcW w:w="931" w:type="dxa"/>
            <w:vAlign w:val="center"/>
          </w:tcPr>
          <w:p w14:paraId="222CB008" w14:textId="77777777" w:rsidR="002B4207" w:rsidRPr="001B3BA5" w:rsidRDefault="002B4207" w:rsidP="002B4207">
            <w:pPr>
              <w:pStyle w:val="Table"/>
              <w:jc w:val="center"/>
              <w:rPr>
                <w:color w:val="FF0000"/>
                <w:lang w:val="en-GB"/>
              </w:rPr>
            </w:pPr>
          </w:p>
        </w:tc>
        <w:tc>
          <w:tcPr>
            <w:tcW w:w="931" w:type="dxa"/>
            <w:vAlign w:val="center"/>
          </w:tcPr>
          <w:p w14:paraId="2769E9B7" w14:textId="77777777" w:rsidR="002B4207" w:rsidRPr="001B3BA5" w:rsidRDefault="002B4207" w:rsidP="002B4207">
            <w:pPr>
              <w:pStyle w:val="Table"/>
              <w:jc w:val="center"/>
              <w:rPr>
                <w:color w:val="FF0000"/>
                <w:lang w:val="en-GB"/>
              </w:rPr>
            </w:pPr>
          </w:p>
        </w:tc>
        <w:tc>
          <w:tcPr>
            <w:tcW w:w="932" w:type="dxa"/>
            <w:vAlign w:val="center"/>
          </w:tcPr>
          <w:p w14:paraId="2537DDE9" w14:textId="77777777" w:rsidR="002B4207" w:rsidRPr="001B3BA5" w:rsidRDefault="002B4207" w:rsidP="002B4207">
            <w:pPr>
              <w:pStyle w:val="Table"/>
              <w:jc w:val="center"/>
              <w:rPr>
                <w:color w:val="FF0000"/>
                <w:lang w:val="en-GB"/>
              </w:rPr>
            </w:pPr>
          </w:p>
        </w:tc>
        <w:tc>
          <w:tcPr>
            <w:tcW w:w="931" w:type="dxa"/>
            <w:vAlign w:val="center"/>
          </w:tcPr>
          <w:p w14:paraId="6B48F19C" w14:textId="77777777" w:rsidR="002B4207" w:rsidRPr="001B3BA5" w:rsidRDefault="002B4207" w:rsidP="002B4207">
            <w:pPr>
              <w:pStyle w:val="Table"/>
              <w:jc w:val="center"/>
              <w:rPr>
                <w:color w:val="FF0000"/>
                <w:lang w:val="en-GB"/>
              </w:rPr>
            </w:pPr>
          </w:p>
        </w:tc>
        <w:tc>
          <w:tcPr>
            <w:tcW w:w="931" w:type="dxa"/>
            <w:vAlign w:val="center"/>
          </w:tcPr>
          <w:p w14:paraId="6869CFD3" w14:textId="77777777" w:rsidR="002B4207" w:rsidRPr="001B3BA5" w:rsidRDefault="002B4207" w:rsidP="002B4207">
            <w:pPr>
              <w:pStyle w:val="Table"/>
              <w:jc w:val="center"/>
              <w:rPr>
                <w:color w:val="FF0000"/>
                <w:lang w:val="en-GB"/>
              </w:rPr>
            </w:pPr>
          </w:p>
        </w:tc>
        <w:tc>
          <w:tcPr>
            <w:tcW w:w="931" w:type="dxa"/>
            <w:vAlign w:val="center"/>
          </w:tcPr>
          <w:p w14:paraId="3E56D00F" w14:textId="77777777" w:rsidR="002B4207" w:rsidRPr="001B3BA5" w:rsidRDefault="002B4207" w:rsidP="002B4207">
            <w:pPr>
              <w:pStyle w:val="Table"/>
              <w:jc w:val="center"/>
              <w:rPr>
                <w:color w:val="FF0000"/>
                <w:lang w:val="en-GB"/>
              </w:rPr>
            </w:pPr>
          </w:p>
        </w:tc>
        <w:tc>
          <w:tcPr>
            <w:tcW w:w="932" w:type="dxa"/>
            <w:vAlign w:val="center"/>
          </w:tcPr>
          <w:p w14:paraId="23789356" w14:textId="77777777" w:rsidR="002B4207" w:rsidRPr="001B3BA5" w:rsidRDefault="002B4207" w:rsidP="002B4207">
            <w:pPr>
              <w:pStyle w:val="Table"/>
              <w:jc w:val="center"/>
              <w:rPr>
                <w:color w:val="FF0000"/>
                <w:lang w:val="en-GB"/>
              </w:rPr>
            </w:pPr>
          </w:p>
        </w:tc>
      </w:tr>
      <w:tr w:rsidR="002B4207" w:rsidRPr="001B3BA5" w14:paraId="63A29A8B" w14:textId="77777777" w:rsidTr="002B4207">
        <w:trPr>
          <w:trHeight w:val="300"/>
        </w:trPr>
        <w:tc>
          <w:tcPr>
            <w:tcW w:w="3290" w:type="dxa"/>
            <w:shd w:val="clear" w:color="auto" w:fill="auto"/>
            <w:noWrap/>
            <w:vAlign w:val="center"/>
          </w:tcPr>
          <w:p w14:paraId="4E2BE803" w14:textId="3B715644" w:rsidR="002B4207" w:rsidRPr="001B3BA5" w:rsidRDefault="008F4A37" w:rsidP="002B4207">
            <w:pPr>
              <w:pStyle w:val="Table"/>
              <w:jc w:val="left"/>
              <w:rPr>
                <w:color w:val="auto"/>
                <w:lang w:val="en-GB"/>
              </w:rPr>
            </w:pPr>
            <w:r w:rsidRPr="001B3BA5">
              <w:rPr>
                <w:color w:val="auto"/>
                <w:lang w:val="en-GB"/>
              </w:rPr>
              <w:t xml:space="preserve"> </w:t>
            </w:r>
            <w:r w:rsidR="002B4207" w:rsidRPr="001B3BA5">
              <w:rPr>
                <w:color w:val="auto"/>
                <w:szCs w:val="20"/>
                <w:lang w:val="en-GB"/>
              </w:rPr>
              <w:t>England</w:t>
            </w:r>
          </w:p>
        </w:tc>
        <w:tc>
          <w:tcPr>
            <w:tcW w:w="725" w:type="dxa"/>
            <w:shd w:val="clear" w:color="auto" w:fill="auto"/>
            <w:noWrap/>
            <w:vAlign w:val="center"/>
          </w:tcPr>
          <w:p w14:paraId="05708EA4"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4A1CCAFF" w14:textId="77777777" w:rsidR="002B4207" w:rsidRPr="001B3BA5" w:rsidRDefault="002B4207" w:rsidP="002B4207">
            <w:pPr>
              <w:pStyle w:val="Table"/>
              <w:tabs>
                <w:tab w:val="decimal" w:pos="163"/>
              </w:tabs>
              <w:jc w:val="center"/>
              <w:rPr>
                <w:color w:val="auto"/>
                <w:lang w:val="en-GB"/>
              </w:rPr>
            </w:pPr>
            <w:r w:rsidRPr="001B3BA5">
              <w:rPr>
                <w:color w:val="auto"/>
                <w:lang w:val="en-GB"/>
              </w:rPr>
              <w:t>0/1</w:t>
            </w:r>
          </w:p>
        </w:tc>
        <w:tc>
          <w:tcPr>
            <w:tcW w:w="1007" w:type="dxa"/>
            <w:shd w:val="clear" w:color="auto" w:fill="auto"/>
            <w:noWrap/>
            <w:vAlign w:val="center"/>
          </w:tcPr>
          <w:p w14:paraId="4DA472ED" w14:textId="77777777" w:rsidR="002B4207" w:rsidRPr="001B3BA5" w:rsidRDefault="002B4207" w:rsidP="002B4207">
            <w:pPr>
              <w:pStyle w:val="Table"/>
              <w:tabs>
                <w:tab w:val="decimal" w:pos="632"/>
              </w:tabs>
              <w:jc w:val="center"/>
              <w:rPr>
                <w:color w:val="auto"/>
                <w:lang w:val="en-GB"/>
              </w:rPr>
            </w:pPr>
            <w:r w:rsidRPr="001B3BA5">
              <w:rPr>
                <w:color w:val="auto"/>
                <w:lang w:val="en-GB"/>
              </w:rPr>
              <w:t>.88</w:t>
            </w:r>
          </w:p>
        </w:tc>
        <w:tc>
          <w:tcPr>
            <w:tcW w:w="692" w:type="dxa"/>
            <w:shd w:val="clear" w:color="auto" w:fill="auto"/>
            <w:noWrap/>
            <w:vAlign w:val="center"/>
          </w:tcPr>
          <w:p w14:paraId="38D9C338" w14:textId="77777777" w:rsidR="002B4207" w:rsidRPr="001B3BA5" w:rsidRDefault="002B4207" w:rsidP="002B4207">
            <w:pPr>
              <w:pStyle w:val="Table"/>
              <w:tabs>
                <w:tab w:val="decimal" w:pos="475"/>
              </w:tabs>
              <w:jc w:val="center"/>
              <w:rPr>
                <w:color w:val="auto"/>
                <w:lang w:val="en-GB"/>
              </w:rPr>
            </w:pPr>
            <w:r w:rsidRPr="001B3BA5">
              <w:rPr>
                <w:color w:val="auto"/>
                <w:lang w:val="en-GB"/>
              </w:rPr>
              <w:t>-</w:t>
            </w:r>
          </w:p>
        </w:tc>
        <w:tc>
          <w:tcPr>
            <w:tcW w:w="638" w:type="dxa"/>
            <w:vAlign w:val="center"/>
          </w:tcPr>
          <w:p w14:paraId="1522FC03" w14:textId="77777777" w:rsidR="002B4207" w:rsidRPr="001B3BA5" w:rsidRDefault="002B4207" w:rsidP="002B4207">
            <w:pPr>
              <w:pStyle w:val="Table"/>
              <w:jc w:val="center"/>
              <w:rPr>
                <w:color w:val="auto"/>
                <w:lang w:val="en-GB"/>
              </w:rPr>
            </w:pPr>
            <w:r w:rsidRPr="001B3BA5">
              <w:rPr>
                <w:color w:val="auto"/>
                <w:lang w:val="en-GB"/>
              </w:rPr>
              <w:t>-</w:t>
            </w:r>
          </w:p>
        </w:tc>
        <w:tc>
          <w:tcPr>
            <w:tcW w:w="992" w:type="dxa"/>
            <w:vAlign w:val="center"/>
          </w:tcPr>
          <w:p w14:paraId="7A2AA932" w14:textId="77777777" w:rsidR="002B4207" w:rsidRPr="001B3BA5" w:rsidRDefault="002B4207" w:rsidP="009D45ED">
            <w:pPr>
              <w:pStyle w:val="Table"/>
              <w:tabs>
                <w:tab w:val="decimal" w:pos="0"/>
                <w:tab w:val="decimal" w:pos="424"/>
              </w:tabs>
              <w:jc w:val="left"/>
              <w:rPr>
                <w:color w:val="auto"/>
                <w:lang w:val="en-GB"/>
              </w:rPr>
            </w:pPr>
          </w:p>
        </w:tc>
        <w:tc>
          <w:tcPr>
            <w:tcW w:w="931" w:type="dxa"/>
            <w:vAlign w:val="center"/>
          </w:tcPr>
          <w:p w14:paraId="51A9E683" w14:textId="77777777" w:rsidR="002B4207" w:rsidRPr="001B3BA5" w:rsidRDefault="002B4207" w:rsidP="002B4207">
            <w:pPr>
              <w:pStyle w:val="Table"/>
              <w:tabs>
                <w:tab w:val="decimal" w:pos="424"/>
              </w:tabs>
              <w:jc w:val="center"/>
              <w:rPr>
                <w:color w:val="auto"/>
                <w:lang w:val="en-GB"/>
              </w:rPr>
            </w:pPr>
          </w:p>
        </w:tc>
        <w:tc>
          <w:tcPr>
            <w:tcW w:w="931" w:type="dxa"/>
            <w:vAlign w:val="center"/>
          </w:tcPr>
          <w:p w14:paraId="7DFD1976" w14:textId="77777777" w:rsidR="002B4207" w:rsidRPr="001B3BA5" w:rsidRDefault="002B4207" w:rsidP="002B4207">
            <w:pPr>
              <w:pStyle w:val="Table"/>
              <w:jc w:val="center"/>
              <w:rPr>
                <w:color w:val="FF0000"/>
                <w:lang w:val="en-GB"/>
              </w:rPr>
            </w:pPr>
          </w:p>
        </w:tc>
        <w:tc>
          <w:tcPr>
            <w:tcW w:w="931" w:type="dxa"/>
            <w:vAlign w:val="center"/>
          </w:tcPr>
          <w:p w14:paraId="71C6B6F4" w14:textId="77777777" w:rsidR="002B4207" w:rsidRPr="001B3BA5" w:rsidRDefault="002B4207" w:rsidP="002B4207">
            <w:pPr>
              <w:pStyle w:val="Table"/>
              <w:jc w:val="center"/>
              <w:rPr>
                <w:color w:val="FF0000"/>
                <w:lang w:val="en-GB"/>
              </w:rPr>
            </w:pPr>
          </w:p>
        </w:tc>
        <w:tc>
          <w:tcPr>
            <w:tcW w:w="932" w:type="dxa"/>
            <w:vAlign w:val="center"/>
          </w:tcPr>
          <w:p w14:paraId="6F65AED7" w14:textId="77777777" w:rsidR="002B4207" w:rsidRPr="001B3BA5" w:rsidRDefault="002B4207" w:rsidP="002B4207">
            <w:pPr>
              <w:pStyle w:val="Table"/>
              <w:jc w:val="center"/>
              <w:rPr>
                <w:color w:val="FF0000"/>
                <w:lang w:val="en-GB"/>
              </w:rPr>
            </w:pPr>
          </w:p>
        </w:tc>
        <w:tc>
          <w:tcPr>
            <w:tcW w:w="931" w:type="dxa"/>
            <w:vAlign w:val="center"/>
          </w:tcPr>
          <w:p w14:paraId="2AF16638" w14:textId="77777777" w:rsidR="002B4207" w:rsidRPr="001B3BA5" w:rsidRDefault="002B4207" w:rsidP="002B4207">
            <w:pPr>
              <w:pStyle w:val="Table"/>
              <w:jc w:val="center"/>
              <w:rPr>
                <w:color w:val="FF0000"/>
                <w:lang w:val="en-GB"/>
              </w:rPr>
            </w:pPr>
          </w:p>
        </w:tc>
        <w:tc>
          <w:tcPr>
            <w:tcW w:w="931" w:type="dxa"/>
            <w:vAlign w:val="center"/>
          </w:tcPr>
          <w:p w14:paraId="09EB2C6B" w14:textId="77777777" w:rsidR="002B4207" w:rsidRPr="001B3BA5" w:rsidRDefault="002B4207" w:rsidP="002B4207">
            <w:pPr>
              <w:pStyle w:val="Table"/>
              <w:jc w:val="center"/>
              <w:rPr>
                <w:color w:val="FF0000"/>
                <w:lang w:val="en-GB"/>
              </w:rPr>
            </w:pPr>
          </w:p>
        </w:tc>
        <w:tc>
          <w:tcPr>
            <w:tcW w:w="931" w:type="dxa"/>
            <w:vAlign w:val="center"/>
          </w:tcPr>
          <w:p w14:paraId="1E13AF95" w14:textId="77777777" w:rsidR="002B4207" w:rsidRPr="001B3BA5" w:rsidRDefault="002B4207" w:rsidP="002B4207">
            <w:pPr>
              <w:pStyle w:val="Table"/>
              <w:jc w:val="center"/>
              <w:rPr>
                <w:color w:val="FF0000"/>
                <w:lang w:val="en-GB"/>
              </w:rPr>
            </w:pPr>
          </w:p>
        </w:tc>
        <w:tc>
          <w:tcPr>
            <w:tcW w:w="932" w:type="dxa"/>
            <w:vAlign w:val="center"/>
          </w:tcPr>
          <w:p w14:paraId="7443AF22" w14:textId="77777777" w:rsidR="002B4207" w:rsidRPr="001B3BA5" w:rsidRDefault="002B4207" w:rsidP="002B4207">
            <w:pPr>
              <w:pStyle w:val="Table"/>
              <w:jc w:val="center"/>
              <w:rPr>
                <w:color w:val="FF0000"/>
                <w:lang w:val="en-GB"/>
              </w:rPr>
            </w:pPr>
          </w:p>
        </w:tc>
      </w:tr>
      <w:tr w:rsidR="002B4207" w:rsidRPr="001B3BA5" w14:paraId="466E41F3" w14:textId="77777777" w:rsidTr="002B4207">
        <w:trPr>
          <w:trHeight w:val="300"/>
        </w:trPr>
        <w:tc>
          <w:tcPr>
            <w:tcW w:w="3290" w:type="dxa"/>
            <w:shd w:val="clear" w:color="auto" w:fill="auto"/>
            <w:noWrap/>
            <w:vAlign w:val="center"/>
          </w:tcPr>
          <w:p w14:paraId="700FB59D" w14:textId="06074A45" w:rsidR="002B4207" w:rsidRPr="001B3BA5" w:rsidRDefault="008F4A37" w:rsidP="002B4207">
            <w:pPr>
              <w:pStyle w:val="Table"/>
              <w:jc w:val="left"/>
              <w:rPr>
                <w:color w:val="auto"/>
                <w:lang w:val="en-GB"/>
              </w:rPr>
            </w:pPr>
            <w:r w:rsidRPr="001B3BA5">
              <w:rPr>
                <w:color w:val="auto"/>
                <w:lang w:val="en-GB"/>
              </w:rPr>
              <w:t xml:space="preserve"> </w:t>
            </w:r>
            <w:r w:rsidR="002B4207" w:rsidRPr="001B3BA5">
              <w:rPr>
                <w:color w:val="auto"/>
                <w:lang w:val="en-GB"/>
              </w:rPr>
              <w:t>Scotland</w:t>
            </w:r>
          </w:p>
        </w:tc>
        <w:tc>
          <w:tcPr>
            <w:tcW w:w="725" w:type="dxa"/>
            <w:shd w:val="clear" w:color="auto" w:fill="auto"/>
            <w:noWrap/>
            <w:vAlign w:val="center"/>
          </w:tcPr>
          <w:p w14:paraId="25B73030"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7FC0677E" w14:textId="77777777" w:rsidR="002B4207" w:rsidRPr="001B3BA5" w:rsidRDefault="002B4207" w:rsidP="002B4207">
            <w:pPr>
              <w:pStyle w:val="Table"/>
              <w:tabs>
                <w:tab w:val="decimal" w:pos="163"/>
              </w:tabs>
              <w:jc w:val="center"/>
              <w:rPr>
                <w:color w:val="auto"/>
                <w:lang w:val="en-GB"/>
              </w:rPr>
            </w:pPr>
            <w:r w:rsidRPr="001B3BA5">
              <w:rPr>
                <w:color w:val="auto"/>
                <w:lang w:val="en-GB"/>
              </w:rPr>
              <w:t>0/1</w:t>
            </w:r>
          </w:p>
        </w:tc>
        <w:tc>
          <w:tcPr>
            <w:tcW w:w="1007" w:type="dxa"/>
            <w:shd w:val="clear" w:color="auto" w:fill="auto"/>
            <w:noWrap/>
            <w:vAlign w:val="center"/>
          </w:tcPr>
          <w:p w14:paraId="134F469C" w14:textId="77777777" w:rsidR="002B4207" w:rsidRPr="001B3BA5" w:rsidRDefault="002B4207" w:rsidP="002B4207">
            <w:pPr>
              <w:pStyle w:val="Table"/>
              <w:tabs>
                <w:tab w:val="decimal" w:pos="632"/>
              </w:tabs>
              <w:jc w:val="center"/>
              <w:rPr>
                <w:color w:val="auto"/>
                <w:lang w:val="en-GB"/>
              </w:rPr>
            </w:pPr>
            <w:r w:rsidRPr="001B3BA5">
              <w:rPr>
                <w:color w:val="auto"/>
                <w:lang w:val="en-GB"/>
              </w:rPr>
              <w:t>.08</w:t>
            </w:r>
          </w:p>
        </w:tc>
        <w:tc>
          <w:tcPr>
            <w:tcW w:w="692" w:type="dxa"/>
            <w:shd w:val="clear" w:color="auto" w:fill="auto"/>
            <w:noWrap/>
            <w:vAlign w:val="center"/>
          </w:tcPr>
          <w:p w14:paraId="63548FA2" w14:textId="77777777" w:rsidR="002B4207" w:rsidRPr="001B3BA5" w:rsidRDefault="002B4207" w:rsidP="002B4207">
            <w:pPr>
              <w:pStyle w:val="Table"/>
              <w:tabs>
                <w:tab w:val="decimal" w:pos="475"/>
              </w:tabs>
              <w:jc w:val="center"/>
              <w:rPr>
                <w:color w:val="auto"/>
                <w:lang w:val="en-GB"/>
              </w:rPr>
            </w:pPr>
            <w:r w:rsidRPr="001B3BA5">
              <w:rPr>
                <w:color w:val="auto"/>
                <w:lang w:val="en-GB"/>
              </w:rPr>
              <w:t>-</w:t>
            </w:r>
          </w:p>
        </w:tc>
        <w:tc>
          <w:tcPr>
            <w:tcW w:w="638" w:type="dxa"/>
            <w:vAlign w:val="center"/>
          </w:tcPr>
          <w:p w14:paraId="3E172633" w14:textId="77777777" w:rsidR="002B4207" w:rsidRPr="001B3BA5" w:rsidRDefault="002B4207" w:rsidP="002B4207">
            <w:pPr>
              <w:pStyle w:val="Table"/>
              <w:jc w:val="center"/>
              <w:rPr>
                <w:color w:val="auto"/>
                <w:lang w:val="en-GB"/>
              </w:rPr>
            </w:pPr>
            <w:r w:rsidRPr="001B3BA5">
              <w:rPr>
                <w:color w:val="auto"/>
                <w:lang w:val="en-GB"/>
              </w:rPr>
              <w:t>-</w:t>
            </w:r>
          </w:p>
        </w:tc>
        <w:tc>
          <w:tcPr>
            <w:tcW w:w="992" w:type="dxa"/>
            <w:vAlign w:val="center"/>
          </w:tcPr>
          <w:p w14:paraId="19213F08" w14:textId="77777777" w:rsidR="002B4207" w:rsidRPr="001B3BA5" w:rsidRDefault="002B4207" w:rsidP="009D45ED">
            <w:pPr>
              <w:pStyle w:val="Table"/>
              <w:tabs>
                <w:tab w:val="decimal" w:pos="0"/>
                <w:tab w:val="decimal" w:pos="424"/>
              </w:tabs>
              <w:jc w:val="left"/>
              <w:rPr>
                <w:color w:val="auto"/>
                <w:lang w:val="en-GB"/>
              </w:rPr>
            </w:pPr>
          </w:p>
        </w:tc>
        <w:tc>
          <w:tcPr>
            <w:tcW w:w="931" w:type="dxa"/>
            <w:vAlign w:val="center"/>
          </w:tcPr>
          <w:p w14:paraId="2B7BDAD8" w14:textId="77777777" w:rsidR="002B4207" w:rsidRPr="001B3BA5" w:rsidRDefault="002B4207" w:rsidP="002B4207">
            <w:pPr>
              <w:pStyle w:val="Table"/>
              <w:tabs>
                <w:tab w:val="decimal" w:pos="424"/>
              </w:tabs>
              <w:jc w:val="center"/>
              <w:rPr>
                <w:color w:val="auto"/>
                <w:lang w:val="en-GB"/>
              </w:rPr>
            </w:pPr>
          </w:p>
        </w:tc>
        <w:tc>
          <w:tcPr>
            <w:tcW w:w="931" w:type="dxa"/>
            <w:vAlign w:val="center"/>
          </w:tcPr>
          <w:p w14:paraId="49874824" w14:textId="77777777" w:rsidR="002B4207" w:rsidRPr="001B3BA5" w:rsidRDefault="002B4207" w:rsidP="002B4207">
            <w:pPr>
              <w:pStyle w:val="Table"/>
              <w:jc w:val="center"/>
              <w:rPr>
                <w:color w:val="FF0000"/>
                <w:lang w:val="en-GB"/>
              </w:rPr>
            </w:pPr>
          </w:p>
        </w:tc>
        <w:tc>
          <w:tcPr>
            <w:tcW w:w="931" w:type="dxa"/>
            <w:vAlign w:val="center"/>
          </w:tcPr>
          <w:p w14:paraId="65E76557" w14:textId="77777777" w:rsidR="002B4207" w:rsidRPr="001B3BA5" w:rsidRDefault="002B4207" w:rsidP="002B4207">
            <w:pPr>
              <w:pStyle w:val="Table"/>
              <w:jc w:val="center"/>
              <w:rPr>
                <w:color w:val="FF0000"/>
                <w:lang w:val="en-GB"/>
              </w:rPr>
            </w:pPr>
          </w:p>
        </w:tc>
        <w:tc>
          <w:tcPr>
            <w:tcW w:w="932" w:type="dxa"/>
            <w:vAlign w:val="center"/>
          </w:tcPr>
          <w:p w14:paraId="7927B9C1" w14:textId="77777777" w:rsidR="002B4207" w:rsidRPr="001B3BA5" w:rsidRDefault="002B4207" w:rsidP="002B4207">
            <w:pPr>
              <w:pStyle w:val="Table"/>
              <w:jc w:val="center"/>
              <w:rPr>
                <w:color w:val="FF0000"/>
                <w:lang w:val="en-GB"/>
              </w:rPr>
            </w:pPr>
          </w:p>
        </w:tc>
        <w:tc>
          <w:tcPr>
            <w:tcW w:w="931" w:type="dxa"/>
            <w:vAlign w:val="center"/>
          </w:tcPr>
          <w:p w14:paraId="040E2AB0" w14:textId="77777777" w:rsidR="002B4207" w:rsidRPr="001B3BA5" w:rsidRDefault="002B4207" w:rsidP="002B4207">
            <w:pPr>
              <w:pStyle w:val="Table"/>
              <w:jc w:val="center"/>
              <w:rPr>
                <w:color w:val="FF0000"/>
                <w:lang w:val="en-GB"/>
              </w:rPr>
            </w:pPr>
          </w:p>
        </w:tc>
        <w:tc>
          <w:tcPr>
            <w:tcW w:w="931" w:type="dxa"/>
            <w:vAlign w:val="center"/>
          </w:tcPr>
          <w:p w14:paraId="2E8841EF" w14:textId="77777777" w:rsidR="002B4207" w:rsidRPr="001B3BA5" w:rsidRDefault="002B4207" w:rsidP="002B4207">
            <w:pPr>
              <w:pStyle w:val="Table"/>
              <w:jc w:val="center"/>
              <w:rPr>
                <w:color w:val="FF0000"/>
                <w:lang w:val="en-GB"/>
              </w:rPr>
            </w:pPr>
          </w:p>
        </w:tc>
        <w:tc>
          <w:tcPr>
            <w:tcW w:w="931" w:type="dxa"/>
            <w:vAlign w:val="center"/>
          </w:tcPr>
          <w:p w14:paraId="3C5636CE" w14:textId="77777777" w:rsidR="002B4207" w:rsidRPr="001B3BA5" w:rsidRDefault="002B4207" w:rsidP="002B4207">
            <w:pPr>
              <w:pStyle w:val="Table"/>
              <w:jc w:val="center"/>
              <w:rPr>
                <w:color w:val="FF0000"/>
                <w:lang w:val="en-GB"/>
              </w:rPr>
            </w:pPr>
          </w:p>
        </w:tc>
        <w:tc>
          <w:tcPr>
            <w:tcW w:w="932" w:type="dxa"/>
            <w:vAlign w:val="center"/>
          </w:tcPr>
          <w:p w14:paraId="52815387" w14:textId="77777777" w:rsidR="002B4207" w:rsidRPr="001B3BA5" w:rsidRDefault="002B4207" w:rsidP="002B4207">
            <w:pPr>
              <w:pStyle w:val="Table"/>
              <w:jc w:val="center"/>
              <w:rPr>
                <w:color w:val="FF0000"/>
                <w:lang w:val="en-GB"/>
              </w:rPr>
            </w:pPr>
          </w:p>
        </w:tc>
      </w:tr>
      <w:tr w:rsidR="002B4207" w:rsidRPr="001B3BA5" w14:paraId="74DEA421" w14:textId="77777777" w:rsidTr="002B4207">
        <w:trPr>
          <w:trHeight w:val="300"/>
        </w:trPr>
        <w:tc>
          <w:tcPr>
            <w:tcW w:w="3290" w:type="dxa"/>
            <w:shd w:val="clear" w:color="auto" w:fill="auto"/>
            <w:noWrap/>
            <w:vAlign w:val="center"/>
          </w:tcPr>
          <w:p w14:paraId="0EE4F44D" w14:textId="60B8EB31" w:rsidR="002B4207" w:rsidRPr="001B3BA5" w:rsidRDefault="008F4A37" w:rsidP="002B4207">
            <w:pPr>
              <w:pStyle w:val="Table"/>
              <w:jc w:val="left"/>
              <w:rPr>
                <w:color w:val="auto"/>
                <w:lang w:val="en-GB"/>
              </w:rPr>
            </w:pPr>
            <w:r w:rsidRPr="001B3BA5">
              <w:rPr>
                <w:color w:val="auto"/>
                <w:lang w:val="en-GB"/>
              </w:rPr>
              <w:t xml:space="preserve"> </w:t>
            </w:r>
            <w:r w:rsidR="002B4207" w:rsidRPr="001B3BA5">
              <w:rPr>
                <w:color w:val="auto"/>
                <w:lang w:val="en-GB"/>
              </w:rPr>
              <w:t>Wales</w:t>
            </w:r>
          </w:p>
        </w:tc>
        <w:tc>
          <w:tcPr>
            <w:tcW w:w="725" w:type="dxa"/>
            <w:shd w:val="clear" w:color="auto" w:fill="auto"/>
            <w:noWrap/>
            <w:vAlign w:val="center"/>
          </w:tcPr>
          <w:p w14:paraId="007CEC78" w14:textId="77777777" w:rsidR="002B4207" w:rsidRPr="001B3BA5" w:rsidRDefault="002B4207" w:rsidP="002B4207">
            <w:pPr>
              <w:pStyle w:val="Table"/>
              <w:jc w:val="center"/>
              <w:rPr>
                <w:color w:val="auto"/>
                <w:lang w:val="en-GB"/>
              </w:rPr>
            </w:pPr>
            <w:r w:rsidRPr="001B3BA5">
              <w:rPr>
                <w:color w:val="auto"/>
                <w:lang w:val="en-GB"/>
              </w:rPr>
              <w:t>495</w:t>
            </w:r>
          </w:p>
        </w:tc>
        <w:tc>
          <w:tcPr>
            <w:tcW w:w="664" w:type="dxa"/>
            <w:shd w:val="clear" w:color="auto" w:fill="auto"/>
            <w:noWrap/>
            <w:vAlign w:val="center"/>
          </w:tcPr>
          <w:p w14:paraId="53885770" w14:textId="77777777" w:rsidR="002B4207" w:rsidRPr="001B3BA5" w:rsidRDefault="002B4207" w:rsidP="002B4207">
            <w:pPr>
              <w:pStyle w:val="Table"/>
              <w:tabs>
                <w:tab w:val="decimal" w:pos="163"/>
              </w:tabs>
              <w:jc w:val="center"/>
              <w:rPr>
                <w:color w:val="auto"/>
                <w:lang w:val="en-GB"/>
              </w:rPr>
            </w:pPr>
            <w:r w:rsidRPr="001B3BA5">
              <w:rPr>
                <w:color w:val="auto"/>
                <w:lang w:val="en-GB"/>
              </w:rPr>
              <w:t>0/1</w:t>
            </w:r>
          </w:p>
        </w:tc>
        <w:tc>
          <w:tcPr>
            <w:tcW w:w="1007" w:type="dxa"/>
            <w:shd w:val="clear" w:color="auto" w:fill="auto"/>
            <w:noWrap/>
            <w:vAlign w:val="center"/>
          </w:tcPr>
          <w:p w14:paraId="308F4519" w14:textId="77777777" w:rsidR="002B4207" w:rsidRPr="001B3BA5" w:rsidRDefault="002B4207" w:rsidP="002B4207">
            <w:pPr>
              <w:pStyle w:val="Table"/>
              <w:tabs>
                <w:tab w:val="decimal" w:pos="632"/>
              </w:tabs>
              <w:jc w:val="center"/>
              <w:rPr>
                <w:color w:val="auto"/>
                <w:lang w:val="en-GB"/>
              </w:rPr>
            </w:pPr>
            <w:r w:rsidRPr="001B3BA5">
              <w:rPr>
                <w:color w:val="auto"/>
                <w:lang w:val="en-GB"/>
              </w:rPr>
              <w:t>.04</w:t>
            </w:r>
          </w:p>
        </w:tc>
        <w:tc>
          <w:tcPr>
            <w:tcW w:w="692" w:type="dxa"/>
            <w:shd w:val="clear" w:color="auto" w:fill="auto"/>
            <w:noWrap/>
            <w:vAlign w:val="center"/>
          </w:tcPr>
          <w:p w14:paraId="035A941F" w14:textId="77777777" w:rsidR="002B4207" w:rsidRPr="001B3BA5" w:rsidRDefault="002B4207" w:rsidP="002B4207">
            <w:pPr>
              <w:pStyle w:val="Table"/>
              <w:tabs>
                <w:tab w:val="decimal" w:pos="475"/>
              </w:tabs>
              <w:jc w:val="center"/>
              <w:rPr>
                <w:color w:val="auto"/>
                <w:lang w:val="en-GB"/>
              </w:rPr>
            </w:pPr>
            <w:r w:rsidRPr="001B3BA5">
              <w:rPr>
                <w:color w:val="auto"/>
                <w:lang w:val="en-GB"/>
              </w:rPr>
              <w:t>-</w:t>
            </w:r>
          </w:p>
        </w:tc>
        <w:tc>
          <w:tcPr>
            <w:tcW w:w="638" w:type="dxa"/>
            <w:vAlign w:val="center"/>
          </w:tcPr>
          <w:p w14:paraId="44F11A0A" w14:textId="77777777" w:rsidR="002B4207" w:rsidRPr="001B3BA5" w:rsidRDefault="002B4207" w:rsidP="002B4207">
            <w:pPr>
              <w:pStyle w:val="Table"/>
              <w:jc w:val="center"/>
              <w:rPr>
                <w:color w:val="auto"/>
                <w:lang w:val="en-GB"/>
              </w:rPr>
            </w:pPr>
            <w:r w:rsidRPr="001B3BA5">
              <w:rPr>
                <w:color w:val="auto"/>
                <w:lang w:val="en-GB"/>
              </w:rPr>
              <w:t>-</w:t>
            </w:r>
          </w:p>
        </w:tc>
        <w:tc>
          <w:tcPr>
            <w:tcW w:w="992" w:type="dxa"/>
            <w:vAlign w:val="center"/>
          </w:tcPr>
          <w:p w14:paraId="7080D4FC" w14:textId="77777777" w:rsidR="002B4207" w:rsidRPr="001B3BA5" w:rsidRDefault="002B4207" w:rsidP="009D45ED">
            <w:pPr>
              <w:pStyle w:val="Table"/>
              <w:tabs>
                <w:tab w:val="decimal" w:pos="0"/>
                <w:tab w:val="decimal" w:pos="424"/>
              </w:tabs>
              <w:jc w:val="left"/>
              <w:rPr>
                <w:color w:val="auto"/>
                <w:lang w:val="en-GB"/>
              </w:rPr>
            </w:pPr>
          </w:p>
        </w:tc>
        <w:tc>
          <w:tcPr>
            <w:tcW w:w="931" w:type="dxa"/>
            <w:vAlign w:val="center"/>
          </w:tcPr>
          <w:p w14:paraId="1977C235" w14:textId="77777777" w:rsidR="002B4207" w:rsidRPr="001B3BA5" w:rsidRDefault="002B4207" w:rsidP="002B4207">
            <w:pPr>
              <w:pStyle w:val="Table"/>
              <w:tabs>
                <w:tab w:val="decimal" w:pos="424"/>
              </w:tabs>
              <w:jc w:val="center"/>
              <w:rPr>
                <w:color w:val="auto"/>
                <w:lang w:val="en-GB"/>
              </w:rPr>
            </w:pPr>
          </w:p>
        </w:tc>
        <w:tc>
          <w:tcPr>
            <w:tcW w:w="931" w:type="dxa"/>
            <w:vAlign w:val="center"/>
          </w:tcPr>
          <w:p w14:paraId="22622C12" w14:textId="77777777" w:rsidR="002B4207" w:rsidRPr="001B3BA5" w:rsidRDefault="002B4207" w:rsidP="002B4207">
            <w:pPr>
              <w:pStyle w:val="Table"/>
              <w:jc w:val="center"/>
              <w:rPr>
                <w:color w:val="FF0000"/>
                <w:lang w:val="en-GB"/>
              </w:rPr>
            </w:pPr>
          </w:p>
        </w:tc>
        <w:tc>
          <w:tcPr>
            <w:tcW w:w="931" w:type="dxa"/>
            <w:vAlign w:val="center"/>
          </w:tcPr>
          <w:p w14:paraId="2B416696" w14:textId="77777777" w:rsidR="002B4207" w:rsidRPr="001B3BA5" w:rsidRDefault="002B4207" w:rsidP="002B4207">
            <w:pPr>
              <w:pStyle w:val="Table"/>
              <w:jc w:val="center"/>
              <w:rPr>
                <w:color w:val="FF0000"/>
                <w:lang w:val="en-GB"/>
              </w:rPr>
            </w:pPr>
          </w:p>
        </w:tc>
        <w:tc>
          <w:tcPr>
            <w:tcW w:w="932" w:type="dxa"/>
            <w:vAlign w:val="center"/>
          </w:tcPr>
          <w:p w14:paraId="07095D3D" w14:textId="77777777" w:rsidR="002B4207" w:rsidRPr="001B3BA5" w:rsidRDefault="002B4207" w:rsidP="002B4207">
            <w:pPr>
              <w:pStyle w:val="Table"/>
              <w:jc w:val="center"/>
              <w:rPr>
                <w:color w:val="FF0000"/>
                <w:lang w:val="en-GB"/>
              </w:rPr>
            </w:pPr>
          </w:p>
        </w:tc>
        <w:tc>
          <w:tcPr>
            <w:tcW w:w="931" w:type="dxa"/>
            <w:vAlign w:val="center"/>
          </w:tcPr>
          <w:p w14:paraId="0D4AB159" w14:textId="77777777" w:rsidR="002B4207" w:rsidRPr="001B3BA5" w:rsidRDefault="002B4207" w:rsidP="002B4207">
            <w:pPr>
              <w:pStyle w:val="Table"/>
              <w:jc w:val="center"/>
              <w:rPr>
                <w:color w:val="FF0000"/>
                <w:lang w:val="en-GB"/>
              </w:rPr>
            </w:pPr>
          </w:p>
        </w:tc>
        <w:tc>
          <w:tcPr>
            <w:tcW w:w="931" w:type="dxa"/>
            <w:vAlign w:val="center"/>
          </w:tcPr>
          <w:p w14:paraId="0582620D" w14:textId="77777777" w:rsidR="002B4207" w:rsidRPr="001B3BA5" w:rsidRDefault="002B4207" w:rsidP="002B4207">
            <w:pPr>
              <w:pStyle w:val="Table"/>
              <w:jc w:val="center"/>
              <w:rPr>
                <w:color w:val="FF0000"/>
                <w:lang w:val="en-GB"/>
              </w:rPr>
            </w:pPr>
          </w:p>
        </w:tc>
        <w:tc>
          <w:tcPr>
            <w:tcW w:w="931" w:type="dxa"/>
            <w:vAlign w:val="center"/>
          </w:tcPr>
          <w:p w14:paraId="75F84178" w14:textId="77777777" w:rsidR="002B4207" w:rsidRPr="001B3BA5" w:rsidRDefault="002B4207" w:rsidP="002B4207">
            <w:pPr>
              <w:pStyle w:val="Table"/>
              <w:jc w:val="center"/>
              <w:rPr>
                <w:color w:val="FF0000"/>
                <w:lang w:val="en-GB"/>
              </w:rPr>
            </w:pPr>
          </w:p>
        </w:tc>
        <w:tc>
          <w:tcPr>
            <w:tcW w:w="932" w:type="dxa"/>
            <w:vAlign w:val="center"/>
          </w:tcPr>
          <w:p w14:paraId="4FF49400" w14:textId="77777777" w:rsidR="002B4207" w:rsidRPr="001B3BA5" w:rsidRDefault="002B4207" w:rsidP="002B4207">
            <w:pPr>
              <w:pStyle w:val="Table"/>
              <w:jc w:val="center"/>
              <w:rPr>
                <w:color w:val="FF0000"/>
                <w:lang w:val="en-GB"/>
              </w:rPr>
            </w:pPr>
          </w:p>
        </w:tc>
      </w:tr>
      <w:tr w:rsidR="002B4207" w:rsidRPr="001B3BA5" w14:paraId="18A9F4A7" w14:textId="77777777" w:rsidTr="002B4207">
        <w:trPr>
          <w:trHeight w:val="77"/>
        </w:trPr>
        <w:tc>
          <w:tcPr>
            <w:tcW w:w="15458" w:type="dxa"/>
            <w:gridSpan w:val="15"/>
            <w:tcBorders>
              <w:top w:val="single" w:sz="24" w:space="0" w:color="000000" w:themeColor="text1"/>
              <w:bottom w:val="nil"/>
            </w:tcBorders>
          </w:tcPr>
          <w:p w14:paraId="1C4B87EB" w14:textId="660A3489" w:rsidR="002B4207" w:rsidRPr="001B3BA5" w:rsidRDefault="002B4207" w:rsidP="002B4207">
            <w:pPr>
              <w:pStyle w:val="Table"/>
              <w:rPr>
                <w:i/>
                <w:color w:val="auto"/>
                <w:lang w:val="en-GB"/>
              </w:rPr>
            </w:pPr>
            <w:r w:rsidRPr="001B3BA5">
              <w:rPr>
                <w:i/>
                <w:color w:val="auto"/>
                <w:lang w:val="en-GB"/>
              </w:rPr>
              <w:t>Note:</w:t>
            </w:r>
            <w:r w:rsidRPr="001B3BA5">
              <w:rPr>
                <w:color w:val="auto"/>
                <w:lang w:val="en-GB"/>
              </w:rPr>
              <w:t xml:space="preserve"> Descriptive statistics were based on manifest mean scores. For the correlations, only </w:t>
            </w:r>
            <w:r w:rsidRPr="001B3BA5">
              <w:rPr>
                <w:color w:val="auto"/>
                <w:szCs w:val="20"/>
                <w:lang w:val="en-GB"/>
              </w:rPr>
              <w:t>CPO, exclusive determination right, and immigrant minority attitudes were treated as latent, as in the final model</w:t>
            </w:r>
            <w:r w:rsidRPr="001B3BA5">
              <w:rPr>
                <w:color w:val="auto"/>
                <w:lang w:val="en-GB"/>
              </w:rPr>
              <w:t>.</w:t>
            </w:r>
            <w:r w:rsidRPr="001B3BA5">
              <w:rPr>
                <w:i/>
                <w:color w:val="auto"/>
                <w:lang w:val="en-GB"/>
              </w:rPr>
              <w:t xml:space="preserve"> α</w:t>
            </w:r>
            <w:r w:rsidRPr="001B3BA5">
              <w:rPr>
                <w:i/>
                <w:color w:val="auto"/>
                <w:szCs w:val="20"/>
                <w:lang w:val="en-GB"/>
              </w:rPr>
              <w:t xml:space="preserve"> </w:t>
            </w:r>
            <w:r w:rsidRPr="001B3BA5">
              <w:rPr>
                <w:color w:val="auto"/>
                <w:szCs w:val="20"/>
                <w:lang w:val="en-GB"/>
              </w:rPr>
              <w:t>is Cronbach’s alpha</w:t>
            </w:r>
            <w:r w:rsidRPr="001B3BA5">
              <w:rPr>
                <w:i/>
                <w:color w:val="auto"/>
                <w:szCs w:val="20"/>
                <w:lang w:val="en-GB"/>
              </w:rPr>
              <w:t xml:space="preserve">. t </w:t>
            </w:r>
            <w:r w:rsidRPr="001B3BA5">
              <w:rPr>
                <w:color w:val="auto"/>
                <w:szCs w:val="20"/>
                <w:lang w:val="en-GB"/>
              </w:rPr>
              <w:t xml:space="preserve">is the t-statistic of difference from the midpoint of the scale. </w:t>
            </w:r>
            <w:r w:rsidRPr="001B3BA5">
              <w:rPr>
                <w:color w:val="auto"/>
                <w:lang w:val="en-GB"/>
              </w:rPr>
              <w:t xml:space="preserve">All statistics were based on the weighted data. </w:t>
            </w:r>
            <w:r w:rsidRPr="001B3BA5">
              <w:rPr>
                <w:color w:val="auto"/>
                <w:szCs w:val="20"/>
                <w:lang w:val="en-GB"/>
              </w:rPr>
              <w:t>*</w:t>
            </w:r>
            <w:r w:rsidRPr="001B3BA5">
              <w:rPr>
                <w:i/>
                <w:iCs/>
                <w:color w:val="auto"/>
                <w:szCs w:val="20"/>
                <w:lang w:val="en-GB"/>
              </w:rPr>
              <w:t>p</w:t>
            </w:r>
            <w:r w:rsidR="00584266" w:rsidRPr="001B3BA5">
              <w:rPr>
                <w:i/>
                <w:iCs/>
                <w:color w:val="auto"/>
                <w:szCs w:val="20"/>
                <w:lang w:val="en-GB"/>
              </w:rPr>
              <w:t xml:space="preserve"> </w:t>
            </w:r>
            <w:r w:rsidR="00955643" w:rsidRPr="001B3BA5">
              <w:rPr>
                <w:color w:val="auto"/>
                <w:szCs w:val="20"/>
                <w:lang w:val="en-GB"/>
              </w:rPr>
              <w:t>&lt;</w:t>
            </w:r>
            <w:r w:rsidR="00584266" w:rsidRPr="001B3BA5">
              <w:rPr>
                <w:color w:val="auto"/>
                <w:szCs w:val="20"/>
                <w:lang w:val="en-GB"/>
              </w:rPr>
              <w:t xml:space="preserve"> </w:t>
            </w:r>
            <w:r w:rsidRPr="001B3BA5">
              <w:rPr>
                <w:color w:val="auto"/>
                <w:szCs w:val="20"/>
                <w:lang w:val="en-GB"/>
              </w:rPr>
              <w:t>.05</w:t>
            </w:r>
            <w:r w:rsidR="00584266" w:rsidRPr="001B3BA5">
              <w:rPr>
                <w:color w:val="auto"/>
                <w:szCs w:val="20"/>
                <w:lang w:val="en-GB"/>
              </w:rPr>
              <w:t>,</w:t>
            </w:r>
            <w:r w:rsidRPr="001B3BA5">
              <w:rPr>
                <w:color w:val="auto"/>
                <w:szCs w:val="20"/>
                <w:lang w:val="en-GB"/>
              </w:rPr>
              <w:t xml:space="preserve"> **</w:t>
            </w:r>
            <w:r w:rsidRPr="001B3BA5">
              <w:rPr>
                <w:i/>
                <w:color w:val="auto"/>
                <w:szCs w:val="20"/>
                <w:lang w:val="en-GB"/>
              </w:rPr>
              <w:t>p</w:t>
            </w:r>
            <w:r w:rsidR="00584266" w:rsidRPr="001B3BA5">
              <w:rPr>
                <w:i/>
                <w:color w:val="auto"/>
                <w:szCs w:val="20"/>
                <w:lang w:val="en-GB"/>
              </w:rPr>
              <w:t xml:space="preserve"> </w:t>
            </w:r>
            <w:r w:rsidR="00955643" w:rsidRPr="001B3BA5">
              <w:rPr>
                <w:i/>
                <w:color w:val="auto"/>
                <w:szCs w:val="20"/>
                <w:lang w:val="en-GB"/>
              </w:rPr>
              <w:t>&lt;</w:t>
            </w:r>
            <w:r w:rsidR="00584266" w:rsidRPr="001B3BA5">
              <w:rPr>
                <w:i/>
                <w:color w:val="auto"/>
                <w:szCs w:val="20"/>
                <w:lang w:val="en-GB"/>
              </w:rPr>
              <w:t xml:space="preserve"> </w:t>
            </w:r>
            <w:r w:rsidRPr="001B3BA5">
              <w:rPr>
                <w:color w:val="auto"/>
                <w:szCs w:val="20"/>
                <w:lang w:val="en-GB"/>
              </w:rPr>
              <w:t>.01; ***</w:t>
            </w:r>
            <w:r w:rsidRPr="001B3BA5">
              <w:rPr>
                <w:i/>
                <w:color w:val="auto"/>
                <w:szCs w:val="20"/>
                <w:lang w:val="en-GB"/>
              </w:rPr>
              <w:t>p</w:t>
            </w:r>
            <w:r w:rsidR="00584266" w:rsidRPr="001B3BA5">
              <w:rPr>
                <w:i/>
                <w:color w:val="auto"/>
                <w:szCs w:val="20"/>
                <w:lang w:val="en-GB"/>
              </w:rPr>
              <w:t xml:space="preserve"> </w:t>
            </w:r>
            <w:r w:rsidR="00955643" w:rsidRPr="001B3BA5">
              <w:rPr>
                <w:color w:val="auto"/>
                <w:szCs w:val="20"/>
                <w:lang w:val="en-GB"/>
              </w:rPr>
              <w:t>&lt;</w:t>
            </w:r>
            <w:r w:rsidR="00584266" w:rsidRPr="001B3BA5">
              <w:rPr>
                <w:color w:val="auto"/>
                <w:szCs w:val="20"/>
                <w:lang w:val="en-GB"/>
              </w:rPr>
              <w:t xml:space="preserve"> </w:t>
            </w:r>
            <w:r w:rsidRPr="001B3BA5">
              <w:rPr>
                <w:color w:val="auto"/>
                <w:szCs w:val="20"/>
                <w:lang w:val="en-GB"/>
              </w:rPr>
              <w:t>.001.</w:t>
            </w:r>
          </w:p>
        </w:tc>
      </w:tr>
      <w:bookmarkEnd w:id="52"/>
      <w:bookmarkEnd w:id="53"/>
    </w:tbl>
    <w:p w14:paraId="6FF09E86" w14:textId="77777777" w:rsidR="0051771C" w:rsidRPr="001B3BA5" w:rsidRDefault="0051771C">
      <w:pPr>
        <w:rPr>
          <w:lang w:val="en-GB"/>
        </w:rPr>
      </w:pPr>
    </w:p>
    <w:p w14:paraId="7CFE636D" w14:textId="77777777" w:rsidR="0051771C" w:rsidRPr="001B3BA5" w:rsidRDefault="0051771C">
      <w:pPr>
        <w:rPr>
          <w:lang w:val="en-GB"/>
        </w:rPr>
      </w:pPr>
    </w:p>
    <w:p w14:paraId="46394A67" w14:textId="77777777" w:rsidR="0051771C" w:rsidRPr="001B3BA5" w:rsidRDefault="0051771C">
      <w:pPr>
        <w:rPr>
          <w:lang w:val="en-GB"/>
        </w:rPr>
      </w:pPr>
    </w:p>
    <w:p w14:paraId="11428D3B" w14:textId="31984562" w:rsidR="005F6AE6" w:rsidRPr="001B3BA5" w:rsidRDefault="005F6AE6">
      <w:pPr>
        <w:rPr>
          <w:lang w:val="en-GB"/>
        </w:rPr>
      </w:pPr>
      <w:bookmarkStart w:id="54" w:name="_Hlk11836097"/>
    </w:p>
    <w:bookmarkEnd w:id="49"/>
    <w:bookmarkEnd w:id="54"/>
    <w:p w14:paraId="75F248DF" w14:textId="23D43CBC" w:rsidR="00A37155" w:rsidRPr="001B3BA5" w:rsidRDefault="00A37155" w:rsidP="004D27E2">
      <w:pPr>
        <w:rPr>
          <w:rFonts w:ascii="Times New Roman" w:hAnsi="Times New Roman" w:cs="Times New Roman"/>
          <w:b/>
          <w:sz w:val="24"/>
          <w:szCs w:val="24"/>
          <w:lang w:val="en-GB"/>
        </w:rPr>
        <w:sectPr w:rsidR="00A37155" w:rsidRPr="001B3BA5" w:rsidSect="00A37155">
          <w:pgSz w:w="16838" w:h="11906" w:orient="landscape"/>
          <w:pgMar w:top="1418" w:right="1418" w:bottom="1418" w:left="1418" w:header="709" w:footer="709" w:gutter="0"/>
          <w:cols w:space="708"/>
          <w:docGrid w:linePitch="360"/>
        </w:sectPr>
      </w:pPr>
    </w:p>
    <w:p w14:paraId="7C034024" w14:textId="597010C5" w:rsidR="00B2399A" w:rsidRPr="001B3BA5" w:rsidRDefault="00B2399A" w:rsidP="008B3A35">
      <w:pPr>
        <w:spacing w:line="360" w:lineRule="auto"/>
        <w:rPr>
          <w:rFonts w:ascii="Times New Roman" w:hAnsi="Times New Roman" w:cs="Times New Roman"/>
          <w:b/>
          <w:sz w:val="24"/>
          <w:szCs w:val="24"/>
          <w:lang w:val="en-GB"/>
        </w:rPr>
      </w:pPr>
      <w:r w:rsidRPr="001B3BA5">
        <w:rPr>
          <w:rFonts w:ascii="Times New Roman" w:hAnsi="Times New Roman" w:cs="Times New Roman"/>
          <w:b/>
          <w:noProof/>
          <w:sz w:val="24"/>
          <w:szCs w:val="24"/>
          <w:lang w:val="en-GB" w:eastAsia="en-GB"/>
        </w:rPr>
        <w:drawing>
          <wp:inline distT="0" distB="0" distL="0" distR="0" wp14:anchorId="3B402D3C" wp14:editId="2B4A6500">
            <wp:extent cx="5759450" cy="2719070"/>
            <wp:effectExtent l="0" t="0" r="0" b="508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dy 1 result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59450" cy="2719070"/>
                    </a:xfrm>
                    <a:prstGeom prst="rect">
                      <a:avLst/>
                    </a:prstGeom>
                  </pic:spPr>
                </pic:pic>
              </a:graphicData>
            </a:graphic>
          </wp:inline>
        </w:drawing>
      </w:r>
    </w:p>
    <w:p w14:paraId="63D0A946" w14:textId="5ED76EE9" w:rsidR="00B2399A" w:rsidRPr="001B3BA5" w:rsidRDefault="00B2399A" w:rsidP="008B3A35">
      <w:pPr>
        <w:spacing w:line="360" w:lineRule="auto"/>
        <w:rPr>
          <w:rFonts w:ascii="Times New Roman" w:hAnsi="Times New Roman" w:cs="Times New Roman"/>
          <w:sz w:val="24"/>
          <w:szCs w:val="24"/>
          <w:lang w:val="en-GB"/>
        </w:rPr>
      </w:pPr>
      <w:r w:rsidRPr="001B3BA5">
        <w:rPr>
          <w:rFonts w:ascii="Times New Roman" w:hAnsi="Times New Roman" w:cs="Times New Roman"/>
          <w:b/>
          <w:sz w:val="24"/>
          <w:szCs w:val="24"/>
          <w:lang w:val="en-GB"/>
        </w:rPr>
        <w:t>Figure 1.</w:t>
      </w:r>
      <w:r w:rsidRPr="001B3BA5">
        <w:rPr>
          <w:rFonts w:ascii="Times New Roman" w:hAnsi="Times New Roman" w:cs="Times New Roman"/>
          <w:sz w:val="24"/>
          <w:szCs w:val="24"/>
          <w:lang w:val="en-GB"/>
        </w:rPr>
        <w:t xml:space="preserve"> Standardi</w:t>
      </w:r>
      <w:r w:rsidR="00501604">
        <w:rPr>
          <w:rFonts w:ascii="Times New Roman" w:hAnsi="Times New Roman" w:cs="Times New Roman"/>
          <w:sz w:val="24"/>
          <w:szCs w:val="24"/>
          <w:lang w:val="en-GB"/>
        </w:rPr>
        <w:t>s</w:t>
      </w:r>
      <w:r w:rsidRPr="001B3BA5">
        <w:rPr>
          <w:rFonts w:ascii="Times New Roman" w:hAnsi="Times New Roman" w:cs="Times New Roman"/>
          <w:sz w:val="24"/>
          <w:szCs w:val="24"/>
          <w:lang w:val="en-GB"/>
        </w:rPr>
        <w:t>ed coefficients of the main paths of the final structural equation model in Study 1 (</w:t>
      </w:r>
      <w:r w:rsidRPr="001B3BA5">
        <w:rPr>
          <w:rFonts w:ascii="Times New Roman" w:hAnsi="Times New Roman" w:cs="Times New Roman"/>
          <w:i/>
          <w:iCs/>
          <w:sz w:val="24"/>
          <w:szCs w:val="24"/>
          <w:lang w:val="en-GB"/>
        </w:rPr>
        <w:t xml:space="preserve">N </w:t>
      </w:r>
      <w:r w:rsidRPr="001B3BA5">
        <w:rPr>
          <w:rFonts w:ascii="Times New Roman" w:hAnsi="Times New Roman" w:cs="Times New Roman"/>
          <w:sz w:val="24"/>
          <w:szCs w:val="24"/>
          <w:lang w:val="en-GB"/>
        </w:rPr>
        <w:t xml:space="preserve">= 572). </w:t>
      </w:r>
      <w:r w:rsidR="00226495" w:rsidRPr="001B3BA5">
        <w:rPr>
          <w:rFonts w:ascii="Times New Roman" w:hAnsi="Times New Roman" w:cs="Times New Roman"/>
          <w:sz w:val="24"/>
          <w:szCs w:val="24"/>
          <w:lang w:val="en-GB"/>
        </w:rPr>
        <w:t>Included c</w:t>
      </w:r>
      <w:r w:rsidRPr="001B3BA5">
        <w:rPr>
          <w:rFonts w:ascii="Times New Roman" w:hAnsi="Times New Roman" w:cs="Times New Roman"/>
          <w:sz w:val="24"/>
          <w:szCs w:val="24"/>
          <w:lang w:val="en-GB"/>
        </w:rPr>
        <w:t>ontrol variables were not reported. *</w:t>
      </w:r>
      <w:r w:rsidRPr="001B3BA5">
        <w:rPr>
          <w:rFonts w:ascii="Times New Roman" w:hAnsi="Times New Roman" w:cs="Times New Roman"/>
          <w:i/>
          <w:iCs/>
          <w:sz w:val="24"/>
          <w:szCs w:val="24"/>
          <w:lang w:val="en-GB"/>
        </w:rPr>
        <w:t>p</w:t>
      </w:r>
      <w:r w:rsidR="00584266" w:rsidRPr="001B3BA5">
        <w:rPr>
          <w:rFonts w:ascii="Times New Roman" w:hAnsi="Times New Roman" w:cs="Times New Roman"/>
          <w:i/>
          <w:iCs/>
          <w:sz w:val="24"/>
          <w:szCs w:val="24"/>
          <w:lang w:val="en-GB"/>
        </w:rPr>
        <w:t xml:space="preserve"> </w:t>
      </w:r>
      <w:r w:rsidRPr="001B3BA5">
        <w:rPr>
          <w:rFonts w:ascii="Times New Roman" w:hAnsi="Times New Roman" w:cs="Times New Roman"/>
          <w:sz w:val="24"/>
          <w:szCs w:val="24"/>
          <w:lang w:val="en-GB"/>
        </w:rPr>
        <w:t>&lt;</w:t>
      </w:r>
      <w:r w:rsidR="00584266" w:rsidRPr="001B3BA5">
        <w:rPr>
          <w:rFonts w:ascii="Times New Roman" w:hAnsi="Times New Roman" w:cs="Times New Roman"/>
          <w:sz w:val="24"/>
          <w:szCs w:val="24"/>
          <w:lang w:val="en-GB"/>
        </w:rPr>
        <w:t xml:space="preserve"> </w:t>
      </w:r>
      <w:r w:rsidRPr="001B3BA5">
        <w:rPr>
          <w:rFonts w:ascii="Times New Roman" w:hAnsi="Times New Roman" w:cs="Times New Roman"/>
          <w:sz w:val="24"/>
          <w:szCs w:val="24"/>
          <w:lang w:val="en-GB"/>
        </w:rPr>
        <w:t>.05</w:t>
      </w:r>
      <w:r w:rsidR="00584266"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w:t>
      </w:r>
      <w:r w:rsidRPr="001B3BA5">
        <w:rPr>
          <w:rFonts w:ascii="Times New Roman" w:hAnsi="Times New Roman" w:cs="Times New Roman"/>
          <w:i/>
          <w:iCs/>
          <w:sz w:val="24"/>
          <w:szCs w:val="24"/>
          <w:lang w:val="en-GB"/>
        </w:rPr>
        <w:t>p</w:t>
      </w:r>
      <w:r w:rsidR="00584266" w:rsidRPr="001B3BA5">
        <w:rPr>
          <w:rFonts w:ascii="Times New Roman" w:hAnsi="Times New Roman" w:cs="Times New Roman"/>
          <w:i/>
          <w:iCs/>
          <w:sz w:val="24"/>
          <w:szCs w:val="24"/>
          <w:lang w:val="en-GB"/>
        </w:rPr>
        <w:t xml:space="preserve"> </w:t>
      </w:r>
      <w:r w:rsidRPr="001B3BA5">
        <w:rPr>
          <w:rFonts w:ascii="Times New Roman" w:hAnsi="Times New Roman" w:cs="Times New Roman"/>
          <w:sz w:val="24"/>
          <w:szCs w:val="24"/>
          <w:lang w:val="en-GB"/>
        </w:rPr>
        <w:t>&lt;</w:t>
      </w:r>
      <w:r w:rsidR="00584266" w:rsidRPr="001B3BA5">
        <w:rPr>
          <w:rFonts w:ascii="Times New Roman" w:hAnsi="Times New Roman" w:cs="Times New Roman"/>
          <w:sz w:val="24"/>
          <w:szCs w:val="24"/>
          <w:lang w:val="en-GB"/>
        </w:rPr>
        <w:t xml:space="preserve"> </w:t>
      </w:r>
      <w:r w:rsidRPr="001B3BA5">
        <w:rPr>
          <w:rFonts w:ascii="Times New Roman" w:hAnsi="Times New Roman" w:cs="Times New Roman"/>
          <w:sz w:val="24"/>
          <w:szCs w:val="24"/>
          <w:lang w:val="en-GB"/>
        </w:rPr>
        <w:t>.001.</w:t>
      </w:r>
    </w:p>
    <w:p w14:paraId="5B9E9FCA" w14:textId="09C6BB16" w:rsidR="008B3A35" w:rsidRPr="001B3BA5" w:rsidRDefault="001C7CB5" w:rsidP="008B3A35">
      <w:pPr>
        <w:spacing w:line="360" w:lineRule="auto"/>
        <w:rPr>
          <w:rFonts w:ascii="Times New Roman" w:hAnsi="Times New Roman" w:cs="Times New Roman"/>
          <w:sz w:val="24"/>
          <w:szCs w:val="24"/>
          <w:lang w:val="en-GB"/>
        </w:rPr>
      </w:pPr>
      <w:r w:rsidRPr="001B3BA5">
        <w:rPr>
          <w:noProof/>
          <w:lang w:val="en-GB" w:eastAsia="en-GB"/>
        </w:rPr>
        <w:drawing>
          <wp:inline distT="0" distB="0" distL="0" distR="0" wp14:anchorId="08830CC7" wp14:editId="611E1C30">
            <wp:extent cx="5759450" cy="3907155"/>
            <wp:effectExtent l="0" t="0" r="0" b="0"/>
            <wp:docPr id="1" name="Chart 1">
              <a:extLst xmlns:a="http://schemas.openxmlformats.org/drawingml/2006/main">
                <a:ext uri="{FF2B5EF4-FFF2-40B4-BE49-F238E27FC236}">
                  <a16:creationId xmlns:a16="http://schemas.microsoft.com/office/drawing/2014/main" id="{7BA7A8D7-226F-4944-839D-C0F94CE5AE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8B3A35" w:rsidRPr="001B3BA5">
        <w:rPr>
          <w:rFonts w:ascii="Times New Roman" w:hAnsi="Times New Roman" w:cs="Times New Roman"/>
          <w:b/>
          <w:sz w:val="24"/>
          <w:szCs w:val="24"/>
          <w:lang w:val="en-GB"/>
        </w:rPr>
        <w:t xml:space="preserve">Figure </w:t>
      </w:r>
      <w:r w:rsidR="00B2399A" w:rsidRPr="001B3BA5">
        <w:rPr>
          <w:rFonts w:ascii="Times New Roman" w:hAnsi="Times New Roman" w:cs="Times New Roman"/>
          <w:b/>
          <w:sz w:val="24"/>
          <w:szCs w:val="24"/>
          <w:lang w:val="en-GB"/>
        </w:rPr>
        <w:t>2</w:t>
      </w:r>
      <w:r w:rsidR="008B3A35" w:rsidRPr="001B3BA5">
        <w:rPr>
          <w:rFonts w:ascii="Times New Roman" w:hAnsi="Times New Roman" w:cs="Times New Roman"/>
          <w:b/>
          <w:sz w:val="24"/>
          <w:szCs w:val="24"/>
          <w:lang w:val="en-GB"/>
        </w:rPr>
        <w:t>.</w:t>
      </w:r>
      <w:r w:rsidR="008B3A35" w:rsidRPr="001B3BA5">
        <w:rPr>
          <w:rFonts w:ascii="Times New Roman" w:hAnsi="Times New Roman" w:cs="Times New Roman"/>
          <w:sz w:val="24"/>
          <w:szCs w:val="24"/>
          <w:lang w:val="en-GB"/>
        </w:rPr>
        <w:t xml:space="preserve"> Simple slopes </w:t>
      </w:r>
      <w:r w:rsidR="00E125A1" w:rsidRPr="001B3BA5">
        <w:rPr>
          <w:rFonts w:ascii="Times New Roman" w:hAnsi="Times New Roman" w:cs="Times New Roman"/>
          <w:sz w:val="24"/>
          <w:szCs w:val="24"/>
          <w:lang w:val="en-GB"/>
        </w:rPr>
        <w:t xml:space="preserve">from </w:t>
      </w:r>
      <w:r w:rsidR="008B3A35" w:rsidRPr="001B3BA5">
        <w:rPr>
          <w:rFonts w:ascii="Times New Roman" w:hAnsi="Times New Roman" w:cs="Times New Roman"/>
          <w:sz w:val="24"/>
          <w:szCs w:val="24"/>
          <w:lang w:val="en-GB"/>
        </w:rPr>
        <w:t xml:space="preserve">the interaction </w:t>
      </w:r>
      <w:r w:rsidR="00E125A1" w:rsidRPr="001B3BA5">
        <w:rPr>
          <w:rFonts w:ascii="Times New Roman" w:hAnsi="Times New Roman" w:cs="Times New Roman"/>
          <w:sz w:val="24"/>
          <w:szCs w:val="24"/>
          <w:lang w:val="en-GB"/>
        </w:rPr>
        <w:t>between</w:t>
      </w:r>
      <w:r w:rsidR="008B3A35" w:rsidRPr="001B3BA5">
        <w:rPr>
          <w:rFonts w:ascii="Times New Roman" w:hAnsi="Times New Roman" w:cs="Times New Roman"/>
          <w:sz w:val="24"/>
          <w:szCs w:val="24"/>
          <w:lang w:val="en-GB"/>
        </w:rPr>
        <w:t xml:space="preserve"> political ideology </w:t>
      </w:r>
      <w:r w:rsidR="00E125A1" w:rsidRPr="001B3BA5">
        <w:rPr>
          <w:rFonts w:ascii="Times New Roman" w:hAnsi="Times New Roman" w:cs="Times New Roman"/>
          <w:sz w:val="24"/>
          <w:szCs w:val="24"/>
          <w:lang w:val="en-GB"/>
        </w:rPr>
        <w:t>and</w:t>
      </w:r>
      <w:r w:rsidR="008B3A35" w:rsidRPr="001B3BA5">
        <w:rPr>
          <w:rFonts w:ascii="Times New Roman" w:hAnsi="Times New Roman" w:cs="Times New Roman"/>
          <w:sz w:val="24"/>
          <w:szCs w:val="24"/>
          <w:lang w:val="en-GB"/>
        </w:rPr>
        <w:t xml:space="preserve"> exclusive determination right </w:t>
      </w:r>
      <w:r w:rsidR="00E125A1" w:rsidRPr="001B3BA5">
        <w:rPr>
          <w:rFonts w:ascii="Times New Roman" w:hAnsi="Times New Roman" w:cs="Times New Roman"/>
          <w:sz w:val="24"/>
          <w:szCs w:val="24"/>
          <w:lang w:val="en-GB"/>
        </w:rPr>
        <w:t xml:space="preserve">on </w:t>
      </w:r>
      <w:r w:rsidR="008B3A35" w:rsidRPr="001B3BA5">
        <w:rPr>
          <w:rFonts w:ascii="Times New Roman" w:hAnsi="Times New Roman" w:cs="Times New Roman"/>
          <w:sz w:val="24"/>
          <w:szCs w:val="24"/>
          <w:lang w:val="en-GB"/>
        </w:rPr>
        <w:t>immigrant minority attitudes in Study 1. Low determination right is 1 standard deviation below the mean of exclusive determination right (-1) and high determination right is 1 standard deviation above the mean (1). The Y-axis represents the standardi</w:t>
      </w:r>
      <w:r w:rsidR="00501604">
        <w:rPr>
          <w:rFonts w:ascii="Times New Roman" w:hAnsi="Times New Roman" w:cs="Times New Roman"/>
          <w:sz w:val="24"/>
          <w:szCs w:val="24"/>
          <w:lang w:val="en-GB"/>
        </w:rPr>
        <w:t>s</w:t>
      </w:r>
      <w:r w:rsidR="008B3A35" w:rsidRPr="001B3BA5">
        <w:rPr>
          <w:rFonts w:ascii="Times New Roman" w:hAnsi="Times New Roman" w:cs="Times New Roman"/>
          <w:sz w:val="24"/>
          <w:szCs w:val="24"/>
          <w:lang w:val="en-GB"/>
        </w:rPr>
        <w:t xml:space="preserve">ed scale of the </w:t>
      </w:r>
      <w:r w:rsidR="0030226E" w:rsidRPr="001B3BA5">
        <w:rPr>
          <w:rFonts w:ascii="Times New Roman" w:hAnsi="Times New Roman" w:cs="Times New Roman"/>
          <w:sz w:val="24"/>
          <w:szCs w:val="24"/>
          <w:lang w:val="en-GB"/>
        </w:rPr>
        <w:t xml:space="preserve">latent </w:t>
      </w:r>
      <w:r w:rsidR="008B3A35" w:rsidRPr="001B3BA5">
        <w:rPr>
          <w:rFonts w:ascii="Times New Roman" w:hAnsi="Times New Roman" w:cs="Times New Roman"/>
          <w:sz w:val="24"/>
          <w:szCs w:val="24"/>
          <w:lang w:val="en-GB"/>
        </w:rPr>
        <w:t>dependent variable.</w:t>
      </w:r>
    </w:p>
    <w:p w14:paraId="05BC48F4" w14:textId="287F4B8E" w:rsidR="00B2399A" w:rsidRPr="001B3BA5" w:rsidRDefault="00B2399A" w:rsidP="008B3A35">
      <w:pPr>
        <w:spacing w:line="360" w:lineRule="auto"/>
        <w:rPr>
          <w:rFonts w:ascii="Times New Roman" w:hAnsi="Times New Roman" w:cs="Times New Roman"/>
          <w:sz w:val="24"/>
          <w:szCs w:val="24"/>
          <w:lang w:val="en-GB"/>
        </w:rPr>
      </w:pPr>
      <w:r w:rsidRPr="001B3BA5">
        <w:rPr>
          <w:rFonts w:ascii="Times New Roman" w:hAnsi="Times New Roman" w:cs="Times New Roman"/>
          <w:noProof/>
          <w:sz w:val="24"/>
          <w:szCs w:val="24"/>
          <w:lang w:val="en-GB" w:eastAsia="en-GB"/>
        </w:rPr>
        <w:drawing>
          <wp:inline distT="0" distB="0" distL="0" distR="0" wp14:anchorId="41A49D05" wp14:editId="74B3959B">
            <wp:extent cx="5759450" cy="2811780"/>
            <wp:effectExtent l="0" t="0" r="0" b="762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udy 2 result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59450" cy="2811780"/>
                    </a:xfrm>
                    <a:prstGeom prst="rect">
                      <a:avLst/>
                    </a:prstGeom>
                  </pic:spPr>
                </pic:pic>
              </a:graphicData>
            </a:graphic>
          </wp:inline>
        </w:drawing>
      </w:r>
    </w:p>
    <w:p w14:paraId="38419BB6" w14:textId="675641A4" w:rsidR="00B2399A" w:rsidRPr="001B3BA5" w:rsidRDefault="00B2399A" w:rsidP="00B2399A">
      <w:pPr>
        <w:spacing w:line="360" w:lineRule="auto"/>
        <w:rPr>
          <w:rFonts w:ascii="Times New Roman" w:hAnsi="Times New Roman" w:cs="Times New Roman"/>
          <w:sz w:val="24"/>
          <w:szCs w:val="24"/>
          <w:lang w:val="en-GB"/>
        </w:rPr>
      </w:pPr>
      <w:r w:rsidRPr="001B3BA5">
        <w:rPr>
          <w:rFonts w:ascii="Times New Roman" w:hAnsi="Times New Roman" w:cs="Times New Roman"/>
          <w:b/>
          <w:sz w:val="24"/>
          <w:szCs w:val="24"/>
          <w:lang w:val="en-GB"/>
        </w:rPr>
        <w:t>Figure 3.</w:t>
      </w:r>
      <w:r w:rsidRPr="001B3BA5">
        <w:rPr>
          <w:rFonts w:ascii="Times New Roman" w:hAnsi="Times New Roman" w:cs="Times New Roman"/>
          <w:sz w:val="24"/>
          <w:szCs w:val="24"/>
          <w:lang w:val="en-GB"/>
        </w:rPr>
        <w:t xml:space="preserve"> Standardi</w:t>
      </w:r>
      <w:r w:rsidR="00501604">
        <w:rPr>
          <w:rFonts w:ascii="Times New Roman" w:hAnsi="Times New Roman" w:cs="Times New Roman"/>
          <w:sz w:val="24"/>
          <w:szCs w:val="24"/>
          <w:lang w:val="en-GB"/>
        </w:rPr>
        <w:t>s</w:t>
      </w:r>
      <w:r w:rsidRPr="001B3BA5">
        <w:rPr>
          <w:rFonts w:ascii="Times New Roman" w:hAnsi="Times New Roman" w:cs="Times New Roman"/>
          <w:sz w:val="24"/>
          <w:szCs w:val="24"/>
          <w:lang w:val="en-GB"/>
        </w:rPr>
        <w:t>ed coefficients of the main paths of the final structural equation model in Study 2 (</w:t>
      </w:r>
      <w:r w:rsidRPr="001B3BA5">
        <w:rPr>
          <w:rFonts w:ascii="Times New Roman" w:hAnsi="Times New Roman" w:cs="Times New Roman"/>
          <w:i/>
          <w:iCs/>
          <w:sz w:val="24"/>
          <w:szCs w:val="24"/>
          <w:lang w:val="en-GB"/>
        </w:rPr>
        <w:t xml:space="preserve">N </w:t>
      </w:r>
      <w:r w:rsidRPr="001B3BA5">
        <w:rPr>
          <w:rFonts w:ascii="Times New Roman" w:hAnsi="Times New Roman" w:cs="Times New Roman"/>
          <w:sz w:val="24"/>
          <w:szCs w:val="24"/>
          <w:lang w:val="en-GB"/>
        </w:rPr>
        <w:t xml:space="preserve">= 495). </w:t>
      </w:r>
      <w:r w:rsidR="00226495" w:rsidRPr="001B3BA5">
        <w:rPr>
          <w:rFonts w:ascii="Times New Roman" w:hAnsi="Times New Roman" w:cs="Times New Roman"/>
          <w:sz w:val="24"/>
          <w:szCs w:val="24"/>
          <w:lang w:val="en-GB"/>
        </w:rPr>
        <w:t>Included c</w:t>
      </w:r>
      <w:r w:rsidRPr="001B3BA5">
        <w:rPr>
          <w:rFonts w:ascii="Times New Roman" w:hAnsi="Times New Roman" w:cs="Times New Roman"/>
          <w:sz w:val="24"/>
          <w:szCs w:val="24"/>
          <w:lang w:val="en-GB"/>
        </w:rPr>
        <w:t>ontrol variables were not reported. *</w:t>
      </w:r>
      <w:r w:rsidRPr="001B3BA5">
        <w:rPr>
          <w:rFonts w:ascii="Times New Roman" w:hAnsi="Times New Roman" w:cs="Times New Roman"/>
          <w:i/>
          <w:iCs/>
          <w:sz w:val="24"/>
          <w:szCs w:val="24"/>
          <w:lang w:val="en-GB"/>
        </w:rPr>
        <w:t>p</w:t>
      </w:r>
      <w:r w:rsidR="00584266" w:rsidRPr="001B3BA5">
        <w:rPr>
          <w:rFonts w:ascii="Times New Roman" w:hAnsi="Times New Roman" w:cs="Times New Roman"/>
          <w:i/>
          <w:iCs/>
          <w:sz w:val="24"/>
          <w:szCs w:val="24"/>
          <w:lang w:val="en-GB"/>
        </w:rPr>
        <w:t xml:space="preserve"> </w:t>
      </w:r>
      <w:r w:rsidRPr="001B3BA5">
        <w:rPr>
          <w:rFonts w:ascii="Times New Roman" w:hAnsi="Times New Roman" w:cs="Times New Roman"/>
          <w:sz w:val="24"/>
          <w:szCs w:val="24"/>
          <w:lang w:val="en-GB"/>
        </w:rPr>
        <w:t>&lt;</w:t>
      </w:r>
      <w:r w:rsidR="00584266" w:rsidRPr="001B3BA5">
        <w:rPr>
          <w:rFonts w:ascii="Times New Roman" w:hAnsi="Times New Roman" w:cs="Times New Roman"/>
          <w:sz w:val="24"/>
          <w:szCs w:val="24"/>
          <w:lang w:val="en-GB"/>
        </w:rPr>
        <w:t xml:space="preserve"> </w:t>
      </w:r>
      <w:r w:rsidRPr="001B3BA5">
        <w:rPr>
          <w:rFonts w:ascii="Times New Roman" w:hAnsi="Times New Roman" w:cs="Times New Roman"/>
          <w:sz w:val="24"/>
          <w:szCs w:val="24"/>
          <w:lang w:val="en-GB"/>
        </w:rPr>
        <w:t>.05</w:t>
      </w:r>
      <w:r w:rsidR="00584266"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w:t>
      </w:r>
      <w:r w:rsidRPr="001B3BA5">
        <w:rPr>
          <w:rFonts w:ascii="Times New Roman" w:hAnsi="Times New Roman" w:cs="Times New Roman"/>
          <w:i/>
          <w:iCs/>
          <w:sz w:val="24"/>
          <w:szCs w:val="24"/>
          <w:lang w:val="en-GB"/>
        </w:rPr>
        <w:t>p</w:t>
      </w:r>
      <w:r w:rsidR="00584266" w:rsidRPr="001B3BA5">
        <w:rPr>
          <w:rFonts w:ascii="Times New Roman" w:hAnsi="Times New Roman" w:cs="Times New Roman"/>
          <w:i/>
          <w:iCs/>
          <w:sz w:val="24"/>
          <w:szCs w:val="24"/>
          <w:lang w:val="en-GB"/>
        </w:rPr>
        <w:t xml:space="preserve"> </w:t>
      </w:r>
      <w:r w:rsidRPr="001B3BA5">
        <w:rPr>
          <w:rFonts w:ascii="Times New Roman" w:hAnsi="Times New Roman" w:cs="Times New Roman"/>
          <w:sz w:val="24"/>
          <w:szCs w:val="24"/>
          <w:lang w:val="en-GB"/>
        </w:rPr>
        <w:t>&lt;</w:t>
      </w:r>
      <w:r w:rsidR="00584266" w:rsidRPr="001B3BA5">
        <w:rPr>
          <w:rFonts w:ascii="Times New Roman" w:hAnsi="Times New Roman" w:cs="Times New Roman"/>
          <w:sz w:val="24"/>
          <w:szCs w:val="24"/>
          <w:lang w:val="en-GB"/>
        </w:rPr>
        <w:t xml:space="preserve"> </w:t>
      </w:r>
      <w:r w:rsidRPr="001B3BA5">
        <w:rPr>
          <w:rFonts w:ascii="Times New Roman" w:hAnsi="Times New Roman" w:cs="Times New Roman"/>
          <w:sz w:val="24"/>
          <w:szCs w:val="24"/>
          <w:lang w:val="en-GB"/>
        </w:rPr>
        <w:t>.01</w:t>
      </w:r>
      <w:r w:rsidR="00584266" w:rsidRPr="001B3BA5">
        <w:rPr>
          <w:rFonts w:ascii="Times New Roman" w:hAnsi="Times New Roman" w:cs="Times New Roman"/>
          <w:sz w:val="24"/>
          <w:szCs w:val="24"/>
          <w:lang w:val="en-GB"/>
        </w:rPr>
        <w:t>,</w:t>
      </w:r>
      <w:r w:rsidRPr="001B3BA5">
        <w:rPr>
          <w:rFonts w:ascii="Times New Roman" w:hAnsi="Times New Roman" w:cs="Times New Roman"/>
          <w:sz w:val="24"/>
          <w:szCs w:val="24"/>
          <w:lang w:val="en-GB"/>
        </w:rPr>
        <w:t xml:space="preserve"> ***</w:t>
      </w:r>
      <w:r w:rsidRPr="001B3BA5">
        <w:rPr>
          <w:rFonts w:ascii="Times New Roman" w:hAnsi="Times New Roman" w:cs="Times New Roman"/>
          <w:i/>
          <w:iCs/>
          <w:sz w:val="24"/>
          <w:szCs w:val="24"/>
          <w:lang w:val="en-GB"/>
        </w:rPr>
        <w:t>p</w:t>
      </w:r>
      <w:r w:rsidR="00584266" w:rsidRPr="001B3BA5">
        <w:rPr>
          <w:rFonts w:ascii="Times New Roman" w:hAnsi="Times New Roman" w:cs="Times New Roman"/>
          <w:i/>
          <w:iCs/>
          <w:sz w:val="24"/>
          <w:szCs w:val="24"/>
          <w:lang w:val="en-GB"/>
        </w:rPr>
        <w:t xml:space="preserve"> </w:t>
      </w:r>
      <w:r w:rsidRPr="001B3BA5">
        <w:rPr>
          <w:rFonts w:ascii="Times New Roman" w:hAnsi="Times New Roman" w:cs="Times New Roman"/>
          <w:sz w:val="24"/>
          <w:szCs w:val="24"/>
          <w:lang w:val="en-GB"/>
        </w:rPr>
        <w:t>&lt;</w:t>
      </w:r>
      <w:r w:rsidR="00584266" w:rsidRPr="001B3BA5">
        <w:rPr>
          <w:rFonts w:ascii="Times New Roman" w:hAnsi="Times New Roman" w:cs="Times New Roman"/>
          <w:sz w:val="24"/>
          <w:szCs w:val="24"/>
          <w:lang w:val="en-GB"/>
        </w:rPr>
        <w:t xml:space="preserve"> </w:t>
      </w:r>
      <w:r w:rsidRPr="001B3BA5">
        <w:rPr>
          <w:rFonts w:ascii="Times New Roman" w:hAnsi="Times New Roman" w:cs="Times New Roman"/>
          <w:sz w:val="24"/>
          <w:szCs w:val="24"/>
          <w:lang w:val="en-GB"/>
        </w:rPr>
        <w:t>.001.</w:t>
      </w:r>
    </w:p>
    <w:p w14:paraId="36823DF5" w14:textId="77777777" w:rsidR="00B2399A" w:rsidRPr="001B3BA5" w:rsidRDefault="00B2399A" w:rsidP="008B3A35">
      <w:pPr>
        <w:spacing w:line="360" w:lineRule="auto"/>
        <w:rPr>
          <w:rFonts w:ascii="Times New Roman" w:hAnsi="Times New Roman" w:cs="Times New Roman"/>
          <w:sz w:val="24"/>
          <w:szCs w:val="24"/>
          <w:lang w:val="en-GB"/>
        </w:rPr>
      </w:pPr>
    </w:p>
    <w:p w14:paraId="086171AD" w14:textId="77777777" w:rsidR="00B2399A" w:rsidRPr="001B3BA5" w:rsidRDefault="00B2399A" w:rsidP="008B3A35">
      <w:pPr>
        <w:spacing w:line="360" w:lineRule="auto"/>
        <w:rPr>
          <w:rFonts w:ascii="Times New Roman" w:hAnsi="Times New Roman" w:cs="Times New Roman"/>
          <w:sz w:val="24"/>
          <w:szCs w:val="24"/>
          <w:lang w:val="en-GB"/>
        </w:rPr>
      </w:pPr>
    </w:p>
    <w:p w14:paraId="05C4F25E" w14:textId="77777777" w:rsidR="00B2399A" w:rsidRPr="001B3BA5" w:rsidRDefault="00B2399A" w:rsidP="008B3A35">
      <w:pPr>
        <w:spacing w:line="360" w:lineRule="auto"/>
        <w:rPr>
          <w:rFonts w:ascii="Times New Roman" w:hAnsi="Times New Roman" w:cs="Times New Roman"/>
          <w:sz w:val="24"/>
          <w:szCs w:val="24"/>
          <w:lang w:val="en-GB"/>
        </w:rPr>
      </w:pPr>
    </w:p>
    <w:p w14:paraId="675B7151" w14:textId="77777777" w:rsidR="00B2399A" w:rsidRPr="001B3BA5" w:rsidRDefault="00B2399A" w:rsidP="008B3A35">
      <w:pPr>
        <w:spacing w:line="360" w:lineRule="auto"/>
        <w:rPr>
          <w:rFonts w:ascii="Times New Roman" w:hAnsi="Times New Roman" w:cs="Times New Roman"/>
          <w:sz w:val="24"/>
          <w:szCs w:val="24"/>
          <w:lang w:val="en-GB"/>
        </w:rPr>
      </w:pPr>
    </w:p>
    <w:p w14:paraId="50F04B98" w14:textId="6F92A1F0" w:rsidR="008B3A35" w:rsidRPr="001B3BA5" w:rsidRDefault="001C7CB5" w:rsidP="008B3A35">
      <w:pPr>
        <w:spacing w:line="360" w:lineRule="auto"/>
        <w:rPr>
          <w:rFonts w:ascii="Times New Roman" w:hAnsi="Times New Roman" w:cs="Times New Roman"/>
          <w:sz w:val="24"/>
          <w:szCs w:val="24"/>
          <w:lang w:val="en-GB"/>
        </w:rPr>
      </w:pPr>
      <w:r w:rsidRPr="001B3BA5">
        <w:rPr>
          <w:noProof/>
          <w:lang w:val="en-GB" w:eastAsia="en-GB"/>
        </w:rPr>
        <w:drawing>
          <wp:inline distT="0" distB="0" distL="0" distR="0" wp14:anchorId="54AA9199" wp14:editId="744F23D9">
            <wp:extent cx="5759450" cy="3907155"/>
            <wp:effectExtent l="0" t="0" r="0" b="0"/>
            <wp:docPr id="4" name="Chart 4">
              <a:extLst xmlns:a="http://schemas.openxmlformats.org/drawingml/2006/main">
                <a:ext uri="{FF2B5EF4-FFF2-40B4-BE49-F238E27FC236}">
                  <a16:creationId xmlns:a16="http://schemas.microsoft.com/office/drawing/2014/main" id="{AA3FFB62-1ECD-4CC4-80DC-5592981FED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2D256D" w14:textId="15D23022" w:rsidR="008B3A35" w:rsidRPr="001B3BA5" w:rsidRDefault="008B3A35">
      <w:pPr>
        <w:spacing w:line="360" w:lineRule="auto"/>
        <w:rPr>
          <w:rFonts w:ascii="Times New Roman" w:hAnsi="Times New Roman" w:cs="Times New Roman"/>
          <w:lang w:val="en-GB"/>
        </w:rPr>
      </w:pPr>
      <w:r w:rsidRPr="001B3BA5">
        <w:rPr>
          <w:rFonts w:ascii="Times New Roman" w:hAnsi="Times New Roman" w:cs="Times New Roman"/>
          <w:b/>
          <w:sz w:val="24"/>
          <w:szCs w:val="24"/>
          <w:lang w:val="en-GB"/>
        </w:rPr>
        <w:t xml:space="preserve">Figure </w:t>
      </w:r>
      <w:r w:rsidR="004F4396" w:rsidRPr="001B3BA5">
        <w:rPr>
          <w:rFonts w:ascii="Times New Roman" w:hAnsi="Times New Roman" w:cs="Times New Roman"/>
          <w:b/>
          <w:sz w:val="24"/>
          <w:szCs w:val="24"/>
          <w:lang w:val="en-GB"/>
        </w:rPr>
        <w:t>4</w:t>
      </w:r>
      <w:r w:rsidRPr="001B3BA5">
        <w:rPr>
          <w:rFonts w:ascii="Times New Roman" w:hAnsi="Times New Roman" w:cs="Times New Roman"/>
          <w:b/>
          <w:sz w:val="24"/>
          <w:szCs w:val="24"/>
          <w:lang w:val="en-GB"/>
        </w:rPr>
        <w:t>.</w:t>
      </w:r>
      <w:r w:rsidRPr="001B3BA5">
        <w:rPr>
          <w:rFonts w:ascii="Times New Roman" w:hAnsi="Times New Roman" w:cs="Times New Roman"/>
          <w:sz w:val="24"/>
          <w:szCs w:val="24"/>
          <w:lang w:val="en-GB"/>
        </w:rPr>
        <w:t xml:space="preserve"> Simple slopes </w:t>
      </w:r>
      <w:r w:rsidR="00E125A1" w:rsidRPr="001B3BA5">
        <w:rPr>
          <w:rFonts w:ascii="Times New Roman" w:hAnsi="Times New Roman" w:cs="Times New Roman"/>
          <w:sz w:val="24"/>
          <w:szCs w:val="24"/>
          <w:lang w:val="en-GB"/>
        </w:rPr>
        <w:t xml:space="preserve">for </w:t>
      </w:r>
      <w:r w:rsidRPr="001B3BA5">
        <w:rPr>
          <w:rFonts w:ascii="Times New Roman" w:hAnsi="Times New Roman" w:cs="Times New Roman"/>
          <w:sz w:val="24"/>
          <w:szCs w:val="24"/>
          <w:lang w:val="en-GB"/>
        </w:rPr>
        <w:t xml:space="preserve">the interaction </w:t>
      </w:r>
      <w:r w:rsidR="00E125A1" w:rsidRPr="001B3BA5">
        <w:rPr>
          <w:rFonts w:ascii="Times New Roman" w:hAnsi="Times New Roman" w:cs="Times New Roman"/>
          <w:sz w:val="24"/>
          <w:szCs w:val="24"/>
          <w:lang w:val="en-GB"/>
        </w:rPr>
        <w:t xml:space="preserve">between </w:t>
      </w:r>
      <w:r w:rsidRPr="001B3BA5">
        <w:rPr>
          <w:rFonts w:ascii="Times New Roman" w:hAnsi="Times New Roman" w:cs="Times New Roman"/>
          <w:sz w:val="24"/>
          <w:szCs w:val="24"/>
          <w:lang w:val="en-GB"/>
        </w:rPr>
        <w:t xml:space="preserve">political ideology </w:t>
      </w:r>
      <w:r w:rsidR="00E125A1" w:rsidRPr="001B3BA5">
        <w:rPr>
          <w:rFonts w:ascii="Times New Roman" w:hAnsi="Times New Roman" w:cs="Times New Roman"/>
          <w:sz w:val="24"/>
          <w:szCs w:val="24"/>
          <w:lang w:val="en-GB"/>
        </w:rPr>
        <w:t xml:space="preserve">and </w:t>
      </w:r>
      <w:r w:rsidRPr="001B3BA5">
        <w:rPr>
          <w:rFonts w:ascii="Times New Roman" w:hAnsi="Times New Roman" w:cs="Times New Roman"/>
          <w:sz w:val="24"/>
          <w:szCs w:val="24"/>
          <w:lang w:val="en-GB"/>
        </w:rPr>
        <w:t xml:space="preserve">CPO </w:t>
      </w:r>
      <w:r w:rsidR="00E125A1" w:rsidRPr="001B3BA5">
        <w:rPr>
          <w:rFonts w:ascii="Times New Roman" w:hAnsi="Times New Roman" w:cs="Times New Roman"/>
          <w:sz w:val="24"/>
          <w:szCs w:val="24"/>
          <w:lang w:val="en-GB"/>
        </w:rPr>
        <w:t xml:space="preserve">on </w:t>
      </w:r>
      <w:r w:rsidRPr="001B3BA5">
        <w:rPr>
          <w:rFonts w:ascii="Times New Roman" w:hAnsi="Times New Roman" w:cs="Times New Roman"/>
          <w:sz w:val="24"/>
          <w:szCs w:val="24"/>
          <w:lang w:val="en-GB"/>
        </w:rPr>
        <w:t xml:space="preserve">European integration attitudes in Study 2. Low CPO is 1 </w:t>
      </w:r>
      <w:r w:rsidR="00584266" w:rsidRPr="001B3BA5">
        <w:rPr>
          <w:rFonts w:ascii="Times New Roman" w:hAnsi="Times New Roman" w:cs="Times New Roman"/>
          <w:sz w:val="24"/>
          <w:szCs w:val="24"/>
          <w:lang w:val="en-GB"/>
        </w:rPr>
        <w:t>S</w:t>
      </w:r>
      <w:r w:rsidRPr="001B3BA5">
        <w:rPr>
          <w:rFonts w:ascii="Times New Roman" w:hAnsi="Times New Roman" w:cs="Times New Roman"/>
          <w:sz w:val="24"/>
          <w:szCs w:val="24"/>
          <w:lang w:val="en-GB"/>
        </w:rPr>
        <w:t xml:space="preserve">tandard </w:t>
      </w:r>
      <w:r w:rsidR="00584266" w:rsidRPr="001B3BA5">
        <w:rPr>
          <w:rFonts w:ascii="Times New Roman" w:hAnsi="Times New Roman" w:cs="Times New Roman"/>
          <w:sz w:val="24"/>
          <w:szCs w:val="24"/>
          <w:lang w:val="en-GB"/>
        </w:rPr>
        <w:t>D</w:t>
      </w:r>
      <w:r w:rsidRPr="001B3BA5">
        <w:rPr>
          <w:rFonts w:ascii="Times New Roman" w:hAnsi="Times New Roman" w:cs="Times New Roman"/>
          <w:sz w:val="24"/>
          <w:szCs w:val="24"/>
          <w:lang w:val="en-GB"/>
        </w:rPr>
        <w:t xml:space="preserve">eviation below the mean of CPO (-1) and high </w:t>
      </w:r>
      <w:r w:rsidR="008339B1" w:rsidRPr="001B3BA5">
        <w:rPr>
          <w:rFonts w:ascii="Times New Roman" w:hAnsi="Times New Roman" w:cs="Times New Roman"/>
          <w:sz w:val="24"/>
          <w:szCs w:val="24"/>
          <w:lang w:val="en-GB"/>
        </w:rPr>
        <w:t>CPO</w:t>
      </w:r>
      <w:r w:rsidRPr="001B3BA5">
        <w:rPr>
          <w:rFonts w:ascii="Times New Roman" w:hAnsi="Times New Roman" w:cs="Times New Roman"/>
          <w:sz w:val="24"/>
          <w:szCs w:val="24"/>
          <w:lang w:val="en-GB"/>
        </w:rPr>
        <w:t xml:space="preserve"> is 1 </w:t>
      </w:r>
      <w:r w:rsidR="00584266" w:rsidRPr="001B3BA5">
        <w:rPr>
          <w:rFonts w:ascii="Times New Roman" w:hAnsi="Times New Roman" w:cs="Times New Roman"/>
          <w:sz w:val="24"/>
          <w:szCs w:val="24"/>
          <w:lang w:val="en-GB"/>
        </w:rPr>
        <w:t>S</w:t>
      </w:r>
      <w:r w:rsidRPr="001B3BA5">
        <w:rPr>
          <w:rFonts w:ascii="Times New Roman" w:hAnsi="Times New Roman" w:cs="Times New Roman"/>
          <w:sz w:val="24"/>
          <w:szCs w:val="24"/>
          <w:lang w:val="en-GB"/>
        </w:rPr>
        <w:t xml:space="preserve">tandard </w:t>
      </w:r>
      <w:r w:rsidR="00584266" w:rsidRPr="001B3BA5">
        <w:rPr>
          <w:rFonts w:ascii="Times New Roman" w:hAnsi="Times New Roman" w:cs="Times New Roman"/>
          <w:sz w:val="24"/>
          <w:szCs w:val="24"/>
          <w:lang w:val="en-GB"/>
        </w:rPr>
        <w:t>D</w:t>
      </w:r>
      <w:r w:rsidRPr="001B3BA5">
        <w:rPr>
          <w:rFonts w:ascii="Times New Roman" w:hAnsi="Times New Roman" w:cs="Times New Roman"/>
          <w:sz w:val="24"/>
          <w:szCs w:val="24"/>
          <w:lang w:val="en-GB"/>
        </w:rPr>
        <w:t xml:space="preserve">eviation above the mean (1). </w:t>
      </w:r>
      <w:bookmarkEnd w:id="0"/>
    </w:p>
    <w:sectPr w:rsidR="008B3A35" w:rsidRPr="001B3BA5" w:rsidSect="004A777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2F1E4" w14:textId="77777777" w:rsidR="00C3382D" w:rsidRDefault="00C3382D" w:rsidP="00EE5C23">
      <w:pPr>
        <w:spacing w:after="0" w:line="240" w:lineRule="auto"/>
      </w:pPr>
      <w:r>
        <w:separator/>
      </w:r>
    </w:p>
  </w:endnote>
  <w:endnote w:type="continuationSeparator" w:id="0">
    <w:p w14:paraId="604A5DF5" w14:textId="77777777" w:rsidR="00C3382D" w:rsidRDefault="00C3382D" w:rsidP="00EE5C23">
      <w:pPr>
        <w:spacing w:after="0" w:line="240" w:lineRule="auto"/>
      </w:pPr>
      <w:r>
        <w:continuationSeparator/>
      </w:r>
    </w:p>
  </w:endnote>
  <w:endnote w:type="continuationNotice" w:id="1">
    <w:p w14:paraId="40A52B13" w14:textId="77777777" w:rsidR="00C3382D" w:rsidRDefault="00C33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925E" w14:textId="184BE88E" w:rsidR="005C3D1E" w:rsidRPr="00E85D75" w:rsidRDefault="005C3D1E">
    <w:pPr>
      <w:pStyle w:val="Footer"/>
      <w:jc w:val="right"/>
      <w:rPr>
        <w:rFonts w:ascii="Times New Roman" w:hAnsi="Times New Roman" w:cs="Times New Roman"/>
        <w:sz w:val="24"/>
        <w:szCs w:val="24"/>
      </w:rPr>
    </w:pPr>
  </w:p>
  <w:p w14:paraId="2E28F23C" w14:textId="77777777" w:rsidR="005C3D1E" w:rsidRPr="00E85D75" w:rsidRDefault="005C3D1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5EFE2" w14:textId="77777777" w:rsidR="00C3382D" w:rsidRDefault="00C3382D" w:rsidP="00EE5C23">
      <w:pPr>
        <w:spacing w:after="0" w:line="240" w:lineRule="auto"/>
      </w:pPr>
      <w:r>
        <w:separator/>
      </w:r>
    </w:p>
  </w:footnote>
  <w:footnote w:type="continuationSeparator" w:id="0">
    <w:p w14:paraId="221A1EBB" w14:textId="77777777" w:rsidR="00C3382D" w:rsidRDefault="00C3382D" w:rsidP="00EE5C23">
      <w:pPr>
        <w:spacing w:after="0" w:line="240" w:lineRule="auto"/>
      </w:pPr>
      <w:r>
        <w:continuationSeparator/>
      </w:r>
    </w:p>
  </w:footnote>
  <w:footnote w:type="continuationNotice" w:id="1">
    <w:p w14:paraId="78A0074D" w14:textId="77777777" w:rsidR="00C3382D" w:rsidRDefault="00C3382D">
      <w:pPr>
        <w:spacing w:after="0" w:line="240" w:lineRule="auto"/>
      </w:pPr>
    </w:p>
  </w:footnote>
  <w:footnote w:id="2">
    <w:p w14:paraId="044D8738" w14:textId="7443F502" w:rsidR="005C3D1E" w:rsidRPr="00A579E3" w:rsidRDefault="005C3D1E" w:rsidP="00C518D9">
      <w:pPr>
        <w:pStyle w:val="FootnoteText"/>
        <w:rPr>
          <w:rFonts w:ascii="Times New Roman" w:hAnsi="Times New Roman" w:cs="Times New Roman"/>
          <w:sz w:val="24"/>
          <w:szCs w:val="24"/>
        </w:rPr>
      </w:pPr>
      <w:r w:rsidRPr="00A579E3">
        <w:rPr>
          <w:rStyle w:val="FootnoteReference"/>
          <w:rFonts w:ascii="Times New Roman" w:hAnsi="Times New Roman" w:cs="Times New Roman"/>
          <w:sz w:val="24"/>
          <w:szCs w:val="24"/>
        </w:rPr>
        <w:footnoteRef/>
      </w:r>
      <w:r w:rsidRPr="00A579E3">
        <w:rPr>
          <w:rFonts w:ascii="Times New Roman" w:hAnsi="Times New Roman" w:cs="Times New Roman"/>
          <w:sz w:val="24"/>
          <w:szCs w:val="24"/>
        </w:rPr>
        <w:t xml:space="preserve">We examine individual and not group-level perceptions of CPO or perceived in-group norms about whether ‘we’ are the owners. Although individual perceptions might depend on perceived in-group norms </w:t>
      </w:r>
      <w:r w:rsidRPr="00A579E3">
        <w:rPr>
          <w:rFonts w:ascii="Times New Roman" w:hAnsi="Times New Roman" w:cs="Times New Roman"/>
          <w:sz w:val="24"/>
          <w:szCs w:val="24"/>
        </w:rPr>
        <w:fldChar w:fldCharType="begin"/>
      </w:r>
      <w:r w:rsidRPr="00A579E3">
        <w:rPr>
          <w:rFonts w:ascii="Times New Roman" w:hAnsi="Times New Roman" w:cs="Times New Roman"/>
          <w:sz w:val="24"/>
          <w:szCs w:val="24"/>
        </w:rPr>
        <w:instrText xml:space="preserve"> ADDIN EN.CITE &lt;EndNote&gt;&lt;Cite&gt;&lt;Author&gt;Bennett&lt;/Author&gt;&lt;Year&gt;2014&lt;/Year&gt;&lt;RecNum&gt;1604&lt;/RecNum&gt;&lt;DisplayText&gt;(Bennett, 2014)&lt;/DisplayText&gt;&lt;record&gt;&lt;rec-number&gt;1604&lt;/rec-number&gt;&lt;foreign-keys&gt;&lt;key app="EN" db-id="es92r5v5dve2z0erx59pv50vtp29v0t9ef5f" timestamp="1585235733"&gt;1604&lt;/key&gt;&lt;key app="ENWeb" db-id=""&gt;0&lt;/key&gt;&lt;/foreign-keys&gt;&lt;ref-type name="Journal Article"&gt;17&lt;/ref-type&gt;&lt;contributors&gt;&lt;authors&gt;&lt;author&gt;Bennett, Mark&lt;/author&gt;&lt;/authors&gt;&lt;/contributors&gt;&lt;titles&gt;&lt;title&gt;Intergroup social exclusion in childhood: Forms, norms, context, and social identity&lt;/title&gt;&lt;secondary-title&gt;Journal of Social Issues&lt;/secondary-title&gt;&lt;/titles&gt;&lt;periodical&gt;&lt;full-title&gt;Journal of Social Issues&lt;/full-title&gt;&lt;/periodical&gt;&lt;pages&gt;183-195&lt;/pages&gt;&lt;volume&gt;70&lt;/volume&gt;&lt;number&gt;1&lt;/number&gt;&lt;dates&gt;&lt;year&gt;2014&lt;/year&gt;&lt;/dates&gt;&lt;isbn&gt;00224537&lt;/isbn&gt;&lt;urls&gt;&lt;/urls&gt;&lt;electronic-resource-num&gt;10.1111/josi.12054&lt;/electronic-resource-num&gt;&lt;/record&gt;&lt;/Cite&gt;&lt;/EndNote&gt;</w:instrText>
      </w:r>
      <w:r w:rsidRPr="00A579E3">
        <w:rPr>
          <w:rFonts w:ascii="Times New Roman" w:hAnsi="Times New Roman" w:cs="Times New Roman"/>
          <w:sz w:val="24"/>
          <w:szCs w:val="24"/>
        </w:rPr>
        <w:fldChar w:fldCharType="separate"/>
      </w:r>
      <w:r w:rsidRPr="00A579E3">
        <w:rPr>
          <w:rFonts w:ascii="Times New Roman" w:hAnsi="Times New Roman" w:cs="Times New Roman"/>
          <w:noProof/>
          <w:sz w:val="24"/>
          <w:szCs w:val="24"/>
        </w:rPr>
        <w:t>(Bennett, 2014)</w:t>
      </w:r>
      <w:r w:rsidRPr="00A579E3">
        <w:rPr>
          <w:rFonts w:ascii="Times New Roman" w:hAnsi="Times New Roman" w:cs="Times New Roman"/>
          <w:sz w:val="24"/>
          <w:szCs w:val="24"/>
        </w:rPr>
        <w:fldChar w:fldCharType="end"/>
      </w:r>
      <w:r w:rsidRPr="00A579E3">
        <w:rPr>
          <w:rFonts w:ascii="Times New Roman" w:hAnsi="Times New Roman" w:cs="Times New Roman"/>
          <w:sz w:val="24"/>
          <w:szCs w:val="24"/>
        </w:rPr>
        <w:t>, we focus on individual perceptions that we expect to be most relevant in explaining individual attitudes and behavioral intentions.</w:t>
      </w:r>
    </w:p>
  </w:footnote>
  <w:footnote w:id="3">
    <w:p w14:paraId="39B7D1F7" w14:textId="0F846D9E" w:rsidR="005C3D1E" w:rsidRPr="00AE58DC" w:rsidRDefault="005C3D1E">
      <w:pPr>
        <w:pStyle w:val="FootnoteText"/>
        <w:rPr>
          <w:rFonts w:asciiTheme="majorBidi" w:hAnsiTheme="majorBidi" w:cstheme="majorBidi"/>
          <w:sz w:val="24"/>
          <w:szCs w:val="24"/>
        </w:rPr>
      </w:pPr>
      <w:r w:rsidRPr="00AE58DC">
        <w:rPr>
          <w:rStyle w:val="FootnoteReference"/>
          <w:rFonts w:asciiTheme="majorBidi" w:hAnsiTheme="majorBidi" w:cstheme="majorBidi"/>
          <w:sz w:val="24"/>
          <w:szCs w:val="24"/>
        </w:rPr>
        <w:footnoteRef/>
      </w:r>
      <w:r>
        <w:rPr>
          <w:rFonts w:asciiTheme="majorBidi" w:hAnsiTheme="majorBidi" w:cstheme="majorBidi"/>
          <w:sz w:val="24"/>
          <w:szCs w:val="24"/>
        </w:rPr>
        <w:t xml:space="preserve">We did not consider </w:t>
      </w:r>
      <w:r w:rsidRPr="00AE58DC">
        <w:rPr>
          <w:rFonts w:asciiTheme="majorBidi" w:hAnsiTheme="majorBidi" w:cstheme="majorBidi"/>
          <w:sz w:val="24"/>
          <w:szCs w:val="24"/>
        </w:rPr>
        <w:t>Northern Ir</w:t>
      </w:r>
      <w:r>
        <w:rPr>
          <w:rFonts w:asciiTheme="majorBidi" w:hAnsiTheme="majorBidi" w:cstheme="majorBidi"/>
          <w:sz w:val="24"/>
          <w:szCs w:val="24"/>
        </w:rPr>
        <w:t xml:space="preserve">eland, </w:t>
      </w:r>
      <w:r w:rsidRPr="00AE58DC">
        <w:rPr>
          <w:rFonts w:asciiTheme="majorBidi" w:hAnsiTheme="majorBidi" w:cstheme="majorBidi"/>
          <w:sz w:val="24"/>
          <w:szCs w:val="24"/>
        </w:rPr>
        <w:t xml:space="preserve">because of </w:t>
      </w:r>
      <w:r>
        <w:rPr>
          <w:rFonts w:asciiTheme="majorBidi" w:hAnsiTheme="majorBidi" w:cstheme="majorBidi"/>
          <w:sz w:val="24"/>
          <w:szCs w:val="24"/>
        </w:rPr>
        <w:t>its</w:t>
      </w:r>
      <w:r w:rsidRPr="00AE58DC">
        <w:rPr>
          <w:rFonts w:asciiTheme="majorBidi" w:hAnsiTheme="majorBidi" w:cstheme="majorBidi"/>
          <w:sz w:val="24"/>
          <w:szCs w:val="24"/>
        </w:rPr>
        <w:t xml:space="preserve"> nuanced relationship with the United Kingdom and the debate about the EU border with Ireland </w:t>
      </w:r>
      <w:r w:rsidRPr="00AE58DC">
        <w:rPr>
          <w:rFonts w:asciiTheme="majorBidi" w:hAnsiTheme="majorBidi" w:cstheme="majorBidi"/>
          <w:sz w:val="24"/>
          <w:szCs w:val="24"/>
        </w:rPr>
        <w:fldChar w:fldCharType="begin"/>
      </w:r>
      <w:r w:rsidRPr="00AE58DC">
        <w:rPr>
          <w:rFonts w:asciiTheme="majorBidi" w:hAnsiTheme="majorBidi" w:cstheme="majorBidi"/>
          <w:sz w:val="24"/>
          <w:szCs w:val="24"/>
        </w:rPr>
        <w:instrText xml:space="preserve"> ADDIN EN.CITE &lt;EndNote&gt;&lt;Cite&gt;&lt;Author&gt;Coakley&lt;/Author&gt;&lt;Year&gt;2007&lt;/Year&gt;&lt;RecNum&gt;1498&lt;/RecNum&gt;&lt;DisplayText&gt;(Coakley, 2007)&lt;/DisplayText&gt;&lt;record&gt;&lt;rec-number&gt;1498&lt;/rec-number&gt;&lt;foreign-keys&gt;&lt;key app="EN" db-id="es92r5v5dve2z0erx59pv50vtp29v0t9ef5f" timestamp="1571125471"&gt;1498&lt;/key&gt;&lt;/foreign-keys&gt;&lt;ref-type name="Journal Article"&gt;17&lt;/ref-type&gt;&lt;contributors&gt;&lt;authors&gt;&lt;author&gt;Coakley, John&lt;/author&gt;&lt;/authors&gt;&lt;/contributors&gt;&lt;titles&gt;&lt;title&gt;National identity in Northern Ireland: stability or change?&lt;/title&gt;&lt;secondary-title&gt;Nations and Nationalism&lt;/secondary-title&gt;&lt;/titles&gt;&lt;periodical&gt;&lt;full-title&gt;Nations and Nationalism&lt;/full-title&gt;&lt;/periodical&gt;&lt;pages&gt;573-597&lt;/pages&gt;&lt;volume&gt;13&lt;/volume&gt;&lt;number&gt;4&lt;/number&gt;&lt;dates&gt;&lt;year&gt;2007&lt;/year&gt;&lt;/dates&gt;&lt;isbn&gt;1354-5078&lt;/isbn&gt;&lt;urls&gt;&lt;/urls&gt;&lt;electronic-resource-num&gt;10.1111/j.1469-8129.2007.00316.x&lt;/electronic-resource-num&gt;&lt;/record&gt;&lt;/Cite&gt;&lt;/EndNote&gt;</w:instrText>
      </w:r>
      <w:r w:rsidRPr="00AE58DC">
        <w:rPr>
          <w:rFonts w:asciiTheme="majorBidi" w:hAnsiTheme="majorBidi" w:cstheme="majorBidi"/>
          <w:sz w:val="24"/>
          <w:szCs w:val="24"/>
        </w:rPr>
        <w:fldChar w:fldCharType="separate"/>
      </w:r>
      <w:r w:rsidRPr="00AE58DC">
        <w:rPr>
          <w:rFonts w:asciiTheme="majorBidi" w:hAnsiTheme="majorBidi" w:cstheme="majorBidi"/>
          <w:noProof/>
          <w:sz w:val="24"/>
          <w:szCs w:val="24"/>
        </w:rPr>
        <w:t>(Coakley, 2007)</w:t>
      </w:r>
      <w:r w:rsidRPr="00AE58DC">
        <w:rPr>
          <w:rFonts w:asciiTheme="majorBidi" w:hAnsiTheme="majorBidi" w:cstheme="majorBidi"/>
          <w:sz w:val="24"/>
          <w:szCs w:val="24"/>
        </w:rPr>
        <w:fldChar w:fldCharType="end"/>
      </w:r>
      <w:r w:rsidRPr="00AE58DC">
        <w:rPr>
          <w:rFonts w:asciiTheme="majorBidi" w:hAnsiTheme="majorBidi" w:cstheme="majorBidi"/>
          <w:sz w:val="24"/>
          <w:szCs w:val="24"/>
        </w:rPr>
        <w:t>.</w:t>
      </w:r>
    </w:p>
  </w:footnote>
  <w:footnote w:id="4">
    <w:p w14:paraId="372A2E16" w14:textId="666DFF1E" w:rsidR="005C3D1E" w:rsidRPr="00597441" w:rsidRDefault="005C3D1E">
      <w:pPr>
        <w:pStyle w:val="FootnoteText"/>
        <w:rPr>
          <w:rFonts w:ascii="Times New Roman" w:hAnsi="Times New Roman" w:cs="Times New Roman"/>
        </w:rPr>
      </w:pPr>
      <w:r w:rsidRPr="00AE58DC">
        <w:rPr>
          <w:rStyle w:val="FootnoteReference"/>
          <w:rFonts w:asciiTheme="majorBidi" w:hAnsiTheme="majorBidi" w:cstheme="majorBidi"/>
          <w:sz w:val="24"/>
          <w:szCs w:val="24"/>
        </w:rPr>
        <w:footnoteRef/>
      </w:r>
      <w:r w:rsidRPr="00AE58DC">
        <w:rPr>
          <w:rFonts w:asciiTheme="majorBidi" w:hAnsiTheme="majorBidi" w:cstheme="majorBidi"/>
          <w:sz w:val="24"/>
          <w:szCs w:val="24"/>
        </w:rPr>
        <w:t xml:space="preserve">Given that political ideology is an exogenous variable used in a latent interaction model, </w:t>
      </w:r>
      <w:r>
        <w:rPr>
          <w:rFonts w:asciiTheme="majorBidi" w:hAnsiTheme="majorBidi" w:cstheme="majorBidi"/>
          <w:sz w:val="24"/>
          <w:szCs w:val="24"/>
        </w:rPr>
        <w:t xml:space="preserve">we could not retain </w:t>
      </w:r>
      <w:r w:rsidRPr="00AE58DC">
        <w:rPr>
          <w:rFonts w:asciiTheme="majorBidi" w:hAnsiTheme="majorBidi" w:cstheme="majorBidi"/>
          <w:sz w:val="24"/>
          <w:szCs w:val="24"/>
        </w:rPr>
        <w:t>cases with missing values in the analysis.</w:t>
      </w:r>
    </w:p>
  </w:footnote>
  <w:footnote w:id="5">
    <w:p w14:paraId="1102F09E" w14:textId="1C080B2C" w:rsidR="005C3D1E" w:rsidRPr="00AE58DC" w:rsidRDefault="005C3D1E">
      <w:pPr>
        <w:pStyle w:val="FootnoteText"/>
        <w:rPr>
          <w:rFonts w:ascii="Times New Roman" w:hAnsi="Times New Roman" w:cs="Times New Roman"/>
          <w:sz w:val="24"/>
          <w:szCs w:val="24"/>
        </w:rPr>
      </w:pPr>
      <w:r w:rsidRPr="00AE58DC">
        <w:rPr>
          <w:rStyle w:val="FootnoteReference"/>
          <w:rFonts w:ascii="Times New Roman" w:hAnsi="Times New Roman" w:cs="Times New Roman"/>
          <w:sz w:val="24"/>
          <w:szCs w:val="24"/>
        </w:rPr>
        <w:footnoteRef/>
      </w:r>
      <w:r>
        <w:rPr>
          <w:rFonts w:ascii="Times New Roman" w:hAnsi="Times New Roman" w:cs="Times New Roman"/>
          <w:sz w:val="24"/>
          <w:szCs w:val="24"/>
        </w:rPr>
        <w:t>We calculated a</w:t>
      </w:r>
      <w:r w:rsidRPr="00AE58DC">
        <w:rPr>
          <w:rFonts w:ascii="Times New Roman" w:hAnsi="Times New Roman" w:cs="Times New Roman"/>
          <w:sz w:val="24"/>
          <w:szCs w:val="24"/>
        </w:rPr>
        <w:t xml:space="preserve">ll confidence intervals in </w:t>
      </w:r>
      <w:r>
        <w:rPr>
          <w:rFonts w:ascii="Times New Roman" w:hAnsi="Times New Roman" w:cs="Times New Roman"/>
          <w:sz w:val="24"/>
          <w:szCs w:val="24"/>
        </w:rPr>
        <w:t>both studies</w:t>
      </w:r>
      <w:r w:rsidRPr="00AE58DC">
        <w:rPr>
          <w:rFonts w:ascii="Times New Roman" w:hAnsi="Times New Roman" w:cs="Times New Roman"/>
          <w:sz w:val="24"/>
          <w:szCs w:val="24"/>
        </w:rPr>
        <w:t xml:space="preserve"> </w:t>
      </w:r>
      <w:bookmarkStart w:id="32" w:name="_Hlk34751036"/>
      <w:r w:rsidRPr="00AE58DC">
        <w:rPr>
          <w:rFonts w:ascii="Times New Roman" w:hAnsi="Times New Roman" w:cs="Times New Roman"/>
          <w:sz w:val="24"/>
          <w:szCs w:val="24"/>
        </w:rPr>
        <w:t>using bootstrapping with 1000 iterations</w:t>
      </w:r>
      <w:bookmarkEnd w:id="32"/>
      <w:r w:rsidRPr="00AE58DC">
        <w:rPr>
          <w:rFonts w:ascii="Times New Roman" w:hAnsi="Times New Roman" w:cs="Times New Roman"/>
          <w:sz w:val="24"/>
          <w:szCs w:val="24"/>
        </w:rPr>
        <w:t xml:space="preserve"> and using an ML estimator, which did not substantially change the results.</w:t>
      </w:r>
    </w:p>
  </w:footnote>
  <w:footnote w:id="6">
    <w:p w14:paraId="4ACA496C" w14:textId="19DBCD4A" w:rsidR="005C3D1E" w:rsidRPr="00796D45" w:rsidRDefault="005C3D1E">
      <w:pPr>
        <w:pStyle w:val="FootnoteText"/>
        <w:rPr>
          <w:rFonts w:ascii="Times New Roman" w:hAnsi="Times New Roman" w:cs="Times New Roman"/>
          <w:sz w:val="24"/>
          <w:szCs w:val="24"/>
        </w:rPr>
      </w:pPr>
      <w:r w:rsidRPr="00796D45">
        <w:rPr>
          <w:rStyle w:val="FootnoteReference"/>
          <w:rFonts w:ascii="Times New Roman" w:hAnsi="Times New Roman" w:cs="Times New Roman"/>
          <w:sz w:val="24"/>
          <w:szCs w:val="24"/>
        </w:rPr>
        <w:footnoteRef/>
      </w:r>
      <w:r w:rsidRPr="00796D45">
        <w:rPr>
          <w:rFonts w:ascii="Times New Roman" w:hAnsi="Times New Roman" w:cs="Times New Roman"/>
          <w:sz w:val="24"/>
          <w:szCs w:val="24"/>
        </w:rPr>
        <w:t>The dataset included another 516 participants who received a different version of the questionnaire. This version did not contain the measures pertaining to the current study.</w:t>
      </w:r>
    </w:p>
  </w:footnote>
  <w:footnote w:id="7">
    <w:p w14:paraId="4D6F9A23" w14:textId="76E314D4" w:rsidR="005C3D1E" w:rsidRPr="00F13D67" w:rsidRDefault="005C3D1E">
      <w:pPr>
        <w:pStyle w:val="FootnoteText"/>
        <w:rPr>
          <w:rFonts w:ascii="Times New Roman" w:hAnsi="Times New Roman" w:cs="Times New Roman"/>
        </w:rPr>
      </w:pPr>
      <w:r w:rsidRPr="00796D45">
        <w:rPr>
          <w:rStyle w:val="FootnoteReference"/>
          <w:rFonts w:ascii="Times New Roman" w:hAnsi="Times New Roman" w:cs="Times New Roman"/>
          <w:sz w:val="24"/>
          <w:szCs w:val="24"/>
        </w:rPr>
        <w:footnoteRef/>
      </w:r>
      <w:r>
        <w:rPr>
          <w:rFonts w:ascii="Times New Roman" w:hAnsi="Times New Roman" w:cs="Times New Roman"/>
          <w:sz w:val="24"/>
          <w:szCs w:val="24"/>
        </w:rPr>
        <w:t>These</w:t>
      </w:r>
      <w:r w:rsidRPr="00796D45">
        <w:rPr>
          <w:rFonts w:ascii="Times New Roman" w:hAnsi="Times New Roman" w:cs="Times New Roman"/>
          <w:sz w:val="24"/>
          <w:szCs w:val="24"/>
        </w:rPr>
        <w:t xml:space="preserve"> weight</w:t>
      </w:r>
      <w:r>
        <w:rPr>
          <w:rFonts w:ascii="Times New Roman" w:hAnsi="Times New Roman" w:cs="Times New Roman"/>
          <w:sz w:val="24"/>
          <w:szCs w:val="24"/>
        </w:rPr>
        <w:t>s</w:t>
      </w:r>
      <w:r w:rsidRPr="00796D45">
        <w:rPr>
          <w:rFonts w:ascii="Times New Roman" w:hAnsi="Times New Roman" w:cs="Times New Roman"/>
          <w:sz w:val="24"/>
          <w:szCs w:val="24"/>
        </w:rPr>
        <w:t xml:space="preserve"> </w:t>
      </w:r>
      <w:r>
        <w:rPr>
          <w:rFonts w:ascii="Times New Roman" w:hAnsi="Times New Roman" w:cs="Times New Roman"/>
          <w:sz w:val="24"/>
          <w:szCs w:val="24"/>
        </w:rPr>
        <w:t>were</w:t>
      </w:r>
      <w:r w:rsidRPr="00796D45">
        <w:rPr>
          <w:rFonts w:ascii="Times New Roman" w:hAnsi="Times New Roman" w:cs="Times New Roman"/>
          <w:sz w:val="24"/>
          <w:szCs w:val="24"/>
        </w:rPr>
        <w:t xml:space="preserve"> unavailable for Study 1.</w:t>
      </w:r>
    </w:p>
  </w:footnote>
  <w:footnote w:id="8">
    <w:p w14:paraId="1E1A8305" w14:textId="00A2F9F0" w:rsidR="005C3D1E" w:rsidRPr="00796D45" w:rsidRDefault="005C3D1E">
      <w:pPr>
        <w:pStyle w:val="FootnoteText"/>
        <w:rPr>
          <w:rFonts w:ascii="Times New Roman" w:hAnsi="Times New Roman" w:cs="Times New Roman"/>
          <w:sz w:val="24"/>
          <w:szCs w:val="24"/>
        </w:rPr>
      </w:pPr>
      <w:r w:rsidRPr="00796D45">
        <w:rPr>
          <w:rStyle w:val="FootnoteReference"/>
          <w:rFonts w:ascii="Times New Roman" w:hAnsi="Times New Roman" w:cs="Times New Roman"/>
          <w:sz w:val="24"/>
          <w:szCs w:val="24"/>
        </w:rPr>
        <w:footnoteRef/>
      </w:r>
      <w:r w:rsidRPr="00796D45">
        <w:rPr>
          <w:rFonts w:ascii="Times New Roman" w:hAnsi="Times New Roman" w:cs="Times New Roman"/>
          <w:sz w:val="24"/>
          <w:szCs w:val="24"/>
        </w:rPr>
        <w:t>A model in which we deleted cases with missing values on Brexit voting yielded similar results (Appendix C).</w:t>
      </w:r>
    </w:p>
  </w:footnote>
  <w:footnote w:id="9">
    <w:p w14:paraId="5B7301EC" w14:textId="310B86D2" w:rsidR="005C3D1E" w:rsidRPr="00597441" w:rsidRDefault="005C3D1E" w:rsidP="00F961B4">
      <w:pPr>
        <w:pStyle w:val="FootnoteText"/>
        <w:rPr>
          <w:rFonts w:ascii="Times New Roman" w:hAnsi="Times New Roman" w:cs="Times New Roman"/>
        </w:rPr>
      </w:pPr>
      <w:r w:rsidRPr="00796D45">
        <w:rPr>
          <w:rStyle w:val="FootnoteReference"/>
          <w:rFonts w:ascii="Times New Roman" w:hAnsi="Times New Roman" w:cs="Times New Roman"/>
          <w:sz w:val="24"/>
          <w:szCs w:val="24"/>
        </w:rPr>
        <w:footnoteRef/>
      </w:r>
      <w:r w:rsidRPr="00796D45">
        <w:rPr>
          <w:rFonts w:ascii="Times New Roman" w:hAnsi="Times New Roman" w:cs="Times New Roman"/>
          <w:sz w:val="24"/>
          <w:szCs w:val="24"/>
        </w:rPr>
        <w:t>Model fitting with a categorical dependent variable regressed on several latent predictors posed numerical problems for Mplus.</w:t>
      </w:r>
    </w:p>
  </w:footnote>
  <w:footnote w:id="10">
    <w:p w14:paraId="3373A3EB" w14:textId="77777777" w:rsidR="005C3D1E" w:rsidRPr="00796D45" w:rsidRDefault="005C3D1E" w:rsidP="0094197B">
      <w:pPr>
        <w:pStyle w:val="FootnoteText"/>
        <w:rPr>
          <w:rFonts w:ascii="Times New Roman" w:hAnsi="Times New Roman" w:cs="Times New Roman"/>
          <w:sz w:val="24"/>
          <w:szCs w:val="24"/>
        </w:rPr>
      </w:pPr>
      <w:r w:rsidRPr="00796D45">
        <w:rPr>
          <w:rStyle w:val="FootnoteReference"/>
          <w:rFonts w:ascii="Times New Roman" w:hAnsi="Times New Roman" w:cs="Times New Roman"/>
          <w:sz w:val="24"/>
          <w:szCs w:val="24"/>
        </w:rPr>
        <w:footnoteRef/>
      </w:r>
      <w:r w:rsidRPr="00796D45">
        <w:rPr>
          <w:rFonts w:ascii="Times New Roman" w:hAnsi="Times New Roman" w:cs="Times New Roman"/>
          <w:sz w:val="24"/>
          <w:szCs w:val="24"/>
        </w:rPr>
        <w:t>We did not endogenize dichotomous control variables (i.e., sex, Scotland, Wales), because such practice would pose numerical problems for Mplus. Therefore, these variables were uncorrelated with the latent predictor CPO.</w:t>
      </w:r>
    </w:p>
  </w:footnote>
  <w:footnote w:id="11">
    <w:p w14:paraId="150C19C1" w14:textId="3F2EB5B9" w:rsidR="005C3D1E" w:rsidRPr="00796D45" w:rsidRDefault="005C3D1E">
      <w:pPr>
        <w:pStyle w:val="FootnoteText"/>
        <w:rPr>
          <w:rFonts w:ascii="Times New Roman" w:hAnsi="Times New Roman" w:cs="Times New Roman"/>
          <w:sz w:val="24"/>
          <w:szCs w:val="24"/>
        </w:rPr>
      </w:pPr>
      <w:r w:rsidRPr="00796D45">
        <w:rPr>
          <w:rStyle w:val="FootnoteReference"/>
          <w:rFonts w:ascii="Times New Roman" w:hAnsi="Times New Roman" w:cs="Times New Roman"/>
          <w:sz w:val="24"/>
          <w:szCs w:val="24"/>
        </w:rPr>
        <w:footnoteRef/>
      </w:r>
      <w:r w:rsidRPr="00796D45">
        <w:rPr>
          <w:rFonts w:ascii="Times New Roman" w:hAnsi="Times New Roman" w:cs="Times New Roman"/>
          <w:sz w:val="24"/>
          <w:szCs w:val="24"/>
        </w:rPr>
        <w:t xml:space="preserve">When we </w:t>
      </w:r>
      <w:r>
        <w:rPr>
          <w:rFonts w:ascii="Times New Roman" w:hAnsi="Times New Roman" w:cs="Times New Roman"/>
          <w:sz w:val="24"/>
          <w:szCs w:val="24"/>
        </w:rPr>
        <w:t>substituted</w:t>
      </w:r>
      <w:r w:rsidRPr="00796D45">
        <w:rPr>
          <w:rFonts w:ascii="Times New Roman" w:hAnsi="Times New Roman" w:cs="Times New Roman"/>
          <w:sz w:val="24"/>
          <w:szCs w:val="24"/>
        </w:rPr>
        <w:t xml:space="preserve"> CPO for exclusive determination right as the main predictor (Appendix G), all the results, including the interactions with political orientation</w:t>
      </w:r>
      <w:r>
        <w:rPr>
          <w:rFonts w:ascii="Times New Roman" w:hAnsi="Times New Roman" w:cs="Times New Roman"/>
          <w:sz w:val="24"/>
          <w:szCs w:val="24"/>
        </w:rPr>
        <w:t>,</w:t>
      </w:r>
      <w:r w:rsidRPr="00796D45">
        <w:rPr>
          <w:rFonts w:ascii="Times New Roman" w:hAnsi="Times New Roman" w:cs="Times New Roman"/>
          <w:sz w:val="24"/>
          <w:szCs w:val="24"/>
        </w:rPr>
        <w:t xml:space="preserve"> were similar </w:t>
      </w:r>
      <w:r>
        <w:rPr>
          <w:rFonts w:ascii="Times New Roman" w:hAnsi="Times New Roman" w:cs="Times New Roman"/>
          <w:sz w:val="24"/>
          <w:szCs w:val="24"/>
        </w:rPr>
        <w:t xml:space="preserve">with </w:t>
      </w:r>
      <w:r w:rsidRPr="00796D45">
        <w:rPr>
          <w:rFonts w:ascii="Times New Roman" w:hAnsi="Times New Roman" w:cs="Times New Roman"/>
          <w:sz w:val="24"/>
          <w:szCs w:val="24"/>
        </w:rPr>
        <w:t xml:space="preserve">the results of the final model </w:t>
      </w:r>
      <w:r>
        <w:rPr>
          <w:rFonts w:ascii="Times New Roman" w:hAnsi="Times New Roman" w:cs="Times New Roman"/>
          <w:sz w:val="24"/>
          <w:szCs w:val="24"/>
        </w:rPr>
        <w:t xml:space="preserve">we </w:t>
      </w:r>
      <w:r w:rsidRPr="00796D45">
        <w:rPr>
          <w:rFonts w:ascii="Times New Roman" w:hAnsi="Times New Roman" w:cs="Times New Roman"/>
          <w:sz w:val="24"/>
          <w:szCs w:val="24"/>
        </w:rPr>
        <w:t>discuss</w:t>
      </w:r>
      <w:r>
        <w:rPr>
          <w:rFonts w:ascii="Times New Roman" w:hAnsi="Times New Roman" w:cs="Times New Roman"/>
          <w:sz w:val="24"/>
          <w:szCs w:val="24"/>
        </w:rPr>
        <w:t xml:space="preserve"> in the main text</w:t>
      </w:r>
      <w:r w:rsidRPr="00796D45">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14F2" w14:textId="768FEA9A" w:rsidR="005C3D1E" w:rsidRPr="00161753" w:rsidRDefault="005C3D1E" w:rsidP="004F117F">
    <w:pPr>
      <w:pStyle w:val="Header"/>
      <w:jc w:val="right"/>
      <w:rPr>
        <w:rFonts w:ascii="Times New Roman" w:hAnsi="Times New Roman" w:cs="Times New Roman"/>
        <w:sz w:val="24"/>
        <w:szCs w:val="24"/>
      </w:rPr>
    </w:pPr>
    <w:r w:rsidRPr="00161753">
      <w:rPr>
        <w:rFonts w:ascii="Times New Roman" w:hAnsi="Times New Roman" w:cs="Times New Roman"/>
        <w:sz w:val="24"/>
        <w:szCs w:val="24"/>
      </w:rPr>
      <w:t>COLLECTIVE PSYCHOLOGICAL OWNERSHIP</w:t>
    </w:r>
    <w:r w:rsidRPr="00161753">
      <w:rPr>
        <w:rFonts w:ascii="Times New Roman" w:hAnsi="Times New Roman" w:cs="Times New Roman"/>
        <w:sz w:val="24"/>
        <w:szCs w:val="24"/>
      </w:rPr>
      <w:tab/>
      <w:t xml:space="preserve"> </w:t>
    </w:r>
    <w:sdt>
      <w:sdtPr>
        <w:rPr>
          <w:rFonts w:ascii="Times New Roman" w:hAnsi="Times New Roman" w:cs="Times New Roman"/>
          <w:sz w:val="24"/>
          <w:szCs w:val="24"/>
        </w:rPr>
        <w:id w:val="759111498"/>
        <w:docPartObj>
          <w:docPartGallery w:val="Page Numbers (Top of Page)"/>
          <w:docPartUnique/>
        </w:docPartObj>
      </w:sdtPr>
      <w:sdtEndPr>
        <w:rPr>
          <w:noProof/>
        </w:rPr>
      </w:sdtEndPr>
      <w:sdtContent>
        <w:r w:rsidRPr="00161753">
          <w:rPr>
            <w:rFonts w:ascii="Times New Roman" w:hAnsi="Times New Roman" w:cs="Times New Roman"/>
            <w:sz w:val="24"/>
            <w:szCs w:val="24"/>
          </w:rPr>
          <w:fldChar w:fldCharType="begin"/>
        </w:r>
        <w:r w:rsidRPr="00161753">
          <w:rPr>
            <w:rFonts w:ascii="Times New Roman" w:hAnsi="Times New Roman" w:cs="Times New Roman"/>
            <w:sz w:val="24"/>
            <w:szCs w:val="24"/>
          </w:rPr>
          <w:instrText xml:space="preserve"> PAGE   \* MERGEFORMAT </w:instrText>
        </w:r>
        <w:r w:rsidRPr="00161753">
          <w:rPr>
            <w:rFonts w:ascii="Times New Roman" w:hAnsi="Times New Roman" w:cs="Times New Roman"/>
            <w:sz w:val="24"/>
            <w:szCs w:val="24"/>
          </w:rPr>
          <w:fldChar w:fldCharType="separate"/>
        </w:r>
        <w:r w:rsidR="00AE6775">
          <w:rPr>
            <w:rFonts w:ascii="Times New Roman" w:hAnsi="Times New Roman" w:cs="Times New Roman"/>
            <w:noProof/>
            <w:sz w:val="24"/>
            <w:szCs w:val="24"/>
          </w:rPr>
          <w:t>1</w:t>
        </w:r>
        <w:r w:rsidRPr="00161753">
          <w:rPr>
            <w:rFonts w:ascii="Times New Roman" w:hAnsi="Times New Roman" w:cs="Times New Roman"/>
            <w:noProof/>
            <w:sz w:val="24"/>
            <w:szCs w:val="24"/>
          </w:rPr>
          <w:fldChar w:fldCharType="end"/>
        </w:r>
      </w:sdtContent>
    </w:sdt>
  </w:p>
  <w:p w14:paraId="7A24C1DB" w14:textId="77777777" w:rsidR="005C3D1E" w:rsidRDefault="005C3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7066"/>
    <w:multiLevelType w:val="hybridMultilevel"/>
    <w:tmpl w:val="85EC14A2"/>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42A208C7"/>
    <w:multiLevelType w:val="hybridMultilevel"/>
    <w:tmpl w:val="C0F4D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FB478B"/>
    <w:multiLevelType w:val="hybridMultilevel"/>
    <w:tmpl w:val="EC2AC3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9E6D71"/>
    <w:multiLevelType w:val="hybridMultilevel"/>
    <w:tmpl w:val="D3BEDD4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55BE2176"/>
    <w:multiLevelType w:val="hybridMultilevel"/>
    <w:tmpl w:val="389AC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821D74"/>
    <w:multiLevelType w:val="hybridMultilevel"/>
    <w:tmpl w:val="9E8C0DDC"/>
    <w:lvl w:ilvl="0" w:tplc="4D40FA5E">
      <w:start w:val="6"/>
      <w:numFmt w:val="bullet"/>
      <w:lvlText w:val=""/>
      <w:lvlJc w:val="left"/>
      <w:pPr>
        <w:ind w:left="720" w:hanging="360"/>
      </w:pPr>
      <w:rPr>
        <w:rFonts w:ascii="Symbol" w:eastAsiaTheme="minorHAnsi" w:hAnsi="Symbol"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4F3A25"/>
    <w:multiLevelType w:val="hybridMultilevel"/>
    <w:tmpl w:val="B5D0872C"/>
    <w:lvl w:ilvl="0" w:tplc="59E05F12">
      <w:start w:val="6"/>
      <w:numFmt w:val="bullet"/>
      <w:lvlText w:val=""/>
      <w:lvlJc w:val="left"/>
      <w:pPr>
        <w:ind w:left="720" w:hanging="360"/>
      </w:pPr>
      <w:rPr>
        <w:rFonts w:ascii="Symbol" w:eastAsiaTheme="minorHAnsi" w:hAnsi="Symbol" w:cstheme="maj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FCA77FD"/>
    <w:multiLevelType w:val="hybridMultilevel"/>
    <w:tmpl w:val="C90C5432"/>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8" w15:restartNumberingAfterBreak="0">
    <w:nsid w:val="72336445"/>
    <w:multiLevelType w:val="hybridMultilevel"/>
    <w:tmpl w:val="E6B0AA3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2"/>
  </w:num>
  <w:num w:numId="6">
    <w:abstractNumId w:val="7"/>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en-GB" w:vendorID="64" w:dllVersion="6" w:nlCheck="1" w:checkStyle="1"/>
  <w:activeWritingStyle w:appName="MSWord" w:lang="es-ES" w:vendorID="64" w:dllVersion="0" w:nlCheck="1" w:checkStyle="0"/>
  <w:activeWritingStyle w:appName="MSWord" w:lang="en-AU" w:vendorID="64" w:dllVersion="6" w:nlCheck="1" w:checkStyle="1"/>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revisionView w:inkAnnotation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92r5v5dve2z0erx59pv50vtp29v0t9ef5f&quot;&gt;My EndNote Library Copy&lt;record-ids&gt;&lt;item&gt;532&lt;/item&gt;&lt;item&gt;589&lt;/item&gt;&lt;item&gt;644&lt;/item&gt;&lt;item&gt;648&lt;/item&gt;&lt;item&gt;882&lt;/item&gt;&lt;item&gt;1088&lt;/item&gt;&lt;item&gt;1089&lt;/item&gt;&lt;item&gt;1098&lt;/item&gt;&lt;item&gt;1107&lt;/item&gt;&lt;item&gt;1112&lt;/item&gt;&lt;item&gt;1130&lt;/item&gt;&lt;item&gt;1142&lt;/item&gt;&lt;item&gt;1145&lt;/item&gt;&lt;item&gt;1150&lt;/item&gt;&lt;item&gt;1154&lt;/item&gt;&lt;item&gt;1155&lt;/item&gt;&lt;item&gt;1156&lt;/item&gt;&lt;item&gt;1208&lt;/item&gt;&lt;item&gt;1220&lt;/item&gt;&lt;item&gt;1232&lt;/item&gt;&lt;item&gt;1233&lt;/item&gt;&lt;item&gt;1237&lt;/item&gt;&lt;item&gt;1242&lt;/item&gt;&lt;item&gt;1249&lt;/item&gt;&lt;item&gt;1258&lt;/item&gt;&lt;item&gt;1261&lt;/item&gt;&lt;item&gt;1280&lt;/item&gt;&lt;item&gt;1281&lt;/item&gt;&lt;item&gt;1292&lt;/item&gt;&lt;item&gt;1294&lt;/item&gt;&lt;item&gt;1322&lt;/item&gt;&lt;item&gt;1343&lt;/item&gt;&lt;item&gt;1364&lt;/item&gt;&lt;item&gt;1366&lt;/item&gt;&lt;item&gt;1378&lt;/item&gt;&lt;item&gt;1381&lt;/item&gt;&lt;item&gt;1382&lt;/item&gt;&lt;item&gt;1383&lt;/item&gt;&lt;item&gt;1386&lt;/item&gt;&lt;item&gt;1415&lt;/item&gt;&lt;item&gt;1416&lt;/item&gt;&lt;item&gt;1442&lt;/item&gt;&lt;item&gt;1445&lt;/item&gt;&lt;item&gt;1447&lt;/item&gt;&lt;item&gt;1452&lt;/item&gt;&lt;item&gt;1453&lt;/item&gt;&lt;item&gt;1456&lt;/item&gt;&lt;item&gt;1457&lt;/item&gt;&lt;item&gt;1463&lt;/item&gt;&lt;item&gt;1467&lt;/item&gt;&lt;item&gt;1468&lt;/item&gt;&lt;item&gt;1476&lt;/item&gt;&lt;item&gt;1483&lt;/item&gt;&lt;item&gt;1486&lt;/item&gt;&lt;item&gt;1487&lt;/item&gt;&lt;item&gt;1489&lt;/item&gt;&lt;item&gt;1490&lt;/item&gt;&lt;item&gt;1491&lt;/item&gt;&lt;item&gt;1494&lt;/item&gt;&lt;item&gt;1498&lt;/item&gt;&lt;item&gt;1499&lt;/item&gt;&lt;item&gt;1505&lt;/item&gt;&lt;item&gt;1509&lt;/item&gt;&lt;item&gt;1510&lt;/item&gt;&lt;item&gt;1511&lt;/item&gt;&lt;item&gt;1512&lt;/item&gt;&lt;item&gt;1513&lt;/item&gt;&lt;item&gt;1558&lt;/item&gt;&lt;item&gt;1562&lt;/item&gt;&lt;item&gt;1567&lt;/item&gt;&lt;item&gt;1568&lt;/item&gt;&lt;item&gt;1571&lt;/item&gt;&lt;item&gt;1578&lt;/item&gt;&lt;item&gt;1579&lt;/item&gt;&lt;item&gt;1584&lt;/item&gt;&lt;item&gt;1585&lt;/item&gt;&lt;item&gt;1586&lt;/item&gt;&lt;item&gt;1588&lt;/item&gt;&lt;item&gt;1589&lt;/item&gt;&lt;item&gt;1601&lt;/item&gt;&lt;item&gt;1604&lt;/item&gt;&lt;item&gt;1605&lt;/item&gt;&lt;/record-ids&gt;&lt;/item&gt;&lt;/Libraries&gt;"/>
  </w:docVars>
  <w:rsids>
    <w:rsidRoot w:val="00EE5C23"/>
    <w:rsid w:val="00001393"/>
    <w:rsid w:val="000015F6"/>
    <w:rsid w:val="00002534"/>
    <w:rsid w:val="00002867"/>
    <w:rsid w:val="00004745"/>
    <w:rsid w:val="000052B2"/>
    <w:rsid w:val="000057EA"/>
    <w:rsid w:val="000058EE"/>
    <w:rsid w:val="00005B22"/>
    <w:rsid w:val="000064CD"/>
    <w:rsid w:val="000067C8"/>
    <w:rsid w:val="00006E46"/>
    <w:rsid w:val="00006FED"/>
    <w:rsid w:val="000071D7"/>
    <w:rsid w:val="000078B7"/>
    <w:rsid w:val="00007FA0"/>
    <w:rsid w:val="000105D8"/>
    <w:rsid w:val="00010CB9"/>
    <w:rsid w:val="00011071"/>
    <w:rsid w:val="00011BCD"/>
    <w:rsid w:val="0001200B"/>
    <w:rsid w:val="000125EF"/>
    <w:rsid w:val="00012E74"/>
    <w:rsid w:val="00013BE7"/>
    <w:rsid w:val="00013C3D"/>
    <w:rsid w:val="00014097"/>
    <w:rsid w:val="00014220"/>
    <w:rsid w:val="0001484F"/>
    <w:rsid w:val="00014CFF"/>
    <w:rsid w:val="00015E0E"/>
    <w:rsid w:val="00016047"/>
    <w:rsid w:val="000169CF"/>
    <w:rsid w:val="00016DEE"/>
    <w:rsid w:val="000170A8"/>
    <w:rsid w:val="000177C6"/>
    <w:rsid w:val="0001790B"/>
    <w:rsid w:val="00017F9A"/>
    <w:rsid w:val="000210FB"/>
    <w:rsid w:val="00022CCA"/>
    <w:rsid w:val="00022D0D"/>
    <w:rsid w:val="00023322"/>
    <w:rsid w:val="00023B69"/>
    <w:rsid w:val="000244F0"/>
    <w:rsid w:val="00024F58"/>
    <w:rsid w:val="00025D2D"/>
    <w:rsid w:val="00025DD5"/>
    <w:rsid w:val="00025F3C"/>
    <w:rsid w:val="0002610C"/>
    <w:rsid w:val="00027CD4"/>
    <w:rsid w:val="000312B0"/>
    <w:rsid w:val="00031C96"/>
    <w:rsid w:val="00032A47"/>
    <w:rsid w:val="000337C2"/>
    <w:rsid w:val="00033BBF"/>
    <w:rsid w:val="00033EDD"/>
    <w:rsid w:val="00034036"/>
    <w:rsid w:val="00034909"/>
    <w:rsid w:val="00034C76"/>
    <w:rsid w:val="00035A1A"/>
    <w:rsid w:val="0003624F"/>
    <w:rsid w:val="00037013"/>
    <w:rsid w:val="000402F9"/>
    <w:rsid w:val="000404DD"/>
    <w:rsid w:val="00040A74"/>
    <w:rsid w:val="00040BFE"/>
    <w:rsid w:val="00040CB7"/>
    <w:rsid w:val="00040F15"/>
    <w:rsid w:val="00041558"/>
    <w:rsid w:val="00041D04"/>
    <w:rsid w:val="00041F27"/>
    <w:rsid w:val="00042C9A"/>
    <w:rsid w:val="0004326B"/>
    <w:rsid w:val="00044244"/>
    <w:rsid w:val="00044D5E"/>
    <w:rsid w:val="00047508"/>
    <w:rsid w:val="00047A4A"/>
    <w:rsid w:val="00047CB0"/>
    <w:rsid w:val="00050000"/>
    <w:rsid w:val="00050DC2"/>
    <w:rsid w:val="00051EEA"/>
    <w:rsid w:val="00052142"/>
    <w:rsid w:val="00052A2A"/>
    <w:rsid w:val="00053671"/>
    <w:rsid w:val="00053DD5"/>
    <w:rsid w:val="00055D9E"/>
    <w:rsid w:val="00057090"/>
    <w:rsid w:val="000612E5"/>
    <w:rsid w:val="00064912"/>
    <w:rsid w:val="00065159"/>
    <w:rsid w:val="00065CBF"/>
    <w:rsid w:val="00065F15"/>
    <w:rsid w:val="00066E7A"/>
    <w:rsid w:val="0006761D"/>
    <w:rsid w:val="00067886"/>
    <w:rsid w:val="00067CF6"/>
    <w:rsid w:val="00067E52"/>
    <w:rsid w:val="00070C0F"/>
    <w:rsid w:val="00071263"/>
    <w:rsid w:val="00071273"/>
    <w:rsid w:val="00071742"/>
    <w:rsid w:val="000719F8"/>
    <w:rsid w:val="0007218E"/>
    <w:rsid w:val="00073FA7"/>
    <w:rsid w:val="000742E5"/>
    <w:rsid w:val="0007482D"/>
    <w:rsid w:val="00074C4F"/>
    <w:rsid w:val="000752F0"/>
    <w:rsid w:val="000754CC"/>
    <w:rsid w:val="000763DF"/>
    <w:rsid w:val="00076437"/>
    <w:rsid w:val="00076A78"/>
    <w:rsid w:val="0007707A"/>
    <w:rsid w:val="00077E33"/>
    <w:rsid w:val="00077F6D"/>
    <w:rsid w:val="00080741"/>
    <w:rsid w:val="00080881"/>
    <w:rsid w:val="00080AF1"/>
    <w:rsid w:val="0008295A"/>
    <w:rsid w:val="00084B53"/>
    <w:rsid w:val="00086D48"/>
    <w:rsid w:val="00086E64"/>
    <w:rsid w:val="00090366"/>
    <w:rsid w:val="00090C85"/>
    <w:rsid w:val="00090DA2"/>
    <w:rsid w:val="00091EE0"/>
    <w:rsid w:val="00092C9F"/>
    <w:rsid w:val="00095E62"/>
    <w:rsid w:val="00096779"/>
    <w:rsid w:val="000967A2"/>
    <w:rsid w:val="00096C27"/>
    <w:rsid w:val="000A0A33"/>
    <w:rsid w:val="000A107E"/>
    <w:rsid w:val="000A1171"/>
    <w:rsid w:val="000A12FB"/>
    <w:rsid w:val="000A2EE1"/>
    <w:rsid w:val="000A376D"/>
    <w:rsid w:val="000A38A5"/>
    <w:rsid w:val="000A3A8F"/>
    <w:rsid w:val="000A3E48"/>
    <w:rsid w:val="000A3EE3"/>
    <w:rsid w:val="000A4013"/>
    <w:rsid w:val="000A46FA"/>
    <w:rsid w:val="000A4B6C"/>
    <w:rsid w:val="000A583D"/>
    <w:rsid w:val="000A67A2"/>
    <w:rsid w:val="000A6ACD"/>
    <w:rsid w:val="000A7AC9"/>
    <w:rsid w:val="000B391B"/>
    <w:rsid w:val="000B39B6"/>
    <w:rsid w:val="000B52FD"/>
    <w:rsid w:val="000B55B0"/>
    <w:rsid w:val="000B59AF"/>
    <w:rsid w:val="000B5ED8"/>
    <w:rsid w:val="000B684E"/>
    <w:rsid w:val="000B69D5"/>
    <w:rsid w:val="000B6C6C"/>
    <w:rsid w:val="000B700A"/>
    <w:rsid w:val="000B7B36"/>
    <w:rsid w:val="000C44D7"/>
    <w:rsid w:val="000C4718"/>
    <w:rsid w:val="000C4CF9"/>
    <w:rsid w:val="000C51C4"/>
    <w:rsid w:val="000C619D"/>
    <w:rsid w:val="000C7C73"/>
    <w:rsid w:val="000D05D5"/>
    <w:rsid w:val="000D0E0A"/>
    <w:rsid w:val="000D10F5"/>
    <w:rsid w:val="000D17F5"/>
    <w:rsid w:val="000D1E6B"/>
    <w:rsid w:val="000D20CF"/>
    <w:rsid w:val="000D2858"/>
    <w:rsid w:val="000D2C11"/>
    <w:rsid w:val="000D346C"/>
    <w:rsid w:val="000D41F2"/>
    <w:rsid w:val="000D4973"/>
    <w:rsid w:val="000D4B2B"/>
    <w:rsid w:val="000D524B"/>
    <w:rsid w:val="000D5A07"/>
    <w:rsid w:val="000D6DFE"/>
    <w:rsid w:val="000D7447"/>
    <w:rsid w:val="000E0073"/>
    <w:rsid w:val="000E0405"/>
    <w:rsid w:val="000E0B9E"/>
    <w:rsid w:val="000E0C38"/>
    <w:rsid w:val="000E12E8"/>
    <w:rsid w:val="000E12F5"/>
    <w:rsid w:val="000E18F9"/>
    <w:rsid w:val="000E1AC2"/>
    <w:rsid w:val="000E2D35"/>
    <w:rsid w:val="000E35DE"/>
    <w:rsid w:val="000E4633"/>
    <w:rsid w:val="000E46CE"/>
    <w:rsid w:val="000E592D"/>
    <w:rsid w:val="000E5BB8"/>
    <w:rsid w:val="000E5F28"/>
    <w:rsid w:val="000E6A2E"/>
    <w:rsid w:val="000E6EA1"/>
    <w:rsid w:val="000E73E7"/>
    <w:rsid w:val="000E7E5E"/>
    <w:rsid w:val="000F1597"/>
    <w:rsid w:val="000F1C86"/>
    <w:rsid w:val="000F2919"/>
    <w:rsid w:val="000F30F3"/>
    <w:rsid w:val="000F39D5"/>
    <w:rsid w:val="000F3B3F"/>
    <w:rsid w:val="000F3E73"/>
    <w:rsid w:val="000F4296"/>
    <w:rsid w:val="000F435E"/>
    <w:rsid w:val="000F444B"/>
    <w:rsid w:val="000F4A25"/>
    <w:rsid w:val="000F4B30"/>
    <w:rsid w:val="000F4C67"/>
    <w:rsid w:val="000F4F05"/>
    <w:rsid w:val="000F4F62"/>
    <w:rsid w:val="000F5A2C"/>
    <w:rsid w:val="000F5CA5"/>
    <w:rsid w:val="000F63EB"/>
    <w:rsid w:val="000F6AC4"/>
    <w:rsid w:val="00100848"/>
    <w:rsid w:val="00100B96"/>
    <w:rsid w:val="00100DB4"/>
    <w:rsid w:val="00101039"/>
    <w:rsid w:val="00101196"/>
    <w:rsid w:val="00101AC2"/>
    <w:rsid w:val="00102B17"/>
    <w:rsid w:val="001031A3"/>
    <w:rsid w:val="0010562D"/>
    <w:rsid w:val="00105702"/>
    <w:rsid w:val="00105E45"/>
    <w:rsid w:val="0010614C"/>
    <w:rsid w:val="001074C9"/>
    <w:rsid w:val="0010798F"/>
    <w:rsid w:val="001100DD"/>
    <w:rsid w:val="001109E2"/>
    <w:rsid w:val="00111787"/>
    <w:rsid w:val="00112B68"/>
    <w:rsid w:val="001153AD"/>
    <w:rsid w:val="001159AF"/>
    <w:rsid w:val="00115DC6"/>
    <w:rsid w:val="0011615C"/>
    <w:rsid w:val="00116166"/>
    <w:rsid w:val="001161A9"/>
    <w:rsid w:val="001161E6"/>
    <w:rsid w:val="00116B70"/>
    <w:rsid w:val="00117C33"/>
    <w:rsid w:val="0012009D"/>
    <w:rsid w:val="00120262"/>
    <w:rsid w:val="00120773"/>
    <w:rsid w:val="00121D3F"/>
    <w:rsid w:val="00122381"/>
    <w:rsid w:val="00125466"/>
    <w:rsid w:val="00125863"/>
    <w:rsid w:val="00125B4F"/>
    <w:rsid w:val="00125DB6"/>
    <w:rsid w:val="00125F1F"/>
    <w:rsid w:val="00125F72"/>
    <w:rsid w:val="00126603"/>
    <w:rsid w:val="00126A5E"/>
    <w:rsid w:val="00126AA0"/>
    <w:rsid w:val="00127D3A"/>
    <w:rsid w:val="00130656"/>
    <w:rsid w:val="001322E3"/>
    <w:rsid w:val="00132648"/>
    <w:rsid w:val="00132B29"/>
    <w:rsid w:val="00132BEE"/>
    <w:rsid w:val="00133B31"/>
    <w:rsid w:val="00133E67"/>
    <w:rsid w:val="001346FF"/>
    <w:rsid w:val="001348B9"/>
    <w:rsid w:val="0013566C"/>
    <w:rsid w:val="00136856"/>
    <w:rsid w:val="00137163"/>
    <w:rsid w:val="001371E5"/>
    <w:rsid w:val="0013761B"/>
    <w:rsid w:val="00137C65"/>
    <w:rsid w:val="00137DFA"/>
    <w:rsid w:val="001409E6"/>
    <w:rsid w:val="00141D30"/>
    <w:rsid w:val="00141E14"/>
    <w:rsid w:val="001429A8"/>
    <w:rsid w:val="00142AC6"/>
    <w:rsid w:val="0014394E"/>
    <w:rsid w:val="00143A95"/>
    <w:rsid w:val="00143D74"/>
    <w:rsid w:val="00145B24"/>
    <w:rsid w:val="00145D4D"/>
    <w:rsid w:val="00146185"/>
    <w:rsid w:val="001465A3"/>
    <w:rsid w:val="001466C1"/>
    <w:rsid w:val="00146EF2"/>
    <w:rsid w:val="00147251"/>
    <w:rsid w:val="001475E2"/>
    <w:rsid w:val="00147B33"/>
    <w:rsid w:val="00150E33"/>
    <w:rsid w:val="00151689"/>
    <w:rsid w:val="00153FD8"/>
    <w:rsid w:val="00154240"/>
    <w:rsid w:val="001546A0"/>
    <w:rsid w:val="00154AC3"/>
    <w:rsid w:val="00154F60"/>
    <w:rsid w:val="0015528E"/>
    <w:rsid w:val="001557DE"/>
    <w:rsid w:val="001558A3"/>
    <w:rsid w:val="00156326"/>
    <w:rsid w:val="00156402"/>
    <w:rsid w:val="0015652E"/>
    <w:rsid w:val="00160FB6"/>
    <w:rsid w:val="0016111A"/>
    <w:rsid w:val="00161376"/>
    <w:rsid w:val="00161686"/>
    <w:rsid w:val="00161753"/>
    <w:rsid w:val="00161BF9"/>
    <w:rsid w:val="00161ED2"/>
    <w:rsid w:val="001622CF"/>
    <w:rsid w:val="00164E2B"/>
    <w:rsid w:val="0016541B"/>
    <w:rsid w:val="0016563B"/>
    <w:rsid w:val="001658D0"/>
    <w:rsid w:val="0016606D"/>
    <w:rsid w:val="001661A5"/>
    <w:rsid w:val="00166263"/>
    <w:rsid w:val="001665CC"/>
    <w:rsid w:val="00166DEF"/>
    <w:rsid w:val="001672BD"/>
    <w:rsid w:val="001705A4"/>
    <w:rsid w:val="00170679"/>
    <w:rsid w:val="001715C1"/>
    <w:rsid w:val="00171F21"/>
    <w:rsid w:val="00174114"/>
    <w:rsid w:val="00174461"/>
    <w:rsid w:val="001744EC"/>
    <w:rsid w:val="00175A49"/>
    <w:rsid w:val="001765EB"/>
    <w:rsid w:val="001774EB"/>
    <w:rsid w:val="00177C05"/>
    <w:rsid w:val="001819A2"/>
    <w:rsid w:val="00181FC8"/>
    <w:rsid w:val="00182328"/>
    <w:rsid w:val="001823A6"/>
    <w:rsid w:val="00182C64"/>
    <w:rsid w:val="0018364B"/>
    <w:rsid w:val="00183A9F"/>
    <w:rsid w:val="00184A6A"/>
    <w:rsid w:val="00184E4E"/>
    <w:rsid w:val="001857C9"/>
    <w:rsid w:val="00187D1D"/>
    <w:rsid w:val="00190A60"/>
    <w:rsid w:val="00192337"/>
    <w:rsid w:val="00192980"/>
    <w:rsid w:val="00192A90"/>
    <w:rsid w:val="00194259"/>
    <w:rsid w:val="0019653E"/>
    <w:rsid w:val="00197562"/>
    <w:rsid w:val="00197CCB"/>
    <w:rsid w:val="001A1582"/>
    <w:rsid w:val="001A3451"/>
    <w:rsid w:val="001A3805"/>
    <w:rsid w:val="001A4C1A"/>
    <w:rsid w:val="001A51B6"/>
    <w:rsid w:val="001A51D8"/>
    <w:rsid w:val="001A58F0"/>
    <w:rsid w:val="001A59BE"/>
    <w:rsid w:val="001A65B0"/>
    <w:rsid w:val="001A6F04"/>
    <w:rsid w:val="001A6F3C"/>
    <w:rsid w:val="001A7607"/>
    <w:rsid w:val="001A766B"/>
    <w:rsid w:val="001B00CF"/>
    <w:rsid w:val="001B0BF0"/>
    <w:rsid w:val="001B2081"/>
    <w:rsid w:val="001B26EF"/>
    <w:rsid w:val="001B3866"/>
    <w:rsid w:val="001B3B84"/>
    <w:rsid w:val="001B3BA5"/>
    <w:rsid w:val="001B3FA3"/>
    <w:rsid w:val="001B46B5"/>
    <w:rsid w:val="001B4CB6"/>
    <w:rsid w:val="001B57BA"/>
    <w:rsid w:val="001B6110"/>
    <w:rsid w:val="001B61B0"/>
    <w:rsid w:val="001B658B"/>
    <w:rsid w:val="001B67E8"/>
    <w:rsid w:val="001B7020"/>
    <w:rsid w:val="001C143B"/>
    <w:rsid w:val="001C176B"/>
    <w:rsid w:val="001C1B6C"/>
    <w:rsid w:val="001C1B75"/>
    <w:rsid w:val="001C2102"/>
    <w:rsid w:val="001C2D2F"/>
    <w:rsid w:val="001C3BDC"/>
    <w:rsid w:val="001C5097"/>
    <w:rsid w:val="001C7657"/>
    <w:rsid w:val="001C7CB5"/>
    <w:rsid w:val="001D075D"/>
    <w:rsid w:val="001D1328"/>
    <w:rsid w:val="001D16BB"/>
    <w:rsid w:val="001D2091"/>
    <w:rsid w:val="001D21FC"/>
    <w:rsid w:val="001D242C"/>
    <w:rsid w:val="001D30D8"/>
    <w:rsid w:val="001D360A"/>
    <w:rsid w:val="001D3ABF"/>
    <w:rsid w:val="001D3C4B"/>
    <w:rsid w:val="001D4656"/>
    <w:rsid w:val="001D4CB4"/>
    <w:rsid w:val="001D5045"/>
    <w:rsid w:val="001D50D1"/>
    <w:rsid w:val="001D60E4"/>
    <w:rsid w:val="001D656A"/>
    <w:rsid w:val="001D6DEB"/>
    <w:rsid w:val="001D7644"/>
    <w:rsid w:val="001D78E4"/>
    <w:rsid w:val="001D7EB6"/>
    <w:rsid w:val="001E0297"/>
    <w:rsid w:val="001E1787"/>
    <w:rsid w:val="001E2C47"/>
    <w:rsid w:val="001E3BCB"/>
    <w:rsid w:val="001E44CD"/>
    <w:rsid w:val="001E4B93"/>
    <w:rsid w:val="001E4FFB"/>
    <w:rsid w:val="001E5DD8"/>
    <w:rsid w:val="001E5F42"/>
    <w:rsid w:val="001E67AF"/>
    <w:rsid w:val="001E6F7B"/>
    <w:rsid w:val="001E77C5"/>
    <w:rsid w:val="001E7CE9"/>
    <w:rsid w:val="001F085D"/>
    <w:rsid w:val="001F0B47"/>
    <w:rsid w:val="001F0F18"/>
    <w:rsid w:val="001F174F"/>
    <w:rsid w:val="001F1B42"/>
    <w:rsid w:val="001F31DA"/>
    <w:rsid w:val="001F3409"/>
    <w:rsid w:val="001F3500"/>
    <w:rsid w:val="001F3F8F"/>
    <w:rsid w:val="001F525A"/>
    <w:rsid w:val="001F5A16"/>
    <w:rsid w:val="001F5DCA"/>
    <w:rsid w:val="001F60D2"/>
    <w:rsid w:val="001F6C31"/>
    <w:rsid w:val="001F7361"/>
    <w:rsid w:val="00200517"/>
    <w:rsid w:val="00200A52"/>
    <w:rsid w:val="00200BBC"/>
    <w:rsid w:val="00201314"/>
    <w:rsid w:val="00201FDC"/>
    <w:rsid w:val="002029B0"/>
    <w:rsid w:val="0020331F"/>
    <w:rsid w:val="002037FE"/>
    <w:rsid w:val="00203CF1"/>
    <w:rsid w:val="002046C6"/>
    <w:rsid w:val="00204F77"/>
    <w:rsid w:val="00205CAD"/>
    <w:rsid w:val="00205DB5"/>
    <w:rsid w:val="00205EEC"/>
    <w:rsid w:val="0020633A"/>
    <w:rsid w:val="002069D1"/>
    <w:rsid w:val="0020761A"/>
    <w:rsid w:val="002102C6"/>
    <w:rsid w:val="0021035A"/>
    <w:rsid w:val="00210B06"/>
    <w:rsid w:val="002110C7"/>
    <w:rsid w:val="00211631"/>
    <w:rsid w:val="00211EEA"/>
    <w:rsid w:val="00212533"/>
    <w:rsid w:val="00212653"/>
    <w:rsid w:val="002127AA"/>
    <w:rsid w:val="00213001"/>
    <w:rsid w:val="00213182"/>
    <w:rsid w:val="00213A10"/>
    <w:rsid w:val="0021470E"/>
    <w:rsid w:val="0021574C"/>
    <w:rsid w:val="0021605A"/>
    <w:rsid w:val="002173C0"/>
    <w:rsid w:val="00217652"/>
    <w:rsid w:val="00220618"/>
    <w:rsid w:val="0022161F"/>
    <w:rsid w:val="002218E4"/>
    <w:rsid w:val="00221D78"/>
    <w:rsid w:val="00222B26"/>
    <w:rsid w:val="0022320B"/>
    <w:rsid w:val="00223D5F"/>
    <w:rsid w:val="002249CE"/>
    <w:rsid w:val="00224A84"/>
    <w:rsid w:val="0022589A"/>
    <w:rsid w:val="002258BD"/>
    <w:rsid w:val="002263F7"/>
    <w:rsid w:val="00226495"/>
    <w:rsid w:val="00226583"/>
    <w:rsid w:val="00226768"/>
    <w:rsid w:val="00226B88"/>
    <w:rsid w:val="00227840"/>
    <w:rsid w:val="0023055D"/>
    <w:rsid w:val="00231657"/>
    <w:rsid w:val="00232586"/>
    <w:rsid w:val="002326E1"/>
    <w:rsid w:val="002329C6"/>
    <w:rsid w:val="00232E8B"/>
    <w:rsid w:val="00233EA3"/>
    <w:rsid w:val="002353F5"/>
    <w:rsid w:val="00235409"/>
    <w:rsid w:val="00235D23"/>
    <w:rsid w:val="00236306"/>
    <w:rsid w:val="0023677E"/>
    <w:rsid w:val="00240379"/>
    <w:rsid w:val="00240BD2"/>
    <w:rsid w:val="00240EE9"/>
    <w:rsid w:val="00241B3A"/>
    <w:rsid w:val="002428CF"/>
    <w:rsid w:val="00242DE8"/>
    <w:rsid w:val="0024326D"/>
    <w:rsid w:val="002433EC"/>
    <w:rsid w:val="0024386C"/>
    <w:rsid w:val="002439F1"/>
    <w:rsid w:val="00244571"/>
    <w:rsid w:val="00244E2E"/>
    <w:rsid w:val="002452FD"/>
    <w:rsid w:val="002453CB"/>
    <w:rsid w:val="00245A93"/>
    <w:rsid w:val="00245D5E"/>
    <w:rsid w:val="00245F60"/>
    <w:rsid w:val="00246121"/>
    <w:rsid w:val="002462B5"/>
    <w:rsid w:val="00246CE6"/>
    <w:rsid w:val="0024716E"/>
    <w:rsid w:val="00247C90"/>
    <w:rsid w:val="00247DE2"/>
    <w:rsid w:val="00247FD6"/>
    <w:rsid w:val="0025063E"/>
    <w:rsid w:val="002509BD"/>
    <w:rsid w:val="00250CB7"/>
    <w:rsid w:val="00251CB0"/>
    <w:rsid w:val="00251DAE"/>
    <w:rsid w:val="00251F58"/>
    <w:rsid w:val="002528A4"/>
    <w:rsid w:val="00253913"/>
    <w:rsid w:val="00253931"/>
    <w:rsid w:val="00254C05"/>
    <w:rsid w:val="00255DB0"/>
    <w:rsid w:val="00256E6D"/>
    <w:rsid w:val="00260919"/>
    <w:rsid w:val="00261345"/>
    <w:rsid w:val="0026134D"/>
    <w:rsid w:val="00261477"/>
    <w:rsid w:val="002615CB"/>
    <w:rsid w:val="00261EBF"/>
    <w:rsid w:val="002620AC"/>
    <w:rsid w:val="00262887"/>
    <w:rsid w:val="00262B42"/>
    <w:rsid w:val="00262BA5"/>
    <w:rsid w:val="00262CA3"/>
    <w:rsid w:val="00263496"/>
    <w:rsid w:val="002646B1"/>
    <w:rsid w:val="00264804"/>
    <w:rsid w:val="002649D9"/>
    <w:rsid w:val="00265069"/>
    <w:rsid w:val="00267C6A"/>
    <w:rsid w:val="002707CD"/>
    <w:rsid w:val="002710EC"/>
    <w:rsid w:val="00271555"/>
    <w:rsid w:val="00271A92"/>
    <w:rsid w:val="00272638"/>
    <w:rsid w:val="00272704"/>
    <w:rsid w:val="002727B7"/>
    <w:rsid w:val="00272A02"/>
    <w:rsid w:val="00272AE4"/>
    <w:rsid w:val="00272BDE"/>
    <w:rsid w:val="002747F9"/>
    <w:rsid w:val="00275E52"/>
    <w:rsid w:val="0027672E"/>
    <w:rsid w:val="00276EA8"/>
    <w:rsid w:val="002774A1"/>
    <w:rsid w:val="002778AD"/>
    <w:rsid w:val="00277902"/>
    <w:rsid w:val="00277C81"/>
    <w:rsid w:val="00277F81"/>
    <w:rsid w:val="0028121D"/>
    <w:rsid w:val="00281DAF"/>
    <w:rsid w:val="00282979"/>
    <w:rsid w:val="00282E2D"/>
    <w:rsid w:val="002841F0"/>
    <w:rsid w:val="00285081"/>
    <w:rsid w:val="002874C9"/>
    <w:rsid w:val="0028785C"/>
    <w:rsid w:val="002902DA"/>
    <w:rsid w:val="002908CE"/>
    <w:rsid w:val="00291CE8"/>
    <w:rsid w:val="00292402"/>
    <w:rsid w:val="002929CA"/>
    <w:rsid w:val="00292F7F"/>
    <w:rsid w:val="002957AD"/>
    <w:rsid w:val="00295988"/>
    <w:rsid w:val="00296391"/>
    <w:rsid w:val="00297BB1"/>
    <w:rsid w:val="002A00D9"/>
    <w:rsid w:val="002A11F3"/>
    <w:rsid w:val="002A1476"/>
    <w:rsid w:val="002A2279"/>
    <w:rsid w:val="002A307B"/>
    <w:rsid w:val="002A37E4"/>
    <w:rsid w:val="002A3D0B"/>
    <w:rsid w:val="002A4015"/>
    <w:rsid w:val="002A44B8"/>
    <w:rsid w:val="002A4566"/>
    <w:rsid w:val="002A45C4"/>
    <w:rsid w:val="002A57D8"/>
    <w:rsid w:val="002A6B2D"/>
    <w:rsid w:val="002A7554"/>
    <w:rsid w:val="002B0581"/>
    <w:rsid w:val="002B0944"/>
    <w:rsid w:val="002B1196"/>
    <w:rsid w:val="002B1925"/>
    <w:rsid w:val="002B34BE"/>
    <w:rsid w:val="002B4207"/>
    <w:rsid w:val="002B4269"/>
    <w:rsid w:val="002B48D4"/>
    <w:rsid w:val="002B4DF1"/>
    <w:rsid w:val="002B6988"/>
    <w:rsid w:val="002B7625"/>
    <w:rsid w:val="002B7ECD"/>
    <w:rsid w:val="002C0082"/>
    <w:rsid w:val="002C073D"/>
    <w:rsid w:val="002C0C12"/>
    <w:rsid w:val="002C4552"/>
    <w:rsid w:val="002C5493"/>
    <w:rsid w:val="002C6F9E"/>
    <w:rsid w:val="002C76C8"/>
    <w:rsid w:val="002D044F"/>
    <w:rsid w:val="002D0BE7"/>
    <w:rsid w:val="002D0D91"/>
    <w:rsid w:val="002D22AD"/>
    <w:rsid w:val="002D2796"/>
    <w:rsid w:val="002D38B1"/>
    <w:rsid w:val="002D417F"/>
    <w:rsid w:val="002D42C2"/>
    <w:rsid w:val="002D4706"/>
    <w:rsid w:val="002D4BAB"/>
    <w:rsid w:val="002D5730"/>
    <w:rsid w:val="002D5D3E"/>
    <w:rsid w:val="002D5FA7"/>
    <w:rsid w:val="002D7DCD"/>
    <w:rsid w:val="002E0156"/>
    <w:rsid w:val="002E032A"/>
    <w:rsid w:val="002E0A4E"/>
    <w:rsid w:val="002E0B55"/>
    <w:rsid w:val="002E23B6"/>
    <w:rsid w:val="002E24F3"/>
    <w:rsid w:val="002E2AE2"/>
    <w:rsid w:val="002E37A0"/>
    <w:rsid w:val="002E3A9D"/>
    <w:rsid w:val="002E3AD3"/>
    <w:rsid w:val="002E3F09"/>
    <w:rsid w:val="002E3FB9"/>
    <w:rsid w:val="002E4BEB"/>
    <w:rsid w:val="002E4D55"/>
    <w:rsid w:val="002E5BB2"/>
    <w:rsid w:val="002E60CB"/>
    <w:rsid w:val="002E616E"/>
    <w:rsid w:val="002E6450"/>
    <w:rsid w:val="002E6C09"/>
    <w:rsid w:val="002F0348"/>
    <w:rsid w:val="002F0832"/>
    <w:rsid w:val="002F0853"/>
    <w:rsid w:val="002F0B25"/>
    <w:rsid w:val="002F0B89"/>
    <w:rsid w:val="002F0D71"/>
    <w:rsid w:val="002F1024"/>
    <w:rsid w:val="002F2A5B"/>
    <w:rsid w:val="002F33F7"/>
    <w:rsid w:val="002F3ADC"/>
    <w:rsid w:val="002F498A"/>
    <w:rsid w:val="002F4FA0"/>
    <w:rsid w:val="002F637B"/>
    <w:rsid w:val="002F68BF"/>
    <w:rsid w:val="002F6CA1"/>
    <w:rsid w:val="002F73E1"/>
    <w:rsid w:val="002F7BB8"/>
    <w:rsid w:val="002F7CF9"/>
    <w:rsid w:val="003003A6"/>
    <w:rsid w:val="00301141"/>
    <w:rsid w:val="00301461"/>
    <w:rsid w:val="00301A9A"/>
    <w:rsid w:val="00301ADE"/>
    <w:rsid w:val="00301EF9"/>
    <w:rsid w:val="0030226E"/>
    <w:rsid w:val="00302371"/>
    <w:rsid w:val="0030273F"/>
    <w:rsid w:val="00302C65"/>
    <w:rsid w:val="00304877"/>
    <w:rsid w:val="00305169"/>
    <w:rsid w:val="00305664"/>
    <w:rsid w:val="003068D3"/>
    <w:rsid w:val="00306C2F"/>
    <w:rsid w:val="00306C5E"/>
    <w:rsid w:val="00306F39"/>
    <w:rsid w:val="00307410"/>
    <w:rsid w:val="00311020"/>
    <w:rsid w:val="003145DF"/>
    <w:rsid w:val="0031477E"/>
    <w:rsid w:val="0031564F"/>
    <w:rsid w:val="00315E7D"/>
    <w:rsid w:val="00316F36"/>
    <w:rsid w:val="00316F4B"/>
    <w:rsid w:val="00317A45"/>
    <w:rsid w:val="00320626"/>
    <w:rsid w:val="00321D77"/>
    <w:rsid w:val="0032206B"/>
    <w:rsid w:val="003224FC"/>
    <w:rsid w:val="00323473"/>
    <w:rsid w:val="0032370A"/>
    <w:rsid w:val="00323864"/>
    <w:rsid w:val="003238DA"/>
    <w:rsid w:val="003239A2"/>
    <w:rsid w:val="003241A5"/>
    <w:rsid w:val="00324319"/>
    <w:rsid w:val="0032484D"/>
    <w:rsid w:val="00324E77"/>
    <w:rsid w:val="00325C6C"/>
    <w:rsid w:val="00326A01"/>
    <w:rsid w:val="00327D3F"/>
    <w:rsid w:val="00330069"/>
    <w:rsid w:val="003300DA"/>
    <w:rsid w:val="003301D6"/>
    <w:rsid w:val="00330414"/>
    <w:rsid w:val="00330896"/>
    <w:rsid w:val="0033122C"/>
    <w:rsid w:val="0033125E"/>
    <w:rsid w:val="00331304"/>
    <w:rsid w:val="00332B09"/>
    <w:rsid w:val="00332B20"/>
    <w:rsid w:val="003335BC"/>
    <w:rsid w:val="00333F04"/>
    <w:rsid w:val="003360A3"/>
    <w:rsid w:val="003361A0"/>
    <w:rsid w:val="0033624E"/>
    <w:rsid w:val="00336C5B"/>
    <w:rsid w:val="00336EFC"/>
    <w:rsid w:val="0033762A"/>
    <w:rsid w:val="00340035"/>
    <w:rsid w:val="00341A29"/>
    <w:rsid w:val="00342276"/>
    <w:rsid w:val="003429D9"/>
    <w:rsid w:val="00346927"/>
    <w:rsid w:val="00347088"/>
    <w:rsid w:val="003475AB"/>
    <w:rsid w:val="0035059B"/>
    <w:rsid w:val="00351069"/>
    <w:rsid w:val="00351380"/>
    <w:rsid w:val="003516C2"/>
    <w:rsid w:val="00352341"/>
    <w:rsid w:val="003523CE"/>
    <w:rsid w:val="003531AB"/>
    <w:rsid w:val="00354017"/>
    <w:rsid w:val="00354106"/>
    <w:rsid w:val="00354730"/>
    <w:rsid w:val="00355BA3"/>
    <w:rsid w:val="00356794"/>
    <w:rsid w:val="00357086"/>
    <w:rsid w:val="00357475"/>
    <w:rsid w:val="003576F1"/>
    <w:rsid w:val="00357B0E"/>
    <w:rsid w:val="00357B68"/>
    <w:rsid w:val="003605EC"/>
    <w:rsid w:val="003611D6"/>
    <w:rsid w:val="003623C0"/>
    <w:rsid w:val="003623D4"/>
    <w:rsid w:val="00362973"/>
    <w:rsid w:val="00362F53"/>
    <w:rsid w:val="00363C11"/>
    <w:rsid w:val="00363EC2"/>
    <w:rsid w:val="00363EEE"/>
    <w:rsid w:val="0036428B"/>
    <w:rsid w:val="0036540B"/>
    <w:rsid w:val="003675CA"/>
    <w:rsid w:val="00367CC8"/>
    <w:rsid w:val="00367EF9"/>
    <w:rsid w:val="0037088B"/>
    <w:rsid w:val="00370A7D"/>
    <w:rsid w:val="00371827"/>
    <w:rsid w:val="00371DD7"/>
    <w:rsid w:val="00372740"/>
    <w:rsid w:val="00372912"/>
    <w:rsid w:val="00372F1C"/>
    <w:rsid w:val="003734F1"/>
    <w:rsid w:val="003745E0"/>
    <w:rsid w:val="00374740"/>
    <w:rsid w:val="00374810"/>
    <w:rsid w:val="00374C68"/>
    <w:rsid w:val="00375866"/>
    <w:rsid w:val="00375CE1"/>
    <w:rsid w:val="003760CB"/>
    <w:rsid w:val="00376BCB"/>
    <w:rsid w:val="00377DB6"/>
    <w:rsid w:val="003800D1"/>
    <w:rsid w:val="00380249"/>
    <w:rsid w:val="003809E9"/>
    <w:rsid w:val="00380EC0"/>
    <w:rsid w:val="00381A60"/>
    <w:rsid w:val="003828BE"/>
    <w:rsid w:val="00382E31"/>
    <w:rsid w:val="0038389C"/>
    <w:rsid w:val="003840A8"/>
    <w:rsid w:val="00384534"/>
    <w:rsid w:val="00384717"/>
    <w:rsid w:val="00384C41"/>
    <w:rsid w:val="00385A0E"/>
    <w:rsid w:val="00385EB3"/>
    <w:rsid w:val="00385FA7"/>
    <w:rsid w:val="00386415"/>
    <w:rsid w:val="00386EB3"/>
    <w:rsid w:val="00386F2F"/>
    <w:rsid w:val="00386F49"/>
    <w:rsid w:val="0038702A"/>
    <w:rsid w:val="003875F8"/>
    <w:rsid w:val="00387B0D"/>
    <w:rsid w:val="00392FCE"/>
    <w:rsid w:val="00393034"/>
    <w:rsid w:val="00393F04"/>
    <w:rsid w:val="003940F7"/>
    <w:rsid w:val="00394FC1"/>
    <w:rsid w:val="00395F80"/>
    <w:rsid w:val="00396F49"/>
    <w:rsid w:val="003A16BB"/>
    <w:rsid w:val="003A182C"/>
    <w:rsid w:val="003A26AB"/>
    <w:rsid w:val="003A34BB"/>
    <w:rsid w:val="003A400C"/>
    <w:rsid w:val="003A5B6E"/>
    <w:rsid w:val="003A656F"/>
    <w:rsid w:val="003A6A64"/>
    <w:rsid w:val="003A6D39"/>
    <w:rsid w:val="003A7832"/>
    <w:rsid w:val="003B0006"/>
    <w:rsid w:val="003B0328"/>
    <w:rsid w:val="003B09F8"/>
    <w:rsid w:val="003B0F37"/>
    <w:rsid w:val="003B1779"/>
    <w:rsid w:val="003B401A"/>
    <w:rsid w:val="003B4115"/>
    <w:rsid w:val="003B4C59"/>
    <w:rsid w:val="003B560F"/>
    <w:rsid w:val="003B5B65"/>
    <w:rsid w:val="003B63B5"/>
    <w:rsid w:val="003B6DF1"/>
    <w:rsid w:val="003B773C"/>
    <w:rsid w:val="003B7A92"/>
    <w:rsid w:val="003C0471"/>
    <w:rsid w:val="003C0FA2"/>
    <w:rsid w:val="003C1752"/>
    <w:rsid w:val="003C217A"/>
    <w:rsid w:val="003C233C"/>
    <w:rsid w:val="003C29B9"/>
    <w:rsid w:val="003C2FF2"/>
    <w:rsid w:val="003C3A46"/>
    <w:rsid w:val="003C425A"/>
    <w:rsid w:val="003C4976"/>
    <w:rsid w:val="003C554B"/>
    <w:rsid w:val="003C5565"/>
    <w:rsid w:val="003C5775"/>
    <w:rsid w:val="003C5BB9"/>
    <w:rsid w:val="003C697E"/>
    <w:rsid w:val="003C7335"/>
    <w:rsid w:val="003C747F"/>
    <w:rsid w:val="003C7CDB"/>
    <w:rsid w:val="003C7D7B"/>
    <w:rsid w:val="003D0839"/>
    <w:rsid w:val="003D1314"/>
    <w:rsid w:val="003D387A"/>
    <w:rsid w:val="003D3F2F"/>
    <w:rsid w:val="003D40DA"/>
    <w:rsid w:val="003D4E51"/>
    <w:rsid w:val="003D5846"/>
    <w:rsid w:val="003D62B8"/>
    <w:rsid w:val="003D6321"/>
    <w:rsid w:val="003D687B"/>
    <w:rsid w:val="003D6DC7"/>
    <w:rsid w:val="003D7144"/>
    <w:rsid w:val="003D748A"/>
    <w:rsid w:val="003D7A3E"/>
    <w:rsid w:val="003E02EC"/>
    <w:rsid w:val="003E040C"/>
    <w:rsid w:val="003E05ED"/>
    <w:rsid w:val="003E114A"/>
    <w:rsid w:val="003E1D32"/>
    <w:rsid w:val="003E30CD"/>
    <w:rsid w:val="003E3640"/>
    <w:rsid w:val="003E4A99"/>
    <w:rsid w:val="003E52F0"/>
    <w:rsid w:val="003E5F7B"/>
    <w:rsid w:val="003E6CA8"/>
    <w:rsid w:val="003E7ACA"/>
    <w:rsid w:val="003E7B15"/>
    <w:rsid w:val="003F0E88"/>
    <w:rsid w:val="003F18F7"/>
    <w:rsid w:val="003F1FC5"/>
    <w:rsid w:val="003F2BB4"/>
    <w:rsid w:val="003F2F9B"/>
    <w:rsid w:val="003F3472"/>
    <w:rsid w:val="003F4622"/>
    <w:rsid w:val="003F4A41"/>
    <w:rsid w:val="003F522B"/>
    <w:rsid w:val="003F5803"/>
    <w:rsid w:val="003F5B4A"/>
    <w:rsid w:val="003F63AC"/>
    <w:rsid w:val="003F7473"/>
    <w:rsid w:val="003F7662"/>
    <w:rsid w:val="00400157"/>
    <w:rsid w:val="00400984"/>
    <w:rsid w:val="00400A5A"/>
    <w:rsid w:val="0040154F"/>
    <w:rsid w:val="00402477"/>
    <w:rsid w:val="004025CA"/>
    <w:rsid w:val="00402BA4"/>
    <w:rsid w:val="00403F33"/>
    <w:rsid w:val="0040442F"/>
    <w:rsid w:val="0040468D"/>
    <w:rsid w:val="00405503"/>
    <w:rsid w:val="00405FEE"/>
    <w:rsid w:val="004101A3"/>
    <w:rsid w:val="00410EF5"/>
    <w:rsid w:val="004114B0"/>
    <w:rsid w:val="00411775"/>
    <w:rsid w:val="004125E2"/>
    <w:rsid w:val="004132D5"/>
    <w:rsid w:val="004135B4"/>
    <w:rsid w:val="0041385D"/>
    <w:rsid w:val="00414C20"/>
    <w:rsid w:val="00414FFC"/>
    <w:rsid w:val="004164EA"/>
    <w:rsid w:val="00416CA7"/>
    <w:rsid w:val="00416DE9"/>
    <w:rsid w:val="0041722D"/>
    <w:rsid w:val="00417E03"/>
    <w:rsid w:val="00417F86"/>
    <w:rsid w:val="004202B7"/>
    <w:rsid w:val="00420E67"/>
    <w:rsid w:val="004215F2"/>
    <w:rsid w:val="00421947"/>
    <w:rsid w:val="00421B0D"/>
    <w:rsid w:val="00421D25"/>
    <w:rsid w:val="00422B99"/>
    <w:rsid w:val="00423379"/>
    <w:rsid w:val="00423489"/>
    <w:rsid w:val="00424A8C"/>
    <w:rsid w:val="00425AF9"/>
    <w:rsid w:val="004264E1"/>
    <w:rsid w:val="004269BB"/>
    <w:rsid w:val="00430958"/>
    <w:rsid w:val="00430B3B"/>
    <w:rsid w:val="00432473"/>
    <w:rsid w:val="004335FA"/>
    <w:rsid w:val="0043381B"/>
    <w:rsid w:val="004338AD"/>
    <w:rsid w:val="00434CD6"/>
    <w:rsid w:val="004351C2"/>
    <w:rsid w:val="00435299"/>
    <w:rsid w:val="00437B71"/>
    <w:rsid w:val="00440218"/>
    <w:rsid w:val="004405B9"/>
    <w:rsid w:val="00440737"/>
    <w:rsid w:val="004411B0"/>
    <w:rsid w:val="0044169F"/>
    <w:rsid w:val="00441BDD"/>
    <w:rsid w:val="00441DB1"/>
    <w:rsid w:val="00441E83"/>
    <w:rsid w:val="00442403"/>
    <w:rsid w:val="00442A65"/>
    <w:rsid w:val="00443712"/>
    <w:rsid w:val="00443A3F"/>
    <w:rsid w:val="00443A59"/>
    <w:rsid w:val="00444033"/>
    <w:rsid w:val="00444358"/>
    <w:rsid w:val="0044574C"/>
    <w:rsid w:val="004462D4"/>
    <w:rsid w:val="00446C5C"/>
    <w:rsid w:val="00447479"/>
    <w:rsid w:val="0044773B"/>
    <w:rsid w:val="00447DDA"/>
    <w:rsid w:val="00450C82"/>
    <w:rsid w:val="00452147"/>
    <w:rsid w:val="004529E6"/>
    <w:rsid w:val="00454206"/>
    <w:rsid w:val="004550A1"/>
    <w:rsid w:val="00455E9E"/>
    <w:rsid w:val="00457318"/>
    <w:rsid w:val="00457BE3"/>
    <w:rsid w:val="00460163"/>
    <w:rsid w:val="004605C8"/>
    <w:rsid w:val="004607BE"/>
    <w:rsid w:val="00461467"/>
    <w:rsid w:val="00463C91"/>
    <w:rsid w:val="00463FF0"/>
    <w:rsid w:val="00464049"/>
    <w:rsid w:val="00464ACD"/>
    <w:rsid w:val="00465658"/>
    <w:rsid w:val="00466A8D"/>
    <w:rsid w:val="00467D04"/>
    <w:rsid w:val="004713D4"/>
    <w:rsid w:val="00471451"/>
    <w:rsid w:val="004724C3"/>
    <w:rsid w:val="004728D4"/>
    <w:rsid w:val="00472E89"/>
    <w:rsid w:val="004731F3"/>
    <w:rsid w:val="004737EA"/>
    <w:rsid w:val="00474121"/>
    <w:rsid w:val="00474DFE"/>
    <w:rsid w:val="004764B7"/>
    <w:rsid w:val="00477545"/>
    <w:rsid w:val="00477943"/>
    <w:rsid w:val="00477CE9"/>
    <w:rsid w:val="00477EC2"/>
    <w:rsid w:val="00480C88"/>
    <w:rsid w:val="00480E03"/>
    <w:rsid w:val="0048169D"/>
    <w:rsid w:val="0048170D"/>
    <w:rsid w:val="00481A8A"/>
    <w:rsid w:val="004820A1"/>
    <w:rsid w:val="004822FF"/>
    <w:rsid w:val="00482460"/>
    <w:rsid w:val="00482A0A"/>
    <w:rsid w:val="00483536"/>
    <w:rsid w:val="00483DAA"/>
    <w:rsid w:val="00484B34"/>
    <w:rsid w:val="00485007"/>
    <w:rsid w:val="00485184"/>
    <w:rsid w:val="004854F8"/>
    <w:rsid w:val="004857CA"/>
    <w:rsid w:val="00487396"/>
    <w:rsid w:val="004875A6"/>
    <w:rsid w:val="00487E08"/>
    <w:rsid w:val="004920E0"/>
    <w:rsid w:val="00493DBB"/>
    <w:rsid w:val="00494571"/>
    <w:rsid w:val="00494674"/>
    <w:rsid w:val="00494C90"/>
    <w:rsid w:val="0049592E"/>
    <w:rsid w:val="00495A84"/>
    <w:rsid w:val="004960D0"/>
    <w:rsid w:val="004963CA"/>
    <w:rsid w:val="004968BB"/>
    <w:rsid w:val="00496A5E"/>
    <w:rsid w:val="00497554"/>
    <w:rsid w:val="00497C45"/>
    <w:rsid w:val="004A0405"/>
    <w:rsid w:val="004A06A6"/>
    <w:rsid w:val="004A1961"/>
    <w:rsid w:val="004A3392"/>
    <w:rsid w:val="004A36FE"/>
    <w:rsid w:val="004A3F03"/>
    <w:rsid w:val="004A40C4"/>
    <w:rsid w:val="004A4274"/>
    <w:rsid w:val="004A432A"/>
    <w:rsid w:val="004A5100"/>
    <w:rsid w:val="004A553B"/>
    <w:rsid w:val="004A5585"/>
    <w:rsid w:val="004A58AA"/>
    <w:rsid w:val="004A5F13"/>
    <w:rsid w:val="004A6DEA"/>
    <w:rsid w:val="004A6E43"/>
    <w:rsid w:val="004A7779"/>
    <w:rsid w:val="004A7867"/>
    <w:rsid w:val="004B1C45"/>
    <w:rsid w:val="004B1F6D"/>
    <w:rsid w:val="004B2A25"/>
    <w:rsid w:val="004B308B"/>
    <w:rsid w:val="004B33C0"/>
    <w:rsid w:val="004B56F5"/>
    <w:rsid w:val="004B60ED"/>
    <w:rsid w:val="004B63E2"/>
    <w:rsid w:val="004B708C"/>
    <w:rsid w:val="004B723B"/>
    <w:rsid w:val="004B73D8"/>
    <w:rsid w:val="004C0206"/>
    <w:rsid w:val="004C0D3E"/>
    <w:rsid w:val="004C144B"/>
    <w:rsid w:val="004C1829"/>
    <w:rsid w:val="004C1D0E"/>
    <w:rsid w:val="004C26A0"/>
    <w:rsid w:val="004C2BF2"/>
    <w:rsid w:val="004C2EEE"/>
    <w:rsid w:val="004C2FC5"/>
    <w:rsid w:val="004C3126"/>
    <w:rsid w:val="004C476D"/>
    <w:rsid w:val="004C4875"/>
    <w:rsid w:val="004C4F95"/>
    <w:rsid w:val="004C519A"/>
    <w:rsid w:val="004C5618"/>
    <w:rsid w:val="004C5C08"/>
    <w:rsid w:val="004C68F5"/>
    <w:rsid w:val="004D097F"/>
    <w:rsid w:val="004D09B2"/>
    <w:rsid w:val="004D0DC8"/>
    <w:rsid w:val="004D149A"/>
    <w:rsid w:val="004D2070"/>
    <w:rsid w:val="004D27E2"/>
    <w:rsid w:val="004D286C"/>
    <w:rsid w:val="004D328C"/>
    <w:rsid w:val="004D3577"/>
    <w:rsid w:val="004D3898"/>
    <w:rsid w:val="004D48B2"/>
    <w:rsid w:val="004D4E85"/>
    <w:rsid w:val="004D6023"/>
    <w:rsid w:val="004D61ED"/>
    <w:rsid w:val="004D671A"/>
    <w:rsid w:val="004D6803"/>
    <w:rsid w:val="004D6FB7"/>
    <w:rsid w:val="004D70C2"/>
    <w:rsid w:val="004D76D3"/>
    <w:rsid w:val="004E09E8"/>
    <w:rsid w:val="004E10E7"/>
    <w:rsid w:val="004E1CEC"/>
    <w:rsid w:val="004E209C"/>
    <w:rsid w:val="004E29BF"/>
    <w:rsid w:val="004E29ED"/>
    <w:rsid w:val="004E3397"/>
    <w:rsid w:val="004E4966"/>
    <w:rsid w:val="004E507F"/>
    <w:rsid w:val="004E5090"/>
    <w:rsid w:val="004E5202"/>
    <w:rsid w:val="004E619C"/>
    <w:rsid w:val="004E63AB"/>
    <w:rsid w:val="004E7079"/>
    <w:rsid w:val="004E7203"/>
    <w:rsid w:val="004F0319"/>
    <w:rsid w:val="004F117F"/>
    <w:rsid w:val="004F1781"/>
    <w:rsid w:val="004F18EA"/>
    <w:rsid w:val="004F251E"/>
    <w:rsid w:val="004F25BC"/>
    <w:rsid w:val="004F289A"/>
    <w:rsid w:val="004F354D"/>
    <w:rsid w:val="004F3906"/>
    <w:rsid w:val="004F3D7B"/>
    <w:rsid w:val="004F3F6A"/>
    <w:rsid w:val="004F4396"/>
    <w:rsid w:val="004F4E6F"/>
    <w:rsid w:val="004F51CA"/>
    <w:rsid w:val="004F5E7A"/>
    <w:rsid w:val="004F5F66"/>
    <w:rsid w:val="004F6762"/>
    <w:rsid w:val="004F6EBD"/>
    <w:rsid w:val="004F722D"/>
    <w:rsid w:val="00500AA2"/>
    <w:rsid w:val="005013F7"/>
    <w:rsid w:val="00501604"/>
    <w:rsid w:val="00501957"/>
    <w:rsid w:val="00502749"/>
    <w:rsid w:val="0050410E"/>
    <w:rsid w:val="00505CCF"/>
    <w:rsid w:val="00505D31"/>
    <w:rsid w:val="005060F8"/>
    <w:rsid w:val="00506743"/>
    <w:rsid w:val="005068E2"/>
    <w:rsid w:val="00506966"/>
    <w:rsid w:val="005103BD"/>
    <w:rsid w:val="005121C7"/>
    <w:rsid w:val="00513307"/>
    <w:rsid w:val="00513990"/>
    <w:rsid w:val="00513D69"/>
    <w:rsid w:val="00513FF2"/>
    <w:rsid w:val="00514D31"/>
    <w:rsid w:val="00515411"/>
    <w:rsid w:val="0051771C"/>
    <w:rsid w:val="005179DA"/>
    <w:rsid w:val="00520401"/>
    <w:rsid w:val="005207B0"/>
    <w:rsid w:val="00521417"/>
    <w:rsid w:val="0052216B"/>
    <w:rsid w:val="00522456"/>
    <w:rsid w:val="00522DD7"/>
    <w:rsid w:val="00523B42"/>
    <w:rsid w:val="00524276"/>
    <w:rsid w:val="0052482B"/>
    <w:rsid w:val="00524CDB"/>
    <w:rsid w:val="00524FA5"/>
    <w:rsid w:val="00525C6B"/>
    <w:rsid w:val="005266C5"/>
    <w:rsid w:val="00527E42"/>
    <w:rsid w:val="005306FD"/>
    <w:rsid w:val="00530ADE"/>
    <w:rsid w:val="00531031"/>
    <w:rsid w:val="00531E09"/>
    <w:rsid w:val="00533925"/>
    <w:rsid w:val="005340D4"/>
    <w:rsid w:val="005341E5"/>
    <w:rsid w:val="00534F56"/>
    <w:rsid w:val="00540D52"/>
    <w:rsid w:val="00541A39"/>
    <w:rsid w:val="00542AA8"/>
    <w:rsid w:val="0054334E"/>
    <w:rsid w:val="005439CD"/>
    <w:rsid w:val="00544BDD"/>
    <w:rsid w:val="00545039"/>
    <w:rsid w:val="005465EF"/>
    <w:rsid w:val="005466A3"/>
    <w:rsid w:val="0055001E"/>
    <w:rsid w:val="005506C6"/>
    <w:rsid w:val="00551D0F"/>
    <w:rsid w:val="00552092"/>
    <w:rsid w:val="0055272B"/>
    <w:rsid w:val="00554169"/>
    <w:rsid w:val="0055430E"/>
    <w:rsid w:val="00554B61"/>
    <w:rsid w:val="00555331"/>
    <w:rsid w:val="00555A16"/>
    <w:rsid w:val="00555E25"/>
    <w:rsid w:val="00555E64"/>
    <w:rsid w:val="00557360"/>
    <w:rsid w:val="00557F2D"/>
    <w:rsid w:val="005614AD"/>
    <w:rsid w:val="005616EF"/>
    <w:rsid w:val="005616F8"/>
    <w:rsid w:val="00561C97"/>
    <w:rsid w:val="00562CB1"/>
    <w:rsid w:val="00562F53"/>
    <w:rsid w:val="00562FEE"/>
    <w:rsid w:val="005634A1"/>
    <w:rsid w:val="00564C2E"/>
    <w:rsid w:val="00565183"/>
    <w:rsid w:val="0056571B"/>
    <w:rsid w:val="00565E00"/>
    <w:rsid w:val="00565FCE"/>
    <w:rsid w:val="0056663E"/>
    <w:rsid w:val="0056796C"/>
    <w:rsid w:val="00570A7B"/>
    <w:rsid w:val="005736CD"/>
    <w:rsid w:val="00574470"/>
    <w:rsid w:val="00574BF4"/>
    <w:rsid w:val="005754E0"/>
    <w:rsid w:val="0057553E"/>
    <w:rsid w:val="0057683A"/>
    <w:rsid w:val="0057690F"/>
    <w:rsid w:val="00577BA8"/>
    <w:rsid w:val="00580278"/>
    <w:rsid w:val="005804A0"/>
    <w:rsid w:val="00581664"/>
    <w:rsid w:val="00581F4A"/>
    <w:rsid w:val="0058223F"/>
    <w:rsid w:val="00582263"/>
    <w:rsid w:val="00584266"/>
    <w:rsid w:val="005843BF"/>
    <w:rsid w:val="005844B6"/>
    <w:rsid w:val="0058518A"/>
    <w:rsid w:val="00585431"/>
    <w:rsid w:val="00586786"/>
    <w:rsid w:val="00586D4B"/>
    <w:rsid w:val="005871CF"/>
    <w:rsid w:val="005909B7"/>
    <w:rsid w:val="005912A5"/>
    <w:rsid w:val="00593016"/>
    <w:rsid w:val="00594835"/>
    <w:rsid w:val="00594FBA"/>
    <w:rsid w:val="005956FA"/>
    <w:rsid w:val="005962C6"/>
    <w:rsid w:val="00596432"/>
    <w:rsid w:val="00596C28"/>
    <w:rsid w:val="00597441"/>
    <w:rsid w:val="00597A28"/>
    <w:rsid w:val="005A0646"/>
    <w:rsid w:val="005A0941"/>
    <w:rsid w:val="005A15B4"/>
    <w:rsid w:val="005A1D80"/>
    <w:rsid w:val="005A1E58"/>
    <w:rsid w:val="005A21C4"/>
    <w:rsid w:val="005A2382"/>
    <w:rsid w:val="005A253E"/>
    <w:rsid w:val="005A26E1"/>
    <w:rsid w:val="005A279E"/>
    <w:rsid w:val="005A2A94"/>
    <w:rsid w:val="005A43DF"/>
    <w:rsid w:val="005A47E6"/>
    <w:rsid w:val="005A4804"/>
    <w:rsid w:val="005A531D"/>
    <w:rsid w:val="005A6354"/>
    <w:rsid w:val="005A6BE4"/>
    <w:rsid w:val="005A6EB8"/>
    <w:rsid w:val="005A7B86"/>
    <w:rsid w:val="005B03FA"/>
    <w:rsid w:val="005B08C3"/>
    <w:rsid w:val="005B28AC"/>
    <w:rsid w:val="005B30C8"/>
    <w:rsid w:val="005B37FC"/>
    <w:rsid w:val="005B3BFC"/>
    <w:rsid w:val="005B58A8"/>
    <w:rsid w:val="005B58C0"/>
    <w:rsid w:val="005B69E9"/>
    <w:rsid w:val="005B7A54"/>
    <w:rsid w:val="005B7B58"/>
    <w:rsid w:val="005C0978"/>
    <w:rsid w:val="005C1874"/>
    <w:rsid w:val="005C1DF4"/>
    <w:rsid w:val="005C296B"/>
    <w:rsid w:val="005C3180"/>
    <w:rsid w:val="005C3ADE"/>
    <w:rsid w:val="005C3D1E"/>
    <w:rsid w:val="005C430C"/>
    <w:rsid w:val="005C4633"/>
    <w:rsid w:val="005C46AD"/>
    <w:rsid w:val="005C47F5"/>
    <w:rsid w:val="005C62C2"/>
    <w:rsid w:val="005C65FB"/>
    <w:rsid w:val="005C678E"/>
    <w:rsid w:val="005C6A6A"/>
    <w:rsid w:val="005C79ED"/>
    <w:rsid w:val="005C7AA2"/>
    <w:rsid w:val="005C7FE7"/>
    <w:rsid w:val="005D0708"/>
    <w:rsid w:val="005D089F"/>
    <w:rsid w:val="005D1525"/>
    <w:rsid w:val="005D20F0"/>
    <w:rsid w:val="005D240C"/>
    <w:rsid w:val="005D247E"/>
    <w:rsid w:val="005D321F"/>
    <w:rsid w:val="005D39BA"/>
    <w:rsid w:val="005D465B"/>
    <w:rsid w:val="005D4E25"/>
    <w:rsid w:val="005D4EA5"/>
    <w:rsid w:val="005D5B40"/>
    <w:rsid w:val="005D5BA8"/>
    <w:rsid w:val="005D5BAB"/>
    <w:rsid w:val="005D6CA9"/>
    <w:rsid w:val="005D74EB"/>
    <w:rsid w:val="005E0DA6"/>
    <w:rsid w:val="005E1030"/>
    <w:rsid w:val="005E171B"/>
    <w:rsid w:val="005E1727"/>
    <w:rsid w:val="005E1739"/>
    <w:rsid w:val="005E18D8"/>
    <w:rsid w:val="005E1A63"/>
    <w:rsid w:val="005E1A82"/>
    <w:rsid w:val="005E1D15"/>
    <w:rsid w:val="005E268A"/>
    <w:rsid w:val="005E3071"/>
    <w:rsid w:val="005E3292"/>
    <w:rsid w:val="005E3C77"/>
    <w:rsid w:val="005E424C"/>
    <w:rsid w:val="005E4B9F"/>
    <w:rsid w:val="005E4F6F"/>
    <w:rsid w:val="005E68CC"/>
    <w:rsid w:val="005E6A54"/>
    <w:rsid w:val="005E712E"/>
    <w:rsid w:val="005E74C3"/>
    <w:rsid w:val="005E7802"/>
    <w:rsid w:val="005E7B2B"/>
    <w:rsid w:val="005E7DFE"/>
    <w:rsid w:val="005E7F2A"/>
    <w:rsid w:val="005E7F91"/>
    <w:rsid w:val="005F05DE"/>
    <w:rsid w:val="005F15DB"/>
    <w:rsid w:val="005F1620"/>
    <w:rsid w:val="005F1929"/>
    <w:rsid w:val="005F3171"/>
    <w:rsid w:val="005F4A45"/>
    <w:rsid w:val="005F4EF7"/>
    <w:rsid w:val="005F4F5D"/>
    <w:rsid w:val="005F56B1"/>
    <w:rsid w:val="005F5869"/>
    <w:rsid w:val="005F589C"/>
    <w:rsid w:val="005F6AE6"/>
    <w:rsid w:val="005F7367"/>
    <w:rsid w:val="005F758C"/>
    <w:rsid w:val="005F76D2"/>
    <w:rsid w:val="00600473"/>
    <w:rsid w:val="006012BF"/>
    <w:rsid w:val="006020B8"/>
    <w:rsid w:val="006023AA"/>
    <w:rsid w:val="0060333C"/>
    <w:rsid w:val="006036E7"/>
    <w:rsid w:val="0060438B"/>
    <w:rsid w:val="00604B77"/>
    <w:rsid w:val="00606986"/>
    <w:rsid w:val="00606C9A"/>
    <w:rsid w:val="006071D4"/>
    <w:rsid w:val="00607AA1"/>
    <w:rsid w:val="006113EF"/>
    <w:rsid w:val="00611762"/>
    <w:rsid w:val="00611C84"/>
    <w:rsid w:val="00611F5D"/>
    <w:rsid w:val="0061208D"/>
    <w:rsid w:val="006128D6"/>
    <w:rsid w:val="00613238"/>
    <w:rsid w:val="006132C9"/>
    <w:rsid w:val="006143B4"/>
    <w:rsid w:val="00614779"/>
    <w:rsid w:val="00614863"/>
    <w:rsid w:val="006149F5"/>
    <w:rsid w:val="00615A72"/>
    <w:rsid w:val="00616933"/>
    <w:rsid w:val="00616E23"/>
    <w:rsid w:val="00617E5A"/>
    <w:rsid w:val="00617FC1"/>
    <w:rsid w:val="006203D9"/>
    <w:rsid w:val="00620762"/>
    <w:rsid w:val="00620D26"/>
    <w:rsid w:val="006210F1"/>
    <w:rsid w:val="006211D6"/>
    <w:rsid w:val="00622935"/>
    <w:rsid w:val="00623277"/>
    <w:rsid w:val="006233E2"/>
    <w:rsid w:val="006236B1"/>
    <w:rsid w:val="00624033"/>
    <w:rsid w:val="0062489D"/>
    <w:rsid w:val="00624BB4"/>
    <w:rsid w:val="0062526E"/>
    <w:rsid w:val="00625F96"/>
    <w:rsid w:val="006269A3"/>
    <w:rsid w:val="00626E64"/>
    <w:rsid w:val="00627A76"/>
    <w:rsid w:val="00630F51"/>
    <w:rsid w:val="00631229"/>
    <w:rsid w:val="00631608"/>
    <w:rsid w:val="00631BAC"/>
    <w:rsid w:val="00632012"/>
    <w:rsid w:val="0063258A"/>
    <w:rsid w:val="006337D8"/>
    <w:rsid w:val="00633ABE"/>
    <w:rsid w:val="00633F15"/>
    <w:rsid w:val="006344A1"/>
    <w:rsid w:val="00635D5A"/>
    <w:rsid w:val="00637451"/>
    <w:rsid w:val="006400FB"/>
    <w:rsid w:val="0064071A"/>
    <w:rsid w:val="006413DD"/>
    <w:rsid w:val="00641D81"/>
    <w:rsid w:val="00642061"/>
    <w:rsid w:val="00644061"/>
    <w:rsid w:val="0064414F"/>
    <w:rsid w:val="006449B4"/>
    <w:rsid w:val="00644F95"/>
    <w:rsid w:val="00645464"/>
    <w:rsid w:val="00645ABA"/>
    <w:rsid w:val="0064651A"/>
    <w:rsid w:val="00647EC1"/>
    <w:rsid w:val="00650121"/>
    <w:rsid w:val="006502CF"/>
    <w:rsid w:val="006509E4"/>
    <w:rsid w:val="006510A9"/>
    <w:rsid w:val="00651863"/>
    <w:rsid w:val="0065238E"/>
    <w:rsid w:val="00652732"/>
    <w:rsid w:val="00652A74"/>
    <w:rsid w:val="006537BF"/>
    <w:rsid w:val="006540B6"/>
    <w:rsid w:val="00654340"/>
    <w:rsid w:val="006543FF"/>
    <w:rsid w:val="00654738"/>
    <w:rsid w:val="00654B8E"/>
    <w:rsid w:val="00654BB8"/>
    <w:rsid w:val="0065561E"/>
    <w:rsid w:val="00656A05"/>
    <w:rsid w:val="00656ACA"/>
    <w:rsid w:val="00657073"/>
    <w:rsid w:val="00657283"/>
    <w:rsid w:val="006578B3"/>
    <w:rsid w:val="00657A07"/>
    <w:rsid w:val="00660694"/>
    <w:rsid w:val="00661B0F"/>
    <w:rsid w:val="00661E64"/>
    <w:rsid w:val="00662011"/>
    <w:rsid w:val="006628F5"/>
    <w:rsid w:val="00662AD8"/>
    <w:rsid w:val="00663023"/>
    <w:rsid w:val="006632E7"/>
    <w:rsid w:val="0066334A"/>
    <w:rsid w:val="00664896"/>
    <w:rsid w:val="00664C96"/>
    <w:rsid w:val="0066508A"/>
    <w:rsid w:val="00665F39"/>
    <w:rsid w:val="006665A5"/>
    <w:rsid w:val="00666B72"/>
    <w:rsid w:val="00667067"/>
    <w:rsid w:val="00667209"/>
    <w:rsid w:val="00670977"/>
    <w:rsid w:val="00670DAB"/>
    <w:rsid w:val="006717B7"/>
    <w:rsid w:val="00671C8C"/>
    <w:rsid w:val="00672409"/>
    <w:rsid w:val="00673060"/>
    <w:rsid w:val="00673405"/>
    <w:rsid w:val="00674C94"/>
    <w:rsid w:val="00674F6A"/>
    <w:rsid w:val="0067527B"/>
    <w:rsid w:val="00675368"/>
    <w:rsid w:val="0067643E"/>
    <w:rsid w:val="00676F5E"/>
    <w:rsid w:val="006774C7"/>
    <w:rsid w:val="00680FE3"/>
    <w:rsid w:val="00681018"/>
    <w:rsid w:val="00681428"/>
    <w:rsid w:val="00681562"/>
    <w:rsid w:val="006817AF"/>
    <w:rsid w:val="006817FA"/>
    <w:rsid w:val="00682621"/>
    <w:rsid w:val="00683198"/>
    <w:rsid w:val="00683752"/>
    <w:rsid w:val="00684437"/>
    <w:rsid w:val="00684BDD"/>
    <w:rsid w:val="0068567D"/>
    <w:rsid w:val="00685CE8"/>
    <w:rsid w:val="0068689E"/>
    <w:rsid w:val="006869C9"/>
    <w:rsid w:val="00687956"/>
    <w:rsid w:val="0069043E"/>
    <w:rsid w:val="006908F3"/>
    <w:rsid w:val="00690CB6"/>
    <w:rsid w:val="006913D4"/>
    <w:rsid w:val="00691483"/>
    <w:rsid w:val="006928E9"/>
    <w:rsid w:val="006937C2"/>
    <w:rsid w:val="00693BB6"/>
    <w:rsid w:val="00694206"/>
    <w:rsid w:val="0069501C"/>
    <w:rsid w:val="0069545B"/>
    <w:rsid w:val="00695658"/>
    <w:rsid w:val="00695D39"/>
    <w:rsid w:val="00696858"/>
    <w:rsid w:val="00696BB3"/>
    <w:rsid w:val="006972A4"/>
    <w:rsid w:val="006973D0"/>
    <w:rsid w:val="006977E6"/>
    <w:rsid w:val="00697E1E"/>
    <w:rsid w:val="00697F30"/>
    <w:rsid w:val="006A0CAB"/>
    <w:rsid w:val="006A1999"/>
    <w:rsid w:val="006A279D"/>
    <w:rsid w:val="006A2CF9"/>
    <w:rsid w:val="006A31D2"/>
    <w:rsid w:val="006A3917"/>
    <w:rsid w:val="006A4873"/>
    <w:rsid w:val="006A5E3F"/>
    <w:rsid w:val="006A64F3"/>
    <w:rsid w:val="006A6542"/>
    <w:rsid w:val="006A75CE"/>
    <w:rsid w:val="006A7FC1"/>
    <w:rsid w:val="006B04CB"/>
    <w:rsid w:val="006B0F2B"/>
    <w:rsid w:val="006B1022"/>
    <w:rsid w:val="006B1C9D"/>
    <w:rsid w:val="006B1FA2"/>
    <w:rsid w:val="006B299E"/>
    <w:rsid w:val="006B2A78"/>
    <w:rsid w:val="006B2B97"/>
    <w:rsid w:val="006B2D93"/>
    <w:rsid w:val="006B370B"/>
    <w:rsid w:val="006B3B2F"/>
    <w:rsid w:val="006B5457"/>
    <w:rsid w:val="006B63C7"/>
    <w:rsid w:val="006B65DD"/>
    <w:rsid w:val="006B6AD1"/>
    <w:rsid w:val="006B736C"/>
    <w:rsid w:val="006B7CB1"/>
    <w:rsid w:val="006C0B37"/>
    <w:rsid w:val="006C0B7C"/>
    <w:rsid w:val="006C0D97"/>
    <w:rsid w:val="006C185B"/>
    <w:rsid w:val="006C1F4A"/>
    <w:rsid w:val="006C2310"/>
    <w:rsid w:val="006C37BD"/>
    <w:rsid w:val="006C3F86"/>
    <w:rsid w:val="006C4202"/>
    <w:rsid w:val="006C4637"/>
    <w:rsid w:val="006C4BEE"/>
    <w:rsid w:val="006C4F10"/>
    <w:rsid w:val="006C5CDE"/>
    <w:rsid w:val="006C5CEA"/>
    <w:rsid w:val="006C5FEF"/>
    <w:rsid w:val="006C6045"/>
    <w:rsid w:val="006C6171"/>
    <w:rsid w:val="006C63F2"/>
    <w:rsid w:val="006C6B4F"/>
    <w:rsid w:val="006C7126"/>
    <w:rsid w:val="006C7274"/>
    <w:rsid w:val="006C73E8"/>
    <w:rsid w:val="006D07C4"/>
    <w:rsid w:val="006D0DED"/>
    <w:rsid w:val="006D1272"/>
    <w:rsid w:val="006D1E6A"/>
    <w:rsid w:val="006D25AA"/>
    <w:rsid w:val="006D2A4A"/>
    <w:rsid w:val="006D3F6F"/>
    <w:rsid w:val="006D4CA3"/>
    <w:rsid w:val="006D538F"/>
    <w:rsid w:val="006D57B9"/>
    <w:rsid w:val="006D58E9"/>
    <w:rsid w:val="006D7D6D"/>
    <w:rsid w:val="006E0FDF"/>
    <w:rsid w:val="006E11E5"/>
    <w:rsid w:val="006E27D5"/>
    <w:rsid w:val="006E2FB3"/>
    <w:rsid w:val="006E36FC"/>
    <w:rsid w:val="006E3705"/>
    <w:rsid w:val="006E39D9"/>
    <w:rsid w:val="006E47ED"/>
    <w:rsid w:val="006E55C3"/>
    <w:rsid w:val="006E5DB3"/>
    <w:rsid w:val="006E6A75"/>
    <w:rsid w:val="006E6F3E"/>
    <w:rsid w:val="006E75E8"/>
    <w:rsid w:val="006E767C"/>
    <w:rsid w:val="006F1234"/>
    <w:rsid w:val="006F2C3C"/>
    <w:rsid w:val="006F2F73"/>
    <w:rsid w:val="006F361E"/>
    <w:rsid w:val="006F3CD7"/>
    <w:rsid w:val="006F4152"/>
    <w:rsid w:val="006F5191"/>
    <w:rsid w:val="006F537D"/>
    <w:rsid w:val="006F5980"/>
    <w:rsid w:val="006F69C4"/>
    <w:rsid w:val="006F6B0A"/>
    <w:rsid w:val="006F70C2"/>
    <w:rsid w:val="007001B2"/>
    <w:rsid w:val="00700987"/>
    <w:rsid w:val="007011F2"/>
    <w:rsid w:val="00701220"/>
    <w:rsid w:val="0070248C"/>
    <w:rsid w:val="007025BE"/>
    <w:rsid w:val="00702AE0"/>
    <w:rsid w:val="00702AF3"/>
    <w:rsid w:val="00702C4D"/>
    <w:rsid w:val="00702C8A"/>
    <w:rsid w:val="00702EE4"/>
    <w:rsid w:val="00703613"/>
    <w:rsid w:val="007037C8"/>
    <w:rsid w:val="007056B3"/>
    <w:rsid w:val="007061DB"/>
    <w:rsid w:val="007069B5"/>
    <w:rsid w:val="00706C0C"/>
    <w:rsid w:val="00707737"/>
    <w:rsid w:val="007111D3"/>
    <w:rsid w:val="00711265"/>
    <w:rsid w:val="00712807"/>
    <w:rsid w:val="00712947"/>
    <w:rsid w:val="007135DF"/>
    <w:rsid w:val="007147DF"/>
    <w:rsid w:val="00714832"/>
    <w:rsid w:val="00714F5E"/>
    <w:rsid w:val="007153F7"/>
    <w:rsid w:val="00715717"/>
    <w:rsid w:val="00715C97"/>
    <w:rsid w:val="00716B56"/>
    <w:rsid w:val="00717754"/>
    <w:rsid w:val="0072271A"/>
    <w:rsid w:val="007230FC"/>
    <w:rsid w:val="00723F91"/>
    <w:rsid w:val="00724F14"/>
    <w:rsid w:val="007258DC"/>
    <w:rsid w:val="0072660F"/>
    <w:rsid w:val="007271BF"/>
    <w:rsid w:val="007301B1"/>
    <w:rsid w:val="00730B85"/>
    <w:rsid w:val="00731793"/>
    <w:rsid w:val="00731B2E"/>
    <w:rsid w:val="00732421"/>
    <w:rsid w:val="00732B01"/>
    <w:rsid w:val="00732B60"/>
    <w:rsid w:val="007332C3"/>
    <w:rsid w:val="007346F4"/>
    <w:rsid w:val="007352EB"/>
    <w:rsid w:val="0073621F"/>
    <w:rsid w:val="00736940"/>
    <w:rsid w:val="00736F0F"/>
    <w:rsid w:val="00736FE2"/>
    <w:rsid w:val="00737A18"/>
    <w:rsid w:val="007400BA"/>
    <w:rsid w:val="007408B2"/>
    <w:rsid w:val="007408C4"/>
    <w:rsid w:val="00741099"/>
    <w:rsid w:val="0074254D"/>
    <w:rsid w:val="007425CF"/>
    <w:rsid w:val="007425D3"/>
    <w:rsid w:val="00742893"/>
    <w:rsid w:val="00742EE1"/>
    <w:rsid w:val="007435DA"/>
    <w:rsid w:val="007436BC"/>
    <w:rsid w:val="007436E8"/>
    <w:rsid w:val="00743B40"/>
    <w:rsid w:val="007442F6"/>
    <w:rsid w:val="007444FF"/>
    <w:rsid w:val="00744D51"/>
    <w:rsid w:val="00745281"/>
    <w:rsid w:val="00745549"/>
    <w:rsid w:val="00745B49"/>
    <w:rsid w:val="00750972"/>
    <w:rsid w:val="00750B52"/>
    <w:rsid w:val="007518F6"/>
    <w:rsid w:val="00752268"/>
    <w:rsid w:val="007536B9"/>
    <w:rsid w:val="007537A9"/>
    <w:rsid w:val="00753E0A"/>
    <w:rsid w:val="00754A5A"/>
    <w:rsid w:val="0075606C"/>
    <w:rsid w:val="00756C21"/>
    <w:rsid w:val="00757B03"/>
    <w:rsid w:val="00760212"/>
    <w:rsid w:val="00761735"/>
    <w:rsid w:val="00761A9A"/>
    <w:rsid w:val="00763586"/>
    <w:rsid w:val="00764B59"/>
    <w:rsid w:val="007651F0"/>
    <w:rsid w:val="007651F3"/>
    <w:rsid w:val="00765B17"/>
    <w:rsid w:val="00766CE3"/>
    <w:rsid w:val="00767EC0"/>
    <w:rsid w:val="00767ECF"/>
    <w:rsid w:val="0077009C"/>
    <w:rsid w:val="007702CC"/>
    <w:rsid w:val="00770331"/>
    <w:rsid w:val="007717DA"/>
    <w:rsid w:val="00771AC8"/>
    <w:rsid w:val="007721FC"/>
    <w:rsid w:val="00772764"/>
    <w:rsid w:val="0077285C"/>
    <w:rsid w:val="00772DFE"/>
    <w:rsid w:val="007732C8"/>
    <w:rsid w:val="00774C60"/>
    <w:rsid w:val="007751C7"/>
    <w:rsid w:val="00776042"/>
    <w:rsid w:val="007763B8"/>
    <w:rsid w:val="00777272"/>
    <w:rsid w:val="00777D7D"/>
    <w:rsid w:val="00780E22"/>
    <w:rsid w:val="007815F9"/>
    <w:rsid w:val="00781697"/>
    <w:rsid w:val="00781F0C"/>
    <w:rsid w:val="00782B3C"/>
    <w:rsid w:val="00782D3A"/>
    <w:rsid w:val="00783111"/>
    <w:rsid w:val="00784CC2"/>
    <w:rsid w:val="00786827"/>
    <w:rsid w:val="0079073D"/>
    <w:rsid w:val="00790B37"/>
    <w:rsid w:val="00791D39"/>
    <w:rsid w:val="0079203D"/>
    <w:rsid w:val="007929B0"/>
    <w:rsid w:val="00792F6A"/>
    <w:rsid w:val="00792FD0"/>
    <w:rsid w:val="007941FB"/>
    <w:rsid w:val="00794CD2"/>
    <w:rsid w:val="00794CE6"/>
    <w:rsid w:val="007951B5"/>
    <w:rsid w:val="00795D1F"/>
    <w:rsid w:val="00796D45"/>
    <w:rsid w:val="007978AA"/>
    <w:rsid w:val="007A0B43"/>
    <w:rsid w:val="007A0EEF"/>
    <w:rsid w:val="007A11FD"/>
    <w:rsid w:val="007A14DB"/>
    <w:rsid w:val="007A158D"/>
    <w:rsid w:val="007A2438"/>
    <w:rsid w:val="007A28FD"/>
    <w:rsid w:val="007A2C51"/>
    <w:rsid w:val="007A30B4"/>
    <w:rsid w:val="007A3585"/>
    <w:rsid w:val="007A36BC"/>
    <w:rsid w:val="007A3941"/>
    <w:rsid w:val="007A43E1"/>
    <w:rsid w:val="007A553D"/>
    <w:rsid w:val="007A59B1"/>
    <w:rsid w:val="007A67A3"/>
    <w:rsid w:val="007A6856"/>
    <w:rsid w:val="007B0A7D"/>
    <w:rsid w:val="007B1538"/>
    <w:rsid w:val="007B183A"/>
    <w:rsid w:val="007B1972"/>
    <w:rsid w:val="007B1A3F"/>
    <w:rsid w:val="007B2499"/>
    <w:rsid w:val="007B2C6D"/>
    <w:rsid w:val="007B41ED"/>
    <w:rsid w:val="007B52CA"/>
    <w:rsid w:val="007B5819"/>
    <w:rsid w:val="007B5A53"/>
    <w:rsid w:val="007B5DD8"/>
    <w:rsid w:val="007B5E16"/>
    <w:rsid w:val="007B64E8"/>
    <w:rsid w:val="007B675F"/>
    <w:rsid w:val="007B6DBF"/>
    <w:rsid w:val="007B6EDB"/>
    <w:rsid w:val="007B77E4"/>
    <w:rsid w:val="007B77FA"/>
    <w:rsid w:val="007C1070"/>
    <w:rsid w:val="007C143B"/>
    <w:rsid w:val="007C2112"/>
    <w:rsid w:val="007C49FE"/>
    <w:rsid w:val="007C50B5"/>
    <w:rsid w:val="007C5FE6"/>
    <w:rsid w:val="007C672D"/>
    <w:rsid w:val="007C6CCC"/>
    <w:rsid w:val="007C6DF2"/>
    <w:rsid w:val="007C79A0"/>
    <w:rsid w:val="007C7AB1"/>
    <w:rsid w:val="007D3BF0"/>
    <w:rsid w:val="007D4624"/>
    <w:rsid w:val="007D508A"/>
    <w:rsid w:val="007D52DE"/>
    <w:rsid w:val="007D58D1"/>
    <w:rsid w:val="007D5ED6"/>
    <w:rsid w:val="007D6660"/>
    <w:rsid w:val="007D68F7"/>
    <w:rsid w:val="007D717E"/>
    <w:rsid w:val="007D7633"/>
    <w:rsid w:val="007D7E9F"/>
    <w:rsid w:val="007D7FEF"/>
    <w:rsid w:val="007E04B2"/>
    <w:rsid w:val="007E0B2B"/>
    <w:rsid w:val="007E0C5F"/>
    <w:rsid w:val="007E10FE"/>
    <w:rsid w:val="007E1478"/>
    <w:rsid w:val="007E1E94"/>
    <w:rsid w:val="007E22C3"/>
    <w:rsid w:val="007E239D"/>
    <w:rsid w:val="007E31BE"/>
    <w:rsid w:val="007E3215"/>
    <w:rsid w:val="007E3232"/>
    <w:rsid w:val="007E3903"/>
    <w:rsid w:val="007E4712"/>
    <w:rsid w:val="007E47E9"/>
    <w:rsid w:val="007E66F2"/>
    <w:rsid w:val="007E68B5"/>
    <w:rsid w:val="007E76FE"/>
    <w:rsid w:val="007F00FE"/>
    <w:rsid w:val="007F2345"/>
    <w:rsid w:val="007F2639"/>
    <w:rsid w:val="007F2844"/>
    <w:rsid w:val="007F4E2F"/>
    <w:rsid w:val="007F5183"/>
    <w:rsid w:val="007F530B"/>
    <w:rsid w:val="007F6686"/>
    <w:rsid w:val="007F6FB0"/>
    <w:rsid w:val="007F7F90"/>
    <w:rsid w:val="00800749"/>
    <w:rsid w:val="00800E3F"/>
    <w:rsid w:val="00800FB4"/>
    <w:rsid w:val="00801714"/>
    <w:rsid w:val="00801E7E"/>
    <w:rsid w:val="008020E2"/>
    <w:rsid w:val="00803027"/>
    <w:rsid w:val="00804D4A"/>
    <w:rsid w:val="00805092"/>
    <w:rsid w:val="008051FB"/>
    <w:rsid w:val="00805DA6"/>
    <w:rsid w:val="008063C3"/>
    <w:rsid w:val="00806628"/>
    <w:rsid w:val="008103D2"/>
    <w:rsid w:val="008109B8"/>
    <w:rsid w:val="00810B53"/>
    <w:rsid w:val="00810BE5"/>
    <w:rsid w:val="00810D1F"/>
    <w:rsid w:val="00811141"/>
    <w:rsid w:val="0081144E"/>
    <w:rsid w:val="00811A8C"/>
    <w:rsid w:val="00811C33"/>
    <w:rsid w:val="008127A4"/>
    <w:rsid w:val="00814D4B"/>
    <w:rsid w:val="00815174"/>
    <w:rsid w:val="008172F6"/>
    <w:rsid w:val="00820E38"/>
    <w:rsid w:val="00821C2E"/>
    <w:rsid w:val="008227D4"/>
    <w:rsid w:val="00822817"/>
    <w:rsid w:val="00822A3A"/>
    <w:rsid w:val="00822FCB"/>
    <w:rsid w:val="00823CDB"/>
    <w:rsid w:val="00824ED2"/>
    <w:rsid w:val="0082507A"/>
    <w:rsid w:val="0082586B"/>
    <w:rsid w:val="008258D8"/>
    <w:rsid w:val="00826560"/>
    <w:rsid w:val="00826EF5"/>
    <w:rsid w:val="0082720F"/>
    <w:rsid w:val="00827C9B"/>
    <w:rsid w:val="00831DF0"/>
    <w:rsid w:val="00832BC0"/>
    <w:rsid w:val="008339B1"/>
    <w:rsid w:val="00833CA4"/>
    <w:rsid w:val="008344CA"/>
    <w:rsid w:val="0083475A"/>
    <w:rsid w:val="0083495D"/>
    <w:rsid w:val="008351E8"/>
    <w:rsid w:val="008359BD"/>
    <w:rsid w:val="008360C9"/>
    <w:rsid w:val="00836EFC"/>
    <w:rsid w:val="00837470"/>
    <w:rsid w:val="00837CDD"/>
    <w:rsid w:val="008405C2"/>
    <w:rsid w:val="0084097B"/>
    <w:rsid w:val="00840FD3"/>
    <w:rsid w:val="0084103C"/>
    <w:rsid w:val="00842210"/>
    <w:rsid w:val="008422A0"/>
    <w:rsid w:val="00842B6C"/>
    <w:rsid w:val="008439FC"/>
    <w:rsid w:val="00844354"/>
    <w:rsid w:val="00844756"/>
    <w:rsid w:val="00844803"/>
    <w:rsid w:val="00844BAE"/>
    <w:rsid w:val="00845737"/>
    <w:rsid w:val="00845F85"/>
    <w:rsid w:val="00846077"/>
    <w:rsid w:val="0084609A"/>
    <w:rsid w:val="00846B3C"/>
    <w:rsid w:val="008479FB"/>
    <w:rsid w:val="00847B62"/>
    <w:rsid w:val="00850828"/>
    <w:rsid w:val="00850DB3"/>
    <w:rsid w:val="00850E47"/>
    <w:rsid w:val="00851434"/>
    <w:rsid w:val="0085158F"/>
    <w:rsid w:val="008515CD"/>
    <w:rsid w:val="00851642"/>
    <w:rsid w:val="008523CE"/>
    <w:rsid w:val="00852C73"/>
    <w:rsid w:val="00852D72"/>
    <w:rsid w:val="008532D1"/>
    <w:rsid w:val="00854091"/>
    <w:rsid w:val="008541D6"/>
    <w:rsid w:val="0085426C"/>
    <w:rsid w:val="008548A9"/>
    <w:rsid w:val="00856C8B"/>
    <w:rsid w:val="00857017"/>
    <w:rsid w:val="008576F1"/>
    <w:rsid w:val="00857FD9"/>
    <w:rsid w:val="00860DA0"/>
    <w:rsid w:val="00861C42"/>
    <w:rsid w:val="00862234"/>
    <w:rsid w:val="008622F1"/>
    <w:rsid w:val="00862ABB"/>
    <w:rsid w:val="00862D9A"/>
    <w:rsid w:val="008633E9"/>
    <w:rsid w:val="008642ED"/>
    <w:rsid w:val="008643A3"/>
    <w:rsid w:val="008643F0"/>
    <w:rsid w:val="008653E2"/>
    <w:rsid w:val="00865455"/>
    <w:rsid w:val="008655C3"/>
    <w:rsid w:val="0086568A"/>
    <w:rsid w:val="008657FB"/>
    <w:rsid w:val="00865885"/>
    <w:rsid w:val="00865897"/>
    <w:rsid w:val="0086644A"/>
    <w:rsid w:val="00867F8B"/>
    <w:rsid w:val="0087073E"/>
    <w:rsid w:val="0087098C"/>
    <w:rsid w:val="00870FBB"/>
    <w:rsid w:val="00871660"/>
    <w:rsid w:val="00871797"/>
    <w:rsid w:val="0087205C"/>
    <w:rsid w:val="00872E94"/>
    <w:rsid w:val="0087378C"/>
    <w:rsid w:val="0087398C"/>
    <w:rsid w:val="00874075"/>
    <w:rsid w:val="00874BD3"/>
    <w:rsid w:val="00876D62"/>
    <w:rsid w:val="00880485"/>
    <w:rsid w:val="0088101B"/>
    <w:rsid w:val="00881327"/>
    <w:rsid w:val="00881A4F"/>
    <w:rsid w:val="00881EE5"/>
    <w:rsid w:val="0088219A"/>
    <w:rsid w:val="008825A1"/>
    <w:rsid w:val="00882C78"/>
    <w:rsid w:val="00882E07"/>
    <w:rsid w:val="00884F4B"/>
    <w:rsid w:val="0088688F"/>
    <w:rsid w:val="008868B5"/>
    <w:rsid w:val="00890106"/>
    <w:rsid w:val="00890BDF"/>
    <w:rsid w:val="008917A7"/>
    <w:rsid w:val="00892150"/>
    <w:rsid w:val="00892AF7"/>
    <w:rsid w:val="00894724"/>
    <w:rsid w:val="0089494E"/>
    <w:rsid w:val="00894A36"/>
    <w:rsid w:val="008951ED"/>
    <w:rsid w:val="00895209"/>
    <w:rsid w:val="00895251"/>
    <w:rsid w:val="00895A16"/>
    <w:rsid w:val="00895BB3"/>
    <w:rsid w:val="008961CC"/>
    <w:rsid w:val="0089676F"/>
    <w:rsid w:val="00897B14"/>
    <w:rsid w:val="008A0313"/>
    <w:rsid w:val="008A032B"/>
    <w:rsid w:val="008A0E26"/>
    <w:rsid w:val="008A20F0"/>
    <w:rsid w:val="008A2A28"/>
    <w:rsid w:val="008A366D"/>
    <w:rsid w:val="008A3FEC"/>
    <w:rsid w:val="008A46D9"/>
    <w:rsid w:val="008A4761"/>
    <w:rsid w:val="008A51A2"/>
    <w:rsid w:val="008A54D3"/>
    <w:rsid w:val="008A5A2E"/>
    <w:rsid w:val="008A5B10"/>
    <w:rsid w:val="008A6A03"/>
    <w:rsid w:val="008A771D"/>
    <w:rsid w:val="008B0060"/>
    <w:rsid w:val="008B0D17"/>
    <w:rsid w:val="008B1553"/>
    <w:rsid w:val="008B1FF7"/>
    <w:rsid w:val="008B2B53"/>
    <w:rsid w:val="008B32B2"/>
    <w:rsid w:val="008B3A35"/>
    <w:rsid w:val="008B3F58"/>
    <w:rsid w:val="008B400F"/>
    <w:rsid w:val="008B43C8"/>
    <w:rsid w:val="008B456A"/>
    <w:rsid w:val="008B76FD"/>
    <w:rsid w:val="008B7B0D"/>
    <w:rsid w:val="008C13C0"/>
    <w:rsid w:val="008C14CE"/>
    <w:rsid w:val="008C175C"/>
    <w:rsid w:val="008C2010"/>
    <w:rsid w:val="008C28DA"/>
    <w:rsid w:val="008C2BF8"/>
    <w:rsid w:val="008C2F96"/>
    <w:rsid w:val="008C437C"/>
    <w:rsid w:val="008C43F2"/>
    <w:rsid w:val="008C559A"/>
    <w:rsid w:val="008C5609"/>
    <w:rsid w:val="008C623C"/>
    <w:rsid w:val="008C6C1B"/>
    <w:rsid w:val="008C7B67"/>
    <w:rsid w:val="008D218B"/>
    <w:rsid w:val="008D23EB"/>
    <w:rsid w:val="008D4934"/>
    <w:rsid w:val="008D5752"/>
    <w:rsid w:val="008D72F8"/>
    <w:rsid w:val="008D7E87"/>
    <w:rsid w:val="008D7EE2"/>
    <w:rsid w:val="008E080E"/>
    <w:rsid w:val="008E0BD4"/>
    <w:rsid w:val="008E1CA1"/>
    <w:rsid w:val="008E2128"/>
    <w:rsid w:val="008E25EA"/>
    <w:rsid w:val="008E2601"/>
    <w:rsid w:val="008E304A"/>
    <w:rsid w:val="008E339B"/>
    <w:rsid w:val="008E4E29"/>
    <w:rsid w:val="008E50F2"/>
    <w:rsid w:val="008E62BE"/>
    <w:rsid w:val="008F1FC3"/>
    <w:rsid w:val="008F2210"/>
    <w:rsid w:val="008F366F"/>
    <w:rsid w:val="008F3F95"/>
    <w:rsid w:val="008F416A"/>
    <w:rsid w:val="008F4A37"/>
    <w:rsid w:val="008F4A48"/>
    <w:rsid w:val="008F4B47"/>
    <w:rsid w:val="008F4DA1"/>
    <w:rsid w:val="008F4F79"/>
    <w:rsid w:val="008F5362"/>
    <w:rsid w:val="008F53A8"/>
    <w:rsid w:val="008F5629"/>
    <w:rsid w:val="008F577C"/>
    <w:rsid w:val="008F58DB"/>
    <w:rsid w:val="008F5A1C"/>
    <w:rsid w:val="008F63A5"/>
    <w:rsid w:val="008F6712"/>
    <w:rsid w:val="008F679D"/>
    <w:rsid w:val="008F6DF4"/>
    <w:rsid w:val="00900644"/>
    <w:rsid w:val="00900A87"/>
    <w:rsid w:val="00900AF5"/>
    <w:rsid w:val="009010B0"/>
    <w:rsid w:val="00902980"/>
    <w:rsid w:val="0090330D"/>
    <w:rsid w:val="009033EE"/>
    <w:rsid w:val="00903EC1"/>
    <w:rsid w:val="009043AF"/>
    <w:rsid w:val="0090441D"/>
    <w:rsid w:val="009064F1"/>
    <w:rsid w:val="0090710A"/>
    <w:rsid w:val="009073FF"/>
    <w:rsid w:val="009077DF"/>
    <w:rsid w:val="00907C9D"/>
    <w:rsid w:val="00907CB8"/>
    <w:rsid w:val="00910F1A"/>
    <w:rsid w:val="00910F6A"/>
    <w:rsid w:val="0091215E"/>
    <w:rsid w:val="00912874"/>
    <w:rsid w:val="0091371A"/>
    <w:rsid w:val="009149F0"/>
    <w:rsid w:val="00914A1D"/>
    <w:rsid w:val="0091519E"/>
    <w:rsid w:val="00915E3C"/>
    <w:rsid w:val="00915EB0"/>
    <w:rsid w:val="00916358"/>
    <w:rsid w:val="00917343"/>
    <w:rsid w:val="00917875"/>
    <w:rsid w:val="00917C4B"/>
    <w:rsid w:val="00917E77"/>
    <w:rsid w:val="00920410"/>
    <w:rsid w:val="00920A1D"/>
    <w:rsid w:val="00921003"/>
    <w:rsid w:val="00921E08"/>
    <w:rsid w:val="00922D15"/>
    <w:rsid w:val="0092358B"/>
    <w:rsid w:val="0092392E"/>
    <w:rsid w:val="0092415C"/>
    <w:rsid w:val="00924DF7"/>
    <w:rsid w:val="00925646"/>
    <w:rsid w:val="0092633D"/>
    <w:rsid w:val="0092638F"/>
    <w:rsid w:val="009265D6"/>
    <w:rsid w:val="009275D1"/>
    <w:rsid w:val="00927922"/>
    <w:rsid w:val="00927991"/>
    <w:rsid w:val="00930E5A"/>
    <w:rsid w:val="0093141D"/>
    <w:rsid w:val="0093142A"/>
    <w:rsid w:val="009326F6"/>
    <w:rsid w:val="009327A7"/>
    <w:rsid w:val="00932D4F"/>
    <w:rsid w:val="00932EF2"/>
    <w:rsid w:val="0093418E"/>
    <w:rsid w:val="00934254"/>
    <w:rsid w:val="009348F6"/>
    <w:rsid w:val="009356E5"/>
    <w:rsid w:val="009358FC"/>
    <w:rsid w:val="009366F7"/>
    <w:rsid w:val="009366FA"/>
    <w:rsid w:val="009371CC"/>
    <w:rsid w:val="00940636"/>
    <w:rsid w:val="00941803"/>
    <w:rsid w:val="0094197B"/>
    <w:rsid w:val="00941D9D"/>
    <w:rsid w:val="009424E8"/>
    <w:rsid w:val="009430B4"/>
    <w:rsid w:val="00943C26"/>
    <w:rsid w:val="00943D99"/>
    <w:rsid w:val="00943EA9"/>
    <w:rsid w:val="009443B0"/>
    <w:rsid w:val="00945FD7"/>
    <w:rsid w:val="00946196"/>
    <w:rsid w:val="009475B4"/>
    <w:rsid w:val="00947694"/>
    <w:rsid w:val="009503C6"/>
    <w:rsid w:val="00950D15"/>
    <w:rsid w:val="00950EC2"/>
    <w:rsid w:val="00951319"/>
    <w:rsid w:val="009517D2"/>
    <w:rsid w:val="00951804"/>
    <w:rsid w:val="00951D59"/>
    <w:rsid w:val="009520DF"/>
    <w:rsid w:val="0095221A"/>
    <w:rsid w:val="0095250D"/>
    <w:rsid w:val="009528CB"/>
    <w:rsid w:val="00953A94"/>
    <w:rsid w:val="0095415E"/>
    <w:rsid w:val="00954396"/>
    <w:rsid w:val="00954746"/>
    <w:rsid w:val="009548FF"/>
    <w:rsid w:val="00955643"/>
    <w:rsid w:val="00955A62"/>
    <w:rsid w:val="00955CA5"/>
    <w:rsid w:val="00956AF0"/>
    <w:rsid w:val="0096046D"/>
    <w:rsid w:val="00960BD8"/>
    <w:rsid w:val="00962452"/>
    <w:rsid w:val="009641DF"/>
    <w:rsid w:val="00965986"/>
    <w:rsid w:val="00965AD2"/>
    <w:rsid w:val="00965D37"/>
    <w:rsid w:val="00966868"/>
    <w:rsid w:val="00966909"/>
    <w:rsid w:val="00966D65"/>
    <w:rsid w:val="009675AE"/>
    <w:rsid w:val="009678FF"/>
    <w:rsid w:val="00970812"/>
    <w:rsid w:val="00970B50"/>
    <w:rsid w:val="00970E5F"/>
    <w:rsid w:val="00971ABD"/>
    <w:rsid w:val="00971E14"/>
    <w:rsid w:val="009725E7"/>
    <w:rsid w:val="00972E01"/>
    <w:rsid w:val="0097302F"/>
    <w:rsid w:val="009735E4"/>
    <w:rsid w:val="009736FA"/>
    <w:rsid w:val="00973F6C"/>
    <w:rsid w:val="009747B6"/>
    <w:rsid w:val="00974906"/>
    <w:rsid w:val="00975790"/>
    <w:rsid w:val="009758B2"/>
    <w:rsid w:val="009767AD"/>
    <w:rsid w:val="00976CF4"/>
    <w:rsid w:val="0097772C"/>
    <w:rsid w:val="00980866"/>
    <w:rsid w:val="00981400"/>
    <w:rsid w:val="00981DA5"/>
    <w:rsid w:val="00982334"/>
    <w:rsid w:val="0098294F"/>
    <w:rsid w:val="00982FD7"/>
    <w:rsid w:val="00983018"/>
    <w:rsid w:val="0098328D"/>
    <w:rsid w:val="00983306"/>
    <w:rsid w:val="00984C14"/>
    <w:rsid w:val="00985C7A"/>
    <w:rsid w:val="00985D15"/>
    <w:rsid w:val="00986C25"/>
    <w:rsid w:val="0098709F"/>
    <w:rsid w:val="00987D7C"/>
    <w:rsid w:val="00990B97"/>
    <w:rsid w:val="00991156"/>
    <w:rsid w:val="009917D5"/>
    <w:rsid w:val="00992204"/>
    <w:rsid w:val="0099296C"/>
    <w:rsid w:val="00992CFB"/>
    <w:rsid w:val="00992EFF"/>
    <w:rsid w:val="00993656"/>
    <w:rsid w:val="00994048"/>
    <w:rsid w:val="00995729"/>
    <w:rsid w:val="00995C23"/>
    <w:rsid w:val="00996AC7"/>
    <w:rsid w:val="00996D74"/>
    <w:rsid w:val="009A0109"/>
    <w:rsid w:val="009A27C1"/>
    <w:rsid w:val="009A2A53"/>
    <w:rsid w:val="009A353A"/>
    <w:rsid w:val="009A35F5"/>
    <w:rsid w:val="009A4030"/>
    <w:rsid w:val="009A5A40"/>
    <w:rsid w:val="009A6C23"/>
    <w:rsid w:val="009A7B95"/>
    <w:rsid w:val="009A7FF8"/>
    <w:rsid w:val="009B0034"/>
    <w:rsid w:val="009B0980"/>
    <w:rsid w:val="009B0E84"/>
    <w:rsid w:val="009B2785"/>
    <w:rsid w:val="009B2DA9"/>
    <w:rsid w:val="009B42E1"/>
    <w:rsid w:val="009B5202"/>
    <w:rsid w:val="009B5937"/>
    <w:rsid w:val="009B64A7"/>
    <w:rsid w:val="009B7A63"/>
    <w:rsid w:val="009C0A0B"/>
    <w:rsid w:val="009C0EC2"/>
    <w:rsid w:val="009C1266"/>
    <w:rsid w:val="009C12D8"/>
    <w:rsid w:val="009C1CB3"/>
    <w:rsid w:val="009C2581"/>
    <w:rsid w:val="009C2881"/>
    <w:rsid w:val="009C2FA7"/>
    <w:rsid w:val="009C330F"/>
    <w:rsid w:val="009C3A18"/>
    <w:rsid w:val="009C49E3"/>
    <w:rsid w:val="009C4A9B"/>
    <w:rsid w:val="009C4BA2"/>
    <w:rsid w:val="009C4C0E"/>
    <w:rsid w:val="009C4F87"/>
    <w:rsid w:val="009C4FE6"/>
    <w:rsid w:val="009C5CD9"/>
    <w:rsid w:val="009D0389"/>
    <w:rsid w:val="009D0CC7"/>
    <w:rsid w:val="009D12BE"/>
    <w:rsid w:val="009D1827"/>
    <w:rsid w:val="009D1E3E"/>
    <w:rsid w:val="009D2140"/>
    <w:rsid w:val="009D33BF"/>
    <w:rsid w:val="009D45ED"/>
    <w:rsid w:val="009D47A8"/>
    <w:rsid w:val="009D48E1"/>
    <w:rsid w:val="009D7C24"/>
    <w:rsid w:val="009E04C8"/>
    <w:rsid w:val="009E0511"/>
    <w:rsid w:val="009E0C83"/>
    <w:rsid w:val="009E104C"/>
    <w:rsid w:val="009E2BB3"/>
    <w:rsid w:val="009E351B"/>
    <w:rsid w:val="009E3F4E"/>
    <w:rsid w:val="009E4D6D"/>
    <w:rsid w:val="009E5D71"/>
    <w:rsid w:val="009E5DB0"/>
    <w:rsid w:val="009E6BCA"/>
    <w:rsid w:val="009E6CBC"/>
    <w:rsid w:val="009E6FD9"/>
    <w:rsid w:val="009E71D8"/>
    <w:rsid w:val="009E71E9"/>
    <w:rsid w:val="009E7279"/>
    <w:rsid w:val="009E79FC"/>
    <w:rsid w:val="009E7D16"/>
    <w:rsid w:val="009F04A4"/>
    <w:rsid w:val="009F0583"/>
    <w:rsid w:val="009F0D69"/>
    <w:rsid w:val="009F0E92"/>
    <w:rsid w:val="009F1519"/>
    <w:rsid w:val="009F1FF5"/>
    <w:rsid w:val="009F297C"/>
    <w:rsid w:val="009F2C41"/>
    <w:rsid w:val="009F3646"/>
    <w:rsid w:val="009F39B0"/>
    <w:rsid w:val="009F48F1"/>
    <w:rsid w:val="009F4907"/>
    <w:rsid w:val="009F50F7"/>
    <w:rsid w:val="009F6A73"/>
    <w:rsid w:val="009F6BAA"/>
    <w:rsid w:val="009F6C01"/>
    <w:rsid w:val="009F6CFE"/>
    <w:rsid w:val="009F76F3"/>
    <w:rsid w:val="009F7F16"/>
    <w:rsid w:val="00A004C8"/>
    <w:rsid w:val="00A0067A"/>
    <w:rsid w:val="00A022E3"/>
    <w:rsid w:val="00A02796"/>
    <w:rsid w:val="00A02F65"/>
    <w:rsid w:val="00A0311B"/>
    <w:rsid w:val="00A03424"/>
    <w:rsid w:val="00A03D73"/>
    <w:rsid w:val="00A045BA"/>
    <w:rsid w:val="00A05D31"/>
    <w:rsid w:val="00A05D8F"/>
    <w:rsid w:val="00A05F67"/>
    <w:rsid w:val="00A0680F"/>
    <w:rsid w:val="00A06C01"/>
    <w:rsid w:val="00A102A6"/>
    <w:rsid w:val="00A10C39"/>
    <w:rsid w:val="00A1131A"/>
    <w:rsid w:val="00A12AEE"/>
    <w:rsid w:val="00A12D08"/>
    <w:rsid w:val="00A13E84"/>
    <w:rsid w:val="00A13EC6"/>
    <w:rsid w:val="00A141E1"/>
    <w:rsid w:val="00A1532F"/>
    <w:rsid w:val="00A15F89"/>
    <w:rsid w:val="00A1616D"/>
    <w:rsid w:val="00A162F1"/>
    <w:rsid w:val="00A16BC2"/>
    <w:rsid w:val="00A16C66"/>
    <w:rsid w:val="00A20670"/>
    <w:rsid w:val="00A21DCD"/>
    <w:rsid w:val="00A21E23"/>
    <w:rsid w:val="00A22372"/>
    <w:rsid w:val="00A22465"/>
    <w:rsid w:val="00A22C53"/>
    <w:rsid w:val="00A24773"/>
    <w:rsid w:val="00A24BCC"/>
    <w:rsid w:val="00A253E8"/>
    <w:rsid w:val="00A25B1D"/>
    <w:rsid w:val="00A2637C"/>
    <w:rsid w:val="00A26948"/>
    <w:rsid w:val="00A27EF6"/>
    <w:rsid w:val="00A30FC3"/>
    <w:rsid w:val="00A326CA"/>
    <w:rsid w:val="00A32CAE"/>
    <w:rsid w:val="00A34172"/>
    <w:rsid w:val="00A37081"/>
    <w:rsid w:val="00A37155"/>
    <w:rsid w:val="00A37717"/>
    <w:rsid w:val="00A37B16"/>
    <w:rsid w:val="00A37EB2"/>
    <w:rsid w:val="00A4068B"/>
    <w:rsid w:val="00A40BAE"/>
    <w:rsid w:val="00A411D4"/>
    <w:rsid w:val="00A41EFA"/>
    <w:rsid w:val="00A42368"/>
    <w:rsid w:val="00A42509"/>
    <w:rsid w:val="00A43205"/>
    <w:rsid w:val="00A4604B"/>
    <w:rsid w:val="00A4628F"/>
    <w:rsid w:val="00A46428"/>
    <w:rsid w:val="00A46ED2"/>
    <w:rsid w:val="00A475E5"/>
    <w:rsid w:val="00A51AC3"/>
    <w:rsid w:val="00A52749"/>
    <w:rsid w:val="00A5296B"/>
    <w:rsid w:val="00A54554"/>
    <w:rsid w:val="00A54C59"/>
    <w:rsid w:val="00A55035"/>
    <w:rsid w:val="00A55213"/>
    <w:rsid w:val="00A56C10"/>
    <w:rsid w:val="00A5725B"/>
    <w:rsid w:val="00A574BB"/>
    <w:rsid w:val="00A579E3"/>
    <w:rsid w:val="00A57B51"/>
    <w:rsid w:val="00A57FA6"/>
    <w:rsid w:val="00A60DFB"/>
    <w:rsid w:val="00A612AA"/>
    <w:rsid w:val="00A62990"/>
    <w:rsid w:val="00A62995"/>
    <w:rsid w:val="00A63035"/>
    <w:rsid w:val="00A63684"/>
    <w:rsid w:val="00A63FE9"/>
    <w:rsid w:val="00A643D6"/>
    <w:rsid w:val="00A64810"/>
    <w:rsid w:val="00A64CC1"/>
    <w:rsid w:val="00A65CD9"/>
    <w:rsid w:val="00A65E74"/>
    <w:rsid w:val="00A665CC"/>
    <w:rsid w:val="00A668CB"/>
    <w:rsid w:val="00A669DA"/>
    <w:rsid w:val="00A67A48"/>
    <w:rsid w:val="00A67B1B"/>
    <w:rsid w:val="00A7103A"/>
    <w:rsid w:val="00A7190B"/>
    <w:rsid w:val="00A71D0F"/>
    <w:rsid w:val="00A71D6B"/>
    <w:rsid w:val="00A72159"/>
    <w:rsid w:val="00A722D1"/>
    <w:rsid w:val="00A722E7"/>
    <w:rsid w:val="00A7424D"/>
    <w:rsid w:val="00A74761"/>
    <w:rsid w:val="00A76196"/>
    <w:rsid w:val="00A7677A"/>
    <w:rsid w:val="00A76AD4"/>
    <w:rsid w:val="00A76E98"/>
    <w:rsid w:val="00A7710C"/>
    <w:rsid w:val="00A7742C"/>
    <w:rsid w:val="00A776E6"/>
    <w:rsid w:val="00A777DE"/>
    <w:rsid w:val="00A77D0F"/>
    <w:rsid w:val="00A77E43"/>
    <w:rsid w:val="00A8146C"/>
    <w:rsid w:val="00A81CE1"/>
    <w:rsid w:val="00A82510"/>
    <w:rsid w:val="00A8394B"/>
    <w:rsid w:val="00A83BD9"/>
    <w:rsid w:val="00A83EFC"/>
    <w:rsid w:val="00A8411F"/>
    <w:rsid w:val="00A8487C"/>
    <w:rsid w:val="00A84DA4"/>
    <w:rsid w:val="00A8522D"/>
    <w:rsid w:val="00A85272"/>
    <w:rsid w:val="00A8622F"/>
    <w:rsid w:val="00A86694"/>
    <w:rsid w:val="00A86839"/>
    <w:rsid w:val="00A86F32"/>
    <w:rsid w:val="00A87807"/>
    <w:rsid w:val="00A87BCF"/>
    <w:rsid w:val="00A9049D"/>
    <w:rsid w:val="00A90DE1"/>
    <w:rsid w:val="00A91239"/>
    <w:rsid w:val="00A91248"/>
    <w:rsid w:val="00A91CA3"/>
    <w:rsid w:val="00A9265F"/>
    <w:rsid w:val="00A92700"/>
    <w:rsid w:val="00A92F4A"/>
    <w:rsid w:val="00A93463"/>
    <w:rsid w:val="00A9418E"/>
    <w:rsid w:val="00A95430"/>
    <w:rsid w:val="00A959B6"/>
    <w:rsid w:val="00A95C92"/>
    <w:rsid w:val="00A96A7A"/>
    <w:rsid w:val="00A9707A"/>
    <w:rsid w:val="00A971D3"/>
    <w:rsid w:val="00A97FEE"/>
    <w:rsid w:val="00AA0115"/>
    <w:rsid w:val="00AA030D"/>
    <w:rsid w:val="00AA19FE"/>
    <w:rsid w:val="00AA1B97"/>
    <w:rsid w:val="00AA2534"/>
    <w:rsid w:val="00AA2BEB"/>
    <w:rsid w:val="00AA3203"/>
    <w:rsid w:val="00AA462A"/>
    <w:rsid w:val="00AA5CE1"/>
    <w:rsid w:val="00AA69C1"/>
    <w:rsid w:val="00AA6D3F"/>
    <w:rsid w:val="00AB01CF"/>
    <w:rsid w:val="00AB25C4"/>
    <w:rsid w:val="00AB2D7A"/>
    <w:rsid w:val="00AB3324"/>
    <w:rsid w:val="00AB3688"/>
    <w:rsid w:val="00AB3A1A"/>
    <w:rsid w:val="00AB468A"/>
    <w:rsid w:val="00AB48BD"/>
    <w:rsid w:val="00AB49CD"/>
    <w:rsid w:val="00AB4BEC"/>
    <w:rsid w:val="00AB5B3A"/>
    <w:rsid w:val="00AB65F9"/>
    <w:rsid w:val="00AB6809"/>
    <w:rsid w:val="00AB6B72"/>
    <w:rsid w:val="00AB7470"/>
    <w:rsid w:val="00AB783D"/>
    <w:rsid w:val="00AC00EE"/>
    <w:rsid w:val="00AC098D"/>
    <w:rsid w:val="00AC1042"/>
    <w:rsid w:val="00AC1061"/>
    <w:rsid w:val="00AC11DD"/>
    <w:rsid w:val="00AC13F7"/>
    <w:rsid w:val="00AC1405"/>
    <w:rsid w:val="00AC1D53"/>
    <w:rsid w:val="00AC2640"/>
    <w:rsid w:val="00AC2767"/>
    <w:rsid w:val="00AC29C1"/>
    <w:rsid w:val="00AC2EBF"/>
    <w:rsid w:val="00AC4B91"/>
    <w:rsid w:val="00AC4CB7"/>
    <w:rsid w:val="00AC5171"/>
    <w:rsid w:val="00AC5DCF"/>
    <w:rsid w:val="00AC64C5"/>
    <w:rsid w:val="00AC6FF0"/>
    <w:rsid w:val="00AC7044"/>
    <w:rsid w:val="00AC74F2"/>
    <w:rsid w:val="00AC758D"/>
    <w:rsid w:val="00AC7738"/>
    <w:rsid w:val="00AD0387"/>
    <w:rsid w:val="00AD0F12"/>
    <w:rsid w:val="00AD1F93"/>
    <w:rsid w:val="00AD2543"/>
    <w:rsid w:val="00AD3EF8"/>
    <w:rsid w:val="00AD5EAD"/>
    <w:rsid w:val="00AD6A19"/>
    <w:rsid w:val="00AD6CFA"/>
    <w:rsid w:val="00AD7361"/>
    <w:rsid w:val="00AD73E0"/>
    <w:rsid w:val="00AD757F"/>
    <w:rsid w:val="00AE04E3"/>
    <w:rsid w:val="00AE052C"/>
    <w:rsid w:val="00AE0D06"/>
    <w:rsid w:val="00AE257E"/>
    <w:rsid w:val="00AE26F9"/>
    <w:rsid w:val="00AE28AA"/>
    <w:rsid w:val="00AE303D"/>
    <w:rsid w:val="00AE351E"/>
    <w:rsid w:val="00AE37CE"/>
    <w:rsid w:val="00AE3E5E"/>
    <w:rsid w:val="00AE5096"/>
    <w:rsid w:val="00AE51AE"/>
    <w:rsid w:val="00AE5563"/>
    <w:rsid w:val="00AE58DC"/>
    <w:rsid w:val="00AE6775"/>
    <w:rsid w:val="00AE6A56"/>
    <w:rsid w:val="00AE6DD7"/>
    <w:rsid w:val="00AE6FC6"/>
    <w:rsid w:val="00AE739D"/>
    <w:rsid w:val="00AE774E"/>
    <w:rsid w:val="00AE7CA5"/>
    <w:rsid w:val="00AF0933"/>
    <w:rsid w:val="00AF1520"/>
    <w:rsid w:val="00AF1AD1"/>
    <w:rsid w:val="00AF1D41"/>
    <w:rsid w:val="00AF1F5D"/>
    <w:rsid w:val="00AF2994"/>
    <w:rsid w:val="00AF3457"/>
    <w:rsid w:val="00AF3620"/>
    <w:rsid w:val="00AF3BE9"/>
    <w:rsid w:val="00AF40E7"/>
    <w:rsid w:val="00AF448A"/>
    <w:rsid w:val="00AF4B5B"/>
    <w:rsid w:val="00AF4E9B"/>
    <w:rsid w:val="00AF7C55"/>
    <w:rsid w:val="00B02290"/>
    <w:rsid w:val="00B02DFA"/>
    <w:rsid w:val="00B03581"/>
    <w:rsid w:val="00B038BA"/>
    <w:rsid w:val="00B03D4A"/>
    <w:rsid w:val="00B048BA"/>
    <w:rsid w:val="00B062AF"/>
    <w:rsid w:val="00B06770"/>
    <w:rsid w:val="00B06F37"/>
    <w:rsid w:val="00B074BA"/>
    <w:rsid w:val="00B0785C"/>
    <w:rsid w:val="00B07E9B"/>
    <w:rsid w:val="00B104D9"/>
    <w:rsid w:val="00B1098C"/>
    <w:rsid w:val="00B10AB1"/>
    <w:rsid w:val="00B116A5"/>
    <w:rsid w:val="00B11CDD"/>
    <w:rsid w:val="00B11EB1"/>
    <w:rsid w:val="00B12A4B"/>
    <w:rsid w:val="00B133ED"/>
    <w:rsid w:val="00B13A34"/>
    <w:rsid w:val="00B13A35"/>
    <w:rsid w:val="00B1402F"/>
    <w:rsid w:val="00B140F2"/>
    <w:rsid w:val="00B14549"/>
    <w:rsid w:val="00B146E8"/>
    <w:rsid w:val="00B147BB"/>
    <w:rsid w:val="00B1593A"/>
    <w:rsid w:val="00B15BB0"/>
    <w:rsid w:val="00B21F6A"/>
    <w:rsid w:val="00B22C96"/>
    <w:rsid w:val="00B22E14"/>
    <w:rsid w:val="00B2378C"/>
    <w:rsid w:val="00B2399A"/>
    <w:rsid w:val="00B23A7C"/>
    <w:rsid w:val="00B24693"/>
    <w:rsid w:val="00B24A3E"/>
    <w:rsid w:val="00B24E0E"/>
    <w:rsid w:val="00B2566F"/>
    <w:rsid w:val="00B26478"/>
    <w:rsid w:val="00B26F53"/>
    <w:rsid w:val="00B27170"/>
    <w:rsid w:val="00B3027C"/>
    <w:rsid w:val="00B30433"/>
    <w:rsid w:val="00B30B87"/>
    <w:rsid w:val="00B31887"/>
    <w:rsid w:val="00B31AAF"/>
    <w:rsid w:val="00B33F17"/>
    <w:rsid w:val="00B343CD"/>
    <w:rsid w:val="00B34FE4"/>
    <w:rsid w:val="00B35CFB"/>
    <w:rsid w:val="00B35D9A"/>
    <w:rsid w:val="00B360F6"/>
    <w:rsid w:val="00B36D34"/>
    <w:rsid w:val="00B36DF6"/>
    <w:rsid w:val="00B37AB4"/>
    <w:rsid w:val="00B417B9"/>
    <w:rsid w:val="00B41B02"/>
    <w:rsid w:val="00B428C7"/>
    <w:rsid w:val="00B43EA9"/>
    <w:rsid w:val="00B43FE3"/>
    <w:rsid w:val="00B44036"/>
    <w:rsid w:val="00B44DED"/>
    <w:rsid w:val="00B451B4"/>
    <w:rsid w:val="00B453F3"/>
    <w:rsid w:val="00B45E45"/>
    <w:rsid w:val="00B461FD"/>
    <w:rsid w:val="00B462F2"/>
    <w:rsid w:val="00B46AA4"/>
    <w:rsid w:val="00B47813"/>
    <w:rsid w:val="00B47E98"/>
    <w:rsid w:val="00B50523"/>
    <w:rsid w:val="00B5143B"/>
    <w:rsid w:val="00B517A3"/>
    <w:rsid w:val="00B517B9"/>
    <w:rsid w:val="00B51BFA"/>
    <w:rsid w:val="00B51F3E"/>
    <w:rsid w:val="00B520D0"/>
    <w:rsid w:val="00B52EDA"/>
    <w:rsid w:val="00B53D47"/>
    <w:rsid w:val="00B562F6"/>
    <w:rsid w:val="00B571B2"/>
    <w:rsid w:val="00B5764F"/>
    <w:rsid w:val="00B57AF4"/>
    <w:rsid w:val="00B57B6C"/>
    <w:rsid w:val="00B57F69"/>
    <w:rsid w:val="00B60C37"/>
    <w:rsid w:val="00B619A1"/>
    <w:rsid w:val="00B622F4"/>
    <w:rsid w:val="00B630BB"/>
    <w:rsid w:val="00B63794"/>
    <w:rsid w:val="00B63832"/>
    <w:rsid w:val="00B63D0C"/>
    <w:rsid w:val="00B64359"/>
    <w:rsid w:val="00B646BC"/>
    <w:rsid w:val="00B651DB"/>
    <w:rsid w:val="00B657FD"/>
    <w:rsid w:val="00B65E0C"/>
    <w:rsid w:val="00B66D7D"/>
    <w:rsid w:val="00B67335"/>
    <w:rsid w:val="00B673DA"/>
    <w:rsid w:val="00B67C42"/>
    <w:rsid w:val="00B718C0"/>
    <w:rsid w:val="00B727F8"/>
    <w:rsid w:val="00B735FA"/>
    <w:rsid w:val="00B739B7"/>
    <w:rsid w:val="00B73E2E"/>
    <w:rsid w:val="00B74753"/>
    <w:rsid w:val="00B7490C"/>
    <w:rsid w:val="00B756D9"/>
    <w:rsid w:val="00B756EC"/>
    <w:rsid w:val="00B76DEF"/>
    <w:rsid w:val="00B7761D"/>
    <w:rsid w:val="00B77BD0"/>
    <w:rsid w:val="00B77D17"/>
    <w:rsid w:val="00B77F08"/>
    <w:rsid w:val="00B80016"/>
    <w:rsid w:val="00B80E5F"/>
    <w:rsid w:val="00B828CE"/>
    <w:rsid w:val="00B82D4A"/>
    <w:rsid w:val="00B82FBE"/>
    <w:rsid w:val="00B843E3"/>
    <w:rsid w:val="00B84A29"/>
    <w:rsid w:val="00B84B57"/>
    <w:rsid w:val="00B858A9"/>
    <w:rsid w:val="00B86A02"/>
    <w:rsid w:val="00B86F35"/>
    <w:rsid w:val="00B87696"/>
    <w:rsid w:val="00B877DF"/>
    <w:rsid w:val="00B878D9"/>
    <w:rsid w:val="00B87AA8"/>
    <w:rsid w:val="00B90200"/>
    <w:rsid w:val="00B90650"/>
    <w:rsid w:val="00B90880"/>
    <w:rsid w:val="00B90BAF"/>
    <w:rsid w:val="00B90FD2"/>
    <w:rsid w:val="00B91EC7"/>
    <w:rsid w:val="00B928FA"/>
    <w:rsid w:val="00B94FF3"/>
    <w:rsid w:val="00B954DC"/>
    <w:rsid w:val="00B95AFC"/>
    <w:rsid w:val="00B96184"/>
    <w:rsid w:val="00B97566"/>
    <w:rsid w:val="00B97F1C"/>
    <w:rsid w:val="00BA02D7"/>
    <w:rsid w:val="00BA17E5"/>
    <w:rsid w:val="00BA1A8F"/>
    <w:rsid w:val="00BA31D9"/>
    <w:rsid w:val="00BA3610"/>
    <w:rsid w:val="00BA3981"/>
    <w:rsid w:val="00BA5390"/>
    <w:rsid w:val="00BA5B92"/>
    <w:rsid w:val="00BA77CA"/>
    <w:rsid w:val="00BB0053"/>
    <w:rsid w:val="00BB065F"/>
    <w:rsid w:val="00BB121D"/>
    <w:rsid w:val="00BB271F"/>
    <w:rsid w:val="00BB388A"/>
    <w:rsid w:val="00BB49CA"/>
    <w:rsid w:val="00BB5057"/>
    <w:rsid w:val="00BB55E2"/>
    <w:rsid w:val="00BB5952"/>
    <w:rsid w:val="00BB5AE4"/>
    <w:rsid w:val="00BB5E90"/>
    <w:rsid w:val="00BB71DA"/>
    <w:rsid w:val="00BC0F88"/>
    <w:rsid w:val="00BC1BAA"/>
    <w:rsid w:val="00BC1E67"/>
    <w:rsid w:val="00BC257E"/>
    <w:rsid w:val="00BC2F46"/>
    <w:rsid w:val="00BC3124"/>
    <w:rsid w:val="00BC3E1B"/>
    <w:rsid w:val="00BC3E2B"/>
    <w:rsid w:val="00BC612C"/>
    <w:rsid w:val="00BC769E"/>
    <w:rsid w:val="00BC7947"/>
    <w:rsid w:val="00BD094B"/>
    <w:rsid w:val="00BD0D57"/>
    <w:rsid w:val="00BD1F95"/>
    <w:rsid w:val="00BD209C"/>
    <w:rsid w:val="00BD288F"/>
    <w:rsid w:val="00BD3B59"/>
    <w:rsid w:val="00BD5096"/>
    <w:rsid w:val="00BD5E9A"/>
    <w:rsid w:val="00BD6059"/>
    <w:rsid w:val="00BD6B80"/>
    <w:rsid w:val="00BD74AC"/>
    <w:rsid w:val="00BD7C55"/>
    <w:rsid w:val="00BE036E"/>
    <w:rsid w:val="00BE056D"/>
    <w:rsid w:val="00BE0B62"/>
    <w:rsid w:val="00BE1D1C"/>
    <w:rsid w:val="00BE1F4A"/>
    <w:rsid w:val="00BE2207"/>
    <w:rsid w:val="00BE37AC"/>
    <w:rsid w:val="00BE3AB3"/>
    <w:rsid w:val="00BE5013"/>
    <w:rsid w:val="00BE5088"/>
    <w:rsid w:val="00BE5B64"/>
    <w:rsid w:val="00BE5E97"/>
    <w:rsid w:val="00BE5F5D"/>
    <w:rsid w:val="00BE79AB"/>
    <w:rsid w:val="00BF0459"/>
    <w:rsid w:val="00BF055E"/>
    <w:rsid w:val="00BF0938"/>
    <w:rsid w:val="00BF14BC"/>
    <w:rsid w:val="00BF1E82"/>
    <w:rsid w:val="00BF22B6"/>
    <w:rsid w:val="00BF31DD"/>
    <w:rsid w:val="00BF3A95"/>
    <w:rsid w:val="00BF3E71"/>
    <w:rsid w:val="00BF43B0"/>
    <w:rsid w:val="00BF4443"/>
    <w:rsid w:val="00BF4C0B"/>
    <w:rsid w:val="00BF608F"/>
    <w:rsid w:val="00BF748A"/>
    <w:rsid w:val="00C0099F"/>
    <w:rsid w:val="00C00E18"/>
    <w:rsid w:val="00C0131C"/>
    <w:rsid w:val="00C014AB"/>
    <w:rsid w:val="00C01B03"/>
    <w:rsid w:val="00C022A5"/>
    <w:rsid w:val="00C023A0"/>
    <w:rsid w:val="00C02457"/>
    <w:rsid w:val="00C0251F"/>
    <w:rsid w:val="00C03109"/>
    <w:rsid w:val="00C0346F"/>
    <w:rsid w:val="00C03C3A"/>
    <w:rsid w:val="00C04CEC"/>
    <w:rsid w:val="00C054E2"/>
    <w:rsid w:val="00C0629F"/>
    <w:rsid w:val="00C06530"/>
    <w:rsid w:val="00C0691F"/>
    <w:rsid w:val="00C06EE2"/>
    <w:rsid w:val="00C07393"/>
    <w:rsid w:val="00C07C5A"/>
    <w:rsid w:val="00C07EE5"/>
    <w:rsid w:val="00C1035E"/>
    <w:rsid w:val="00C1143F"/>
    <w:rsid w:val="00C117A9"/>
    <w:rsid w:val="00C118D4"/>
    <w:rsid w:val="00C11CF5"/>
    <w:rsid w:val="00C120C4"/>
    <w:rsid w:val="00C1215D"/>
    <w:rsid w:val="00C13A61"/>
    <w:rsid w:val="00C13DF1"/>
    <w:rsid w:val="00C14310"/>
    <w:rsid w:val="00C153B7"/>
    <w:rsid w:val="00C15A61"/>
    <w:rsid w:val="00C15C2F"/>
    <w:rsid w:val="00C1610B"/>
    <w:rsid w:val="00C1702C"/>
    <w:rsid w:val="00C20B7C"/>
    <w:rsid w:val="00C20D90"/>
    <w:rsid w:val="00C20E84"/>
    <w:rsid w:val="00C21157"/>
    <w:rsid w:val="00C229F9"/>
    <w:rsid w:val="00C22BFF"/>
    <w:rsid w:val="00C22CFB"/>
    <w:rsid w:val="00C22DAA"/>
    <w:rsid w:val="00C23ACF"/>
    <w:rsid w:val="00C23C6A"/>
    <w:rsid w:val="00C23E5E"/>
    <w:rsid w:val="00C25874"/>
    <w:rsid w:val="00C25A6A"/>
    <w:rsid w:val="00C25C7D"/>
    <w:rsid w:val="00C25F6B"/>
    <w:rsid w:val="00C26112"/>
    <w:rsid w:val="00C26359"/>
    <w:rsid w:val="00C26B04"/>
    <w:rsid w:val="00C2764E"/>
    <w:rsid w:val="00C277B6"/>
    <w:rsid w:val="00C30A4F"/>
    <w:rsid w:val="00C321EA"/>
    <w:rsid w:val="00C3382D"/>
    <w:rsid w:val="00C344B5"/>
    <w:rsid w:val="00C34526"/>
    <w:rsid w:val="00C35095"/>
    <w:rsid w:val="00C35259"/>
    <w:rsid w:val="00C353D7"/>
    <w:rsid w:val="00C35973"/>
    <w:rsid w:val="00C36904"/>
    <w:rsid w:val="00C36928"/>
    <w:rsid w:val="00C37F74"/>
    <w:rsid w:val="00C404F7"/>
    <w:rsid w:val="00C409EC"/>
    <w:rsid w:val="00C40E42"/>
    <w:rsid w:val="00C414EA"/>
    <w:rsid w:val="00C41759"/>
    <w:rsid w:val="00C420A5"/>
    <w:rsid w:val="00C42C54"/>
    <w:rsid w:val="00C44C17"/>
    <w:rsid w:val="00C45487"/>
    <w:rsid w:val="00C45D3E"/>
    <w:rsid w:val="00C4691E"/>
    <w:rsid w:val="00C46E1E"/>
    <w:rsid w:val="00C4703A"/>
    <w:rsid w:val="00C478E2"/>
    <w:rsid w:val="00C47F06"/>
    <w:rsid w:val="00C5054C"/>
    <w:rsid w:val="00C50E9D"/>
    <w:rsid w:val="00C518D9"/>
    <w:rsid w:val="00C5242C"/>
    <w:rsid w:val="00C52E40"/>
    <w:rsid w:val="00C53191"/>
    <w:rsid w:val="00C536BB"/>
    <w:rsid w:val="00C54F77"/>
    <w:rsid w:val="00C552AD"/>
    <w:rsid w:val="00C5642D"/>
    <w:rsid w:val="00C568B7"/>
    <w:rsid w:val="00C56CFB"/>
    <w:rsid w:val="00C5751A"/>
    <w:rsid w:val="00C60825"/>
    <w:rsid w:val="00C60DBF"/>
    <w:rsid w:val="00C613C3"/>
    <w:rsid w:val="00C61D3B"/>
    <w:rsid w:val="00C6224E"/>
    <w:rsid w:val="00C62454"/>
    <w:rsid w:val="00C6279F"/>
    <w:rsid w:val="00C62BEC"/>
    <w:rsid w:val="00C63607"/>
    <w:rsid w:val="00C64364"/>
    <w:rsid w:val="00C646EE"/>
    <w:rsid w:val="00C65C21"/>
    <w:rsid w:val="00C65CBA"/>
    <w:rsid w:val="00C65F7C"/>
    <w:rsid w:val="00C66003"/>
    <w:rsid w:val="00C664C6"/>
    <w:rsid w:val="00C66530"/>
    <w:rsid w:val="00C669D2"/>
    <w:rsid w:val="00C673D5"/>
    <w:rsid w:val="00C67495"/>
    <w:rsid w:val="00C67785"/>
    <w:rsid w:val="00C714A1"/>
    <w:rsid w:val="00C73556"/>
    <w:rsid w:val="00C7376A"/>
    <w:rsid w:val="00C73AC2"/>
    <w:rsid w:val="00C73B96"/>
    <w:rsid w:val="00C73D93"/>
    <w:rsid w:val="00C74BD1"/>
    <w:rsid w:val="00C756C6"/>
    <w:rsid w:val="00C7609C"/>
    <w:rsid w:val="00C765DE"/>
    <w:rsid w:val="00C77B6E"/>
    <w:rsid w:val="00C802B3"/>
    <w:rsid w:val="00C80A42"/>
    <w:rsid w:val="00C8149A"/>
    <w:rsid w:val="00C81E08"/>
    <w:rsid w:val="00C822F4"/>
    <w:rsid w:val="00C837D0"/>
    <w:rsid w:val="00C846D1"/>
    <w:rsid w:val="00C84702"/>
    <w:rsid w:val="00C85294"/>
    <w:rsid w:val="00C8598E"/>
    <w:rsid w:val="00C86189"/>
    <w:rsid w:val="00C863B1"/>
    <w:rsid w:val="00C871C5"/>
    <w:rsid w:val="00C8743A"/>
    <w:rsid w:val="00C87C44"/>
    <w:rsid w:val="00C87F1C"/>
    <w:rsid w:val="00C90B68"/>
    <w:rsid w:val="00C90CB6"/>
    <w:rsid w:val="00C9169F"/>
    <w:rsid w:val="00C91F35"/>
    <w:rsid w:val="00C92F50"/>
    <w:rsid w:val="00C936F1"/>
    <w:rsid w:val="00C93FB4"/>
    <w:rsid w:val="00C960AA"/>
    <w:rsid w:val="00C961C3"/>
    <w:rsid w:val="00C9684F"/>
    <w:rsid w:val="00C97560"/>
    <w:rsid w:val="00CA00EB"/>
    <w:rsid w:val="00CA034F"/>
    <w:rsid w:val="00CA19D5"/>
    <w:rsid w:val="00CA1E73"/>
    <w:rsid w:val="00CA2260"/>
    <w:rsid w:val="00CA2658"/>
    <w:rsid w:val="00CA29E5"/>
    <w:rsid w:val="00CA2C26"/>
    <w:rsid w:val="00CA4B70"/>
    <w:rsid w:val="00CA54B5"/>
    <w:rsid w:val="00CA565A"/>
    <w:rsid w:val="00CA60EB"/>
    <w:rsid w:val="00CA62AF"/>
    <w:rsid w:val="00CA684B"/>
    <w:rsid w:val="00CA68C4"/>
    <w:rsid w:val="00CA7139"/>
    <w:rsid w:val="00CB03C3"/>
    <w:rsid w:val="00CB067A"/>
    <w:rsid w:val="00CB08AD"/>
    <w:rsid w:val="00CB0DF4"/>
    <w:rsid w:val="00CB1340"/>
    <w:rsid w:val="00CB1D43"/>
    <w:rsid w:val="00CB2F29"/>
    <w:rsid w:val="00CB3A33"/>
    <w:rsid w:val="00CB3ECB"/>
    <w:rsid w:val="00CB3F28"/>
    <w:rsid w:val="00CB492E"/>
    <w:rsid w:val="00CB4DEB"/>
    <w:rsid w:val="00CB5758"/>
    <w:rsid w:val="00CB6D86"/>
    <w:rsid w:val="00CB6DEA"/>
    <w:rsid w:val="00CB6FFF"/>
    <w:rsid w:val="00CB7197"/>
    <w:rsid w:val="00CB77DE"/>
    <w:rsid w:val="00CC06A2"/>
    <w:rsid w:val="00CC0764"/>
    <w:rsid w:val="00CC0EDA"/>
    <w:rsid w:val="00CC124D"/>
    <w:rsid w:val="00CC15ED"/>
    <w:rsid w:val="00CC2241"/>
    <w:rsid w:val="00CC2657"/>
    <w:rsid w:val="00CC4011"/>
    <w:rsid w:val="00CC4420"/>
    <w:rsid w:val="00CC49E6"/>
    <w:rsid w:val="00CC52FC"/>
    <w:rsid w:val="00CC60F1"/>
    <w:rsid w:val="00CC6837"/>
    <w:rsid w:val="00CC722F"/>
    <w:rsid w:val="00CC7355"/>
    <w:rsid w:val="00CD1548"/>
    <w:rsid w:val="00CD1DE2"/>
    <w:rsid w:val="00CD28FA"/>
    <w:rsid w:val="00CD3328"/>
    <w:rsid w:val="00CD3754"/>
    <w:rsid w:val="00CD3DAC"/>
    <w:rsid w:val="00CD3F1D"/>
    <w:rsid w:val="00CD4340"/>
    <w:rsid w:val="00CD51F1"/>
    <w:rsid w:val="00CD7048"/>
    <w:rsid w:val="00CD781C"/>
    <w:rsid w:val="00CE0A81"/>
    <w:rsid w:val="00CE1240"/>
    <w:rsid w:val="00CE1817"/>
    <w:rsid w:val="00CE1863"/>
    <w:rsid w:val="00CE1D99"/>
    <w:rsid w:val="00CE22B5"/>
    <w:rsid w:val="00CE2DD0"/>
    <w:rsid w:val="00CE30AA"/>
    <w:rsid w:val="00CE30E2"/>
    <w:rsid w:val="00CE342C"/>
    <w:rsid w:val="00CE445F"/>
    <w:rsid w:val="00CE57BE"/>
    <w:rsid w:val="00CE59A8"/>
    <w:rsid w:val="00CE5CB1"/>
    <w:rsid w:val="00CE6AA5"/>
    <w:rsid w:val="00CE76EA"/>
    <w:rsid w:val="00CE778D"/>
    <w:rsid w:val="00CE78E3"/>
    <w:rsid w:val="00CE7F41"/>
    <w:rsid w:val="00CF0336"/>
    <w:rsid w:val="00CF0481"/>
    <w:rsid w:val="00CF0880"/>
    <w:rsid w:val="00CF1090"/>
    <w:rsid w:val="00CF2DF2"/>
    <w:rsid w:val="00CF359F"/>
    <w:rsid w:val="00CF5870"/>
    <w:rsid w:val="00CF5E4B"/>
    <w:rsid w:val="00CF665A"/>
    <w:rsid w:val="00CF74E5"/>
    <w:rsid w:val="00CF7D47"/>
    <w:rsid w:val="00CF7FF6"/>
    <w:rsid w:val="00D000C7"/>
    <w:rsid w:val="00D012CF"/>
    <w:rsid w:val="00D023D0"/>
    <w:rsid w:val="00D02D36"/>
    <w:rsid w:val="00D03AE9"/>
    <w:rsid w:val="00D048AD"/>
    <w:rsid w:val="00D05097"/>
    <w:rsid w:val="00D06BFA"/>
    <w:rsid w:val="00D06C8D"/>
    <w:rsid w:val="00D06CF2"/>
    <w:rsid w:val="00D06EA1"/>
    <w:rsid w:val="00D079F1"/>
    <w:rsid w:val="00D1180C"/>
    <w:rsid w:val="00D11BC5"/>
    <w:rsid w:val="00D121F9"/>
    <w:rsid w:val="00D127B0"/>
    <w:rsid w:val="00D12B5F"/>
    <w:rsid w:val="00D13C00"/>
    <w:rsid w:val="00D14FB5"/>
    <w:rsid w:val="00D152CC"/>
    <w:rsid w:val="00D155E3"/>
    <w:rsid w:val="00D155F2"/>
    <w:rsid w:val="00D15DA2"/>
    <w:rsid w:val="00D163CC"/>
    <w:rsid w:val="00D16803"/>
    <w:rsid w:val="00D1697D"/>
    <w:rsid w:val="00D178D1"/>
    <w:rsid w:val="00D20845"/>
    <w:rsid w:val="00D21D1B"/>
    <w:rsid w:val="00D22695"/>
    <w:rsid w:val="00D22BF9"/>
    <w:rsid w:val="00D23FCC"/>
    <w:rsid w:val="00D24348"/>
    <w:rsid w:val="00D25144"/>
    <w:rsid w:val="00D254A9"/>
    <w:rsid w:val="00D25983"/>
    <w:rsid w:val="00D26437"/>
    <w:rsid w:val="00D26969"/>
    <w:rsid w:val="00D26C4F"/>
    <w:rsid w:val="00D26C75"/>
    <w:rsid w:val="00D2700E"/>
    <w:rsid w:val="00D273C3"/>
    <w:rsid w:val="00D27A4D"/>
    <w:rsid w:val="00D27ECC"/>
    <w:rsid w:val="00D312C9"/>
    <w:rsid w:val="00D31300"/>
    <w:rsid w:val="00D317FF"/>
    <w:rsid w:val="00D31A1C"/>
    <w:rsid w:val="00D31D20"/>
    <w:rsid w:val="00D31DB8"/>
    <w:rsid w:val="00D3228C"/>
    <w:rsid w:val="00D3369A"/>
    <w:rsid w:val="00D34581"/>
    <w:rsid w:val="00D34985"/>
    <w:rsid w:val="00D35265"/>
    <w:rsid w:val="00D3532C"/>
    <w:rsid w:val="00D3601E"/>
    <w:rsid w:val="00D363C6"/>
    <w:rsid w:val="00D376EE"/>
    <w:rsid w:val="00D402B2"/>
    <w:rsid w:val="00D406CA"/>
    <w:rsid w:val="00D41362"/>
    <w:rsid w:val="00D41461"/>
    <w:rsid w:val="00D419B1"/>
    <w:rsid w:val="00D41BDA"/>
    <w:rsid w:val="00D41CB7"/>
    <w:rsid w:val="00D42124"/>
    <w:rsid w:val="00D4226E"/>
    <w:rsid w:val="00D429E1"/>
    <w:rsid w:val="00D450A9"/>
    <w:rsid w:val="00D453ED"/>
    <w:rsid w:val="00D455DE"/>
    <w:rsid w:val="00D4576D"/>
    <w:rsid w:val="00D46751"/>
    <w:rsid w:val="00D474E9"/>
    <w:rsid w:val="00D50764"/>
    <w:rsid w:val="00D50A18"/>
    <w:rsid w:val="00D521F3"/>
    <w:rsid w:val="00D536F2"/>
    <w:rsid w:val="00D53CCB"/>
    <w:rsid w:val="00D53CDF"/>
    <w:rsid w:val="00D5480F"/>
    <w:rsid w:val="00D55C68"/>
    <w:rsid w:val="00D5655D"/>
    <w:rsid w:val="00D56E10"/>
    <w:rsid w:val="00D572E8"/>
    <w:rsid w:val="00D577BE"/>
    <w:rsid w:val="00D57D1B"/>
    <w:rsid w:val="00D60DD8"/>
    <w:rsid w:val="00D61A48"/>
    <w:rsid w:val="00D622AF"/>
    <w:rsid w:val="00D62F26"/>
    <w:rsid w:val="00D638AD"/>
    <w:rsid w:val="00D66B33"/>
    <w:rsid w:val="00D66F4A"/>
    <w:rsid w:val="00D67AA2"/>
    <w:rsid w:val="00D706C7"/>
    <w:rsid w:val="00D70A60"/>
    <w:rsid w:val="00D70C9C"/>
    <w:rsid w:val="00D71053"/>
    <w:rsid w:val="00D71CAB"/>
    <w:rsid w:val="00D71DFD"/>
    <w:rsid w:val="00D72BE7"/>
    <w:rsid w:val="00D73247"/>
    <w:rsid w:val="00D73383"/>
    <w:rsid w:val="00D73C9F"/>
    <w:rsid w:val="00D74E58"/>
    <w:rsid w:val="00D752B3"/>
    <w:rsid w:val="00D75A91"/>
    <w:rsid w:val="00D76F40"/>
    <w:rsid w:val="00D773B7"/>
    <w:rsid w:val="00D77BFD"/>
    <w:rsid w:val="00D8014B"/>
    <w:rsid w:val="00D80B8C"/>
    <w:rsid w:val="00D80E43"/>
    <w:rsid w:val="00D81225"/>
    <w:rsid w:val="00D83046"/>
    <w:rsid w:val="00D83364"/>
    <w:rsid w:val="00D84C93"/>
    <w:rsid w:val="00D85444"/>
    <w:rsid w:val="00D85843"/>
    <w:rsid w:val="00D860BF"/>
    <w:rsid w:val="00D860E6"/>
    <w:rsid w:val="00D86B23"/>
    <w:rsid w:val="00D870CD"/>
    <w:rsid w:val="00D90008"/>
    <w:rsid w:val="00D9101B"/>
    <w:rsid w:val="00D91ECF"/>
    <w:rsid w:val="00D920CA"/>
    <w:rsid w:val="00D9252F"/>
    <w:rsid w:val="00D929AE"/>
    <w:rsid w:val="00D92DC5"/>
    <w:rsid w:val="00D92F89"/>
    <w:rsid w:val="00D95AE0"/>
    <w:rsid w:val="00D973D0"/>
    <w:rsid w:val="00DA0AB0"/>
    <w:rsid w:val="00DA0EA1"/>
    <w:rsid w:val="00DA130A"/>
    <w:rsid w:val="00DA1569"/>
    <w:rsid w:val="00DA1A3C"/>
    <w:rsid w:val="00DA1D4B"/>
    <w:rsid w:val="00DA2434"/>
    <w:rsid w:val="00DA283B"/>
    <w:rsid w:val="00DA3267"/>
    <w:rsid w:val="00DA34FA"/>
    <w:rsid w:val="00DA36D0"/>
    <w:rsid w:val="00DA447E"/>
    <w:rsid w:val="00DA45CB"/>
    <w:rsid w:val="00DA4DA2"/>
    <w:rsid w:val="00DA5141"/>
    <w:rsid w:val="00DA5C1F"/>
    <w:rsid w:val="00DA6802"/>
    <w:rsid w:val="00DA6C3D"/>
    <w:rsid w:val="00DA7935"/>
    <w:rsid w:val="00DA79B6"/>
    <w:rsid w:val="00DB0214"/>
    <w:rsid w:val="00DB0311"/>
    <w:rsid w:val="00DB0337"/>
    <w:rsid w:val="00DB0619"/>
    <w:rsid w:val="00DB0F6C"/>
    <w:rsid w:val="00DB12C2"/>
    <w:rsid w:val="00DB1610"/>
    <w:rsid w:val="00DB1E13"/>
    <w:rsid w:val="00DB20C8"/>
    <w:rsid w:val="00DB2329"/>
    <w:rsid w:val="00DB3655"/>
    <w:rsid w:val="00DB39ED"/>
    <w:rsid w:val="00DB428F"/>
    <w:rsid w:val="00DB4689"/>
    <w:rsid w:val="00DB468C"/>
    <w:rsid w:val="00DB49B1"/>
    <w:rsid w:val="00DB5159"/>
    <w:rsid w:val="00DB5616"/>
    <w:rsid w:val="00DB569E"/>
    <w:rsid w:val="00DB599E"/>
    <w:rsid w:val="00DB5C0E"/>
    <w:rsid w:val="00DB7711"/>
    <w:rsid w:val="00DC01FF"/>
    <w:rsid w:val="00DC069D"/>
    <w:rsid w:val="00DC0F36"/>
    <w:rsid w:val="00DC1452"/>
    <w:rsid w:val="00DC18BA"/>
    <w:rsid w:val="00DC20DA"/>
    <w:rsid w:val="00DC218E"/>
    <w:rsid w:val="00DC2544"/>
    <w:rsid w:val="00DC2730"/>
    <w:rsid w:val="00DC3A03"/>
    <w:rsid w:val="00DC4743"/>
    <w:rsid w:val="00DC4E15"/>
    <w:rsid w:val="00DC5C41"/>
    <w:rsid w:val="00DC792D"/>
    <w:rsid w:val="00DC7970"/>
    <w:rsid w:val="00DC7F0F"/>
    <w:rsid w:val="00DD009C"/>
    <w:rsid w:val="00DD02B7"/>
    <w:rsid w:val="00DD09B6"/>
    <w:rsid w:val="00DD0F54"/>
    <w:rsid w:val="00DD1D01"/>
    <w:rsid w:val="00DD2453"/>
    <w:rsid w:val="00DD2E2D"/>
    <w:rsid w:val="00DD3368"/>
    <w:rsid w:val="00DD40A5"/>
    <w:rsid w:val="00DD4807"/>
    <w:rsid w:val="00DD48B0"/>
    <w:rsid w:val="00DD570E"/>
    <w:rsid w:val="00DD583F"/>
    <w:rsid w:val="00DD61D5"/>
    <w:rsid w:val="00DD6CDF"/>
    <w:rsid w:val="00DD7C11"/>
    <w:rsid w:val="00DE0D8D"/>
    <w:rsid w:val="00DE0F3F"/>
    <w:rsid w:val="00DE0FDC"/>
    <w:rsid w:val="00DE11A2"/>
    <w:rsid w:val="00DE181B"/>
    <w:rsid w:val="00DE2200"/>
    <w:rsid w:val="00DE27FD"/>
    <w:rsid w:val="00DE2959"/>
    <w:rsid w:val="00DE2E02"/>
    <w:rsid w:val="00DE3828"/>
    <w:rsid w:val="00DE3AD7"/>
    <w:rsid w:val="00DE47BC"/>
    <w:rsid w:val="00DE4B79"/>
    <w:rsid w:val="00DE504A"/>
    <w:rsid w:val="00DE532F"/>
    <w:rsid w:val="00DE5F0E"/>
    <w:rsid w:val="00DE63D5"/>
    <w:rsid w:val="00DE6467"/>
    <w:rsid w:val="00DF080A"/>
    <w:rsid w:val="00DF0E03"/>
    <w:rsid w:val="00DF0E9C"/>
    <w:rsid w:val="00DF1E3C"/>
    <w:rsid w:val="00DF2118"/>
    <w:rsid w:val="00DF2925"/>
    <w:rsid w:val="00DF2938"/>
    <w:rsid w:val="00DF36D1"/>
    <w:rsid w:val="00DF3E42"/>
    <w:rsid w:val="00DF3FC4"/>
    <w:rsid w:val="00DF42AF"/>
    <w:rsid w:val="00DF54EC"/>
    <w:rsid w:val="00DF55A0"/>
    <w:rsid w:val="00DF6185"/>
    <w:rsid w:val="00DF64C9"/>
    <w:rsid w:val="00DF6EFA"/>
    <w:rsid w:val="00DF70DE"/>
    <w:rsid w:val="00E0148E"/>
    <w:rsid w:val="00E022D5"/>
    <w:rsid w:val="00E02525"/>
    <w:rsid w:val="00E0275B"/>
    <w:rsid w:val="00E035C6"/>
    <w:rsid w:val="00E0426B"/>
    <w:rsid w:val="00E0464F"/>
    <w:rsid w:val="00E05515"/>
    <w:rsid w:val="00E05C76"/>
    <w:rsid w:val="00E077C2"/>
    <w:rsid w:val="00E07D40"/>
    <w:rsid w:val="00E10680"/>
    <w:rsid w:val="00E1101D"/>
    <w:rsid w:val="00E125A1"/>
    <w:rsid w:val="00E12A30"/>
    <w:rsid w:val="00E12B38"/>
    <w:rsid w:val="00E12DC0"/>
    <w:rsid w:val="00E1353D"/>
    <w:rsid w:val="00E13F70"/>
    <w:rsid w:val="00E15046"/>
    <w:rsid w:val="00E160E6"/>
    <w:rsid w:val="00E166E3"/>
    <w:rsid w:val="00E179A1"/>
    <w:rsid w:val="00E20E94"/>
    <w:rsid w:val="00E20F79"/>
    <w:rsid w:val="00E217CF"/>
    <w:rsid w:val="00E21914"/>
    <w:rsid w:val="00E2198E"/>
    <w:rsid w:val="00E22587"/>
    <w:rsid w:val="00E2271D"/>
    <w:rsid w:val="00E227A0"/>
    <w:rsid w:val="00E23015"/>
    <w:rsid w:val="00E25DF7"/>
    <w:rsid w:val="00E309B5"/>
    <w:rsid w:val="00E31617"/>
    <w:rsid w:val="00E31A07"/>
    <w:rsid w:val="00E31C3D"/>
    <w:rsid w:val="00E3286A"/>
    <w:rsid w:val="00E32F9F"/>
    <w:rsid w:val="00E336F5"/>
    <w:rsid w:val="00E3536B"/>
    <w:rsid w:val="00E35465"/>
    <w:rsid w:val="00E35B2F"/>
    <w:rsid w:val="00E35B48"/>
    <w:rsid w:val="00E36962"/>
    <w:rsid w:val="00E371C7"/>
    <w:rsid w:val="00E40A41"/>
    <w:rsid w:val="00E41263"/>
    <w:rsid w:val="00E41701"/>
    <w:rsid w:val="00E4196F"/>
    <w:rsid w:val="00E41ED9"/>
    <w:rsid w:val="00E41F66"/>
    <w:rsid w:val="00E42F44"/>
    <w:rsid w:val="00E4357D"/>
    <w:rsid w:val="00E44E9B"/>
    <w:rsid w:val="00E457D0"/>
    <w:rsid w:val="00E4719E"/>
    <w:rsid w:val="00E4789C"/>
    <w:rsid w:val="00E47CD1"/>
    <w:rsid w:val="00E508AB"/>
    <w:rsid w:val="00E50AB0"/>
    <w:rsid w:val="00E51F69"/>
    <w:rsid w:val="00E5216A"/>
    <w:rsid w:val="00E52327"/>
    <w:rsid w:val="00E524DD"/>
    <w:rsid w:val="00E528F3"/>
    <w:rsid w:val="00E5352F"/>
    <w:rsid w:val="00E537F2"/>
    <w:rsid w:val="00E54786"/>
    <w:rsid w:val="00E54E8D"/>
    <w:rsid w:val="00E55224"/>
    <w:rsid w:val="00E55BDC"/>
    <w:rsid w:val="00E56AEB"/>
    <w:rsid w:val="00E57AFE"/>
    <w:rsid w:val="00E57D92"/>
    <w:rsid w:val="00E57F32"/>
    <w:rsid w:val="00E605D4"/>
    <w:rsid w:val="00E60965"/>
    <w:rsid w:val="00E61FFE"/>
    <w:rsid w:val="00E622A5"/>
    <w:rsid w:val="00E62311"/>
    <w:rsid w:val="00E62947"/>
    <w:rsid w:val="00E63B0D"/>
    <w:rsid w:val="00E63B87"/>
    <w:rsid w:val="00E64486"/>
    <w:rsid w:val="00E65254"/>
    <w:rsid w:val="00E656ED"/>
    <w:rsid w:val="00E70201"/>
    <w:rsid w:val="00E70462"/>
    <w:rsid w:val="00E704D9"/>
    <w:rsid w:val="00E70D00"/>
    <w:rsid w:val="00E71517"/>
    <w:rsid w:val="00E72279"/>
    <w:rsid w:val="00E72B92"/>
    <w:rsid w:val="00E72BDE"/>
    <w:rsid w:val="00E74A49"/>
    <w:rsid w:val="00E74FE8"/>
    <w:rsid w:val="00E75613"/>
    <w:rsid w:val="00E757EB"/>
    <w:rsid w:val="00E75C8F"/>
    <w:rsid w:val="00E76039"/>
    <w:rsid w:val="00E76E64"/>
    <w:rsid w:val="00E8010F"/>
    <w:rsid w:val="00E80210"/>
    <w:rsid w:val="00E808A0"/>
    <w:rsid w:val="00E8090C"/>
    <w:rsid w:val="00E8251F"/>
    <w:rsid w:val="00E82676"/>
    <w:rsid w:val="00E826D3"/>
    <w:rsid w:val="00E82B96"/>
    <w:rsid w:val="00E82D27"/>
    <w:rsid w:val="00E83559"/>
    <w:rsid w:val="00E84B3D"/>
    <w:rsid w:val="00E851FB"/>
    <w:rsid w:val="00E857A4"/>
    <w:rsid w:val="00E85A61"/>
    <w:rsid w:val="00E85D75"/>
    <w:rsid w:val="00E86847"/>
    <w:rsid w:val="00E8703E"/>
    <w:rsid w:val="00E8738F"/>
    <w:rsid w:val="00E90691"/>
    <w:rsid w:val="00E90763"/>
    <w:rsid w:val="00E90CE5"/>
    <w:rsid w:val="00E9172F"/>
    <w:rsid w:val="00E91C34"/>
    <w:rsid w:val="00E9216E"/>
    <w:rsid w:val="00E92831"/>
    <w:rsid w:val="00E92CFF"/>
    <w:rsid w:val="00E93A84"/>
    <w:rsid w:val="00E93E7F"/>
    <w:rsid w:val="00E94DB4"/>
    <w:rsid w:val="00E9612B"/>
    <w:rsid w:val="00E9681C"/>
    <w:rsid w:val="00E96C3E"/>
    <w:rsid w:val="00E96CCC"/>
    <w:rsid w:val="00E97E30"/>
    <w:rsid w:val="00EA0721"/>
    <w:rsid w:val="00EA0915"/>
    <w:rsid w:val="00EA1282"/>
    <w:rsid w:val="00EA14F5"/>
    <w:rsid w:val="00EA1A04"/>
    <w:rsid w:val="00EA292E"/>
    <w:rsid w:val="00EA362A"/>
    <w:rsid w:val="00EA4A7E"/>
    <w:rsid w:val="00EA4FE1"/>
    <w:rsid w:val="00EA5A74"/>
    <w:rsid w:val="00EB0153"/>
    <w:rsid w:val="00EB023E"/>
    <w:rsid w:val="00EB0C7D"/>
    <w:rsid w:val="00EB1A59"/>
    <w:rsid w:val="00EB2EE2"/>
    <w:rsid w:val="00EB3CBD"/>
    <w:rsid w:val="00EB46A1"/>
    <w:rsid w:val="00EB49D9"/>
    <w:rsid w:val="00EB5377"/>
    <w:rsid w:val="00EB5F76"/>
    <w:rsid w:val="00EB6533"/>
    <w:rsid w:val="00EB6C2F"/>
    <w:rsid w:val="00EB7012"/>
    <w:rsid w:val="00EB7C5B"/>
    <w:rsid w:val="00EC0A18"/>
    <w:rsid w:val="00EC0C8C"/>
    <w:rsid w:val="00EC136C"/>
    <w:rsid w:val="00EC1928"/>
    <w:rsid w:val="00EC23B0"/>
    <w:rsid w:val="00EC24C1"/>
    <w:rsid w:val="00EC40DA"/>
    <w:rsid w:val="00EC4C9D"/>
    <w:rsid w:val="00EC52C1"/>
    <w:rsid w:val="00EC5327"/>
    <w:rsid w:val="00EC546B"/>
    <w:rsid w:val="00EC5BCC"/>
    <w:rsid w:val="00EC7B38"/>
    <w:rsid w:val="00EC7D1A"/>
    <w:rsid w:val="00ED1B34"/>
    <w:rsid w:val="00ED1C76"/>
    <w:rsid w:val="00ED4A8D"/>
    <w:rsid w:val="00ED5804"/>
    <w:rsid w:val="00ED63CF"/>
    <w:rsid w:val="00ED7147"/>
    <w:rsid w:val="00ED7D8B"/>
    <w:rsid w:val="00EE096D"/>
    <w:rsid w:val="00EE1312"/>
    <w:rsid w:val="00EE1717"/>
    <w:rsid w:val="00EE17C8"/>
    <w:rsid w:val="00EE2D4E"/>
    <w:rsid w:val="00EE31A2"/>
    <w:rsid w:val="00EE369A"/>
    <w:rsid w:val="00EE3F63"/>
    <w:rsid w:val="00EE4131"/>
    <w:rsid w:val="00EE529E"/>
    <w:rsid w:val="00EE5C23"/>
    <w:rsid w:val="00EE72E0"/>
    <w:rsid w:val="00EE7303"/>
    <w:rsid w:val="00EF011B"/>
    <w:rsid w:val="00EF062B"/>
    <w:rsid w:val="00EF1439"/>
    <w:rsid w:val="00EF28EE"/>
    <w:rsid w:val="00EF2925"/>
    <w:rsid w:val="00EF3349"/>
    <w:rsid w:val="00EF3D66"/>
    <w:rsid w:val="00EF489E"/>
    <w:rsid w:val="00EF5232"/>
    <w:rsid w:val="00EF52AE"/>
    <w:rsid w:val="00EF5846"/>
    <w:rsid w:val="00EF63DC"/>
    <w:rsid w:val="00EF6587"/>
    <w:rsid w:val="00EF755C"/>
    <w:rsid w:val="00F00216"/>
    <w:rsid w:val="00F00B94"/>
    <w:rsid w:val="00F01FDE"/>
    <w:rsid w:val="00F02019"/>
    <w:rsid w:val="00F02D1A"/>
    <w:rsid w:val="00F02E68"/>
    <w:rsid w:val="00F0323A"/>
    <w:rsid w:val="00F032D1"/>
    <w:rsid w:val="00F03C09"/>
    <w:rsid w:val="00F04BD5"/>
    <w:rsid w:val="00F05BB5"/>
    <w:rsid w:val="00F06136"/>
    <w:rsid w:val="00F063AC"/>
    <w:rsid w:val="00F064E1"/>
    <w:rsid w:val="00F0656F"/>
    <w:rsid w:val="00F0662F"/>
    <w:rsid w:val="00F067B0"/>
    <w:rsid w:val="00F06B11"/>
    <w:rsid w:val="00F06F46"/>
    <w:rsid w:val="00F07020"/>
    <w:rsid w:val="00F10840"/>
    <w:rsid w:val="00F10864"/>
    <w:rsid w:val="00F10C7D"/>
    <w:rsid w:val="00F11053"/>
    <w:rsid w:val="00F1110F"/>
    <w:rsid w:val="00F12B05"/>
    <w:rsid w:val="00F137B0"/>
    <w:rsid w:val="00F13C63"/>
    <w:rsid w:val="00F13D67"/>
    <w:rsid w:val="00F14602"/>
    <w:rsid w:val="00F17C87"/>
    <w:rsid w:val="00F200AE"/>
    <w:rsid w:val="00F200C5"/>
    <w:rsid w:val="00F20637"/>
    <w:rsid w:val="00F20A67"/>
    <w:rsid w:val="00F2184D"/>
    <w:rsid w:val="00F239F4"/>
    <w:rsid w:val="00F23E13"/>
    <w:rsid w:val="00F24062"/>
    <w:rsid w:val="00F2430C"/>
    <w:rsid w:val="00F24D0E"/>
    <w:rsid w:val="00F24D18"/>
    <w:rsid w:val="00F257C3"/>
    <w:rsid w:val="00F258C4"/>
    <w:rsid w:val="00F25E68"/>
    <w:rsid w:val="00F26CFC"/>
    <w:rsid w:val="00F26EBC"/>
    <w:rsid w:val="00F308B7"/>
    <w:rsid w:val="00F30C42"/>
    <w:rsid w:val="00F3150E"/>
    <w:rsid w:val="00F32942"/>
    <w:rsid w:val="00F32D13"/>
    <w:rsid w:val="00F33F8D"/>
    <w:rsid w:val="00F34218"/>
    <w:rsid w:val="00F343F1"/>
    <w:rsid w:val="00F355A7"/>
    <w:rsid w:val="00F36035"/>
    <w:rsid w:val="00F366E5"/>
    <w:rsid w:val="00F36D3E"/>
    <w:rsid w:val="00F3750C"/>
    <w:rsid w:val="00F37B41"/>
    <w:rsid w:val="00F37E3C"/>
    <w:rsid w:val="00F407EF"/>
    <w:rsid w:val="00F4091A"/>
    <w:rsid w:val="00F4184E"/>
    <w:rsid w:val="00F41E34"/>
    <w:rsid w:val="00F4306A"/>
    <w:rsid w:val="00F431EC"/>
    <w:rsid w:val="00F435DB"/>
    <w:rsid w:val="00F435F6"/>
    <w:rsid w:val="00F447C3"/>
    <w:rsid w:val="00F44B3F"/>
    <w:rsid w:val="00F4547F"/>
    <w:rsid w:val="00F456D5"/>
    <w:rsid w:val="00F458C0"/>
    <w:rsid w:val="00F45D7D"/>
    <w:rsid w:val="00F461B9"/>
    <w:rsid w:val="00F463C2"/>
    <w:rsid w:val="00F46DE7"/>
    <w:rsid w:val="00F47013"/>
    <w:rsid w:val="00F47BBE"/>
    <w:rsid w:val="00F50344"/>
    <w:rsid w:val="00F503B8"/>
    <w:rsid w:val="00F50AB6"/>
    <w:rsid w:val="00F50ACD"/>
    <w:rsid w:val="00F50CB0"/>
    <w:rsid w:val="00F50F78"/>
    <w:rsid w:val="00F5141B"/>
    <w:rsid w:val="00F5163F"/>
    <w:rsid w:val="00F51C36"/>
    <w:rsid w:val="00F51FCF"/>
    <w:rsid w:val="00F53BE8"/>
    <w:rsid w:val="00F53D52"/>
    <w:rsid w:val="00F547F0"/>
    <w:rsid w:val="00F55825"/>
    <w:rsid w:val="00F56C03"/>
    <w:rsid w:val="00F56DE0"/>
    <w:rsid w:val="00F57202"/>
    <w:rsid w:val="00F576FD"/>
    <w:rsid w:val="00F578CA"/>
    <w:rsid w:val="00F61164"/>
    <w:rsid w:val="00F61707"/>
    <w:rsid w:val="00F622FF"/>
    <w:rsid w:val="00F62A0F"/>
    <w:rsid w:val="00F62E30"/>
    <w:rsid w:val="00F63022"/>
    <w:rsid w:val="00F64720"/>
    <w:rsid w:val="00F6586C"/>
    <w:rsid w:val="00F65DB5"/>
    <w:rsid w:val="00F665B0"/>
    <w:rsid w:val="00F702A9"/>
    <w:rsid w:val="00F72273"/>
    <w:rsid w:val="00F72CB1"/>
    <w:rsid w:val="00F73CC7"/>
    <w:rsid w:val="00F73D4C"/>
    <w:rsid w:val="00F742F0"/>
    <w:rsid w:val="00F746FA"/>
    <w:rsid w:val="00F75564"/>
    <w:rsid w:val="00F76994"/>
    <w:rsid w:val="00F76E4A"/>
    <w:rsid w:val="00F7728F"/>
    <w:rsid w:val="00F77991"/>
    <w:rsid w:val="00F77D52"/>
    <w:rsid w:val="00F80124"/>
    <w:rsid w:val="00F80C61"/>
    <w:rsid w:val="00F81C00"/>
    <w:rsid w:val="00F83116"/>
    <w:rsid w:val="00F84AEE"/>
    <w:rsid w:val="00F85D9E"/>
    <w:rsid w:val="00F85F30"/>
    <w:rsid w:val="00F9049E"/>
    <w:rsid w:val="00F916E0"/>
    <w:rsid w:val="00F917DA"/>
    <w:rsid w:val="00F91CAF"/>
    <w:rsid w:val="00F922A9"/>
    <w:rsid w:val="00F9239D"/>
    <w:rsid w:val="00F92839"/>
    <w:rsid w:val="00F92CFD"/>
    <w:rsid w:val="00F92F8C"/>
    <w:rsid w:val="00F93377"/>
    <w:rsid w:val="00F94AF3"/>
    <w:rsid w:val="00F94B29"/>
    <w:rsid w:val="00F9507D"/>
    <w:rsid w:val="00F95299"/>
    <w:rsid w:val="00F95E2C"/>
    <w:rsid w:val="00F961B4"/>
    <w:rsid w:val="00F97E8A"/>
    <w:rsid w:val="00FA0005"/>
    <w:rsid w:val="00FA126C"/>
    <w:rsid w:val="00FA206F"/>
    <w:rsid w:val="00FA30F7"/>
    <w:rsid w:val="00FA4386"/>
    <w:rsid w:val="00FA45C2"/>
    <w:rsid w:val="00FA45F7"/>
    <w:rsid w:val="00FA48A9"/>
    <w:rsid w:val="00FA51A6"/>
    <w:rsid w:val="00FA5B8E"/>
    <w:rsid w:val="00FA6C61"/>
    <w:rsid w:val="00FA6FC7"/>
    <w:rsid w:val="00FA7B28"/>
    <w:rsid w:val="00FB0AC4"/>
    <w:rsid w:val="00FB0C2D"/>
    <w:rsid w:val="00FB182C"/>
    <w:rsid w:val="00FB2BB1"/>
    <w:rsid w:val="00FB2BE5"/>
    <w:rsid w:val="00FB325B"/>
    <w:rsid w:val="00FB36BB"/>
    <w:rsid w:val="00FB41DC"/>
    <w:rsid w:val="00FB4A9D"/>
    <w:rsid w:val="00FB4B83"/>
    <w:rsid w:val="00FB4D87"/>
    <w:rsid w:val="00FB55A3"/>
    <w:rsid w:val="00FB76C5"/>
    <w:rsid w:val="00FB79F9"/>
    <w:rsid w:val="00FC0325"/>
    <w:rsid w:val="00FC08F7"/>
    <w:rsid w:val="00FC0E2B"/>
    <w:rsid w:val="00FC1088"/>
    <w:rsid w:val="00FC10B1"/>
    <w:rsid w:val="00FC1733"/>
    <w:rsid w:val="00FC1CA3"/>
    <w:rsid w:val="00FC207E"/>
    <w:rsid w:val="00FC2A95"/>
    <w:rsid w:val="00FC34ED"/>
    <w:rsid w:val="00FC417F"/>
    <w:rsid w:val="00FC41EA"/>
    <w:rsid w:val="00FC54C6"/>
    <w:rsid w:val="00FC5966"/>
    <w:rsid w:val="00FC5E17"/>
    <w:rsid w:val="00FC5F54"/>
    <w:rsid w:val="00FC6065"/>
    <w:rsid w:val="00FC60AD"/>
    <w:rsid w:val="00FC63A0"/>
    <w:rsid w:val="00FC6BD7"/>
    <w:rsid w:val="00FC6C23"/>
    <w:rsid w:val="00FC7083"/>
    <w:rsid w:val="00FC717F"/>
    <w:rsid w:val="00FC71C5"/>
    <w:rsid w:val="00FD05BF"/>
    <w:rsid w:val="00FD101C"/>
    <w:rsid w:val="00FD1854"/>
    <w:rsid w:val="00FD1C69"/>
    <w:rsid w:val="00FD1CE8"/>
    <w:rsid w:val="00FD200A"/>
    <w:rsid w:val="00FD2A84"/>
    <w:rsid w:val="00FD3240"/>
    <w:rsid w:val="00FD44EC"/>
    <w:rsid w:val="00FD5838"/>
    <w:rsid w:val="00FD5AB7"/>
    <w:rsid w:val="00FD63F0"/>
    <w:rsid w:val="00FD7E97"/>
    <w:rsid w:val="00FD7EE5"/>
    <w:rsid w:val="00FE0B8D"/>
    <w:rsid w:val="00FE2767"/>
    <w:rsid w:val="00FE3F6E"/>
    <w:rsid w:val="00FE42BA"/>
    <w:rsid w:val="00FE44B2"/>
    <w:rsid w:val="00FE5228"/>
    <w:rsid w:val="00FE5379"/>
    <w:rsid w:val="00FE5872"/>
    <w:rsid w:val="00FE5E0B"/>
    <w:rsid w:val="00FE663C"/>
    <w:rsid w:val="00FE6841"/>
    <w:rsid w:val="00FE6AD1"/>
    <w:rsid w:val="00FE6EE8"/>
    <w:rsid w:val="00FE79E3"/>
    <w:rsid w:val="00FF131D"/>
    <w:rsid w:val="00FF2455"/>
    <w:rsid w:val="00FF2485"/>
    <w:rsid w:val="00FF47F9"/>
    <w:rsid w:val="00FF4873"/>
    <w:rsid w:val="00FF6478"/>
    <w:rsid w:val="00FF713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13310B"/>
  <w15:chartTrackingRefBased/>
  <w15:docId w15:val="{815D7A5E-B9FE-4E8F-9CFF-8B83745B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5C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C23"/>
    <w:rPr>
      <w:sz w:val="20"/>
      <w:szCs w:val="20"/>
      <w:lang w:val="en-US"/>
    </w:rPr>
  </w:style>
  <w:style w:type="character" w:styleId="FootnoteReference">
    <w:name w:val="footnote reference"/>
    <w:basedOn w:val="DefaultParagraphFont"/>
    <w:uiPriority w:val="99"/>
    <w:semiHidden/>
    <w:unhideWhenUsed/>
    <w:rsid w:val="00EE5C23"/>
    <w:rPr>
      <w:vertAlign w:val="superscript"/>
    </w:rPr>
  </w:style>
  <w:style w:type="paragraph" w:customStyle="1" w:styleId="Default">
    <w:name w:val="Default"/>
    <w:rsid w:val="00EE5C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30146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01461"/>
    <w:rPr>
      <w:rFonts w:ascii="Calibri" w:hAnsi="Calibri" w:cs="Calibri"/>
      <w:noProof/>
      <w:lang w:val="en-US"/>
    </w:rPr>
  </w:style>
  <w:style w:type="paragraph" w:customStyle="1" w:styleId="EndNoteBibliography">
    <w:name w:val="EndNote Bibliography"/>
    <w:basedOn w:val="Normal"/>
    <w:link w:val="EndNoteBibliographyChar"/>
    <w:rsid w:val="00301461"/>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01461"/>
    <w:rPr>
      <w:rFonts w:ascii="Calibri" w:hAnsi="Calibri" w:cs="Calibri"/>
      <w:noProof/>
      <w:lang w:val="en-US"/>
    </w:rPr>
  </w:style>
  <w:style w:type="character" w:styleId="Hyperlink">
    <w:name w:val="Hyperlink"/>
    <w:basedOn w:val="DefaultParagraphFont"/>
    <w:uiPriority w:val="99"/>
    <w:unhideWhenUsed/>
    <w:rsid w:val="00301461"/>
    <w:rPr>
      <w:color w:val="0000FF" w:themeColor="hyperlink"/>
      <w:u w:val="single"/>
    </w:rPr>
  </w:style>
  <w:style w:type="character" w:customStyle="1" w:styleId="UnresolvedMention1">
    <w:name w:val="Unresolved Mention1"/>
    <w:basedOn w:val="DefaultParagraphFont"/>
    <w:uiPriority w:val="99"/>
    <w:semiHidden/>
    <w:unhideWhenUsed/>
    <w:rsid w:val="00301461"/>
    <w:rPr>
      <w:color w:val="605E5C"/>
      <w:shd w:val="clear" w:color="auto" w:fill="E1DFDD"/>
    </w:rPr>
  </w:style>
  <w:style w:type="character" w:styleId="CommentReference">
    <w:name w:val="annotation reference"/>
    <w:basedOn w:val="DefaultParagraphFont"/>
    <w:uiPriority w:val="99"/>
    <w:semiHidden/>
    <w:unhideWhenUsed/>
    <w:rsid w:val="008F58DB"/>
    <w:rPr>
      <w:sz w:val="16"/>
      <w:szCs w:val="16"/>
    </w:rPr>
  </w:style>
  <w:style w:type="paragraph" w:styleId="CommentText">
    <w:name w:val="annotation text"/>
    <w:basedOn w:val="Normal"/>
    <w:link w:val="CommentTextChar"/>
    <w:uiPriority w:val="99"/>
    <w:unhideWhenUsed/>
    <w:rsid w:val="008F58DB"/>
    <w:pPr>
      <w:spacing w:line="240" w:lineRule="auto"/>
    </w:pPr>
    <w:rPr>
      <w:sz w:val="20"/>
      <w:szCs w:val="20"/>
    </w:rPr>
  </w:style>
  <w:style w:type="character" w:customStyle="1" w:styleId="CommentTextChar">
    <w:name w:val="Comment Text Char"/>
    <w:basedOn w:val="DefaultParagraphFont"/>
    <w:link w:val="CommentText"/>
    <w:uiPriority w:val="99"/>
    <w:rsid w:val="008F58DB"/>
    <w:rPr>
      <w:sz w:val="20"/>
      <w:szCs w:val="20"/>
      <w:lang w:val="en-US"/>
    </w:rPr>
  </w:style>
  <w:style w:type="paragraph" w:styleId="BalloonText">
    <w:name w:val="Balloon Text"/>
    <w:basedOn w:val="Normal"/>
    <w:link w:val="BalloonTextChar"/>
    <w:uiPriority w:val="99"/>
    <w:semiHidden/>
    <w:unhideWhenUsed/>
    <w:rsid w:val="008F5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8DB"/>
    <w:rPr>
      <w:rFonts w:ascii="Segoe UI" w:hAnsi="Segoe UI" w:cs="Segoe UI"/>
      <w:sz w:val="18"/>
      <w:szCs w:val="18"/>
      <w:lang w:val="en-US"/>
    </w:rPr>
  </w:style>
  <w:style w:type="paragraph" w:styleId="ListParagraph">
    <w:name w:val="List Paragraph"/>
    <w:basedOn w:val="Normal"/>
    <w:link w:val="ListParagraphChar"/>
    <w:uiPriority w:val="34"/>
    <w:qFormat/>
    <w:rsid w:val="00FC417F"/>
    <w:pPr>
      <w:ind w:left="720"/>
      <w:contextualSpacing/>
    </w:pPr>
  </w:style>
  <w:style w:type="paragraph" w:styleId="Header">
    <w:name w:val="header"/>
    <w:basedOn w:val="Normal"/>
    <w:link w:val="HeaderChar"/>
    <w:uiPriority w:val="99"/>
    <w:unhideWhenUsed/>
    <w:rsid w:val="00850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828"/>
    <w:rPr>
      <w:lang w:val="en-US"/>
    </w:rPr>
  </w:style>
  <w:style w:type="paragraph" w:styleId="Footer">
    <w:name w:val="footer"/>
    <w:basedOn w:val="Normal"/>
    <w:link w:val="FooterChar"/>
    <w:uiPriority w:val="99"/>
    <w:unhideWhenUsed/>
    <w:rsid w:val="00850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828"/>
    <w:rPr>
      <w:lang w:val="en-US"/>
    </w:rPr>
  </w:style>
  <w:style w:type="paragraph" w:customStyle="1" w:styleId="Table">
    <w:name w:val="Table"/>
    <w:basedOn w:val="Normal"/>
    <w:qFormat/>
    <w:rsid w:val="007536B9"/>
    <w:pPr>
      <w:spacing w:after="0" w:line="240" w:lineRule="auto"/>
      <w:jc w:val="both"/>
    </w:pPr>
    <w:rPr>
      <w:rFonts w:ascii="Times New Roman" w:eastAsia="Times New Roman" w:hAnsi="Times New Roman" w:cs="Times New Roman"/>
      <w:color w:val="000000"/>
      <w:sz w:val="20"/>
      <w:szCs w:val="18"/>
      <w:lang w:eastAsia="nl-NL"/>
    </w:rPr>
  </w:style>
  <w:style w:type="table" w:styleId="TableGrid">
    <w:name w:val="Table Grid"/>
    <w:basedOn w:val="TableNormal"/>
    <w:uiPriority w:val="59"/>
    <w:rsid w:val="00440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5ABA"/>
    <w:rPr>
      <w:b/>
      <w:bCs/>
    </w:rPr>
  </w:style>
  <w:style w:type="character" w:customStyle="1" w:styleId="CommentSubjectChar">
    <w:name w:val="Comment Subject Char"/>
    <w:basedOn w:val="CommentTextChar"/>
    <w:link w:val="CommentSubject"/>
    <w:uiPriority w:val="99"/>
    <w:semiHidden/>
    <w:rsid w:val="00645ABA"/>
    <w:rPr>
      <w:b/>
      <w:bCs/>
      <w:sz w:val="20"/>
      <w:szCs w:val="20"/>
      <w:lang w:val="en-US"/>
    </w:rPr>
  </w:style>
  <w:style w:type="paragraph" w:styleId="Revision">
    <w:name w:val="Revision"/>
    <w:hidden/>
    <w:uiPriority w:val="99"/>
    <w:semiHidden/>
    <w:rsid w:val="00E72279"/>
    <w:pPr>
      <w:spacing w:after="0" w:line="240" w:lineRule="auto"/>
    </w:pPr>
    <w:rPr>
      <w:lang w:val="en-US"/>
    </w:rPr>
  </w:style>
  <w:style w:type="character" w:customStyle="1" w:styleId="UnresolvedMention2">
    <w:name w:val="Unresolved Mention2"/>
    <w:basedOn w:val="DefaultParagraphFont"/>
    <w:uiPriority w:val="99"/>
    <w:semiHidden/>
    <w:unhideWhenUsed/>
    <w:rsid w:val="00A65CD9"/>
    <w:rPr>
      <w:color w:val="605E5C"/>
      <w:shd w:val="clear" w:color="auto" w:fill="E1DFDD"/>
    </w:rPr>
  </w:style>
  <w:style w:type="character" w:customStyle="1" w:styleId="ListParagraphChar">
    <w:name w:val="List Paragraph Char"/>
    <w:basedOn w:val="DefaultParagraphFont"/>
    <w:link w:val="ListParagraph"/>
    <w:uiPriority w:val="34"/>
    <w:rsid w:val="0065238E"/>
    <w:rPr>
      <w:lang w:val="en-US"/>
    </w:rPr>
  </w:style>
  <w:style w:type="character" w:customStyle="1" w:styleId="UnresolvedMention3">
    <w:name w:val="Unresolved Mention3"/>
    <w:basedOn w:val="DefaultParagraphFont"/>
    <w:uiPriority w:val="99"/>
    <w:rsid w:val="00C0099F"/>
    <w:rPr>
      <w:color w:val="605E5C"/>
      <w:shd w:val="clear" w:color="auto" w:fill="E1DFDD"/>
    </w:rPr>
  </w:style>
  <w:style w:type="character" w:styleId="Emphasis">
    <w:name w:val="Emphasis"/>
    <w:basedOn w:val="DefaultParagraphFont"/>
    <w:uiPriority w:val="20"/>
    <w:qFormat/>
    <w:rsid w:val="005754E0"/>
    <w:rPr>
      <w:i/>
      <w:iCs/>
    </w:rPr>
  </w:style>
  <w:style w:type="character" w:customStyle="1" w:styleId="UnresolvedMention4">
    <w:name w:val="Unresolved Mention4"/>
    <w:basedOn w:val="DefaultParagraphFont"/>
    <w:uiPriority w:val="99"/>
    <w:semiHidden/>
    <w:unhideWhenUsed/>
    <w:rsid w:val="00BF4443"/>
    <w:rPr>
      <w:color w:val="605E5C"/>
      <w:shd w:val="clear" w:color="auto" w:fill="E1DFDD"/>
    </w:rPr>
  </w:style>
  <w:style w:type="character" w:customStyle="1" w:styleId="UnresolvedMention5">
    <w:name w:val="Unresolved Mention5"/>
    <w:basedOn w:val="DefaultParagraphFont"/>
    <w:uiPriority w:val="99"/>
    <w:semiHidden/>
    <w:unhideWhenUsed/>
    <w:rsid w:val="00FE44B2"/>
    <w:rPr>
      <w:color w:val="605E5C"/>
      <w:shd w:val="clear" w:color="auto" w:fill="E1DFDD"/>
    </w:rPr>
  </w:style>
  <w:style w:type="character" w:customStyle="1" w:styleId="citebib">
    <w:name w:val="cite_bib"/>
    <w:rsid w:val="00132648"/>
    <w:rPr>
      <w:bdr w:val="none" w:sz="0" w:space="0" w:color="auto"/>
      <w:shd w:val="clear" w:color="auto" w:fill="CCFFFF"/>
    </w:rPr>
  </w:style>
  <w:style w:type="paragraph" w:styleId="EndnoteText">
    <w:name w:val="endnote text"/>
    <w:basedOn w:val="Normal"/>
    <w:link w:val="EndnoteTextChar"/>
    <w:uiPriority w:val="99"/>
    <w:semiHidden/>
    <w:unhideWhenUsed/>
    <w:rsid w:val="00FB4B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4B83"/>
    <w:rPr>
      <w:sz w:val="20"/>
      <w:szCs w:val="20"/>
      <w:lang w:val="en-US"/>
    </w:rPr>
  </w:style>
  <w:style w:type="character" w:styleId="EndnoteReference">
    <w:name w:val="endnote reference"/>
    <w:basedOn w:val="DefaultParagraphFont"/>
    <w:uiPriority w:val="99"/>
    <w:semiHidden/>
    <w:unhideWhenUsed/>
    <w:rsid w:val="00FB4B83"/>
    <w:rPr>
      <w:vertAlign w:val="superscript"/>
    </w:rPr>
  </w:style>
  <w:style w:type="character" w:customStyle="1" w:styleId="UnresolvedMention">
    <w:name w:val="Unresolved Mention"/>
    <w:basedOn w:val="DefaultParagraphFont"/>
    <w:uiPriority w:val="99"/>
    <w:semiHidden/>
    <w:unhideWhenUsed/>
    <w:rsid w:val="001B3BA5"/>
    <w:rPr>
      <w:color w:val="605E5C"/>
      <w:shd w:val="clear" w:color="auto" w:fill="E1DFDD"/>
    </w:rPr>
  </w:style>
  <w:style w:type="character" w:styleId="FollowedHyperlink">
    <w:name w:val="FollowedHyperlink"/>
    <w:basedOn w:val="DefaultParagraphFont"/>
    <w:uiPriority w:val="99"/>
    <w:semiHidden/>
    <w:unhideWhenUsed/>
    <w:rsid w:val="001B3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907">
      <w:bodyDiv w:val="1"/>
      <w:marLeft w:val="0"/>
      <w:marRight w:val="0"/>
      <w:marTop w:val="0"/>
      <w:marBottom w:val="0"/>
      <w:divBdr>
        <w:top w:val="none" w:sz="0" w:space="0" w:color="auto"/>
        <w:left w:val="none" w:sz="0" w:space="0" w:color="auto"/>
        <w:bottom w:val="none" w:sz="0" w:space="0" w:color="auto"/>
        <w:right w:val="none" w:sz="0" w:space="0" w:color="auto"/>
      </w:divBdr>
    </w:div>
    <w:div w:id="245111238">
      <w:bodyDiv w:val="1"/>
      <w:marLeft w:val="0"/>
      <w:marRight w:val="0"/>
      <w:marTop w:val="0"/>
      <w:marBottom w:val="0"/>
      <w:divBdr>
        <w:top w:val="none" w:sz="0" w:space="0" w:color="auto"/>
        <w:left w:val="none" w:sz="0" w:space="0" w:color="auto"/>
        <w:bottom w:val="none" w:sz="0" w:space="0" w:color="auto"/>
        <w:right w:val="none" w:sz="0" w:space="0" w:color="auto"/>
      </w:divBdr>
    </w:div>
    <w:div w:id="551230827">
      <w:bodyDiv w:val="1"/>
      <w:marLeft w:val="0"/>
      <w:marRight w:val="0"/>
      <w:marTop w:val="0"/>
      <w:marBottom w:val="0"/>
      <w:divBdr>
        <w:top w:val="none" w:sz="0" w:space="0" w:color="auto"/>
        <w:left w:val="none" w:sz="0" w:space="0" w:color="auto"/>
        <w:bottom w:val="none" w:sz="0" w:space="0" w:color="auto"/>
        <w:right w:val="none" w:sz="0" w:space="0" w:color="auto"/>
      </w:divBdr>
      <w:divsChild>
        <w:div w:id="693191392">
          <w:marLeft w:val="0"/>
          <w:marRight w:val="0"/>
          <w:marTop w:val="0"/>
          <w:marBottom w:val="0"/>
          <w:divBdr>
            <w:top w:val="none" w:sz="0" w:space="0" w:color="auto"/>
            <w:left w:val="none" w:sz="0" w:space="0" w:color="auto"/>
            <w:bottom w:val="none" w:sz="0" w:space="0" w:color="auto"/>
            <w:right w:val="none" w:sz="0" w:space="0" w:color="auto"/>
          </w:divBdr>
        </w:div>
      </w:divsChild>
    </w:div>
    <w:div w:id="750930342">
      <w:bodyDiv w:val="1"/>
      <w:marLeft w:val="0"/>
      <w:marRight w:val="0"/>
      <w:marTop w:val="0"/>
      <w:marBottom w:val="0"/>
      <w:divBdr>
        <w:top w:val="none" w:sz="0" w:space="0" w:color="auto"/>
        <w:left w:val="none" w:sz="0" w:space="0" w:color="auto"/>
        <w:bottom w:val="none" w:sz="0" w:space="0" w:color="auto"/>
        <w:right w:val="none" w:sz="0" w:space="0" w:color="auto"/>
      </w:divBdr>
    </w:div>
    <w:div w:id="912544627">
      <w:bodyDiv w:val="1"/>
      <w:marLeft w:val="0"/>
      <w:marRight w:val="0"/>
      <w:marTop w:val="0"/>
      <w:marBottom w:val="0"/>
      <w:divBdr>
        <w:top w:val="none" w:sz="0" w:space="0" w:color="auto"/>
        <w:left w:val="none" w:sz="0" w:space="0" w:color="auto"/>
        <w:bottom w:val="none" w:sz="0" w:space="0" w:color="auto"/>
        <w:right w:val="none" w:sz="0" w:space="0" w:color="auto"/>
      </w:divBdr>
    </w:div>
    <w:div w:id="1005092307">
      <w:bodyDiv w:val="1"/>
      <w:marLeft w:val="0"/>
      <w:marRight w:val="0"/>
      <w:marTop w:val="0"/>
      <w:marBottom w:val="0"/>
      <w:divBdr>
        <w:top w:val="none" w:sz="0" w:space="0" w:color="auto"/>
        <w:left w:val="none" w:sz="0" w:space="0" w:color="auto"/>
        <w:bottom w:val="none" w:sz="0" w:space="0" w:color="auto"/>
        <w:right w:val="none" w:sz="0" w:space="0" w:color="auto"/>
      </w:divBdr>
    </w:div>
    <w:div w:id="1326319801">
      <w:bodyDiv w:val="1"/>
      <w:marLeft w:val="0"/>
      <w:marRight w:val="0"/>
      <w:marTop w:val="0"/>
      <w:marBottom w:val="0"/>
      <w:divBdr>
        <w:top w:val="none" w:sz="0" w:space="0" w:color="auto"/>
        <w:left w:val="none" w:sz="0" w:space="0" w:color="auto"/>
        <w:bottom w:val="none" w:sz="0" w:space="0" w:color="auto"/>
        <w:right w:val="none" w:sz="0" w:space="0" w:color="auto"/>
      </w:divBdr>
    </w:div>
    <w:div w:id="1873181391">
      <w:bodyDiv w:val="1"/>
      <w:marLeft w:val="0"/>
      <w:marRight w:val="0"/>
      <w:marTop w:val="0"/>
      <w:marBottom w:val="0"/>
      <w:divBdr>
        <w:top w:val="none" w:sz="0" w:space="0" w:color="auto"/>
        <w:left w:val="none" w:sz="0" w:space="0" w:color="auto"/>
        <w:bottom w:val="none" w:sz="0" w:space="0" w:color="auto"/>
        <w:right w:val="none" w:sz="0" w:space="0" w:color="auto"/>
      </w:divBdr>
    </w:div>
    <w:div w:id="193909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ijs@uu.nl" TargetMode="External"/><Relationship Id="rId13" Type="http://schemas.openxmlformats.org/officeDocument/2006/relationships/hyperlink" Target="https://www.vlaamsbelang.org/"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esistoolspro.co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nielsoper.com/statcal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kantar.com/public/"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uroparlamentti.info/en/values-and-objectives/policies/" TargetMode="External"/><Relationship Id="rId14" Type="http://schemas.openxmlformats.org/officeDocument/2006/relationships/hyperlink" Target="https://www.pvv.nl/index.php/component/content/article.html?id=5540:wilders-wil-nederland-uit-eu"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'2 way interactions'!$B$53</c:f>
              <c:strCache>
                <c:ptCount val="1"/>
                <c:pt idx="0">
                  <c:v>Left-wing</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determination right</c:v>
                </c:pt>
                <c:pt idx="1">
                  <c:v>High determination right</c:v>
                </c:pt>
              </c:strCache>
            </c:strRef>
          </c:cat>
          <c:val>
            <c:numRef>
              <c:f>'2 way interactions'!$C$53:$D$53</c:f>
              <c:numCache>
                <c:formatCode>General</c:formatCode>
                <c:ptCount val="2"/>
                <c:pt idx="0">
                  <c:v>0.52681565956947995</c:v>
                </c:pt>
                <c:pt idx="1">
                  <c:v>0.22282910963644004</c:v>
                </c:pt>
              </c:numCache>
            </c:numRef>
          </c:val>
          <c:smooth val="0"/>
          <c:extLst>
            <c:ext xmlns:c16="http://schemas.microsoft.com/office/drawing/2014/chart" uri="{C3380CC4-5D6E-409C-BE32-E72D297353CC}">
              <c16:uniqueId val="{00000000-A47E-45BD-A453-EA026A17C53C}"/>
            </c:ext>
          </c:extLst>
        </c:ser>
        <c:ser>
          <c:idx val="1"/>
          <c:order val="1"/>
          <c:tx>
            <c:strRef>
              <c:f>'2 way interactions'!$B$54</c:f>
              <c:strCache>
                <c:ptCount val="1"/>
                <c:pt idx="0">
                  <c:v>Right-wing</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determination right</c:v>
                </c:pt>
                <c:pt idx="1">
                  <c:v>High determination right</c:v>
                </c:pt>
              </c:strCache>
            </c:strRef>
          </c:cat>
          <c:val>
            <c:numRef>
              <c:f>'2 way interactions'!$C$54:$D$54</c:f>
              <c:numCache>
                <c:formatCode>General</c:formatCode>
                <c:ptCount val="2"/>
                <c:pt idx="0">
                  <c:v>-8.0815659569480017E-2</c:v>
                </c:pt>
                <c:pt idx="1">
                  <c:v>-0.66882910963644004</c:v>
                </c:pt>
              </c:numCache>
            </c:numRef>
          </c:val>
          <c:smooth val="0"/>
          <c:extLst>
            <c:ext xmlns:c16="http://schemas.microsoft.com/office/drawing/2014/chart" uri="{C3380CC4-5D6E-409C-BE32-E72D297353CC}">
              <c16:uniqueId val="{00000001-A47E-45BD-A453-EA026A17C53C}"/>
            </c:ext>
          </c:extLst>
        </c:ser>
        <c:dLbls>
          <c:showLegendKey val="0"/>
          <c:showVal val="0"/>
          <c:showCatName val="0"/>
          <c:showSerName val="0"/>
          <c:showPercent val="0"/>
          <c:showBubbleSize val="0"/>
        </c:dLbls>
        <c:marker val="1"/>
        <c:smooth val="0"/>
        <c:axId val="338143224"/>
        <c:axId val="1"/>
      </c:lineChart>
      <c:catAx>
        <c:axId val="3381432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en-US"/>
          </a:p>
        </c:txPr>
        <c:crossAx val="1"/>
        <c:crosses val="autoZero"/>
        <c:auto val="1"/>
        <c:lblAlgn val="ctr"/>
        <c:lblOffset val="0"/>
        <c:tickLblSkip val="1"/>
        <c:tickMarkSkip val="1"/>
        <c:noMultiLvlLbl val="0"/>
      </c:catAx>
      <c:valAx>
        <c:axId val="1"/>
        <c:scaling>
          <c:orientation val="minMax"/>
          <c:max val="1"/>
          <c:min val="-1"/>
        </c:scaling>
        <c:delete val="0"/>
        <c:axPos val="l"/>
        <c:title>
          <c:tx>
            <c:strRef>
              <c:f>'2 way interactions'!$B$13</c:f>
              <c:strCache>
                <c:ptCount val="1"/>
                <c:pt idx="0">
                  <c:v>Immigrant minority attitudes</c:v>
                </c:pt>
              </c:strCache>
            </c:strRef>
          </c:tx>
          <c:layout>
            <c:manualLayout>
              <c:xMode val="edge"/>
              <c:yMode val="edge"/>
              <c:x val="2.7847727301177971E-2"/>
              <c:y val="0.2398023333207750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338143224"/>
        <c:crosses val="autoZero"/>
        <c:crossBetween val="between"/>
      </c:valAx>
      <c:spPr>
        <a:solidFill>
          <a:srgbClr val="FFFFFF"/>
        </a:solidFill>
        <a:ln w="12700">
          <a:solidFill>
            <a:srgbClr val="808080"/>
          </a:solidFill>
          <a:prstDash val="solid"/>
        </a:ln>
      </c:spPr>
    </c:plotArea>
    <c:legend>
      <c:legendPos val="r"/>
      <c:layout>
        <c:manualLayout>
          <c:xMode val="edge"/>
          <c:yMode val="edge"/>
          <c:x val="0.56329622013808789"/>
          <c:y val="0.10885607002473972"/>
          <c:w val="0.20305983248909173"/>
          <c:h val="0.13400193396878018"/>
        </c:manualLayout>
      </c:layout>
      <c:overlay val="0"/>
      <c:spPr>
        <a:solidFill>
          <a:srgbClr val="FFFFFF"/>
        </a:solidFill>
        <a:ln w="3175">
          <a:solidFill>
            <a:srgbClr val="000000"/>
          </a:solidFill>
          <a:prstDash val="solid"/>
        </a:ln>
      </c:spPr>
    </c:legend>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749771250735823"/>
          <c:y val="7.9307201458523241E-2"/>
          <c:w val="0.65267901506657378"/>
          <c:h val="0.77666362807657252"/>
        </c:manualLayout>
      </c:layout>
      <c:lineChart>
        <c:grouping val="standard"/>
        <c:varyColors val="0"/>
        <c:ser>
          <c:idx val="0"/>
          <c:order val="0"/>
          <c:tx>
            <c:strRef>
              <c:f>'2 way interactions'!$B$53</c:f>
              <c:strCache>
                <c:ptCount val="1"/>
                <c:pt idx="0">
                  <c:v>Left-wing</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'2 way interactions'!$C$52:$D$52</c:f>
              <c:strCache>
                <c:ptCount val="2"/>
                <c:pt idx="0">
                  <c:v>Low CPO</c:v>
                </c:pt>
                <c:pt idx="1">
                  <c:v>High CPO</c:v>
                </c:pt>
              </c:strCache>
            </c:strRef>
          </c:cat>
          <c:val>
            <c:numRef>
              <c:f>'2 way interactions'!$C$53:$D$53</c:f>
              <c:numCache>
                <c:formatCode>General</c:formatCode>
                <c:ptCount val="2"/>
                <c:pt idx="0">
                  <c:v>3.4939609611761999</c:v>
                </c:pt>
                <c:pt idx="1">
                  <c:v>2.7566482874004001</c:v>
                </c:pt>
              </c:numCache>
            </c:numRef>
          </c:val>
          <c:smooth val="0"/>
          <c:extLst>
            <c:ext xmlns:c16="http://schemas.microsoft.com/office/drawing/2014/chart" uri="{C3380CC4-5D6E-409C-BE32-E72D297353CC}">
              <c16:uniqueId val="{00000000-9C60-4365-B4C7-2DAC5A5DA39D}"/>
            </c:ext>
          </c:extLst>
        </c:ser>
        <c:ser>
          <c:idx val="1"/>
          <c:order val="1"/>
          <c:tx>
            <c:strRef>
              <c:f>'2 way interactions'!$B$54</c:f>
              <c:strCache>
                <c:ptCount val="1"/>
                <c:pt idx="0">
                  <c:v>Right-wing</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'2 way interactions'!$C$52:$D$52</c:f>
              <c:strCache>
                <c:ptCount val="2"/>
                <c:pt idx="0">
                  <c:v>Low CPO</c:v>
                </c:pt>
                <c:pt idx="1">
                  <c:v>High CPO</c:v>
                </c:pt>
              </c:strCache>
            </c:strRef>
          </c:cat>
          <c:val>
            <c:numRef>
              <c:f>'2 way interactions'!$C$54:$D$54</c:f>
              <c:numCache>
                <c:formatCode>General</c:formatCode>
                <c:ptCount val="2"/>
                <c:pt idx="0">
                  <c:v>2.4760390388237998</c:v>
                </c:pt>
                <c:pt idx="1">
                  <c:v>2.2413517125996001</c:v>
                </c:pt>
              </c:numCache>
            </c:numRef>
          </c:val>
          <c:smooth val="0"/>
          <c:extLst>
            <c:ext xmlns:c16="http://schemas.microsoft.com/office/drawing/2014/chart" uri="{C3380CC4-5D6E-409C-BE32-E72D297353CC}">
              <c16:uniqueId val="{00000001-9C60-4365-B4C7-2DAC5A5DA39D}"/>
            </c:ext>
          </c:extLst>
        </c:ser>
        <c:dLbls>
          <c:showLegendKey val="0"/>
          <c:showVal val="0"/>
          <c:showCatName val="0"/>
          <c:showSerName val="0"/>
          <c:showPercent val="0"/>
          <c:showBubbleSize val="0"/>
        </c:dLbls>
        <c:marker val="1"/>
        <c:smooth val="0"/>
        <c:axId val="465835576"/>
        <c:axId val="1"/>
      </c:lineChart>
      <c:catAx>
        <c:axId val="4658355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
        <c:crosses val="autoZero"/>
        <c:auto val="1"/>
        <c:lblAlgn val="ctr"/>
        <c:lblOffset val="100"/>
        <c:tickLblSkip val="1"/>
        <c:tickMarkSkip val="1"/>
        <c:noMultiLvlLbl val="0"/>
      </c:catAx>
      <c:valAx>
        <c:axId val="1"/>
        <c:scaling>
          <c:orientation val="minMax"/>
          <c:max val="7"/>
          <c:min val="1"/>
        </c:scaling>
        <c:delete val="0"/>
        <c:axPos val="l"/>
        <c:title>
          <c:tx>
            <c:strRef>
              <c:f>'2 way interactions'!$B$13</c:f>
              <c:strCache>
                <c:ptCount val="1"/>
                <c:pt idx="0">
                  <c:v>European integration attitudes</c:v>
                </c:pt>
              </c:strCache>
            </c:strRef>
          </c:tx>
          <c:layout>
            <c:manualLayout>
              <c:xMode val="edge"/>
              <c:yMode val="edge"/>
              <c:x val="2.7847727301177971E-2"/>
              <c:y val="0.2398023333207750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465835576"/>
        <c:crosses val="autoZero"/>
        <c:crossBetween val="between"/>
      </c:valAx>
      <c:spPr>
        <a:solidFill>
          <a:srgbClr val="FFFFFF"/>
        </a:solidFill>
        <a:ln w="12700">
          <a:solidFill>
            <a:srgbClr val="808080"/>
          </a:solidFill>
          <a:prstDash val="solid"/>
        </a:ln>
      </c:spPr>
    </c:plotArea>
    <c:legend>
      <c:legendPos val="r"/>
      <c:layout>
        <c:manualLayout>
          <c:xMode val="edge"/>
          <c:yMode val="edge"/>
          <c:x val="0.56334971663573896"/>
          <c:y val="0.10885607002473972"/>
          <c:w val="0.20300633599144055"/>
          <c:h val="0.13400193396878018"/>
        </c:manualLayout>
      </c:layout>
      <c:overlay val="0"/>
      <c:spPr>
        <a:solidFill>
          <a:srgbClr val="FFFFFF"/>
        </a:solidFill>
        <a:ln w="3175">
          <a:solidFill>
            <a:srgbClr val="000000"/>
          </a:solidFill>
          <a:prstDash val="solid"/>
        </a:ln>
      </c:spPr>
    </c:legend>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56A23-3506-4D40-B374-E6D7DF68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23354</Words>
  <Characters>133123</Characters>
  <Application>Microsoft Office Word</Application>
  <DocSecurity>4</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Nijs, T. (Tom)</dc:creator>
  <cp:keywords/>
  <dc:description/>
  <cp:lastModifiedBy>Gordon G.</cp:lastModifiedBy>
  <cp:revision>2</cp:revision>
  <cp:lastPrinted>2019-09-18T11:33:00Z</cp:lastPrinted>
  <dcterms:created xsi:type="dcterms:W3CDTF">2020-05-13T09:24:00Z</dcterms:created>
  <dcterms:modified xsi:type="dcterms:W3CDTF">2020-05-13T09:24:00Z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-1220399841</vt:i4>
  </property>
</Properties>
</file>